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March 31, 2021</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ind w:left="309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05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May 3, 2021, was 46,344,811.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8480" w:type="dxa"/>
            <w:vAlign w:val="bottom"/>
            <w:gridSpan w:val="14"/>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14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3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 Management’s Discussion and Analysis of Financial Condition and Results of Operations</w:t>
              </w:r>
            </w:hyperlink>
          </w:p>
        </w:tc>
        <w:tc>
          <w:tcPr>
            <w:tcW w:w="15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3 Quantitative and Qualitative Disclosures About Market Risk</w:t>
              </w:r>
            </w:hyperlink>
          </w:p>
        </w:tc>
        <w:tc>
          <w:tcPr>
            <w:tcW w:w="36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1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412"/>
        </w:trPr>
        <w:tc>
          <w:tcPr>
            <w:tcW w:w="1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1 Legal Proceedings</w:t>
              </w:r>
            </w:hyperlink>
          </w:p>
        </w:tc>
        <w:tc>
          <w:tcPr>
            <w:tcW w:w="1000" w:type="dxa"/>
            <w:vAlign w:val="bottom"/>
            <w:tcBorders>
              <w:top w:val="single" w:sz="8" w:color="0000EE"/>
            </w:tcBorders>
            <w:gridSpan w:val="4"/>
          </w:tcPr>
          <w:p>
            <w:pPr>
              <w:spacing w:after="0"/>
              <w:rPr>
                <w:sz w:val="24"/>
                <w:szCs w:val="24"/>
                <w:color w:val="auto"/>
              </w:rPr>
            </w:pPr>
          </w:p>
        </w:tc>
        <w:tc>
          <w:tcPr>
            <w:tcW w:w="56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1A Risk Factors</w:t>
              </w:r>
            </w:hyperlink>
          </w:p>
        </w:tc>
        <w:tc>
          <w:tcPr>
            <w:tcW w:w="694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848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3</w:t>
              </w:r>
            </w:hyperlink>
          </w:p>
        </w:tc>
        <w:tc>
          <w:tcPr>
            <w:tcW w:w="436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36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4</w:t>
              </w:r>
            </w:hyperlink>
          </w:p>
        </w:tc>
        <w:tc>
          <w:tcPr>
            <w:tcW w:w="2340" w:type="dxa"/>
            <w:vAlign w:val="bottom"/>
            <w:tcBorders>
              <w:top w:val="single" w:sz="8" w:color="0000EE"/>
            </w:tcBorders>
            <w:gridSpan w:val="7"/>
          </w:tcPr>
          <w:p>
            <w:pPr>
              <w:ind w:lef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56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2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6</w:t>
              </w:r>
            </w:hyperlink>
          </w:p>
        </w:tc>
        <w:tc>
          <w:tcPr>
            <w:tcW w:w="620" w:type="dxa"/>
            <w:vAlign w:val="bottom"/>
            <w:tcBorders>
              <w:bottom w:val="single" w:sz="8" w:color="0000EE"/>
            </w:tcBorders>
          </w:tcPr>
          <w:p>
            <w:pPr>
              <w:ind w:left="20"/>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SIGNATURES</w:t>
              </w:r>
            </w:hyperlink>
          </w:p>
        </w:tc>
        <w:tc>
          <w:tcPr>
            <w:tcW w:w="73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236,934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221,655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60,219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152,708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140,859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46,084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47,455</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46,300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245,769</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62,189</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Interest receivable on Secured Note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333,742</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131,929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128,657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Secured Note receivable,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964,912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1,885,027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1,844,579</w:t>
            </w:r>
          </w:p>
        </w:tc>
        <w:tc>
          <w:tcPr>
            <w:tcW w:w="0" w:type="dxa"/>
            <w:vAlign w:val="bottom"/>
          </w:tcPr>
          <w:p>
            <w:pPr>
              <w:spacing w:after="0"/>
              <w:rPr>
                <w:sz w:val="1"/>
                <w:szCs w:val="1"/>
                <w:color w:val="auto"/>
              </w:rPr>
            </w:pPr>
          </w:p>
        </w:tc>
      </w:tr>
      <w:tr>
        <w:trPr>
          <w:trHeight w:val="197"/>
        </w:trPr>
        <w:tc>
          <w:tcPr>
            <w:tcW w:w="6560" w:type="dxa"/>
            <w:vAlign w:val="bottom"/>
            <w:shd w:val="clear" w:color="auto" w:fill="CCEEFF"/>
          </w:tcPr>
          <w:p>
            <w:pPr>
              <w:ind w:left="130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00"/>
              <w:spacing w:after="0"/>
              <w:rPr>
                <w:sz w:val="20"/>
                <w:szCs w:val="20"/>
                <w:color w:val="auto"/>
              </w:rPr>
            </w:pPr>
            <w:r>
              <w:rPr>
                <w:rFonts w:ascii="Arial" w:cs="Arial" w:eastAsia="Arial" w:hAnsi="Arial"/>
                <w:sz w:val="18"/>
                <w:szCs w:val="18"/>
                <w:color w:val="auto"/>
              </w:rPr>
              <w:t>Current portion of lease liability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notes payable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118,718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Other long term liability</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less current portion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56,611</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Notes payable, less current portion</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74,630</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296,349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270,250</w:t>
            </w: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w w:val="88"/>
              </w:rPr>
              <w:t>Preferred stock, $0.01 par value, 10,000 shares authorized; 0 shares issued and outstanding</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at March 31, 2021 and December 31, 2020</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100,000 shares authorized; 53,633 and 53,277 shares</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3"/>
              </w:rPr>
              <w:t>issued and 46,382 and 46,649 shares outstanding at March 31, 2021 and December 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2020, respectively</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w w:val="92"/>
              </w:rPr>
              <w:t>Treasury stock, at cost, 7,251 and 6,628 shares of common stock at March 31, 2021 and</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December 31, 2020, respectively</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(365,721)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(303,379)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1,672,820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1,594,708</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1,588,678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1,574,329</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1,885,027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1,844,579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Other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78,112</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71,385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losses on available-for-sale securities, net of taxes of $35 for the three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months ended March 31, 2021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77,992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71,385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9"/>
          </w:tcPr>
          <w:p>
            <w:pPr>
              <w:jc w:val="right"/>
              <w:spacing w:after="0"/>
              <w:rPr>
                <w:sz w:val="20"/>
                <w:szCs w:val="20"/>
                <w:color w:val="auto"/>
              </w:rPr>
            </w:pPr>
            <w:r>
              <w:rPr>
                <w:rFonts w:ascii="Arial" w:cs="Arial" w:eastAsia="Arial" w:hAnsi="Arial"/>
                <w:sz w:val="14"/>
                <w:szCs w:val="14"/>
                <w:b w:val="1"/>
                <w:bCs w:val="1"/>
                <w:color w:val="auto"/>
                <w:w w:val="95"/>
              </w:rPr>
              <w:t>Three Months Ended March 31, 2021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gridSpan w:val="4"/>
            <w:vMerge w:val="restart"/>
          </w:tcPr>
          <w:p>
            <w:pPr>
              <w:jc w:val="right"/>
              <w:ind w:right="196"/>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at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53,277</w:t>
            </w:r>
          </w:p>
        </w:tc>
        <w:tc>
          <w:tcPr>
            <w:tcW w:w="1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6,628</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(303,379)</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282,467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1,594,708</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1,574,329</w:t>
            </w:r>
          </w:p>
        </w:tc>
        <w:tc>
          <w:tcPr>
            <w:tcW w:w="0" w:type="dxa"/>
            <w:vAlign w:val="bottom"/>
          </w:tcPr>
          <w:p>
            <w:pPr>
              <w:spacing w:after="0"/>
              <w:rPr>
                <w:sz w:val="1"/>
                <w:szCs w:val="1"/>
                <w:color w:val="auto"/>
              </w:rPr>
            </w:pPr>
          </w:p>
        </w:tc>
      </w:tr>
      <w:tr>
        <w:trPr>
          <w:trHeight w:val="217"/>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00" w:type="dxa"/>
            <w:vAlign w:val="bottom"/>
            <w:vMerge w:val="continue"/>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(120)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78,112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77,992</w:t>
            </w:r>
          </w:p>
        </w:tc>
        <w:tc>
          <w:tcPr>
            <w:tcW w:w="0" w:type="dxa"/>
            <w:vAlign w:val="bottom"/>
          </w:tcPr>
          <w:p>
            <w:pPr>
              <w:spacing w:after="0"/>
              <w:rPr>
                <w:sz w:val="1"/>
                <w:szCs w:val="1"/>
                <w:color w:val="auto"/>
              </w:rPr>
            </w:pPr>
          </w:p>
        </w:tc>
      </w:tr>
      <w:tr>
        <w:trPr>
          <w:trHeight w:val="202"/>
        </w:trPr>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purchased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for treasury</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(56,348)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(63,348)</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w w:val="98"/>
              </w:rPr>
              <w:t>Restricted shares forfeited</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 of stock options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2,680</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6"/>
              </w:rPr>
              <w:t>Balance at March 31, 2021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53,633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(365,721)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281,163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1,672,820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1,588,678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11"/>
          </w:tcPr>
          <w:p>
            <w:pPr>
              <w:jc w:val="right"/>
              <w:ind w:right="578"/>
              <w:spacing w:after="0"/>
              <w:rPr>
                <w:sz w:val="20"/>
                <w:szCs w:val="20"/>
                <w:color w:val="auto"/>
              </w:rPr>
            </w:pPr>
            <w:r>
              <w:rPr>
                <w:rFonts w:ascii="Arial" w:cs="Arial" w:eastAsia="Arial" w:hAnsi="Arial"/>
                <w:sz w:val="14"/>
                <w:szCs w:val="14"/>
                <w:b w:val="1"/>
                <w:bCs w:val="1"/>
                <w:color w:val="auto"/>
                <w:w w:val="96"/>
              </w:rPr>
              <w:t>Three Months Ended March 31, 2020</w:t>
            </w:r>
          </w:p>
        </w:tc>
        <w:tc>
          <w:tcPr>
            <w:tcW w:w="80" w:type="dxa"/>
            <w:vAlign w:val="bottom"/>
          </w:tcPr>
          <w:p>
            <w:pPr>
              <w:spacing w:after="0"/>
              <w:rPr>
                <w:sz w:val="16"/>
                <w:szCs w:val="16"/>
                <w:color w:val="auto"/>
              </w:rPr>
            </w:pPr>
          </w:p>
        </w:tc>
        <w:tc>
          <w:tcPr>
            <w:tcW w:w="1040" w:type="dxa"/>
            <w:vAlign w:val="bottom"/>
            <w:gridSpan w:val="3"/>
            <w:vMerge w:val="restart"/>
          </w:tcPr>
          <w:p>
            <w:pPr>
              <w:jc w:val="center"/>
              <w:ind w:right="15"/>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4"/>
            <w:vMerge w:val="restart"/>
          </w:tcPr>
          <w:p>
            <w:pPr>
              <w:jc w:val="right"/>
              <w:ind w:right="137"/>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15"/>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8"/>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15"/>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(169,365)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$ 270,923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$ 1,341,344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6"/>
              </w:rPr>
              <w:t>$ 1,443,433</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95" w:lineRule="exact"/>
              <w:rPr>
                <w:sz w:val="20"/>
                <w:szCs w:val="20"/>
                <w:color w:val="auto"/>
              </w:rPr>
            </w:pPr>
            <w:r>
              <w:rPr>
                <w:rFonts w:ascii="Arial" w:cs="Arial" w:eastAsia="Arial" w:hAnsi="Arial"/>
                <w:sz w:val="18"/>
                <w:szCs w:val="18"/>
                <w:color w:val="auto"/>
              </w:rPr>
              <w:t>Cumulative effect from the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adoption of accounting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8"/>
              </w:rPr>
              <w:t>pronouncements, net of taxes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of $1,168</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(3,832)</w:t>
            </w:r>
          </w:p>
        </w:tc>
        <w:tc>
          <w:tcPr>
            <w:tcW w:w="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787</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(4,969)</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(2,313)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rPr>
              <w:t>Balance at March 31, 2020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53,221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5,808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(235,071)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273,650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1,408,897</w:t>
            </w: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1,448,008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78,112</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71,385</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3,019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4,989</w:t>
            </w:r>
          </w:p>
        </w:tc>
        <w:tc>
          <w:tcPr>
            <w:tcW w:w="0" w:type="dxa"/>
            <w:vAlign w:val="bottom"/>
          </w:tcPr>
          <w:p>
            <w:pPr>
              <w:spacing w:after="0"/>
              <w:rPr>
                <w:sz w:val="1"/>
                <w:szCs w:val="1"/>
                <w:color w:val="auto"/>
              </w:rPr>
            </w:pPr>
          </w:p>
        </w:tc>
      </w:tr>
      <w:tr>
        <w:trPr>
          <w:trHeight w:val="149"/>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(29,601)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(28,451)</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w:t>
            </w:r>
          </w:p>
        </w:tc>
        <w:tc>
          <w:tcPr>
            <w:tcW w:w="0" w:type="dxa"/>
            <w:vAlign w:val="bottom"/>
          </w:tcPr>
          <w:p>
            <w:pPr>
              <w:spacing w:after="0"/>
              <w:rPr>
                <w:sz w:val="1"/>
                <w:szCs w:val="1"/>
                <w:color w:val="auto"/>
              </w:rPr>
            </w:pPr>
          </w:p>
        </w:tc>
      </w:tr>
      <w:tr>
        <w:trPr>
          <w:trHeight w:val="148"/>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10,714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5,972</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19,174</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6,936</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8,153</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89,827</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85,719</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(6,085)</w:t>
            </w:r>
          </w:p>
        </w:tc>
        <w:tc>
          <w:tcPr>
            <w:tcW w:w="0" w:type="dxa"/>
            <w:vAlign w:val="bottom"/>
          </w:tcPr>
          <w:p>
            <w:pPr>
              <w:spacing w:after="0"/>
              <w:rPr>
                <w:sz w:val="1"/>
                <w:szCs w:val="1"/>
                <w:color w:val="auto"/>
              </w:rPr>
            </w:pPr>
          </w:p>
        </w:tc>
      </w:tr>
      <w:tr>
        <w:trPr>
          <w:trHeight w:val="149"/>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(31,337)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5,519</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4,263</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(34,819)</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(8,286)</w:t>
            </w: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(69,342)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(65,706)</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2,680</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(74,948)</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(73,920)</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(19,940)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9,921</w:t>
            </w:r>
          </w:p>
        </w:tc>
        <w:tc>
          <w:tcPr>
            <w:tcW w:w="0" w:type="dxa"/>
            <w:vAlign w:val="bottom"/>
          </w:tcPr>
          <w:p>
            <w:pPr>
              <w:spacing w:after="0"/>
              <w:rPr>
                <w:sz w:val="1"/>
                <w:szCs w:val="1"/>
                <w:color w:val="auto"/>
              </w:rPr>
            </w:pPr>
          </w:p>
        </w:tc>
      </w:tr>
      <w:tr>
        <w:trPr>
          <w:trHeight w:val="148"/>
        </w:trPr>
        <w:tc>
          <w:tcPr>
            <w:tcW w:w="6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245,769</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122,572</w:t>
            </w: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225,829</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132,493</w:t>
            </w: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4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4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49"/>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4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4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876</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4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3,832</w:t>
            </w:r>
          </w:p>
        </w:tc>
        <w:tc>
          <w:tcPr>
            <w:tcW w:w="0" w:type="dxa"/>
            <w:vAlign w:val="bottom"/>
          </w:tcPr>
          <w:p>
            <w:pPr>
              <w:spacing w:after="0"/>
              <w:rPr>
                <w:sz w:val="1"/>
                <w:szCs w:val="1"/>
                <w:color w:val="auto"/>
              </w:rPr>
            </w:pPr>
          </w:p>
        </w:tc>
      </w:tr>
      <w:tr>
        <w:trPr>
          <w:trHeight w:val="182"/>
        </w:trPr>
        <w:tc>
          <w:tcPr>
            <w:tcW w:w="6740" w:type="dxa"/>
            <w:vAlign w:val="bottom"/>
          </w:tcPr>
          <w:p>
            <w:pPr>
              <w:ind w:left="100"/>
              <w:spacing w:after="0"/>
              <w:rPr>
                <w:sz w:val="20"/>
                <w:szCs w:val="20"/>
                <w:color w:val="auto"/>
              </w:rPr>
            </w:pPr>
            <w:r>
              <w:rPr>
                <w:rFonts w:ascii="Arial" w:cs="Arial" w:eastAsia="Arial" w:hAnsi="Arial"/>
                <w:sz w:val="14"/>
                <w:szCs w:val="14"/>
                <w:color w:val="auto"/>
              </w:rPr>
              <w:t>ROU Asset and Liability recognition</w:t>
            </w:r>
          </w:p>
        </w:tc>
        <w:tc>
          <w:tcPr>
            <w:tcW w:w="4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1,586</w:t>
            </w:r>
          </w:p>
        </w:tc>
        <w:tc>
          <w:tcPr>
            <w:tcW w:w="44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6,775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two off-campus classroom and laboratory sites.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January 2019, GCE began providing education services to numerous university partners across the United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States, through our wholly owned subsidiary, Orbis Education, which we acquired, by merger on January 22, 2019 for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$361,184, net of cash acquired (the “Acquisition”).  In the healthcare field, GCE, together with Orbis Education, works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partnership with a growing number of top universities and healthcare networks across the country, offering healthcare-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related academic programs at off-campus classroom and laboratory sites located near healthcare providers and developing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high-quality, career-ready graduates who enter the workforce ready to meet the demands of the healthcare industry.</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March 31, 2021, GCE provides education services to 26 university partners across the United States.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unaudited interim consolidated financial statements of the Company have been prepared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U.S. generally accepted accounting principles and pursuant to the rules and regulations of the United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Securities and Exchange Commission and the instructions to Form 10-Q and Article 10, consistent in all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respects with those applied in its financial statements included in its Annual Report on Form 10-K for the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2020. They do not include all of the information and footnotes required by U.S. generally accepted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accounting principles for complete financial statements. Such interim financial information is unaudited but reflects all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2020 from which the December 31, 2020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At March 31, 2021 and December 31, 2020, the Company considers its investments in corporate bonds, commercial paper, municipal securities, asset backed securities, municipal bonds, and collateralized mortgage obligations either as trading securities or available-for-sale securities based on the Company’s intent for the respective security. Trading securities are carried at fair value determined using Level 1 and Level 2 of the hierarchy of valuation inputs, with the use of quoted market prices and inputs other than quoted prices that are observable for the assets. Available-for-sale securities are carried at fair value, determined using Level 2 of the hierarchy of valuation inputs, with the use of inputs other than quoted prices that are observable for the assets, with unrealized gains and losses, net of tax,</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March 31, 2021, the Company had loaned $99,815 to GCU, net of repayments.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corresponds with course’s review and major revision cycle. As of March 31, 2021 and December 31, 2020, $1,166 and $1,198, respectively, net of amortization, of deferred content assets are included in other assets, long-term in the Company’s consolidated balance sheets and amortization is included in technical and academic services where the costs originated.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two-step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66"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Finite-lived intangible assets that are acquired in a business combination are recorded at fair value on their acquisition dates and are amortized on a straight-line basis over the estimated useful life of the intangible asset.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Recoverability of assets to be held and used is measured by a comparison of the carrying amount of an asset to undiscounted future net cash flows expected to be generated by the assets. If such intangible assets are not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recoverable, a potential impairment loss is recognized to the extent the carrying amounts of the assets exceeds the fair value of the assets.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The Acquisition was accounted for in accordance with the acquisition method of accounting. Under this method the cost of the target is allocated to the identifiable assets acquired and liabilities assumed based on their estimated fair values at the date of acquisition. 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 The fair value of the assets acquired, less the liabilities assumed, exceeded the purchase price by $157,825 which was recorded as goodwill.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expenses approximate their fair value based on the liquidity or the short-term maturities of these instruments. As of March 31, 2021 and December 31, 2020 the fair value of the Company’s Secured Note was $1,045,591 and $1,049,458, respectively. As of March 31, 2021 and December 31, 2020 the carrying value of Secured Note receivable for both periods was $964,912. The carrying value of notes payable approximates fair value as it is based on variable rate index.</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93"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400"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Investments are comprised of corporate bonds, commercial paper, municipal securities, asset backed securities, municipal bonds, and collateralized mortgage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Company’s receivables represent unconditional rights to consideration from our Services Agreements with our university partners. Accounts receivable, net is stated at amortized cost, net of any allowance for credit losses and contains billed and unbilled revenue. The Company evaluates the need for an allowance for credit losses using relevant available information about expected credit losses, including information about historical credit losses, past events, current conditions, and other factors which may affect the collectability of receivables. There have been no amounts written off and no allowance for credit losses established as of March 31, 2021 given historical collection experience. The Company will continue to review and revise its allowance methodology based on its collection experience with its partners.</w:t>
      </w:r>
    </w:p>
    <w:p>
      <w:pPr>
        <w:spacing w:after="0" w:line="166"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$10,132 and $294 as of March 31, 2021 and December 31, 2020,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 xml:space="preserve">The Company records its accounts receivable and Secured Note receivable at the net amount expected to be collected. Our accounts receivable are derived through education services provided to university partners. Our Secured Note receivable was derived through the sale of university 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Since our transition to an education services company on July 1, 2018, and continued growth to 26 university partners, the Company has no credit losses with any of our university partners. In the first quarter of 2020, the Company adopted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using a modified retrospective 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statements. The Company will continue to actively monitor the impact of the COVID-19 pandemic on expected credit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March 31, 2021 and December 31, 2020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and its Secured Note. The Company has not experienced any losses on receivables since July 1, 2018, the date the Company transitioned to an educational service provider. To manage accounts receivable risk, the Company maintains an allowance for doubtful accounts, if needed. The Company monitors the credit risk exposure of the counterparty of the Secured Note to determine whether an adjustment to allowance for credit loss is necessary. A significant deterioration in the financial viability of our counterparty and corresponding decline in the fair value of the collateralized assets could impact the collectability risk of the Secured Note. Our dependence on our most significant university partner, which is also the counterparty to the Secured Note, with 87.4% and 87.9% of total service revenue for the three-month periods ended March 31, 2021 and 2020, respectively, subjects us to the risk that declines in our customer’s operations would result in a sustained reduction in service revenue and interest income on the Secured Note for the Company.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2021</w:t>
      </w:r>
    </w:p>
    <w:p>
      <w:pPr>
        <w:spacing w:after="0" w:line="225"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This ASU is intended to simplify various aspects related to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Accordingly, the standard was adopted by the Company as of January 1, 2021. Most amendments within this ASU are required to be applied on a prospective basis, while certain amendments must be applied on a retrospective or modified retrospective basis. The adoption of this guidance did not have a material impact on the Company’s financial condition, results of operations or statements of cash flows.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8"/>
          <w:szCs w:val="18"/>
          <w:color w:val="auto"/>
        </w:rPr>
        <w:t xml:space="preserve">In March 2020, the FASB issued ASU No. 2020-04, Reference Rate Reform (Topic 848): </w:t>
      </w:r>
      <w:r>
        <w:rPr>
          <w:rFonts w:ascii="Arial" w:cs="Arial" w:eastAsia="Arial" w:hAnsi="Arial"/>
          <w:sz w:val="18"/>
          <w:szCs w:val="18"/>
          <w:i w:val="1"/>
          <w:iCs w:val="1"/>
          <w:color w:val="auto"/>
        </w:rPr>
        <w:t>Facilitation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of Reference Rate Reform on Financial Reporting</w:t>
      </w:r>
      <w:r>
        <w:rPr>
          <w:rFonts w:ascii="Arial" w:cs="Arial" w:eastAsia="Arial" w:hAnsi="Arial"/>
          <w:sz w:val="18"/>
          <w:szCs w:val="18"/>
          <w:color w:val="auto"/>
        </w:rPr>
        <w:t>. The amendments in this update provide optional guidance for a</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period of time to ease the potential burden in accounting for (or recognizing the effect of) reference rate reform on financial reporting. It provides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Company plans to elect the optional expedient for its credit facility by prospectively adjusting the effective interest rate if the cessation of the London Interbank Offered Rate (LIBOR) occurs. The Company does not believe the adoption of the reference rate reform will have a material impact on the Company’s financial condition, results of operations or statements of cash flows.</w:t>
      </w:r>
    </w:p>
    <w:p>
      <w:pPr>
        <w:spacing w:after="0" w:line="194"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At March 31, 2021 and December 31, 2020, the Company had investments of $8,015 and $10,840, respectively, classified as trading. The trading investments are held in municipal and corporate securities as of March 31, 2021 and December 31, 2020 and are due in one year or less as of March 31, 2021. The cash flows of municipal securities are backed by the issuing municipality’s credit-worthiness.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 March 31, 2021, the Company had available-for-sale investments of $28,428, comprised of the following:</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Adjusted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6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9"/>
              </w:rPr>
              <w:t>Estimated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(Losses)</w:t>
            </w:r>
          </w:p>
        </w:tc>
        <w:tc>
          <w:tcPr>
            <w:tcW w:w="14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color w:val="auto"/>
        </w:rPr>
        <w:t>For the three months ended March 31, 2021, the net unrealized gains or (losses) were $120, net of taxes. Available-for-sale debt securities are carried at fair value on the consolidated balance sheets. The Company estimates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As of March 31, 2021, there were no credit losses for our available-for-sale debt securities.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Available-for-sale securities maturing as of December 31:</w:t>
            </w:r>
          </w:p>
        </w:tc>
        <w:tc>
          <w:tcPr>
            <w:tcW w:w="1660" w:type="dxa"/>
            <w:vAlign w:val="bottom"/>
          </w:tcPr>
          <w:p>
            <w:pPr>
              <w:spacing w:after="0"/>
              <w:rPr>
                <w:sz w:val="20"/>
                <w:szCs w:val="20"/>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2022</w:t>
            </w:r>
          </w:p>
        </w:tc>
        <w:tc>
          <w:tcPr>
            <w:tcW w:w="166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2024</w:t>
            </w:r>
          </w:p>
        </w:tc>
        <w:tc>
          <w:tcPr>
            <w:tcW w:w="166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r>
      <w:tr>
        <w:trPr>
          <w:trHeight w:val="20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28,428</w:t>
            </w:r>
          </w:p>
        </w:tc>
      </w:tr>
      <w:tr>
        <w:trPr>
          <w:trHeight w:val="20"/>
        </w:trPr>
        <w:tc>
          <w:tcPr>
            <w:tcW w:w="7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Income Per Common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72"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ind w:left="7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10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46,300</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47,764</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Diluted weighted average shares outstanding excludes the incremental effect of unvested restricted stock and shares that would be issued upon the assumed exercise of stock options in accordance with the treasury stock method. For the three month periods ended March 31, 2021 and 2020, approximately 1 and 284, respectively, of the Company’s restricted stock awards outstanding were excluded from the calculation of diluted earnings per share as their inclusion would have been anti-dilutive. These restricted stock awards could be dilutive in the future.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Balance at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Charged to</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Deductions/</w:t>
            </w:r>
          </w:p>
        </w:tc>
        <w:tc>
          <w:tcPr>
            <w:tcW w:w="1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360" w:type="dxa"/>
            <w:vAlign w:val="bottom"/>
            <w:gridSpan w:val="4"/>
          </w:tcPr>
          <w:p>
            <w:pPr>
              <w:ind w:left="1420"/>
              <w:spacing w:after="0" w:line="149" w:lineRule="exact"/>
              <w:rPr>
                <w:sz w:val="20"/>
                <w:szCs w:val="20"/>
                <w:color w:val="auto"/>
              </w:rPr>
            </w:pPr>
            <w:r>
              <w:rPr>
                <w:rFonts w:ascii="Arial" w:cs="Arial" w:eastAsia="Arial" w:hAnsi="Arial"/>
                <w:sz w:val="14"/>
                <w:szCs w:val="14"/>
                <w:b w:val="1"/>
                <w:bCs w:val="1"/>
                <w:color w:val="auto"/>
              </w:rPr>
              <w:t>Beginning of</w:t>
            </w:r>
          </w:p>
        </w:tc>
        <w:tc>
          <w:tcPr>
            <w:tcW w:w="8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Period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Expense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Transfers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Three months ended March 31, 2021</w:t>
            </w:r>
          </w:p>
        </w:tc>
        <w:tc>
          <w:tcPr>
            <w:tcW w:w="16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16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6"/>
        </w:trPr>
        <w:tc>
          <w:tcPr>
            <w:tcW w:w="2240" w:type="dxa"/>
            <w:vAlign w:val="bottom"/>
            <w:tcBorders>
              <w:bottom w:val="single" w:sz="8" w:color="auto"/>
            </w:tcBorders>
          </w:tcPr>
          <w:p>
            <w:pPr>
              <w:spacing w:after="0"/>
              <w:rPr>
                <w:sz w:val="22"/>
                <w:szCs w:val="22"/>
                <w:color w:val="auto"/>
              </w:rPr>
            </w:pPr>
          </w:p>
        </w:tc>
        <w:tc>
          <w:tcPr>
            <w:tcW w:w="18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represents the cumulative effect of the adoption of ASU No. 2016-13 on the Secured Note.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20" w:lineRule="exact"/>
        <w:rPr>
          <w:rFonts w:ascii="Arial" w:cs="Arial" w:eastAsia="Arial" w:hAnsi="Arial"/>
          <w:sz w:val="18"/>
          <w:szCs w:val="18"/>
          <w:color w:val="auto"/>
        </w:rPr>
      </w:pPr>
    </w:p>
    <w:p>
      <w:pPr>
        <w:ind w:left="240" w:hanging="190"/>
        <w:spacing w:after="0"/>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Land improvements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14,352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15,439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46,981</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5,043</w:t>
            </w:r>
          </w:p>
        </w:tc>
      </w:tr>
      <w:tr>
        <w:trPr>
          <w:trHeight w:val="209"/>
        </w:trPr>
        <w:tc>
          <w:tcPr>
            <w:tcW w:w="6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241,610</w:t>
            </w: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(118,253)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(112,953)</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128,657</w:t>
            </w:r>
          </w:p>
        </w:tc>
      </w:tr>
      <w:tr>
        <w:trPr>
          <w:trHeight w:val="20"/>
        </w:trPr>
        <w:tc>
          <w:tcPr>
            <w:tcW w:w="6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Amortizable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4"/>
                <w:szCs w:val="14"/>
                <w:color w:val="auto"/>
              </w:rPr>
            </w:pPr>
          </w:p>
        </w:tc>
        <w:tc>
          <w:tcPr>
            <w:tcW w:w="9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9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191,533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191,533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151,543</w:t>
            </w:r>
          </w:p>
        </w:tc>
      </w:tr>
      <w:tr>
        <w:trPr>
          <w:trHeight w:val="210"/>
        </w:trPr>
        <w:tc>
          <w:tcPr>
            <w:tcW w:w="7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191,533</w:t>
            </w:r>
          </w:p>
        </w:tc>
      </w:tr>
      <w:tr>
        <w:trPr>
          <w:trHeight w:val="20"/>
        </w:trPr>
        <w:tc>
          <w:tcPr>
            <w:tcW w:w="7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10 months to 10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Company had operating lease costs of $2,435 and $1,441 for the three-month periods ended March 31, 2021 and 2020, respectively.</w:t>
      </w:r>
    </w:p>
    <w:p>
      <w:pPr>
        <w:spacing w:after="0" w:line="170" w:lineRule="exact"/>
        <w:rPr>
          <w:sz w:val="20"/>
          <w:szCs w:val="20"/>
          <w:color w:val="auto"/>
        </w:rPr>
      </w:pPr>
    </w:p>
    <w:p>
      <w:pPr>
        <w:ind w:left="60" w:right="319" w:firstLine="648"/>
        <w:spacing w:after="0" w:line="286" w:lineRule="auto"/>
        <w:rPr>
          <w:sz w:val="20"/>
          <w:szCs w:val="20"/>
          <w:color w:val="auto"/>
        </w:rPr>
      </w:pPr>
      <w:r>
        <w:rPr>
          <w:rFonts w:ascii="Arial" w:cs="Arial" w:eastAsia="Arial" w:hAnsi="Arial"/>
          <w:sz w:val="17"/>
          <w:szCs w:val="17"/>
          <w:color w:val="auto"/>
        </w:rPr>
        <w:t>As of March 31, 2021, the Company had no non-cancelable operating lease commitments that had not yet commenced. The Company’s weighted-average remaining lease term relating to its operating leases is 8.36 years, with a weighted-average discount rate of 3.21%. As of March 31, 2021, the Company had no financing leases.</w:t>
      </w:r>
    </w:p>
    <w:p>
      <w:pPr>
        <w:spacing w:after="0" w:line="165"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March 31, 2021,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2024</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31,106</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71,271</w:t>
            </w:r>
          </w:p>
        </w:tc>
      </w:tr>
      <w:tr>
        <w:trPr>
          <w:trHeight w:val="209"/>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62,583</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Notes Payable and Other Noncurrent Liabilities</w:t>
      </w:r>
    </w:p>
    <w:p>
      <w:pPr>
        <w:spacing w:after="0" w:line="22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Company concluded that the amended and restated credit agreement is considered a loan modification. Accordingly, the Company allocated the costs paid to the bank consortium based on the borrowing dollars and recorded an asset of $596 and a contra liability of $1,639, which are related to our revolver and term loan, respectively, that is being amortized to interest expense over the five-year maturity date.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entered into a further amendment for the credit facility on October 31, 2019. This amendment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increased the revolving commitment by $68,750 to $150,000, while reducing the term loan by the same $68,750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$150,625. The Company concluded that this amendment is considered a loan modification.  The amended and restated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credit agreement contains standard covenants that, among other things, restrict the Company’s ability to incur additional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debt or make certain investments, and require the Company to achieve certain financial ratios and maintain certain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financial conditions. The Company’s obligations under the credit facility are secured by its assets, including all rights,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benefits and payments under the Secured Note and the Master Services Agreement. As of March 31, 2021, the Company is in compliance with its debt covenants.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560" w:type="dxa"/>
            <w:vAlign w:val="bottom"/>
            <w:gridSpan w:val="8"/>
          </w:tcPr>
          <w:p>
            <w:pPr>
              <w:ind w:left="120"/>
              <w:spacing w:after="0"/>
              <w:rPr>
                <w:sz w:val="20"/>
                <w:szCs w:val="20"/>
                <w:color w:val="auto"/>
              </w:rPr>
            </w:pPr>
            <w:r>
              <w:rPr>
                <w:rFonts w:ascii="Arial" w:cs="Arial" w:eastAsia="Arial" w:hAnsi="Arial"/>
                <w:sz w:val="14"/>
                <w:szCs w:val="14"/>
                <w:b w:val="1"/>
                <w:bCs w:val="1"/>
                <w:color w:val="auto"/>
                <w:w w:val="98"/>
              </w:rPr>
              <w:t>As of March 31,   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spacing w:after="0" w:line="201" w:lineRule="exact"/>
              <w:rPr>
                <w:sz w:val="20"/>
                <w:szCs w:val="20"/>
                <w:color w:val="auto"/>
              </w:rPr>
            </w:pPr>
            <w:r>
              <w:rPr>
                <w:rFonts w:ascii="Arial" w:cs="Arial" w:eastAsia="Arial" w:hAnsi="Arial"/>
                <w:sz w:val="18"/>
                <w:szCs w:val="18"/>
                <w:color w:val="auto"/>
                <w:w w:val="91"/>
              </w:rPr>
              <w:t>Note payable, quarterly payment of $8,368 starting December 31, 2019; interest at 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Day LIBOR plus 2.00% (2.12% at March 31, 2021) through January 22, 2024</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99,488</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Revolving line of credit; interest at 30-Day LIBOR plus 2.0% (2.12% at March 31,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66,344</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760" w:type="dxa"/>
            <w:vAlign w:val="bottom"/>
            <w:gridSpan w:val="3"/>
          </w:tcPr>
          <w:p>
            <w:pPr>
              <w:ind w:left="620"/>
              <w:spacing w:after="0"/>
              <w:rPr>
                <w:sz w:val="20"/>
                <w:szCs w:val="20"/>
                <w:color w:val="auto"/>
              </w:rPr>
            </w:pPr>
            <w:r>
              <w:rPr>
                <w:rFonts w:ascii="Arial" w:cs="Arial" w:eastAsia="Arial" w:hAnsi="Arial"/>
                <w:sz w:val="18"/>
                <w:szCs w:val="18"/>
                <w:color w:val="auto"/>
                <w:w w:val="89"/>
              </w:rPr>
              <w:t>Payments due under the notes payable obligations are as follows as of December 31:</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700" w:right="6579" w:hanging="650"/>
        <w:spacing w:after="0" w:line="603" w:lineRule="auto"/>
        <w:tabs>
          <w:tab w:leader="none" w:pos="31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March 31, 2021, 1,418 shares were available for grants under the 2017 Plan.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During the three months ended March 31, 2021, the Company granted 180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three months ended March 31, 2021, the Company withheld 56 shares of common stock in lieu of taxes at a cost of $5,994 on the restricted stock vesting dates. A summary of the activity related to restricted stock granted under the Company’s Incentive Plan since December 31, 2020 is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March 31, 2021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three months ended March 31, 2021, no options were granted. A summary of the activity since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related to stock options granted under the Company’s Incentive Plan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Summary of Stock Options Outstanding</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per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Value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20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Granted</w:t>
            </w:r>
          </w:p>
        </w:tc>
        <w:tc>
          <w:tcPr>
            <w:tcW w:w="2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20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2021</w:t>
            </w:r>
          </w:p>
        </w:tc>
        <w:tc>
          <w:tcPr>
            <w:tcW w:w="2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Exercisable as of March 31, 2021</w:t>
            </w:r>
          </w:p>
        </w:tc>
        <w:tc>
          <w:tcPr>
            <w:tcW w:w="2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gridSpan w:val="2"/>
            <w:vMerge w:val="continue"/>
          </w:tcPr>
          <w:p>
            <w:pPr>
              <w:spacing w:after="0"/>
              <w:rPr>
                <w:sz w:val="17"/>
                <w:szCs w:val="17"/>
                <w:color w:val="auto"/>
              </w:rPr>
            </w:pPr>
          </w:p>
        </w:tc>
        <w:tc>
          <w:tcPr>
            <w:tcW w:w="208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860" w:type="dxa"/>
            <w:vAlign w:val="bottom"/>
            <w:tcBorders>
              <w:bottom w:val="single" w:sz="8" w:color="auto"/>
            </w:tcBorders>
          </w:tcPr>
          <w:p>
            <w:pPr>
              <w:ind w:left="600"/>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80" w:type="dxa"/>
            <w:vAlign w:val="bottom"/>
            <w:vMerge w:val="restart"/>
          </w:tcPr>
          <w:p>
            <w:pPr>
              <w:jc w:val="right"/>
              <w:ind w:right="1050"/>
              <w:spacing w:after="0"/>
              <w:rPr>
                <w:sz w:val="20"/>
                <w:szCs w:val="20"/>
                <w:color w:val="auto"/>
              </w:rPr>
            </w:pPr>
            <w:r>
              <w:rPr>
                <w:rFonts w:ascii="Arial" w:cs="Arial" w:eastAsia="Arial" w:hAnsi="Arial"/>
                <w:sz w:val="18"/>
                <w:szCs w:val="18"/>
                <w:color w:val="auto"/>
              </w:rPr>
              <w:t>20</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2021 and 2020 related to restricted stock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r>
      <w:tr>
        <w:trPr>
          <w:trHeight w:val="20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r>
      <w:tr>
        <w:trPr>
          <w:trHeight w:val="209"/>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209"/>
        </w:trPr>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0"/>
        </w:trPr>
        <w:tc>
          <w:tcPr>
            <w:tcW w:w="6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Treasury Stock</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In January 2021, the Board of Directors increased the authorization under its existing stock repurchase program by $100,000 reflecting an aggregate authorization for share repurchases since the initiation of our program of $500,000. The expiration date on the repurchase authorization is December 31, 2021.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92" w:lineRule="exact"/>
        <w:rPr>
          <w:sz w:val="20"/>
          <w:szCs w:val="20"/>
          <w:color w:val="auto"/>
        </w:rPr>
      </w:pPr>
    </w:p>
    <w:p>
      <w:pPr>
        <w:ind w:left="60" w:right="19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$35,000 of its outstanding shares of common stock as part of the Company’s share repurchase program. Under the ASR agreement, the Company received initial delivery of approximately 276 shares of common stock, representing approximately 80% of the number of shares of common stock initially underlying the ASR agreement based on the closing price of the common stock of $101.49, on March 9, 2021.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46 shares of common stock. The ASR agreement resulted in a total of 322 shares repurchased at an average cost of $108.76.</w:t>
      </w:r>
    </w:p>
    <w:p>
      <w:pPr>
        <w:spacing w:after="0" w:line="168"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color w:val="auto"/>
        </w:rPr>
        <w:t>During the three months ended March 31, 2021 the Company repurchased 567 shares of common stock, which includes shares received under the ASR on March 10, 2021, at an aggregate cost of $56,348. At March 31, 2021, there remained $191,924 available under its current share repurchase authorization. Shares repurchased in lieu of taxes are not included in the repurchase plan totals as they were approved in conjunction with the restricted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Currently, one of the most significant factors that could cause actual outcomes to differ materially from our forward-looking statements is the continuing potential adverse effects of the COVID-19 pandemic, and federal, state and/or local regulatory guidelines and private business actions to control it, on the global economy and the financial markets, the higher education industry in which we operate, our university partners, and, ultimately, on our financial condition, operating results and cash flows. The extent to which the COVID-19 pandemic will continue to impact us and our university partners will depend on future developments, including the scope, severity and duration of the pandemic, and the resulting economic impacts and potential changes in behavior, among others, all of which are highly uncertain and cannot be predicted with confidence. Important factors that could cause such differences, and which may be further heightened by the COVID-19 pandemic, include, but are not limited to:</w:t>
      </w:r>
    </w:p>
    <w:p>
      <w:pPr>
        <w:spacing w:after="0" w:line="184" w:lineRule="exact"/>
        <w:rPr>
          <w:sz w:val="20"/>
          <w:szCs w:val="20"/>
          <w:color w:val="auto"/>
        </w:rPr>
      </w:pPr>
    </w:p>
    <w:p>
      <w:pPr>
        <w:ind w:left="720" w:right="619" w:hanging="319"/>
        <w:spacing w:after="0" w:line="342"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harm to our business, results of operations, and financial condition, and harm to our university partners resulting from epidemics, pandemics, including the COVID-19 outbreak, or public health crises;</w:t>
      </w:r>
    </w:p>
    <w:p>
      <w:pPr>
        <w:spacing w:after="0" w:line="123" w:lineRule="exact"/>
        <w:rPr>
          <w:rFonts w:ascii="Arial" w:cs="Arial" w:eastAsia="Arial" w:hAnsi="Arial"/>
          <w:sz w:val="16"/>
          <w:szCs w:val="16"/>
          <w:color w:val="auto"/>
        </w:rPr>
      </w:pPr>
    </w:p>
    <w:p>
      <w:pPr>
        <w:ind w:left="720" w:right="9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183"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38"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“2020 Form 10-K”) for the fiscal year ended December 31, 2020,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two off-campus classroom and laboratory sites.</w:t>
      </w:r>
    </w:p>
    <w:p>
      <w:pPr>
        <w:spacing w:after="0" w:line="164"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In January 2019, GCE began providing education services to numerous university partners across the United States, through our wholly owned subsidiary, Orbis Education, which we acquired on January 22, 2019. In the healthcare field, GCE, together with Orbis Education, works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As of March 31, 2021, GCE provides education services to 26 university partners across the United States.</w:t>
      </w:r>
    </w:p>
    <w:p>
      <w:pPr>
        <w:spacing w:after="0" w:line="195"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We plan to continue to add additional university partners and will roll out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Therefore, we will refer to all university partners as “GCE partners” or “our partners” and will no longer differentiate between partners of GCE and partners of Orbis Education; we will, however, continue to disclose significant information for GCU, such as enrollments, due to its size in comparison to our other university partners.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231F20"/>
        </w:rPr>
        <w:t>In March 2020, the World Health Organization declared the COVID-19 outbreak to be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that of our university partners.</w:t>
      </w:r>
    </w:p>
    <w:p>
      <w:pPr>
        <w:spacing w:after="0" w:line="19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231F20"/>
        </w:rPr>
        <w:t>GCE has a long-term master services agreement with GCU (the “Master Services Agreement”) pursuant to which GCE provides education services to GCU in return for 60% of GCU’s tuition and fee revenues, which includes fee revenues from room, board, and other ancillary businesses including a student-run golf course and hotel. GCU has four types of students: traditional ground university students, who attend class on its campus in Phoenix, Arizona and of which approximately 70% have historically lived on campus in university owned residence halls; professional studies students, who are working adult students who attend class one night a week on the Phoenix campus; online students who attend class fully online; and students who are studying in hybrid programs in which the ground component takes place at off-campus classroom and laboratory sites.</w:t>
      </w:r>
    </w:p>
    <w:p>
      <w:pPr>
        <w:spacing w:after="0" w:line="178"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231F20"/>
        </w:rPr>
        <w:t>The COVID-19 outbreak, as well as measures taken to contain its spread, has impacted GCU’s students and its business in a number of ways. Beginning in March 2020, GCU’s programs for its professional studies students and its traditional ground university students were immediately converted to an online learning environment and residential students were strongly encouraged to move off campus. Summer 2020 semester classes were moved to an online environment as well and most students were given the choice of attending the Fall semester in person or completely online. Given GCE’s historical experience delivering online education services and the fact that all of GCU’s students and faculty use the university’s online learning management system for at least some of the coursework, the transition has been seamless and thus, the university has not incurred a significant decrease in tuition revenue or significant increase in costs associated with this transition. The following impacts from the COVID-19 pandemic, however, did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231F20"/>
        </w:rPr>
        <w:t>serve to reduce GCU’s non-tuition revenue during 2020 and the Spring semester of 2021 and, consequently, the service revenues we earned under the Master Services Agreement:</w:t>
      </w:r>
    </w:p>
    <w:p>
      <w:pPr>
        <w:spacing w:after="0" w:line="386" w:lineRule="exact"/>
        <w:rPr>
          <w:sz w:val="20"/>
          <w:szCs w:val="20"/>
          <w:color w:val="auto"/>
        </w:rPr>
      </w:pPr>
    </w:p>
    <w:p>
      <w:pPr>
        <w:ind w:left="720" w:right="179" w:hanging="319"/>
        <w:spacing w:after="0" w:line="286"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Traditional ground university students who elected to move off campus near the end of the Spring 2020 semester received partial refunds for dormitory and meal payments, which reduced GCU’s revenue and thus the service revenues earned by GCE in the last nine days of March 2020 and the month of April 2020;</w:t>
      </w:r>
    </w:p>
    <w:p>
      <w:pPr>
        <w:spacing w:after="0" w:line="165" w:lineRule="exact"/>
        <w:rPr>
          <w:rFonts w:ascii="Arial" w:cs="Arial" w:eastAsia="Arial" w:hAnsi="Arial"/>
          <w:sz w:val="17"/>
          <w:szCs w:val="17"/>
          <w:color w:val="231F20"/>
        </w:rPr>
      </w:pPr>
    </w:p>
    <w:p>
      <w:pPr>
        <w:jc w:val="both"/>
        <w:ind w:left="720" w:right="179" w:hanging="319"/>
        <w:spacing w:after="0" w:line="259"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Ancillary businesses operated by GCU such as its hotel and merchandise shops were closed in late March 2020. Most of these businesses re-opened with scaled back operations in mid-September 2020, which reduced and will continue to reduce GCU’s revenues and thus the service revenues earned by GCE until these businesses are fully reopened;</w:t>
      </w:r>
    </w:p>
    <w:p>
      <w:pPr>
        <w:spacing w:after="0" w:line="186" w:lineRule="exact"/>
        <w:rPr>
          <w:rFonts w:ascii="Arial" w:cs="Arial" w:eastAsia="Arial" w:hAnsi="Arial"/>
          <w:sz w:val="18"/>
          <w:szCs w:val="18"/>
          <w:color w:val="231F20"/>
        </w:rPr>
      </w:pPr>
    </w:p>
    <w:p>
      <w:pPr>
        <w:ind w:left="720" w:right="559" w:hanging="319"/>
        <w:spacing w:after="0" w:line="277"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Limited residential students remained on campus during the Summer 2020 semester, which reduced GCU’s dormitory and ancillary revenues and thus the service revenues earned by GCE;</w:t>
      </w:r>
    </w:p>
    <w:p>
      <w:pPr>
        <w:spacing w:after="0" w:line="170" w:lineRule="exact"/>
        <w:rPr>
          <w:rFonts w:ascii="Arial" w:cs="Arial" w:eastAsia="Arial" w:hAnsi="Arial"/>
          <w:sz w:val="18"/>
          <w:szCs w:val="18"/>
          <w:color w:val="231F20"/>
        </w:rPr>
      </w:pPr>
    </w:p>
    <w:p>
      <w:pPr>
        <w:ind w:left="720" w:right="99" w:hanging="319"/>
        <w:spacing w:after="0" w:line="253"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GCU’s doctoral students are required to attend two residencies on the university’s campus and at its hotel in Phoenix, Arizona as part of their dissertation. On an annual basis approximately 3,000 learners attend the week-long residency, most of whom have historically attended in the Summer. Most of the residencies which were scheduled for the last week of March 2020 through the end of July 2020 were cancelled. The doctoral residencies scheduled for August 2020 through December 2020 were held at another location with lower than normal attendance. In the first quarter of 2021, doctoral residencies returned to the university’s campus and its hotel, although at lower than normal attendance. This has reduced and will continue to reduce GCU’s revenues including at its hotel, and thus reduced service revenues earned by GCE until residencies return to normal attendance;</w:t>
      </w:r>
    </w:p>
    <w:p>
      <w:pPr>
        <w:spacing w:after="0" w:line="196" w:lineRule="exact"/>
        <w:rPr>
          <w:rFonts w:ascii="Arial" w:cs="Arial" w:eastAsia="Arial" w:hAnsi="Arial"/>
          <w:sz w:val="18"/>
          <w:szCs w:val="18"/>
          <w:color w:val="231F20"/>
        </w:rPr>
      </w:pPr>
    </w:p>
    <w:p>
      <w:pPr>
        <w:ind w:left="720" w:right="299" w:hanging="319"/>
        <w:spacing w:after="0" w:line="311"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GCU shifted its start date for the Fall semester for its traditional ground students from August 24, 2020 to September 8, 2020, which had the effect of moving tuition revenue for all GCU traditional students and certain ancillary revenue for residential students, from the third quarter of 2020 to the fourth quarter of 2020;</w:t>
      </w:r>
    </w:p>
    <w:p>
      <w:pPr>
        <w:spacing w:after="0" w:line="148" w:lineRule="exact"/>
        <w:rPr>
          <w:rFonts w:ascii="Arial" w:cs="Arial" w:eastAsia="Arial" w:hAnsi="Arial"/>
          <w:sz w:val="16"/>
          <w:szCs w:val="16"/>
          <w:color w:val="231F20"/>
        </w:rPr>
      </w:pPr>
    </w:p>
    <w:p>
      <w:pPr>
        <w:ind w:left="720" w:right="119" w:hanging="319"/>
        <w:spacing w:after="0" w:line="255"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GCU shifted its move-in date for its residential students to the week of September 21, 2020, which reduced housing revenue and certain ancillary revenue for residential students by three weeks. In addition, approximately 4,900 of GCU’s traditional campus students elected to attend the Fall semester entirely in the online modality. Residential enrollment for the Fall of 2020 was approximately 11,500 whereas residential bed capacity is approximately 14,500. This reduction in residential students caused a reduction in GCU’s revenue and thus the service revenues earned by GCE; and</w:t>
      </w:r>
    </w:p>
    <w:p>
      <w:pPr>
        <w:spacing w:after="0" w:line="192" w:lineRule="exact"/>
        <w:rPr>
          <w:rFonts w:ascii="Arial" w:cs="Arial" w:eastAsia="Arial" w:hAnsi="Arial"/>
          <w:sz w:val="18"/>
          <w:szCs w:val="18"/>
          <w:color w:val="231F20"/>
        </w:rPr>
      </w:pPr>
    </w:p>
    <w:p>
      <w:pPr>
        <w:ind w:left="720" w:right="79" w:hanging="319"/>
        <w:spacing w:after="0" w:line="293" w:lineRule="auto"/>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The first week of the Spring 2021 semester was completed in an online modality for GCU’s traditional students to provide greater flexibility for students returning to campus after the holidays. Face-to-face instruction for the semester commenced on January 11, 2021 and ended April 1, 2021 for approximately 80% of classes, followed by two weeks of online instruction. Approximately 3,500 traditional ground students elected to complete the Spring semester entirely in the online modality. These changes had the effect of reducing GCU’s dormitory and ancillary revenues in the Spring of 2021 and thus the service revenues earned by GCE.</w:t>
      </w:r>
    </w:p>
    <w:p>
      <w:pPr>
        <w:spacing w:after="0" w:line="164"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231F20"/>
        </w:rPr>
        <w:t>GCU anticipates a higher number of residential students will remain on campus during the Summer semester of 2021 than in 2020 and that ancillary businesses operated by GCU such as its hotel and merchandise shops will be open. However, GCU anticipates that the revenue earned in dormitory and ancillary revenues will remain below pre-COVID levels and thus the service revenues earned by GCE will continue to be impacted.</w:t>
      </w:r>
    </w:p>
    <w:p>
      <w:pPr>
        <w:spacing w:after="0" w:line="17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changes described above at GCU have impacted or will impact GCE’s service revenue under the Master Services Agreement. In addition, due to the limited operating expenses that we incur to deliver those services, there has been or will be a direct reduction in our operating profit and operating margin.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231F20"/>
        </w:rPr>
        <w:t xml:space="preserve">GCE also has long-term services agreements with </w:t>
      </w:r>
      <w:r>
        <w:rPr>
          <w:rFonts w:ascii="Arial" w:cs="Arial" w:eastAsia="Arial" w:hAnsi="Arial"/>
          <w:sz w:val="17"/>
          <w:szCs w:val="17"/>
          <w:color w:val="000000"/>
        </w:rPr>
        <w:t>numerous other university partners across the United States.</w:t>
      </w:r>
      <w:r>
        <w:rPr>
          <w:rFonts w:ascii="Arial" w:cs="Arial" w:eastAsia="Arial" w:hAnsi="Arial"/>
          <w:sz w:val="17"/>
          <w:szCs w:val="17"/>
          <w:color w:val="231F20"/>
        </w:rPr>
        <w:t xml:space="preserve"> </w:t>
      </w:r>
      <w:r>
        <w:rPr>
          <w:rFonts w:ascii="Arial" w:cs="Arial" w:eastAsia="Arial" w:hAnsi="Arial"/>
          <w:sz w:val="17"/>
          <w:szCs w:val="17"/>
          <w:color w:val="000000"/>
        </w:rPr>
        <w:t>The majority of these other university partners’ students are studying in the Accelerated Bachelor of Science in Nursing program which is offered in a 12-16 month format in three or four academic semesters. The Spring, Summer and Fall 2020 semesters were completed without interruption and each university partner has started its Spring 2021 semester. Some students who were scheduled to start their program in the Summer 2020 semester delayed their start until the Fall 2020 semester, which resulted in lower enrollments and revenues in the Summer 2020 semester than was planned. In a number of locations, the demand to start in the Fall 2020 semester was greater than initially planned but a number of our university or healthcare partners chose not to increase the Fall 2020 cohort size to compensate for the Summer 2020 start shortfall due to concerns about clinical availability. The Fall 2020 enrollment was only slightly lower than our original expectations as the Summer 2020 new start shortfall was offset by higher retention rates and slightly higher than expected Fall 2020 new starts.</w:t>
      </w:r>
    </w:p>
    <w:p>
      <w:pPr>
        <w:spacing w:after="0" w:line="182"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No changes are currently anticipated with our other university partners related to the Summer 2021 semester that would have an impact on GCE’s service revenue, operating profit and operating margins. However, if one of our university partners closes an off-campus classroom and laboratory site prior to the end of the Summer 2021 semester, such an event would reduce the service revenues earned by GCE.</w:t>
      </w:r>
    </w:p>
    <w:p>
      <w:pPr>
        <w:spacing w:after="0" w:line="18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GCE as approximately 90% of our workforce is currently working remotely and is expected to continue doing so for the foreseeable future. This degree of remote working could increase risks in the areas of internal control, cyber security and the use of remote technology, and thereby result in interruptions or disruptions in normal operational processes.</w:t>
      </w:r>
    </w:p>
    <w:p>
      <w:pPr>
        <w:spacing w:after="0" w:line="187"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212529"/>
        </w:rPr>
        <w:t xml:space="preserve">It is not possible for us to completely predict the duration or magnitude </w:t>
      </w:r>
      <w:r>
        <w:rPr>
          <w:rFonts w:ascii="Arial" w:cs="Arial" w:eastAsia="Arial" w:hAnsi="Arial"/>
          <w:sz w:val="18"/>
          <w:szCs w:val="18"/>
          <w:color w:val="231F20"/>
        </w:rPr>
        <w:t>of the adverse results of the COVID-19</w:t>
      </w:r>
      <w:r>
        <w:rPr>
          <w:rFonts w:ascii="Arial" w:cs="Arial" w:eastAsia="Arial" w:hAnsi="Arial"/>
          <w:sz w:val="18"/>
          <w:szCs w:val="18"/>
          <w:color w:val="212529"/>
        </w:rPr>
        <w:t xml:space="preserve"> </w:t>
      </w:r>
      <w:r>
        <w:rPr>
          <w:rFonts w:ascii="Arial" w:cs="Arial" w:eastAsia="Arial" w:hAnsi="Arial"/>
          <w:sz w:val="18"/>
          <w:szCs w:val="18"/>
          <w:color w:val="231F20"/>
        </w:rPr>
        <w:t>pandemic and its effects on our business, results of operations or financial condition at this time, but such effects may be material in future quarters.</w:t>
      </w:r>
    </w:p>
    <w:p>
      <w:pPr>
        <w:spacing w:after="0" w:line="184"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231F20"/>
        </w:rPr>
        <w:t>We estimate that the reduction in service revenue attributable to reduced tuition, fees and ancillary revenues of our university partners resulting from COVID-19 will be $1.2 million in the second quarter of 2021 with a comparable reduction in operating profit.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2020 Form 10-K for the fiscal year ended December 31,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three months ended March 31, 2021, there have been no significant changes in our critical accounting policies.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Amortization of intangible assets has been excluded from the table below:</w:t>
      </w:r>
    </w:p>
    <w:p>
      <w:pPr>
        <w:spacing w:after="0" w:line="175"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Three Months Ended</w:t>
      </w:r>
    </w:p>
    <w:p>
      <w:pPr>
        <w:ind w:left="73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8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682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March 31, 2021 was $236.9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$15.2 million, or 6.9%, as compared to service revenue of $221.7 million for the three months ended March 31, 2020. The increase year over year in service revenue was primarily due to an increase in university partner enrollments between years of 7.2% partially offset by a decrease in revenue per student year over year. Partner enrollments totaled 115,390 at March 31, 2021 as compared to 107,591 at March 31, 2020. Enrollments at GCU grew to 111,055 at March 31, 2021, an increase of 7.2% over enrollments at March 31, 2020, while enrollments at our other university partners were 4,335, an increase of 8.4% over enrollments at March 31, 2020. The decrease in revenue per student is primarily due to the service revenue impact of the lower room, board, fee and ancillary revenues at GCU in 2021 and 2020 caused by COVID-19 (see - </w:t>
      </w:r>
      <w:r>
        <w:rPr>
          <w:rFonts w:ascii="Arial" w:cs="Arial" w:eastAsia="Arial" w:hAnsi="Arial"/>
          <w:sz w:val="16"/>
          <w:szCs w:val="16"/>
          <w:i w:val="1"/>
          <w:iCs w:val="1"/>
          <w:color w:val="auto"/>
        </w:rPr>
        <w:t xml:space="preserve">Impact of COVID-19 </w:t>
      </w:r>
      <w:r>
        <w:rPr>
          <w:rFonts w:ascii="Arial" w:cs="Arial" w:eastAsia="Arial" w:hAnsi="Arial"/>
          <w:sz w:val="16"/>
          <w:szCs w:val="16"/>
          <w:color w:val="auto"/>
        </w:rPr>
        <w:t>above). In addition, we generated slightly more revenues in 2020 as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2021 due to 2020 being a Leap Year and thus providing an extra day of revenue in 2020 as compared to 2021 and we did not renew a contract with a university partner with two sites in the first quarter of 2021. This was partially offset by the fact that our services agreements with our other university partners generally generate a higher revenue per student than our agreement with GCU, as these agreements generally provide us with a higher revenue share percentage, the partners have higher tuition rates than GCU and the majority of their students are studying in the Accelerated Bachelor of Science in Nursing program so these students take more credits on average per semester. Additionally, we opened seven new off-campus classroom and laboratory sites in the second half of 2020 and one new site in the Spring of 2021. The eight new off-campus classroom and laboratory sites opened in the past twelve months, partially offset by the non-renewal of the contract with a university partner with two sites in the first quarter of 2021 increased the total number of these sites to 29 as compared to 23 at March 31, 2020.</w:t>
      </w:r>
    </w:p>
    <w:p>
      <w:pPr>
        <w:spacing w:after="0" w:line="387"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2021 were $32.1 million, an increase of $5.8 million, or 22.0%, as compared to technology and academic services expenses of $26.3 million for the three months ended March 31, 2020. This increase was primarily due to increases in employee compensation and related expenses including share-based compensation, in occupancy and depreciation including lease expenses, and in technology and academic supply costs of $4.3 million, $1.4 million and $0.1 million, respectively. These increases were primarily due to increased headcount to support our 26 university partners, and their increased enrollment growth, tenure-based salary adjustments, an increase in benefit costs and the increased number of off-campus classroom and laboratory sites year over year. Our technology and academic services expenses as</w:t>
      </w:r>
    </w:p>
    <w:p>
      <w:pPr>
        <w:spacing w:after="0" w:line="1"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auto"/>
        </w:rPr>
        <w:t>a percentage of net revenue increased 1.6% to 13.5% for the three months ended March 31, 2021, from 11.9% for the three months ended March 31, 2020 primarily due to the partnership agreements that have off-campus classroom and laboratory sites requiring a higher level of technology and academic services than our agreement with GCU and due to the revenue impacts caused by COVID-19 as we incur limited operating expenses to deliver those services. GCE has 29 off-campus classroom and laboratory sites open as of March 31, 2021 as compared to the 23 sites that were open as of March 31, 2020. Additionally, in the first quarter of 2021 we are incurring costs for five more locations that we anticipate will open in the last nine months of 2021.</w:t>
      </w:r>
    </w:p>
    <w:p>
      <w:pPr>
        <w:spacing w:after="0" w:line="192"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2021 were $61.2 million, an increase of $1.0 million, or 1.7%, as compared to counseling services and support expenses of $60.2 million for the three months ended March 31, 2020. This increase was primarily attributable to increases in employee compensation and related expenses including share-based compensation of $2.8 million, partially offset by a decrease in other counseling services and support expenses of $1.8 million. The increases in employee compensation and related expenses were primarily due to increased headcount to support our university partners, and their increased enrollment growth, tenure-based salary adjustments, an increase in benefit costs and the increased number of off-campus classroom and laboratory sites open year over year. The decrease in other counseling services and support expenses is primarily the result of decreased travel costs to service our 26 university partners. All non-essential travel ceased when the COVID-19 national emergency was announced in mid-March 2020 and only a small amount of travel has occurred subsequent to that date. Our counseling services and support expenses as a percentage of net revenue decreased 1.4% to</w:t>
      </w:r>
    </w:p>
    <w:p>
      <w:pPr>
        <w:spacing w:after="0" w:line="4"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25.8% for the three months ended March 31, 2021, from 27.2% for the three months ended March 31, 2020 primarily due to the reduced travel and other costs and our ability to leverage our other counseling services and support expense across an increasing revenue base partially offset by the revenue impacts caused by COVID-19 in 2020 as we incur limited operating expenses to deliver those services.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87"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2021 were $47.7 million, an increase of $5.0 million, or 11.8%, as compared to marketing and communication expenses of $42.7 million for the three months ended March 31, 2020. This increase was primarily attributable to the increased cost to market our university partners’ programs and due to the marketing of new university partners and new locations which resulted in increased advertising of $4.7 million, increased employee compensation and related expenses including share-based compensation of $0.1 million and increased other communications expenses of $0.1 million. Our marketing and communication expenses as a percentage of net revenue increased by 0.8% to 20.1% for the three months ended March 31, 2021, from 19.3% for the three months ended March 31, 2020, primarily due to the increase in the number of new off-campus classroom and laboratory sites opened in the second half of 2020 and planned for opening in the first half of 2021 as compared to those opened in the same period in the prior year and due to the revenue impacts caused by COVID-19 as we incur limited operating expenses to deliver those services.</w:t>
      </w:r>
    </w:p>
    <w:p>
      <w:pPr>
        <w:spacing w:after="0" w:line="172"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both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2020 were $9.6 million as a $0.6 million increase in legal, audit and other professional fees was offset by a decrease in employee compensation and related expenses including share-based compensation of $0.3 million and a decrease in other general and administrative expenses of $0.3 million. The decrease in employee compensation and related expenses is primarily related to lower headcount at our office in Indiana as we have transitioned a number of back office functions to Arizona. Our decrease in other general and administrative expenses is primarily related to reduced travel costs. Our general and administrative expenses as a percentage of net revenue decreased by 0.3% to 4.0% for the</w:t>
      </w:r>
    </w:p>
    <w:p>
      <w:pPr>
        <w:spacing w:after="0" w:line="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three months ended March 31, 2021, from 4.3% for the three months ended March 31, 2020 due to the cost savings realized by consolidating certain back office functions, reduced travel costs and our ability to leverage our other general and administrative expenses across an increasing revenue base partially offset by the revenue impacts caused by COVID-19 as we incur limited operating expenses to deliver those services.</w:t>
      </w:r>
    </w:p>
    <w:p>
      <w:pPr>
        <w:spacing w:after="0" w:line="193"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three months ended March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were $2.1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from GCU in the initial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$870.1 million (the “Secured Note”) for the three months ended March 31, 2021 was $14.5 million, a decrease of $0.2 million, or 1.1%, as compared to $14.7 million for the three months ended March 31, 2020. The Secured Note bears interest at 6% annually, and GCU makes monthly interest payments. The decrease over the prior year was primarily due to 2020 being a Leap Year with one additional day of interest.</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$0.8 million for the three months ended March 31, 2021, a decrease of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interest expense of $1.5 million for the three months ended March 31, 2020. The decrease in interest expense was primarily due to a decline in the average credit facility outstanding balance between periods due to paydowns of the credit facility during the past twelve months and an average interest rate reduction of approximately 155 basis points from the first quarter of 2020 to the first quarter of 2021 partially offset by 2020 being a Leap Year with one additional day of interest.</w:t>
      </w:r>
    </w:p>
    <w:p>
      <w:pPr>
        <w:spacing w:after="0" w:line="192" w:lineRule="exact"/>
        <w:rPr>
          <w:sz w:val="20"/>
          <w:szCs w:val="20"/>
          <w:color w:val="auto"/>
        </w:rPr>
      </w:pPr>
    </w:p>
    <w:p>
      <w:pPr>
        <w:jc w:val="both"/>
        <w:ind w:left="60" w:right="179" w:firstLine="648"/>
        <w:spacing w:after="0" w:line="286" w:lineRule="auto"/>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Investment interest and other for the three months ended March 31, 2021 was $0.1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 decrease of $0.1 million, as compared to $0.2 million in the three months ended March 31, 2020. This decrease was primarily attributable to a decline in interest income on excess cash due to lower interest rates.</w:t>
      </w:r>
    </w:p>
    <w:p>
      <w:pPr>
        <w:spacing w:after="0" w:line="16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March 31, 2021 was $20.0 million,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$2.8 million, or 12.3%, as compared to income tax expense of $22.8 million for the three months ended March 31, 2020. This decrease was the result of a decrease in our effective tax rate between periods partially offset by higher taxable income. Our effective tax rate was 20.4% during the first quarter of 2021 compared to 24.2% during the first quarter of 2020. In the first quarter of 2021, the effective tax rate was impacted by an increase in excess tax benefits, which increased to $4.4 million in the first quarter of 2021 as compared to $0.6 million in the same period in 2020 due to a higher stock price and higher stock option exercises in the first quarter of 2021. The inclusion of excess tax benefits and deficiencies as a component of our income tax expense will increase volatility within our provision for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87"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2021 was $78.1 million, an increase of $6.7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9.4%, as compared to $71.4 million for the three months ended March 31, 2020, due to the factors discussed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Our unrestricted cash and cash equivalents and investments were $262.3 million at March 31,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credit facility had an available line of credit of $150.0 million as of March 31, 2021.</w:t>
      </w:r>
    </w:p>
    <w:p>
      <w:pPr>
        <w:spacing w:after="0" w:line="211"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119" w:firstLine="324"/>
        <w:spacing w:after="0" w:line="289" w:lineRule="auto"/>
        <w:rPr>
          <w:sz w:val="20"/>
          <w:szCs w:val="20"/>
          <w:color w:val="auto"/>
        </w:rPr>
      </w:pPr>
      <w:r>
        <w:rPr>
          <w:rFonts w:ascii="Arial" w:cs="Arial" w:eastAsia="Arial" w:hAnsi="Arial"/>
          <w:sz w:val="16"/>
          <w:szCs w:val="16"/>
          <w:color w:val="auto"/>
        </w:rPr>
        <w:t>In conjunction with the Asset Purchase Agreement with GCU, we received a Secured Note as consideration for the transferred assets (the “Transferred Assets”).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March 31, 2021, the Company had loaned an additional $99,815 to GCU, net of repayments. We believe that GCU’s cash flows from operations are currently sufficient to fund all of its capital expenditures without additional loans from us although it is possible that GCU will continue to borrow from us for short term cash flow needs.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In January 2021, our Board of Directors increased the authorization under its existing stock repurchase program by $100.0 million reflecting an aggregate authorization for share repurchases since the initiation of the program of $500.0 million. The current expiration date on the repurchase authorization by our Board of Directors is December 31,</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79"/>
        <w:spacing w:after="0" w:line="277" w:lineRule="auto"/>
        <w:rPr>
          <w:sz w:val="20"/>
          <w:szCs w:val="20"/>
          <w:color w:val="auto"/>
        </w:rPr>
      </w:pPr>
      <w:r>
        <w:rPr>
          <w:rFonts w:ascii="Arial" w:cs="Arial" w:eastAsia="Arial" w:hAnsi="Arial"/>
          <w:sz w:val="18"/>
          <w:szCs w:val="18"/>
          <w:color w:val="auto"/>
        </w:rPr>
        <w:t>2021. Repurchases occur at the Company’s discretion and the Company may modify, suspend or discontinue the repurchase authorization at any time.</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4"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68"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During the three months ended March 31, 2021, 567,255 shares of common stock were repurchased by the Company, which includes the shares delivered on March 10, 2021 under the ASR agreement. At March 31, 2021, there remains $191.9 million available under our share repurchase authorization.</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three months ended March 31, 2021 was</w:t>
      </w:r>
      <w:r>
        <w:rPr>
          <w:rFonts w:ascii="Arial" w:cs="Arial" w:eastAsia="Arial" w:hAnsi="Arial"/>
          <w:sz w:val="18"/>
          <w:szCs w:val="18"/>
          <w:i w:val="1"/>
          <w:iCs w:val="1"/>
          <w:color w:val="auto"/>
        </w:rPr>
        <w:t xml:space="preserve"> </w:t>
      </w:r>
      <w:r>
        <w:rPr>
          <w:rFonts w:ascii="Arial" w:cs="Arial" w:eastAsia="Arial" w:hAnsi="Arial"/>
          <w:sz w:val="18"/>
          <w:szCs w:val="18"/>
          <w:color w:val="auto"/>
        </w:rPr>
        <w:t>$89.8 million as compared to $85.7 million for the three months ended March 31, 2020. The increase in cash generated from operating activities between the three months ended March 31, 2020 and the three months ended March 31, 2021 was primarily due to an increase in net income between periods partially offset by changes in other working capital balances.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19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$34.8 million and $1.9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2021 and 2020, respectively. The net cash used in investing activities in the three months ended March 31, 2021 consisted of capital expenditures of $8.9 million and purchases of investments, net of proceeds from the sale of investments of $25.8 million. During the three months ended March 31, 2020, we paid $6.1 million for capital expenditures and received proceeds from investments of $4.3 million. During the three-month period for 2021 and 2020, capital expenditures primarily consisted of leasehold improvements and equipment for new university partner locations, as well as purchases of computer equipment, other internal use software projects and furniture and equipment to support our increasing employee headcount. The increase in capital expenditures between periods is primarily due to the increase in the number of sites opened. We invest approximately $1.5 million in leasehold improvements and equipment for each off-campus classroom and laboratory site. We opened seven new sites in the second half of 2020, one new site in the Spring of 2021 and currently plan to open five additional sites in the last nine months of 2021.</w:t>
      </w:r>
    </w:p>
    <w:p>
      <w:pPr>
        <w:spacing w:after="0" w:line="172"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$74.9 million and $73.9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2021 and 2020, respectively. During the three months ended March 31, 2021, $6.0 million was used to purchase common shares withheld in lieu of income taxes resulting from the vesting of restricted share awards, $56.3 million was used to purchase treasury stock in accordance with the Company’s share repurchase program, and $7.0 million was paid to Morgan Stanley under our ASR agreement for shares that will be settled no later than May 7, 2021. Principal payments on notes payable and capital leases totaled $8.3 million, partially offset by proceeds from the exercise of stock options of $2.7 million. During the three months ended March 31, 2020, $5.0 million was used to purchase common shares withheld in lieu of income taxes resulting from the vesting of restricted share awards and $60.7 million was used to purchase treasury stock in accordance with the Company’s share repurchase program. Principal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payments on notes payable and capital leases totaled $8.3 million, partially offset by proceeds from the exercise of stock options of $0.1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or 2020. There can be no assurance that future inflation will not have an adverse impact on our operating results and financial condition.</w:t>
      </w:r>
    </w:p>
    <w:p>
      <w:pPr>
        <w:spacing w:after="0" w:line="184"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As of March 31, 2021, we have no derivative financial instruments or derivative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 invest cash in excess of current operating requirements in money market instruments and commercial paper at multiple financial institutions.</w:t>
      </w:r>
    </w:p>
    <w:p>
      <w:pPr>
        <w:spacing w:after="0" w:line="184"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bonds, commercial paper,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March 31, 2021, a 10% increase or decrease in interest rates would not have a material impact on our future earnings, fair values, or cash flows. For information regarding our variable rate debt, see “Market risk” above.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March 31, 2021,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2020.</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jc w:val="both"/>
        <w:ind w:left="60" w:right="199" w:firstLine="648"/>
        <w:spacing w:after="0" w:line="287" w:lineRule="auto"/>
        <w:rPr>
          <w:sz w:val="20"/>
          <w:szCs w:val="20"/>
          <w:color w:val="auto"/>
        </w:rPr>
      </w:pPr>
      <w:r>
        <w:rPr>
          <w:rFonts w:ascii="Arial" w:cs="Arial" w:eastAsia="Arial" w:hAnsi="Arial"/>
          <w:sz w:val="16"/>
          <w:szCs w:val="16"/>
          <w:color w:val="auto"/>
        </w:rPr>
        <w:t>In January 2021, our Board of Directors increased the authorization under its existing stock repurchase program by $100.0 million reflecting an aggregate authorization for share repurchases since the initiation of the program of $500.0 million. The current expiration date on the repurchase authorization by our Board of Directors is December 31, 2021.</w:t>
      </w:r>
    </w:p>
    <w:p>
      <w:pPr>
        <w:spacing w:after="0" w:line="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93"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On March 10, 2021, the Company entered into an accelerated share repurchase (“ASR”) agreement with Morgan Stanley &amp; Co. LLC (“Morgan Stanley”) to repurchase up to $35.0 million of its outstanding shares of common stock as part of the Company’s share repurchase program. Under the ASR agreement, the Company received initial delivery of approximately 275,889 shares of common stock, representing approximately 80% of the number of shares of common stock initially underlying the ASR agreement based on the closing price of the common stock of $101.49, on March 9, 2021. The total number of shares that the Company will repurchase under the ASR program will be based on the volume-weighted average price of the common stock during the term of the ASR agreement, less a discount, and subject to potential adjustments pursuant to the terms and conditions of the ASR agreement. The final settlement of the share repurchases under the ASR agreement was completed on May 4, 2021 with additional delivery of 45,914 shares of common stock. The ASR agreement resulted in a total of 321,803 shares repurchased at an average cost of $108.76.</w:t>
      </w:r>
    </w:p>
    <w:p>
      <w:pPr>
        <w:spacing w:after="0" w:line="168" w:lineRule="exact"/>
        <w:rPr>
          <w:sz w:val="20"/>
          <w:szCs w:val="20"/>
          <w:color w:val="auto"/>
        </w:rPr>
      </w:pPr>
    </w:p>
    <w:p>
      <w:pPr>
        <w:ind w:left="60" w:right="419" w:firstLine="648"/>
        <w:spacing w:after="0" w:line="263" w:lineRule="auto"/>
        <w:rPr>
          <w:sz w:val="20"/>
          <w:szCs w:val="20"/>
          <w:color w:val="auto"/>
        </w:rPr>
      </w:pPr>
      <w:r>
        <w:rPr>
          <w:rFonts w:ascii="Arial" w:cs="Arial" w:eastAsia="Arial" w:hAnsi="Arial"/>
          <w:sz w:val="18"/>
          <w:szCs w:val="18"/>
          <w:color w:val="auto"/>
        </w:rPr>
        <w:t>During the three months ended March 31, 2021, 567,255 shares of common stock were repurchased by the Company, which includes the shares delivered from the ASR agreement on March 10, 2021. At March 31, 2021, there remains $191.9 million available under our share repurchase authorization.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2021: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color w:val="auto"/>
              </w:rPr>
              <w:t>January 1, 2021 – January 31, 2021</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112,121</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88.05</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238,400,000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February 1, 2021 – February 28, 2021</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73,832</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101.10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230,900,000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color w:val="auto"/>
              </w:rPr>
              <w:t>March 1, 2021 – March 31, 2021</w:t>
            </w: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381,302</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102.31</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381,302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191,900,000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567,255</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b w:val="1"/>
                <w:bCs w:val="1"/>
                <w:color w:val="auto"/>
              </w:rPr>
              <w:t>Tax Withholdings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January 1, 2021 – January 31, 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tcPr>
          <w:p>
            <w:pPr>
              <w:spacing w:after="0"/>
              <w:rPr>
                <w:sz w:val="20"/>
                <w:szCs w:val="20"/>
                <w:color w:val="auto"/>
              </w:rPr>
            </w:pPr>
            <w:r>
              <w:rPr>
                <w:rFonts w:ascii="Arial" w:cs="Arial" w:eastAsia="Arial" w:hAnsi="Arial"/>
                <w:sz w:val="18"/>
                <w:szCs w:val="18"/>
                <w:color w:val="auto"/>
              </w:rPr>
              <w:t>February 1, 2021 – February 28, 2021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March 1, 2021 – March 31, 2021</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56,162</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106.72</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56,162</w:t>
            </w:r>
          </w:p>
        </w:tc>
        <w:tc>
          <w:tcPr>
            <w:tcW w:w="4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106.72</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7"/>
        </w:trPr>
        <w:tc>
          <w:tcPr>
            <w:tcW w:w="4260" w:type="dxa"/>
            <w:vAlign w:val="bottom"/>
            <w:gridSpan w:val="9"/>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60" w:type="dxa"/>
            <w:vAlign w:val="bottom"/>
            <w:gridSpan w:val="9"/>
          </w:tcPr>
          <w:p>
            <w:pPr>
              <w:spacing w:after="0"/>
              <w:rPr>
                <w:sz w:val="20"/>
                <w:szCs w:val="20"/>
                <w:color w:val="auto"/>
              </w:rPr>
            </w:pPr>
            <w:r>
              <w:rPr>
                <w:rFonts w:ascii="Arial" w:cs="Arial" w:eastAsia="Arial" w:hAnsi="Arial"/>
                <w:sz w:val="18"/>
                <w:szCs w:val="18"/>
                <w:b w:val="1"/>
                <w:bCs w:val="1"/>
                <w:color w:val="auto"/>
              </w:rPr>
              <w:t>Item 4.  Mine Safety Disclosures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5.</w:t>
            </w:r>
          </w:p>
        </w:tc>
        <w:tc>
          <w:tcPr>
            <w:tcW w:w="8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Arial" w:cs="Arial" w:eastAsia="Arial" w:hAnsi="Arial"/>
                <w:sz w:val="18"/>
                <w:szCs w:val="18"/>
                <w:b w:val="1"/>
                <w:bCs w:val="1"/>
                <w:color w:val="auto"/>
              </w:rPr>
              <w:t>Other Information</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80" w:type="dxa"/>
            <w:vAlign w:val="bottom"/>
            <w:gridSpan w:val="7"/>
          </w:tcPr>
          <w:p>
            <w:pPr>
              <w:ind w:left="60"/>
              <w:spacing w:after="0"/>
              <w:rPr>
                <w:sz w:val="20"/>
                <w:szCs w:val="20"/>
                <w:color w:val="auto"/>
              </w:rPr>
            </w:pPr>
            <w:r>
              <w:rPr>
                <w:rFonts w:ascii="Arial" w:cs="Arial" w:eastAsia="Arial" w:hAnsi="Arial"/>
                <w:sz w:val="18"/>
                <w:szCs w:val="18"/>
                <w:color w:val="auto"/>
              </w:rPr>
              <w:t>(a)  Exhibits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4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0" w:type="dxa"/>
            <w:vAlign w:val="bottom"/>
            <w:gridSpan w:val="5"/>
          </w:tcPr>
          <w:p>
            <w:pPr>
              <w:spacing w:after="0"/>
              <w:rPr>
                <w:sz w:val="20"/>
                <w:szCs w:val="20"/>
                <w:color w:val="auto"/>
              </w:rPr>
            </w:pPr>
            <w:r>
              <w:rPr>
                <w:rFonts w:ascii="Arial" w:cs="Arial" w:eastAsia="Arial" w:hAnsi="Arial"/>
                <w:sz w:val="14"/>
                <w:szCs w:val="14"/>
                <w:b w:val="1"/>
                <w:bCs w:val="1"/>
                <w:color w:val="auto"/>
              </w:rPr>
              <w:t>Method of Filing</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auto"/>
            </w:tcBorders>
            <w:gridSpan w:val="9"/>
          </w:tcPr>
          <w:p>
            <w:pPr>
              <w:spacing w:after="0" w:line="169" w:lineRule="exact"/>
              <w:rPr>
                <w:rFonts w:ascii="Arial" w:cs="Arial" w:eastAsia="Arial" w:hAnsi="Arial"/>
                <w:sz w:val="18"/>
                <w:szCs w:val="18"/>
                <w:color w:val="0000EE"/>
              </w:rPr>
            </w:pPr>
            <w:hyperlink r:id="rId48">
              <w:r>
                <w:rPr>
                  <w:rFonts w:ascii="Arial" w:cs="Arial" w:eastAsia="Arial" w:hAnsi="Arial"/>
                  <w:sz w:val="18"/>
                  <w:szCs w:val="18"/>
                  <w:color w:val="0000EE"/>
                </w:rPr>
                <w:t>Amended and Restated Certificate of Incorporation.</w:t>
              </w:r>
            </w:hyperlink>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Borders>
              <w:top w:val="single" w:sz="8" w:color="auto"/>
            </w:tcBorders>
            <w:gridSpan w:val="8"/>
          </w:tcPr>
          <w:p>
            <w:pPr>
              <w:spacing w:after="0" w:line="169" w:lineRule="exact"/>
              <w:rPr>
                <w:sz w:val="20"/>
                <w:szCs w:val="20"/>
                <w:color w:val="auto"/>
              </w:rPr>
            </w:pPr>
            <w:r>
              <w:rPr>
                <w:rFonts w:ascii="Arial" w:cs="Arial" w:eastAsia="Arial" w:hAnsi="Arial"/>
                <w:sz w:val="18"/>
                <w:szCs w:val="18"/>
                <w:color w:val="auto"/>
                <w:w w:val="93"/>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Company’s Annual Report on Form 10-K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with the SEC on February 20, 2019.</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5"/>
          </w:tcPr>
          <w:p>
            <w:pPr>
              <w:spacing w:after="0"/>
              <w:rPr>
                <w:rFonts w:ascii="Arial" w:cs="Arial" w:eastAsia="Arial" w:hAnsi="Arial"/>
                <w:sz w:val="18"/>
                <w:szCs w:val="18"/>
                <w:color w:val="0000EE"/>
              </w:rPr>
            </w:pPr>
            <w:hyperlink r:id="rId49">
              <w:r>
                <w:rPr>
                  <w:rFonts w:ascii="Arial" w:cs="Arial" w:eastAsia="Arial" w:hAnsi="Arial"/>
                  <w:sz w:val="18"/>
                  <w:szCs w:val="18"/>
                  <w:color w:val="0000EE"/>
                </w:rPr>
                <w:t>Third Amended and Restated Bylaws.</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Incorporated by reference to Exhibit 3.1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5"/>
              </w:rPr>
              <w:t>Company’s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with the SEC on October 29, 2014.</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5"/>
          </w:tcPr>
          <w:p>
            <w:pPr>
              <w:spacing w:after="0"/>
              <w:rPr>
                <w:rFonts w:ascii="Arial" w:cs="Arial" w:eastAsia="Arial" w:hAnsi="Arial"/>
                <w:sz w:val="18"/>
                <w:szCs w:val="18"/>
                <w:color w:val="0000EE"/>
              </w:rPr>
            </w:pPr>
            <w:hyperlink r:id="rId50">
              <w:r>
                <w:rPr>
                  <w:rFonts w:ascii="Arial" w:cs="Arial" w:eastAsia="Arial" w:hAnsi="Arial"/>
                  <w:sz w:val="18"/>
                  <w:szCs w:val="18"/>
                  <w:color w:val="0000EE"/>
                </w:rPr>
                <w:t>Specimen of Stock Certificate.</w:t>
              </w:r>
            </w:hyperlink>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4.1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8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rPr>
              <w:t>Amendment No. 2 to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8"/>
          </w:tcPr>
          <w:p>
            <w:pPr>
              <w:spacing w:after="0"/>
              <w:rPr>
                <w:sz w:val="20"/>
                <w:szCs w:val="20"/>
                <w:color w:val="auto"/>
              </w:rPr>
            </w:pPr>
            <w:r>
              <w:rPr>
                <w:rFonts w:ascii="Arial" w:cs="Arial" w:eastAsia="Arial" w:hAnsi="Arial"/>
                <w:sz w:val="18"/>
                <w:szCs w:val="18"/>
                <w:color w:val="auto"/>
                <w:w w:val="93"/>
              </w:rPr>
              <w:t>Registration Statement on Form S-1 filed 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7"/>
          </w:tcPr>
          <w:p>
            <w:pPr>
              <w:spacing w:after="0"/>
              <w:rPr>
                <w:sz w:val="20"/>
                <w:szCs w:val="20"/>
                <w:color w:val="auto"/>
              </w:rPr>
            </w:pPr>
            <w:r>
              <w:rPr>
                <w:rFonts w:ascii="Arial" w:cs="Arial" w:eastAsia="Arial" w:hAnsi="Arial"/>
                <w:sz w:val="18"/>
                <w:szCs w:val="18"/>
                <w:color w:val="auto"/>
                <w:w w:val="90"/>
              </w:rPr>
              <w:t>the SEC on September 29, 2008.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Principal Executive Officer pursuant to</w:t>
              </w:r>
            </w:hyperlink>
          </w:p>
        </w:tc>
        <w:tc>
          <w:tcPr>
            <w:tcW w:w="5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Rules 13a-14(a) and 15d-14(a), as adopted pursuant to</w:t>
              </w:r>
            </w:hyperlink>
          </w:p>
        </w:tc>
        <w:tc>
          <w:tcPr>
            <w:tcW w:w="6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spacing w:after="0" w:line="196" w:lineRule="exact"/>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Section 302 of the Sarbanes-Oxley Act of 2002.</w:t>
              </w:r>
            </w:hyperlink>
          </w:p>
        </w:tc>
        <w:tc>
          <w:tcPr>
            <w:tcW w:w="11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31.2</w:t>
            </w:r>
          </w:p>
        </w:tc>
        <w:tc>
          <w:tcPr>
            <w:tcW w:w="39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Certification of Principal Financial Officer pursuant to</w:t>
              </w:r>
            </w:hyperlink>
          </w:p>
        </w:tc>
        <w:tc>
          <w:tcPr>
            <w:tcW w:w="52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9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Rules 13a-14(a) and 15d-14(a), as adopted pursuant to</w:t>
              </w:r>
            </w:hyperlink>
          </w:p>
        </w:tc>
        <w:tc>
          <w:tcPr>
            <w:tcW w:w="540" w:type="dxa"/>
            <w:vAlign w:val="bottom"/>
            <w:gridSpan w:val="5"/>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Section 302 of the Sarbanes-Oxley Act of 2002.</w:t>
              </w:r>
            </w:hyperlink>
          </w:p>
        </w:tc>
        <w:tc>
          <w:tcPr>
            <w:tcW w:w="1000" w:type="dxa"/>
            <w:vAlign w:val="bottom"/>
            <w:gridSpan w:val="6"/>
          </w:tcPr>
          <w:p>
            <w:pPr>
              <w:spacing w:after="0"/>
              <w:rPr>
                <w:sz w:val="17"/>
                <w:szCs w:val="17"/>
                <w:color w:val="auto"/>
              </w:rPr>
            </w:pPr>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344"/>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32.1</w:t>
            </w:r>
          </w:p>
        </w:tc>
        <w:tc>
          <w:tcPr>
            <w:tcW w:w="42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Principal Executive Officer pursuant to 18</w:t>
              </w:r>
            </w:hyperlink>
          </w:p>
        </w:tc>
        <w:tc>
          <w:tcPr>
            <w:tcW w:w="26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U.S.C. Section 1350, as adopted pursuant to Section 906 of</w:t>
              </w:r>
            </w:hyperlink>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460" w:type="dxa"/>
            <w:vAlign w:val="bottom"/>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the Sarbanes-Oxley Act of 2002. ††</w:t>
              </w:r>
            </w:hyperlink>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8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4"/>
        </w:trPr>
        <w:tc>
          <w:tcPr>
            <w:tcW w:w="820" w:type="dxa"/>
            <w:vAlign w:val="bottom"/>
          </w:tcPr>
          <w:p>
            <w:pPr>
              <w:jc w:val="right"/>
              <w:ind w:right="410"/>
              <w:spacing w:after="0"/>
              <w:rPr>
                <w:sz w:val="20"/>
                <w:szCs w:val="20"/>
                <w:color w:val="auto"/>
              </w:rPr>
            </w:pPr>
            <w:r>
              <w:rPr>
                <w:rFonts w:ascii="Arial" w:cs="Arial" w:eastAsia="Arial" w:hAnsi="Arial"/>
                <w:sz w:val="18"/>
                <w:szCs w:val="18"/>
                <w:color w:val="auto"/>
                <w:w w:val="85"/>
              </w:rPr>
              <w:t>32.2</w:t>
            </w:r>
          </w:p>
        </w:tc>
        <w:tc>
          <w:tcPr>
            <w:tcW w:w="4460" w:type="dxa"/>
            <w:vAlign w:val="bottom"/>
            <w:gridSpan w:val="8"/>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Certification of Principal Financial Officer pursuant to 18</w:t>
              </w:r>
            </w:hyperlink>
          </w:p>
        </w:tc>
        <w:tc>
          <w:tcPr>
            <w:tcW w:w="12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414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U.S.C. Section 1350, as adopted pursuant to Section 906 of</w:t>
              </w:r>
            </w:hyperlink>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460" w:type="dxa"/>
            <w:vAlign w:val="bottom"/>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the Sarbanes-Oxley Act of 2002. ††</w:t>
              </w:r>
            </w:hyperlink>
          </w:p>
        </w:tc>
        <w:tc>
          <w:tcPr>
            <w:tcW w:w="1280" w:type="dxa"/>
            <w:vAlign w:val="bottom"/>
          </w:tcPr>
          <w:p>
            <w:pPr>
              <w:ind w:left="200"/>
              <w:spacing w:after="0" w:line="196" w:lineRule="exact"/>
              <w:rPr>
                <w:sz w:val="20"/>
                <w:szCs w:val="20"/>
                <w:color w:val="auto"/>
              </w:rPr>
            </w:pPr>
            <w:r>
              <w:rPr>
                <w:rFonts w:ascii="Arial" w:cs="Arial" w:eastAsia="Arial" w:hAnsi="Arial"/>
                <w:sz w:val="18"/>
                <w:szCs w:val="18"/>
                <w:color w:val="auto"/>
                <w:w w:val="90"/>
              </w:rPr>
              <w:t>Filed herewith.</w:t>
            </w:r>
          </w:p>
        </w:tc>
      </w:tr>
      <w:tr>
        <w:trPr>
          <w:trHeight w:val="20"/>
        </w:trPr>
        <w:tc>
          <w:tcPr>
            <w:tcW w:w="8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80" w:right="3699" w:hanging="824"/>
        <w:spacing w:after="0" w:line="284"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March 31, 2021, formatted in Inline XBRL: (i) Consolidated Income Statements, (ii) Consolidated Statements of Comprehensive Income, (iii) Consolidated Balance Sheets, (iv) Consolidated Statements of Stockholders’ Equity, (v) Consolidated</w:t>
      </w:r>
    </w:p>
    <w:tbl>
      <w:tblPr>
        <w:tblLayout w:type="fixed"/>
        <w:tblInd w:w="6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4780" w:type="dxa"/>
            <w:vAlign w:val="bottom"/>
          </w:tcPr>
          <w:p>
            <w:pPr>
              <w:ind w:left="280"/>
              <w:spacing w:after="0" w:line="206" w:lineRule="exact"/>
              <w:rPr>
                <w:sz w:val="20"/>
                <w:szCs w:val="20"/>
                <w:color w:val="auto"/>
              </w:rPr>
            </w:pPr>
            <w:r>
              <w:rPr>
                <w:rFonts w:ascii="Arial" w:cs="Arial" w:eastAsia="Arial" w:hAnsi="Arial"/>
                <w:sz w:val="18"/>
                <w:szCs w:val="18"/>
                <w:color w:val="auto"/>
                <w:w w:val="96"/>
              </w:rPr>
              <w:t>Statements of Cash Flows, and (vi) Notes to Consolidated</w:t>
            </w:r>
          </w:p>
        </w:tc>
        <w:tc>
          <w:tcPr>
            <w:tcW w:w="12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w w:val="94"/>
              </w:rPr>
              <w:t>Financial Statements tagged as blocks of text and including</w:t>
            </w:r>
          </w:p>
        </w:tc>
        <w:tc>
          <w:tcPr>
            <w:tcW w:w="12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detailed tags.</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780" w:type="dxa"/>
            <w:vAlign w:val="bottom"/>
          </w:tcPr>
          <w:p>
            <w:pPr>
              <w:ind w:left="280"/>
              <w:spacing w:after="0"/>
              <w:rPr>
                <w:sz w:val="20"/>
                <w:szCs w:val="20"/>
                <w:color w:val="auto"/>
              </w:rPr>
            </w:pPr>
            <w:r>
              <w:rPr>
                <w:rFonts w:ascii="Arial" w:cs="Arial" w:eastAsia="Arial" w:hAnsi="Arial"/>
                <w:sz w:val="18"/>
                <w:szCs w:val="18"/>
                <w:color w:val="auto"/>
                <w:w w:val="98"/>
              </w:rPr>
              <w:t>The cover page from the Company’s Quarterly Report on</w:t>
            </w:r>
          </w:p>
        </w:tc>
        <w:tc>
          <w:tcPr>
            <w:tcW w:w="12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w w:val="94"/>
              </w:rPr>
              <w:t>Form 10-Q for the quarter ended March 31, 2021, formatted</w:t>
            </w:r>
          </w:p>
        </w:tc>
        <w:tc>
          <w:tcPr>
            <w:tcW w:w="12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in Inline XBRL (included as Exhibit 101).</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5, 2021</w:t>
            </w: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 /s/ Daniel E. Bachus</w:t>
            </w:r>
          </w:p>
        </w:tc>
      </w:tr>
      <w:tr>
        <w:trPr>
          <w:trHeight w:val="20"/>
        </w:trPr>
        <w:tc>
          <w:tcPr>
            <w:tcW w:w="2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2940" w:type="dxa"/>
            <w:vAlign w:val="bottom"/>
          </w:tcPr>
          <w:p>
            <w:pPr>
              <w:spacing w:after="0"/>
              <w:rPr>
                <w:sz w:val="15"/>
                <w:szCs w:val="15"/>
                <w:color w:val="auto"/>
              </w:rPr>
            </w:pPr>
          </w:p>
        </w:tc>
        <w:tc>
          <w:tcPr>
            <w:tcW w:w="5960" w:type="dxa"/>
            <w:vAlign w:val="bottom"/>
            <w:gridSpan w:val="2"/>
          </w:tcPr>
          <w:p>
            <w:pPr>
              <w:ind w:left="160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2940" w:type="dxa"/>
            <w:vAlign w:val="bottom"/>
          </w:tcPr>
          <w:p>
            <w:pPr>
              <w:spacing w:after="0"/>
              <w:rPr>
                <w:sz w:val="18"/>
                <w:szCs w:val="18"/>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900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2021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May 5,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2021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May 5,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2021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2021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2)"/>
      <w:numFmt w:val="decimal"/>
      <w:start w:val="1"/>
    </w:lvl>
  </w:abstractNum>
  <w:abstractNum w:abstractNumId="3">
    <w:nsid w:val="5BD062C2"/>
    <w:multiLevelType w:val="hybridMultilevel"/>
    <w:lvl w:ilvl="0">
      <w:lvlJc w:val="left"/>
      <w:lvlText w:val="%1."/>
      <w:numFmt w:val="decimal"/>
      <w:start w:val="6"/>
    </w:lvl>
    <w:lvl w:ilvl="1">
      <w:lvlJc w:val="left"/>
      <w:lvlText w:val="%2"/>
      <w:numFmt w:val="decimal"/>
      <w:start w:val="1"/>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8" Type="http://schemas.openxmlformats.org/officeDocument/2006/relationships/hyperlink" Target="http://www.sec.gov/Archives/edgar/data/1434588/000155837019000782/lope-20181231ex31395dfc9.htm" TargetMode="External"/><Relationship Id="rId49" Type="http://schemas.openxmlformats.org/officeDocument/2006/relationships/hyperlink" Target="http://www.sec.gov/Archives/edgar/data/1434588/000119312514387149/d812440dex31.htm" TargetMode="External"/><Relationship Id="rId50"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2021-05-05T15:20:35Z</dcterms:created>
  <dcterms:modified xsi:type="dcterms:W3CDTF">2021-05-05T15:20:35Z</dcterms:modified>
</cp:coreProperties>
</file>