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1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-1270</wp:posOffset>
            </wp:positionH>
            <wp:positionV relativeFrom="paragraph">
              <wp:posOffset>288925</wp:posOffset>
            </wp:positionV>
            <wp:extent cx="6497955"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497955" cy="34290"/>
                    </a:xfrm>
                    <a:prstGeom prst="rect">
                      <a:avLst/>
                    </a:prstGeom>
                    <a:noFill/>
                  </pic:spPr>
                </pic:pic>
              </a:graphicData>
            </a:graphic>
          </wp:anchor>
        </w:drawing>
        <w:drawing>
          <wp:anchor simplePos="0" relativeHeight="251657728" behindDoc="1" locked="0" layoutInCell="0" allowOverlap="1">
            <wp:simplePos x="0" y="0"/>
            <wp:positionH relativeFrom="column">
              <wp:posOffset>-1270</wp:posOffset>
            </wp:positionH>
            <wp:positionV relativeFrom="paragraph">
              <wp:posOffset>357505</wp:posOffset>
            </wp:positionV>
            <wp:extent cx="6497955"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497955" cy="825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28" w:lineRule="exact"/>
        <w:rPr>
          <w:sz w:val="24"/>
          <w:szCs w:val="24"/>
          <w:color w:val="auto"/>
        </w:rPr>
      </w:pPr>
    </w:p>
    <w:p>
      <w:pPr>
        <w:jc w:val="center"/>
        <w:ind w:right="-9"/>
        <w:spacing w:after="0"/>
        <w:rPr>
          <w:sz w:val="20"/>
          <w:szCs w:val="20"/>
          <w:color w:val="auto"/>
        </w:rPr>
      </w:pPr>
      <w:r>
        <w:rPr>
          <w:rFonts w:ascii="Arial" w:cs="Arial" w:eastAsia="Arial" w:hAnsi="Arial"/>
          <w:sz w:val="25"/>
          <w:szCs w:val="25"/>
          <w:b w:val="1"/>
          <w:bCs w:val="1"/>
          <w:color w:val="auto"/>
        </w:rPr>
        <w:t>UNITED STATES</w:t>
      </w:r>
    </w:p>
    <w:p>
      <w:pPr>
        <w:spacing w:after="0" w:line="38" w:lineRule="exact"/>
        <w:rPr>
          <w:sz w:val="24"/>
          <w:szCs w:val="24"/>
          <w:color w:val="auto"/>
        </w:rPr>
      </w:pPr>
    </w:p>
    <w:p>
      <w:pPr>
        <w:jc w:val="center"/>
        <w:ind w:right="-9"/>
        <w:spacing w:after="0"/>
        <w:rPr>
          <w:sz w:val="20"/>
          <w:szCs w:val="20"/>
          <w:color w:val="auto"/>
        </w:rPr>
      </w:pPr>
      <w:r>
        <w:rPr>
          <w:rFonts w:ascii="Arial" w:cs="Arial" w:eastAsia="Arial" w:hAnsi="Arial"/>
          <w:sz w:val="25"/>
          <w:szCs w:val="25"/>
          <w:b w:val="1"/>
          <w:bCs w:val="1"/>
          <w:color w:val="auto"/>
        </w:rPr>
        <w:t>SECURITIES AND EXCHANGE COMMISSION</w:t>
      </w:r>
    </w:p>
    <w:p>
      <w:pPr>
        <w:spacing w:after="0" w:line="6" w:lineRule="exact"/>
        <w:rPr>
          <w:sz w:val="24"/>
          <w:szCs w:val="24"/>
          <w:color w:val="auto"/>
        </w:rPr>
      </w:pPr>
    </w:p>
    <w:p>
      <w:pPr>
        <w:jc w:val="center"/>
        <w:ind w:right="-9"/>
        <w:spacing w:after="0"/>
        <w:rPr>
          <w:sz w:val="20"/>
          <w:szCs w:val="20"/>
          <w:color w:val="auto"/>
        </w:rPr>
      </w:pPr>
      <w:r>
        <w:rPr>
          <w:rFonts w:ascii="Arial" w:cs="Arial" w:eastAsia="Arial" w:hAnsi="Arial"/>
          <w:sz w:val="18"/>
          <w:szCs w:val="18"/>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-1270</wp:posOffset>
            </wp:positionH>
            <wp:positionV relativeFrom="paragraph">
              <wp:posOffset>64770</wp:posOffset>
            </wp:positionV>
            <wp:extent cx="6497955"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6497955" cy="8255"/>
                    </a:xfrm>
                    <a:prstGeom prst="rect">
                      <a:avLst/>
                    </a:prstGeom>
                    <a:noFill/>
                  </pic:spPr>
                </pic:pic>
              </a:graphicData>
            </a:graphic>
          </wp:anchor>
        </w:drawing>
      </w:r>
    </w:p>
    <w:p>
      <w:pPr>
        <w:spacing w:after="0" w:line="180" w:lineRule="exact"/>
        <w:rPr>
          <w:sz w:val="24"/>
          <w:szCs w:val="24"/>
          <w:color w:val="auto"/>
        </w:rPr>
      </w:pPr>
    </w:p>
    <w:p>
      <w:pPr>
        <w:jc w:val="center"/>
        <w:ind w:right="-9"/>
        <w:spacing w:after="0"/>
        <w:rPr>
          <w:sz w:val="20"/>
          <w:szCs w:val="20"/>
          <w:color w:val="auto"/>
        </w:rPr>
      </w:pPr>
      <w:r>
        <w:rPr>
          <w:rFonts w:ascii="Arial" w:cs="Arial" w:eastAsia="Arial" w:hAnsi="Arial"/>
          <w:sz w:val="25"/>
          <w:szCs w:val="25"/>
          <w:b w:val="1"/>
          <w:bCs w:val="1"/>
          <w:color w:val="auto"/>
        </w:rPr>
        <w:t>FORM 10-Q</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-1270</wp:posOffset>
            </wp:positionH>
            <wp:positionV relativeFrom="paragraph">
              <wp:posOffset>97790</wp:posOffset>
            </wp:positionV>
            <wp:extent cx="6497955"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497955" cy="8255"/>
                    </a:xfrm>
                    <a:prstGeom prst="rect">
                      <a:avLst/>
                    </a:prstGeom>
                    <a:noFill/>
                  </pic:spPr>
                </pic:pic>
              </a:graphicData>
            </a:graphic>
          </wp:anchor>
        </w:drawing>
      </w:r>
    </w:p>
    <w:p>
      <w:pPr>
        <w:spacing w:after="0" w:line="224" w:lineRule="exact"/>
        <w:rPr>
          <w:sz w:val="24"/>
          <w:szCs w:val="24"/>
          <w:color w:val="auto"/>
        </w:rPr>
      </w:pPr>
    </w:p>
    <w:p>
      <w:pPr>
        <w:ind w:left="10"/>
        <w:spacing w:after="0"/>
        <w:rPr>
          <w:sz w:val="20"/>
          <w:szCs w:val="20"/>
          <w:color w:val="auto"/>
        </w:rPr>
      </w:pPr>
      <w:r>
        <w:rPr>
          <w:rFonts w:ascii="Arial" w:cs="Arial" w:eastAsia="Arial" w:hAnsi="Arial"/>
          <w:sz w:val="18"/>
          <w:szCs w:val="18"/>
          <w:b w:val="1"/>
          <w:bCs w:val="1"/>
          <w:color w:val="auto"/>
        </w:rPr>
        <w:t>(Mark One)</w:t>
      </w:r>
    </w:p>
    <w:p>
      <w:pPr>
        <w:spacing w:after="0" w:line="22" w:lineRule="exact"/>
        <w:rPr>
          <w:sz w:val="24"/>
          <w:szCs w:val="24"/>
          <w:color w:val="auto"/>
        </w:rPr>
      </w:pPr>
    </w:p>
    <w:p>
      <w:pPr>
        <w:ind w:left="410" w:right="240" w:hanging="406"/>
        <w:spacing w:after="0" w:line="352" w:lineRule="auto"/>
        <w:tabs>
          <w:tab w:leader="none" w:pos="410" w:val="left"/>
        </w:tabs>
        <w:numPr>
          <w:ilvl w:val="0"/>
          <w:numId w:val="1"/>
        </w:numPr>
        <w:rPr>
          <w:rFonts w:ascii="MS PGothic" w:cs="MS PGothic" w:eastAsia="MS PGothic" w:hAnsi="MS PGothic"/>
          <w:sz w:val="18"/>
          <w:szCs w:val="18"/>
          <w:color w:val="auto"/>
          <w:highlight w:val="black"/>
        </w:rPr>
      </w:pPr>
      <w:r>
        <w:rPr>
          <w:rFonts w:ascii="Arial" w:cs="Arial" w:eastAsia="Arial" w:hAnsi="Arial"/>
          <w:sz w:val="18"/>
          <w:szCs w:val="18"/>
          <w:b w:val="1"/>
          <w:bCs w:val="1"/>
          <w:color w:val="auto"/>
        </w:rPr>
        <w:t>QUARTERLY REPORT PURSUANT TO SECTION 13 OR 15(d) OF THE SECURITIES AND EXCHANGE ACT OF 1934 For the quarterly period ended March 31, 2021</w:t>
      </w:r>
    </w:p>
    <w:p>
      <w:pPr>
        <w:spacing w:after="0" w:line="1" w:lineRule="exact"/>
        <w:rPr>
          <w:sz w:val="24"/>
          <w:szCs w:val="24"/>
          <w:color w:val="auto"/>
        </w:rPr>
      </w:pPr>
    </w:p>
    <w:p>
      <w:pPr>
        <w:jc w:val="center"/>
        <w:ind w:right="-9"/>
        <w:spacing w:after="0"/>
        <w:rPr>
          <w:sz w:val="20"/>
          <w:szCs w:val="20"/>
          <w:color w:val="auto"/>
        </w:rPr>
      </w:pPr>
      <w:r>
        <w:rPr>
          <w:rFonts w:ascii="Arial" w:cs="Arial" w:eastAsia="Arial" w:hAnsi="Arial"/>
          <w:sz w:val="18"/>
          <w:szCs w:val="18"/>
          <w:b w:val="1"/>
          <w:bCs w:val="1"/>
          <w:color w:val="auto"/>
        </w:rPr>
        <w:t>or</w:t>
      </w:r>
    </w:p>
    <w:p>
      <w:pPr>
        <w:spacing w:after="0" w:line="117" w:lineRule="exact"/>
        <w:rPr>
          <w:sz w:val="24"/>
          <w:szCs w:val="24"/>
          <w:color w:val="auto"/>
        </w:rPr>
      </w:pPr>
    </w:p>
    <w:p>
      <w:pPr>
        <w:ind w:left="410" w:hanging="410"/>
        <w:spacing w:after="0"/>
        <w:tabs>
          <w:tab w:leader="none" w:pos="410" w:val="left"/>
        </w:tabs>
        <w:numPr>
          <w:ilvl w:val="0"/>
          <w:numId w:val="2"/>
        </w:numPr>
        <w:rPr>
          <w:rFonts w:ascii="MS PGothic" w:cs="MS PGothic" w:eastAsia="MS PGothic" w:hAnsi="MS PGothic"/>
          <w:sz w:val="18"/>
          <w:szCs w:val="18"/>
          <w:color w:val="auto"/>
          <w:highlight w:val="black"/>
        </w:rPr>
      </w:pPr>
      <w:r>
        <w:rPr>
          <w:rFonts w:ascii="Arial" w:cs="Arial" w:eastAsia="Arial" w:hAnsi="Arial"/>
          <w:sz w:val="18"/>
          <w:szCs w:val="18"/>
          <w:b w:val="1"/>
          <w:bCs w:val="1"/>
          <w:color w:val="auto"/>
        </w:rPr>
        <w:t>TRANSITION REPORT PURSUANT TO SECTION 13 OR 15(d) OF THE SECURITIES EXCHANGE ACT OF 1934</w:t>
      </w:r>
    </w:p>
    <w:p>
      <w:pPr>
        <w:spacing w:after="0" w:line="104" w:lineRule="exact"/>
        <w:rPr>
          <w:sz w:val="24"/>
          <w:szCs w:val="24"/>
          <w:color w:val="auto"/>
        </w:rPr>
      </w:pPr>
    </w:p>
    <w:p>
      <w:pPr>
        <w:ind w:left="410"/>
        <w:spacing w:after="0"/>
        <w:tabs>
          <w:tab w:leader="none" w:pos="4070" w:val="left"/>
        </w:tabs>
        <w:rPr>
          <w:sz w:val="20"/>
          <w:szCs w:val="20"/>
          <w:color w:val="auto"/>
        </w:rPr>
      </w:pPr>
      <w:r>
        <w:rPr>
          <w:rFonts w:ascii="Arial" w:cs="Arial" w:eastAsia="Arial" w:hAnsi="Arial"/>
          <w:sz w:val="18"/>
          <w:szCs w:val="18"/>
          <w:b w:val="1"/>
          <w:bCs w:val="1"/>
          <w:color w:val="auto"/>
        </w:rPr>
        <w:t>For the transition period from</w:t>
      </w:r>
      <w:r>
        <w:rPr>
          <w:sz w:val="20"/>
          <w:szCs w:val="20"/>
          <w:color w:val="auto"/>
        </w:rPr>
        <w:tab/>
      </w:r>
      <w:r>
        <w:rPr>
          <w:rFonts w:ascii="Arial" w:cs="Arial" w:eastAsia="Arial" w:hAnsi="Arial"/>
          <w:sz w:val="13"/>
          <w:szCs w:val="13"/>
          <w:b w:val="1"/>
          <w:bCs w:val="1"/>
          <w:color w:val="auto"/>
        </w:rPr>
        <w:t>to</w:t>
      </w:r>
    </w:p>
    <w:p>
      <w:pPr>
        <w:spacing w:after="0" w:line="104" w:lineRule="exact"/>
        <w:rPr>
          <w:sz w:val="24"/>
          <w:szCs w:val="24"/>
          <w:color w:val="auto"/>
        </w:rPr>
      </w:pPr>
    </w:p>
    <w:p>
      <w:pPr>
        <w:jc w:val="center"/>
        <w:ind w:right="-9"/>
        <w:spacing w:after="0"/>
        <w:rPr>
          <w:sz w:val="20"/>
          <w:szCs w:val="20"/>
          <w:color w:val="auto"/>
        </w:rPr>
      </w:pPr>
      <w:r>
        <w:rPr>
          <w:rFonts w:ascii="Arial" w:cs="Arial" w:eastAsia="Arial" w:hAnsi="Arial"/>
          <w:sz w:val="18"/>
          <w:szCs w:val="18"/>
          <w:b w:val="1"/>
          <w:bCs w:val="1"/>
          <w:color w:val="auto"/>
        </w:rPr>
        <w:t>Commission File Number: 001-34211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-1270</wp:posOffset>
            </wp:positionH>
            <wp:positionV relativeFrom="paragraph">
              <wp:posOffset>77470</wp:posOffset>
            </wp:positionV>
            <wp:extent cx="649795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497955" cy="8890"/>
                    </a:xfrm>
                    <a:prstGeom prst="rect">
                      <a:avLst/>
                    </a:prstGeom>
                    <a:noFill/>
                  </pic:spPr>
                </pic:pic>
              </a:graphicData>
            </a:graphic>
          </wp:anchor>
        </w:drawing>
      </w:r>
    </w:p>
    <w:p>
      <w:pPr>
        <w:spacing w:after="0" w:line="200" w:lineRule="exact"/>
        <w:rPr>
          <w:sz w:val="24"/>
          <w:szCs w:val="24"/>
          <w:color w:val="auto"/>
        </w:rPr>
      </w:pPr>
    </w:p>
    <w:p>
      <w:pPr>
        <w:jc w:val="center"/>
        <w:ind w:right="-9"/>
        <w:spacing w:after="0"/>
        <w:rPr>
          <w:sz w:val="20"/>
          <w:szCs w:val="20"/>
          <w:color w:val="auto"/>
        </w:rPr>
      </w:pPr>
      <w:r>
        <w:rPr>
          <w:rFonts w:ascii="Arial" w:cs="Arial" w:eastAsia="Arial" w:hAnsi="Arial"/>
          <w:sz w:val="25"/>
          <w:szCs w:val="25"/>
          <w:b w:val="1"/>
          <w:bCs w:val="1"/>
          <w:color w:val="auto"/>
        </w:rPr>
        <w:t>GRAND CANYON EDUCATION, INC.</w:t>
      </w:r>
    </w:p>
    <w:p>
      <w:pPr>
        <w:spacing w:after="0" w:line="34" w:lineRule="exact"/>
        <w:rPr>
          <w:sz w:val="24"/>
          <w:szCs w:val="24"/>
          <w:color w:val="auto"/>
        </w:rPr>
      </w:pPr>
    </w:p>
    <w:p>
      <w:pPr>
        <w:jc w:val="center"/>
        <w:ind w:right="-9"/>
        <w:spacing w:after="0"/>
        <w:rPr>
          <w:sz w:val="20"/>
          <w:szCs w:val="20"/>
          <w:color w:val="auto"/>
        </w:rPr>
      </w:pPr>
      <w:r>
        <w:rPr>
          <w:rFonts w:ascii="Arial" w:cs="Arial" w:eastAsia="Arial" w:hAnsi="Arial"/>
          <w:sz w:val="18"/>
          <w:szCs w:val="18"/>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-1270</wp:posOffset>
            </wp:positionH>
            <wp:positionV relativeFrom="paragraph">
              <wp:posOffset>64770</wp:posOffset>
            </wp:positionV>
            <wp:extent cx="6497955"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497955" cy="8255"/>
                    </a:xfrm>
                    <a:prstGeom prst="rect">
                      <a:avLst/>
                    </a:prstGeom>
                    <a:noFill/>
                  </pic:spPr>
                </pic:pic>
              </a:graphicData>
            </a:graphic>
          </wp:anchor>
        </w:drawing>
      </w:r>
    </w:p>
    <w:p>
      <w:pPr>
        <w:spacing w:after="0" w:line="199" w:lineRule="exact"/>
        <w:rPr>
          <w:sz w:val="24"/>
          <w:szCs w:val="24"/>
          <w:color w:val="auto"/>
        </w:rPr>
      </w:pPr>
    </w:p>
    <w:tbl>
      <w:tblPr>
        <w:tblLayout w:type="fixed"/>
        <w:tblInd w:w="1370" w:type="dxa"/>
        <w:tblCellMar>
          <w:top w:w="0" w:type="dxa"/>
          <w:left w:w="0" w:type="dxa"/>
          <w:bottom w:w="0" w:type="dxa"/>
          <w:right w:w="0" w:type="dxa"/>
        </w:tblCellMar>
      </w:tblPr>
      <w:tr>
        <w:trPr>
          <w:trHeight w:val="220"/>
        </w:trPr>
        <w:tc>
          <w:tcPr>
            <w:tcW w:w="3980" w:type="dxa"/>
            <w:vAlign w:val="bottom"/>
          </w:tcPr>
          <w:p>
            <w:pPr>
              <w:jc w:val="center"/>
              <w:ind w:right="1610"/>
              <w:spacing w:after="0"/>
              <w:rPr>
                <w:sz w:val="20"/>
                <w:szCs w:val="20"/>
                <w:color w:val="auto"/>
              </w:rPr>
            </w:pPr>
            <w:r>
              <w:rPr>
                <w:rFonts w:ascii="Arial" w:cs="Arial" w:eastAsia="Arial" w:hAnsi="Arial"/>
                <w:sz w:val="18"/>
                <w:szCs w:val="18"/>
                <w:b w:val="1"/>
                <w:bCs w:val="1"/>
                <w:color w:val="auto"/>
                <w:w w:val="91"/>
              </w:rPr>
              <w:t>Delaware</w:t>
            </w:r>
          </w:p>
        </w:tc>
        <w:tc>
          <w:tcPr>
            <w:tcW w:w="3060" w:type="dxa"/>
            <w:vAlign w:val="bottom"/>
          </w:tcPr>
          <w:p>
            <w:pPr>
              <w:jc w:val="center"/>
              <w:ind w:left="1590"/>
              <w:spacing w:after="0"/>
              <w:rPr>
                <w:sz w:val="20"/>
                <w:szCs w:val="20"/>
                <w:color w:val="auto"/>
              </w:rPr>
            </w:pPr>
            <w:r>
              <w:rPr>
                <w:rFonts w:ascii="Arial" w:cs="Arial" w:eastAsia="Arial" w:hAnsi="Arial"/>
                <w:sz w:val="18"/>
                <w:szCs w:val="18"/>
                <w:b w:val="1"/>
                <w:bCs w:val="1"/>
                <w:color w:val="auto"/>
                <w:w w:val="89"/>
              </w:rPr>
              <w:t>20-3356009</w:t>
            </w:r>
          </w:p>
        </w:tc>
      </w:tr>
      <w:tr>
        <w:trPr>
          <w:trHeight w:val="216"/>
        </w:trPr>
        <w:tc>
          <w:tcPr>
            <w:tcW w:w="3980" w:type="dxa"/>
            <w:vAlign w:val="bottom"/>
          </w:tcPr>
          <w:p>
            <w:pPr>
              <w:jc w:val="center"/>
              <w:ind w:right="1610"/>
              <w:spacing w:after="0"/>
              <w:rPr>
                <w:sz w:val="20"/>
                <w:szCs w:val="20"/>
                <w:color w:val="auto"/>
              </w:rPr>
            </w:pPr>
            <w:r>
              <w:rPr>
                <w:rFonts w:ascii="Arial" w:cs="Arial" w:eastAsia="Arial" w:hAnsi="Arial"/>
                <w:sz w:val="18"/>
                <w:szCs w:val="18"/>
                <w:b w:val="1"/>
                <w:bCs w:val="1"/>
                <w:i w:val="1"/>
                <w:iCs w:val="1"/>
                <w:color w:val="auto"/>
                <w:w w:val="87"/>
              </w:rPr>
              <w:t>(State or other jurisdiction of</w:t>
            </w:r>
          </w:p>
        </w:tc>
        <w:tc>
          <w:tcPr>
            <w:tcW w:w="3060" w:type="dxa"/>
            <w:vAlign w:val="bottom"/>
          </w:tcPr>
          <w:p>
            <w:pPr>
              <w:jc w:val="center"/>
              <w:ind w:left="1590"/>
              <w:spacing w:after="0"/>
              <w:rPr>
                <w:sz w:val="20"/>
                <w:szCs w:val="20"/>
                <w:color w:val="auto"/>
              </w:rPr>
            </w:pPr>
            <w:r>
              <w:rPr>
                <w:rFonts w:ascii="Arial" w:cs="Arial" w:eastAsia="Arial" w:hAnsi="Arial"/>
                <w:sz w:val="18"/>
                <w:szCs w:val="18"/>
                <w:b w:val="1"/>
                <w:bCs w:val="1"/>
                <w:i w:val="1"/>
                <w:iCs w:val="1"/>
                <w:color w:val="auto"/>
                <w:w w:val="91"/>
              </w:rPr>
              <w:t>(I.R.S. Employer</w:t>
            </w:r>
          </w:p>
        </w:tc>
      </w:tr>
      <w:tr>
        <w:trPr>
          <w:trHeight w:val="230"/>
        </w:trPr>
        <w:tc>
          <w:tcPr>
            <w:tcW w:w="3980" w:type="dxa"/>
            <w:vAlign w:val="bottom"/>
          </w:tcPr>
          <w:p>
            <w:pPr>
              <w:jc w:val="center"/>
              <w:ind w:right="1610"/>
              <w:spacing w:after="0"/>
              <w:rPr>
                <w:sz w:val="20"/>
                <w:szCs w:val="20"/>
                <w:color w:val="auto"/>
              </w:rPr>
            </w:pPr>
            <w:r>
              <w:rPr>
                <w:rFonts w:ascii="Arial" w:cs="Arial" w:eastAsia="Arial" w:hAnsi="Arial"/>
                <w:sz w:val="18"/>
                <w:szCs w:val="18"/>
                <w:b w:val="1"/>
                <w:bCs w:val="1"/>
                <w:i w:val="1"/>
                <w:iCs w:val="1"/>
                <w:color w:val="auto"/>
                <w:w w:val="88"/>
              </w:rPr>
              <w:t>Incorporation or organization)</w:t>
            </w:r>
          </w:p>
        </w:tc>
        <w:tc>
          <w:tcPr>
            <w:tcW w:w="3060" w:type="dxa"/>
            <w:vAlign w:val="bottom"/>
          </w:tcPr>
          <w:p>
            <w:pPr>
              <w:jc w:val="center"/>
              <w:ind w:left="1590"/>
              <w:spacing w:after="0"/>
              <w:rPr>
                <w:sz w:val="20"/>
                <w:szCs w:val="20"/>
                <w:color w:val="auto"/>
              </w:rPr>
            </w:pPr>
            <w:r>
              <w:rPr>
                <w:rFonts w:ascii="Arial" w:cs="Arial" w:eastAsia="Arial" w:hAnsi="Arial"/>
                <w:sz w:val="18"/>
                <w:szCs w:val="18"/>
                <w:b w:val="1"/>
                <w:bCs w:val="1"/>
                <w:i w:val="1"/>
                <w:iCs w:val="1"/>
                <w:color w:val="auto"/>
                <w:w w:val="90"/>
              </w:rPr>
              <w:t>Identification No.)</w:t>
            </w:r>
          </w:p>
        </w:tc>
      </w:tr>
    </w:tbl>
    <w:p>
      <w:pPr>
        <w:spacing w:after="0" w:line="76" w:lineRule="exact"/>
        <w:rPr>
          <w:sz w:val="24"/>
          <w:szCs w:val="24"/>
          <w:color w:val="auto"/>
        </w:rPr>
      </w:pPr>
    </w:p>
    <w:p>
      <w:pPr>
        <w:jc w:val="center"/>
        <w:ind w:right="-9"/>
        <w:spacing w:after="0"/>
        <w:rPr>
          <w:sz w:val="20"/>
          <w:szCs w:val="20"/>
          <w:color w:val="auto"/>
        </w:rPr>
      </w:pPr>
      <w:r>
        <w:rPr>
          <w:rFonts w:ascii="Arial" w:cs="Arial" w:eastAsia="Arial" w:hAnsi="Arial"/>
          <w:sz w:val="18"/>
          <w:szCs w:val="18"/>
          <w:b w:val="1"/>
          <w:bCs w:val="1"/>
          <w:color w:val="auto"/>
        </w:rPr>
        <w:t>2600 W. Camelback Road</w:t>
      </w:r>
    </w:p>
    <w:p>
      <w:pPr>
        <w:spacing w:after="0" w:line="27" w:lineRule="exact"/>
        <w:rPr>
          <w:sz w:val="24"/>
          <w:szCs w:val="24"/>
          <w:color w:val="auto"/>
        </w:rPr>
      </w:pPr>
    </w:p>
    <w:p>
      <w:pPr>
        <w:jc w:val="center"/>
        <w:ind w:right="-9"/>
        <w:spacing w:after="0"/>
        <w:rPr>
          <w:sz w:val="20"/>
          <w:szCs w:val="20"/>
          <w:color w:val="auto"/>
        </w:rPr>
      </w:pPr>
      <w:r>
        <w:rPr>
          <w:rFonts w:ascii="Arial" w:cs="Arial" w:eastAsia="Arial" w:hAnsi="Arial"/>
          <w:sz w:val="18"/>
          <w:szCs w:val="18"/>
          <w:b w:val="1"/>
          <w:bCs w:val="1"/>
          <w:color w:val="auto"/>
        </w:rPr>
        <w:t>Phoenix, Arizona 85017</w:t>
      </w:r>
    </w:p>
    <w:p>
      <w:pPr>
        <w:spacing w:after="0" w:line="9" w:lineRule="exact"/>
        <w:rPr>
          <w:sz w:val="24"/>
          <w:szCs w:val="24"/>
          <w:color w:val="auto"/>
        </w:rPr>
      </w:pPr>
    </w:p>
    <w:p>
      <w:pPr>
        <w:jc w:val="center"/>
        <w:ind w:right="-9"/>
        <w:spacing w:after="0"/>
        <w:rPr>
          <w:sz w:val="20"/>
          <w:szCs w:val="20"/>
          <w:color w:val="auto"/>
        </w:rPr>
      </w:pPr>
      <w:r>
        <w:rPr>
          <w:rFonts w:ascii="Arial" w:cs="Arial" w:eastAsia="Arial" w:hAnsi="Arial"/>
          <w:sz w:val="18"/>
          <w:szCs w:val="18"/>
          <w:b w:val="1"/>
          <w:bCs w:val="1"/>
          <w:i w:val="1"/>
          <w:iCs w:val="1"/>
          <w:color w:val="auto"/>
        </w:rPr>
        <w:t>(Address, including zip code, of principal executive offices)</w:t>
      </w:r>
    </w:p>
    <w:p>
      <w:pPr>
        <w:spacing w:after="0" w:line="85" w:lineRule="exact"/>
        <w:rPr>
          <w:sz w:val="24"/>
          <w:szCs w:val="24"/>
          <w:color w:val="auto"/>
        </w:rPr>
      </w:pPr>
    </w:p>
    <w:p>
      <w:pPr>
        <w:jc w:val="center"/>
        <w:ind w:right="-9"/>
        <w:spacing w:after="0"/>
        <w:rPr>
          <w:sz w:val="20"/>
          <w:szCs w:val="20"/>
          <w:color w:val="auto"/>
        </w:rPr>
      </w:pPr>
      <w:r>
        <w:rPr>
          <w:rFonts w:ascii="Arial" w:cs="Arial" w:eastAsia="Arial" w:hAnsi="Arial"/>
          <w:sz w:val="18"/>
          <w:szCs w:val="18"/>
          <w:b w:val="1"/>
          <w:bCs w:val="1"/>
          <w:color w:val="auto"/>
        </w:rPr>
        <w:t>(602) 247-4400</w:t>
      </w:r>
    </w:p>
    <w:p>
      <w:pPr>
        <w:spacing w:after="0" w:line="27" w:lineRule="exact"/>
        <w:rPr>
          <w:sz w:val="24"/>
          <w:szCs w:val="24"/>
          <w:color w:val="auto"/>
        </w:rPr>
      </w:pPr>
    </w:p>
    <w:p>
      <w:pPr>
        <w:ind w:left="3090"/>
        <w:spacing w:after="0"/>
        <w:rPr>
          <w:sz w:val="20"/>
          <w:szCs w:val="20"/>
          <w:color w:val="auto"/>
        </w:rPr>
      </w:pPr>
      <w:r>
        <w:rPr>
          <w:rFonts w:ascii="Arial" w:cs="Arial" w:eastAsia="Arial" w:hAnsi="Arial"/>
          <w:sz w:val="18"/>
          <w:szCs w:val="18"/>
          <w:b w:val="1"/>
          <w:bCs w:val="1"/>
          <w:color w:val="auto"/>
        </w:rPr>
        <w:t>(Registrant’s telephone number, including area code)</w:t>
      </w:r>
    </w:p>
    <w:p>
      <w:pPr>
        <w:spacing w:after="0" w:line="211" w:lineRule="exact"/>
        <w:rPr>
          <w:sz w:val="24"/>
          <w:szCs w:val="24"/>
          <w:color w:val="auto"/>
        </w:rPr>
      </w:pPr>
    </w:p>
    <w:p>
      <w:pPr>
        <w:ind w:left="3050"/>
        <w:spacing w:after="0"/>
        <w:rPr>
          <w:sz w:val="20"/>
          <w:szCs w:val="20"/>
          <w:color w:val="auto"/>
        </w:rPr>
      </w:pPr>
      <w:r>
        <w:rPr>
          <w:rFonts w:ascii="Arial" w:cs="Arial" w:eastAsia="Arial" w:hAnsi="Arial"/>
          <w:sz w:val="18"/>
          <w:szCs w:val="18"/>
          <w:color w:val="auto"/>
        </w:rPr>
        <w:t>Securities registered pursuant to Section 12(b) of the Act:</w:t>
      </w:r>
    </w:p>
    <w:p>
      <w:pPr>
        <w:spacing w:after="0" w:line="98" w:lineRule="exact"/>
        <w:rPr>
          <w:sz w:val="24"/>
          <w:szCs w:val="24"/>
          <w:color w:val="auto"/>
        </w:rPr>
      </w:pPr>
    </w:p>
    <w:tbl>
      <w:tblPr>
        <w:tblLayout w:type="fixed"/>
        <w:tblInd w:w="20" w:type="dxa"/>
        <w:tblCellMar>
          <w:top w:w="0" w:type="dxa"/>
          <w:left w:w="0" w:type="dxa"/>
          <w:bottom w:w="0" w:type="dxa"/>
          <w:right w:w="0" w:type="dxa"/>
        </w:tblCellMar>
      </w:tblPr>
      <w:tr>
        <w:trPr>
          <w:trHeight w:val="162"/>
        </w:trPr>
        <w:tc>
          <w:tcPr>
            <w:tcW w:w="3760" w:type="dxa"/>
            <w:vAlign w:val="bottom"/>
            <w:tcBorders>
              <w:top w:val="single" w:sz="8" w:color="auto"/>
              <w:left w:val="single" w:sz="8" w:color="auto"/>
              <w:bottom w:val="single" w:sz="8" w:color="auto"/>
              <w:right w:val="single" w:sz="8" w:color="auto"/>
            </w:tcBorders>
          </w:tcPr>
          <w:p>
            <w:pPr>
              <w:ind w:left="1340"/>
              <w:spacing w:after="0"/>
              <w:rPr>
                <w:sz w:val="20"/>
                <w:szCs w:val="20"/>
                <w:color w:val="auto"/>
              </w:rPr>
            </w:pPr>
            <w:r>
              <w:rPr>
                <w:rFonts w:ascii="Arial" w:cs="Arial" w:eastAsia="Arial" w:hAnsi="Arial"/>
                <w:sz w:val="14"/>
                <w:szCs w:val="14"/>
                <w:b w:val="1"/>
                <w:bCs w:val="1"/>
                <w:color w:val="auto"/>
              </w:rPr>
              <w:t>Title of each class</w:t>
            </w:r>
          </w:p>
        </w:tc>
        <w:tc>
          <w:tcPr>
            <w:tcW w:w="2740" w:type="dxa"/>
            <w:vAlign w:val="bottom"/>
            <w:tcBorders>
              <w:top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Trading Symbol(s)</w:t>
            </w:r>
          </w:p>
        </w:tc>
        <w:tc>
          <w:tcPr>
            <w:tcW w:w="3720" w:type="dxa"/>
            <w:vAlign w:val="bottom"/>
            <w:tcBorders>
              <w:top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4"/>
                <w:szCs w:val="14"/>
                <w:b w:val="1"/>
                <w:bCs w:val="1"/>
                <w:color w:val="auto"/>
                <w:w w:val="90"/>
              </w:rPr>
              <w:t>Name of each exchange on which registered</w:t>
            </w:r>
          </w:p>
        </w:tc>
      </w:tr>
      <w:tr>
        <w:trPr>
          <w:trHeight w:val="210"/>
        </w:trPr>
        <w:tc>
          <w:tcPr>
            <w:tcW w:w="3760" w:type="dxa"/>
            <w:vAlign w:val="bottom"/>
            <w:tcBorders>
              <w:left w:val="single" w:sz="8" w:color="auto"/>
              <w:bottom w:val="single" w:sz="8" w:color="auto"/>
              <w:right w:val="single" w:sz="8" w:color="auto"/>
            </w:tcBorders>
          </w:tcPr>
          <w:p>
            <w:pPr>
              <w:ind w:left="1300"/>
              <w:spacing w:after="0"/>
              <w:rPr>
                <w:sz w:val="20"/>
                <w:szCs w:val="20"/>
                <w:color w:val="auto"/>
              </w:rPr>
            </w:pPr>
            <w:r>
              <w:rPr>
                <w:rFonts w:ascii="Arial" w:cs="Arial" w:eastAsia="Arial" w:hAnsi="Arial"/>
                <w:sz w:val="18"/>
                <w:szCs w:val="18"/>
                <w:color w:val="auto"/>
              </w:rPr>
              <w:t>Common Stock</w:t>
            </w:r>
          </w:p>
        </w:tc>
        <w:tc>
          <w:tcPr>
            <w:tcW w:w="27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5"/>
              </w:rPr>
              <w:t>LOPE</w:t>
            </w:r>
          </w:p>
        </w:tc>
        <w:tc>
          <w:tcPr>
            <w:tcW w:w="37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0"/>
              </w:rPr>
              <w:t>Nasdaq Global Select Market</w:t>
            </w:r>
          </w:p>
        </w:tc>
      </w:tr>
    </w:tbl>
    <w:p>
      <w:pPr>
        <w:spacing w:after="0" w:line="188" w:lineRule="exact"/>
        <w:rPr>
          <w:sz w:val="24"/>
          <w:szCs w:val="24"/>
          <w:color w:val="auto"/>
        </w:rPr>
      </w:pPr>
    </w:p>
    <w:p>
      <w:pPr>
        <w:ind w:left="10" w:right="280" w:firstLine="648"/>
        <w:spacing w:after="0" w:line="287" w:lineRule="auto"/>
        <w:rPr>
          <w:sz w:val="20"/>
          <w:szCs w:val="20"/>
          <w:color w:val="auto"/>
        </w:rPr>
      </w:pPr>
      <w:r>
        <w:rPr>
          <w:rFonts w:ascii="Arial" w:cs="Arial" w:eastAsia="Arial" w:hAnsi="Arial"/>
          <w:sz w:val="16"/>
          <w:szCs w:val="16"/>
          <w:color w:val="auto"/>
        </w:rPr>
        <w:t>Indicate by check mark whether the registrant (1) has filed all reports required to be filed by Section 13 or 15(d) of the Securities Exchange Act of 1934 during the preceding 12 months (or for such shorter period that the registrant was required to file such reports), and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-260985</wp:posOffset>
            </wp:positionV>
            <wp:extent cx="337629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3376295" cy="8890"/>
                    </a:xfrm>
                    <a:prstGeom prst="rect">
                      <a:avLst/>
                    </a:prstGeom>
                    <a:noFill/>
                  </pic:spPr>
                </pic:pic>
              </a:graphicData>
            </a:graphic>
          </wp:anchor>
        </w:drawing>
      </w:r>
    </w:p>
    <w:p>
      <w:pPr>
        <w:ind w:left="10"/>
        <w:spacing w:after="0" w:line="188" w:lineRule="exact"/>
        <w:tabs>
          <w:tab w:leader="none" w:pos="5810" w:val="left"/>
        </w:tabs>
        <w:rPr>
          <w:sz w:val="20"/>
          <w:szCs w:val="20"/>
          <w:color w:val="auto"/>
        </w:rPr>
      </w:pPr>
      <w:r>
        <w:rPr>
          <w:rFonts w:ascii="Arial" w:cs="Arial" w:eastAsia="Arial" w:hAnsi="Arial"/>
          <w:sz w:val="18"/>
          <w:szCs w:val="18"/>
          <w:color w:val="auto"/>
        </w:rPr>
        <w:t xml:space="preserve">(2) has been subject to such filing requirements for the past 90 days.  Yes  </w:t>
      </w:r>
      <w:r>
        <w:rPr>
          <w:rFonts w:ascii="MS PGothic" w:cs="MS PGothic" w:eastAsia="MS PGothic" w:hAnsi="MS PGothic"/>
          <w:sz w:val="18"/>
          <w:szCs w:val="18"/>
          <w:color w:val="auto"/>
        </w:rPr>
        <w:t>☒</w:t>
      </w:r>
      <w:r>
        <w:rPr>
          <w:sz w:val="20"/>
          <w:szCs w:val="20"/>
          <w:color w:val="auto"/>
        </w:rPr>
        <w:tab/>
      </w:r>
      <w:r>
        <w:rPr>
          <w:rFonts w:ascii="Arial" w:cs="Arial" w:eastAsia="Arial" w:hAnsi="Arial"/>
          <w:sz w:val="17"/>
          <w:szCs w:val="17"/>
          <w:color w:val="auto"/>
        </w:rPr>
        <w:t xml:space="preserve">No  </w:t>
      </w:r>
      <w:r>
        <w:rPr>
          <w:rFonts w:ascii="MS PGothic" w:cs="MS PGothic" w:eastAsia="MS PGothic" w:hAnsi="MS PGothic"/>
          <w:sz w:val="17"/>
          <w:szCs w:val="17"/>
          <w:color w:val="auto"/>
        </w:rPr>
        <w:t>☐</w:t>
      </w:r>
    </w:p>
    <w:p>
      <w:pPr>
        <w:spacing w:after="0" w:line="94" w:lineRule="exact"/>
        <w:rPr>
          <w:sz w:val="24"/>
          <w:szCs w:val="24"/>
          <w:color w:val="auto"/>
        </w:rPr>
      </w:pPr>
    </w:p>
    <w:p>
      <w:pPr>
        <w:ind w:left="10" w:right="460" w:firstLine="648"/>
        <w:spacing w:after="0" w:line="227" w:lineRule="exact"/>
        <w:rPr>
          <w:sz w:val="20"/>
          <w:szCs w:val="20"/>
          <w:color w:val="auto"/>
        </w:rPr>
      </w:pPr>
      <w:r>
        <w:rPr>
          <w:rFonts w:ascii="Arial" w:cs="Arial" w:eastAsia="Arial" w:hAnsi="Arial"/>
          <w:sz w:val="18"/>
          <w:szCs w:val="18"/>
          <w:color w:val="auto"/>
        </w:rPr>
        <w:t xml:space="preserve">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62" w:lineRule="exact"/>
        <w:rPr>
          <w:sz w:val="24"/>
          <w:szCs w:val="24"/>
          <w:color w:val="auto"/>
        </w:rPr>
      </w:pPr>
    </w:p>
    <w:p>
      <w:pPr>
        <w:jc w:val="both"/>
        <w:ind w:left="10" w:right="520" w:firstLine="648"/>
        <w:spacing w:after="0" w:line="263" w:lineRule="auto"/>
        <w:rPr>
          <w:sz w:val="20"/>
          <w:szCs w:val="20"/>
          <w:color w:val="auto"/>
        </w:rPr>
      </w:pPr>
      <w:r>
        <w:rPr>
          <w:rFonts w:ascii="Arial" w:cs="Arial" w:eastAsia="Arial" w:hAnsi="Arial"/>
          <w:sz w:val="18"/>
          <w:szCs w:val="18"/>
          <w:color w:val="auto"/>
        </w:rPr>
        <w:t>Indicate by check mark whether the registrant is a large accelerated filer, an accelerated filer, a non-accelerated filer, a smaller reporting company, or an emerging growth company. See definitions of “large accelerated filer,” “accelerated filer,” “smaller reporting company” and “emerging growth company” in Rule 12b-2 of the Exchange Act.:</w:t>
      </w:r>
    </w:p>
    <w:p>
      <w:pPr>
        <w:sectPr>
          <w:pgSz w:w="11900" w:h="16838" w:orient="portrait"/>
          <w:cols w:equalWidth="0" w:num="1">
            <w:col w:w="10230"/>
          </w:cols>
          <w:pgMar w:left="830" w:top="665" w:right="839" w:bottom="1440" w:gutter="0" w:footer="0" w:header="0"/>
        </w:sectPr>
      </w:pPr>
    </w:p>
    <w:p>
      <w:pPr>
        <w:spacing w:after="0" w:line="76" w:lineRule="exact"/>
        <w:rPr>
          <w:sz w:val="24"/>
          <w:szCs w:val="24"/>
          <w:color w:val="auto"/>
        </w:rPr>
      </w:pPr>
    </w:p>
    <w:p>
      <w:pPr>
        <w:ind w:left="10"/>
        <w:spacing w:after="0" w:line="342" w:lineRule="auto"/>
        <w:rPr>
          <w:sz w:val="20"/>
          <w:szCs w:val="20"/>
          <w:color w:val="auto"/>
        </w:rPr>
      </w:pPr>
      <w:r>
        <w:rPr>
          <w:rFonts w:ascii="Arial" w:cs="Arial" w:eastAsia="Arial" w:hAnsi="Arial"/>
          <w:sz w:val="16"/>
          <w:szCs w:val="16"/>
          <w:color w:val="auto"/>
        </w:rPr>
        <w:t>Large Accelerated Filer Non-accelerated Filer</w:t>
      </w:r>
    </w:p>
    <w:p>
      <w:pPr>
        <w:spacing w:after="0" w:line="20" w:lineRule="exact"/>
        <w:rPr>
          <w:sz w:val="24"/>
          <w:szCs w:val="24"/>
          <w:color w:val="auto"/>
        </w:rPr>
      </w:pPr>
      <w:r>
        <w:rPr>
          <w:sz w:val="24"/>
          <w:szCs w:val="24"/>
          <w:color w:val="auto"/>
        </w:rPr>
        <w:br w:type="column"/>
      </w:r>
    </w:p>
    <w:p>
      <w:pPr>
        <w:spacing w:after="0" w:line="23" w:lineRule="exact"/>
        <w:rPr>
          <w:sz w:val="24"/>
          <w:szCs w:val="24"/>
          <w:color w:val="auto"/>
        </w:rPr>
      </w:pPr>
    </w:p>
    <w:p>
      <w:pPr>
        <w:ind w:left="60"/>
        <w:spacing w:after="0" w:line="161" w:lineRule="exact"/>
        <w:rPr>
          <w:sz w:val="20"/>
          <w:szCs w:val="20"/>
          <w:color w:val="auto"/>
        </w:rPr>
      </w:pPr>
      <w:r>
        <w:rPr>
          <w:rFonts w:ascii="MS PGothic" w:cs="MS PGothic" w:eastAsia="MS PGothic" w:hAnsi="MS PGothic"/>
          <w:sz w:val="16"/>
          <w:szCs w:val="16"/>
          <w:color w:val="auto"/>
        </w:rPr>
        <w:t>☒</w:t>
      </w:r>
    </w:p>
    <w:p>
      <w:pPr>
        <w:spacing w:after="0" w:line="98" w:lineRule="exact"/>
        <w:rPr>
          <w:sz w:val="24"/>
          <w:szCs w:val="24"/>
          <w:color w:val="auto"/>
        </w:rPr>
      </w:pPr>
    </w:p>
    <w:p>
      <w:pPr>
        <w:spacing w:after="0" w:line="181" w:lineRule="exact"/>
        <w:rPr>
          <w:sz w:val="20"/>
          <w:szCs w:val="20"/>
          <w:color w:val="auto"/>
        </w:rPr>
      </w:pP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br w:type="column"/>
      </w:r>
    </w:p>
    <w:p>
      <w:pPr>
        <w:spacing w:after="0" w:line="56" w:lineRule="exact"/>
        <w:rPr>
          <w:sz w:val="24"/>
          <w:szCs w:val="24"/>
          <w:color w:val="auto"/>
        </w:rPr>
      </w:pPr>
    </w:p>
    <w:p>
      <w:pPr>
        <w:ind w:left="60"/>
        <w:spacing w:after="0"/>
        <w:rPr>
          <w:sz w:val="20"/>
          <w:szCs w:val="20"/>
          <w:color w:val="auto"/>
        </w:rPr>
      </w:pPr>
      <w:r>
        <w:rPr>
          <w:rFonts w:ascii="Arial" w:cs="Arial" w:eastAsia="Arial" w:hAnsi="Arial"/>
          <w:sz w:val="18"/>
          <w:szCs w:val="18"/>
          <w:color w:val="auto"/>
        </w:rPr>
        <w:t>Accelerated Filer</w:t>
      </w:r>
    </w:p>
    <w:p>
      <w:pPr>
        <w:spacing w:after="0" w:line="23" w:lineRule="exact"/>
        <w:rPr>
          <w:sz w:val="24"/>
          <w:szCs w:val="24"/>
          <w:color w:val="auto"/>
        </w:rPr>
      </w:pPr>
    </w:p>
    <w:p>
      <w:pPr>
        <w:spacing w:after="0"/>
        <w:rPr>
          <w:sz w:val="20"/>
          <w:szCs w:val="20"/>
          <w:color w:val="auto"/>
        </w:rPr>
      </w:pPr>
      <w:r>
        <w:rPr>
          <w:rFonts w:ascii="Arial" w:cs="Arial" w:eastAsia="Arial" w:hAnsi="Arial"/>
          <w:sz w:val="16"/>
          <w:szCs w:val="16"/>
          <w:color w:val="auto"/>
        </w:rPr>
        <w:t>Smaller Reporting Company</w:t>
      </w:r>
    </w:p>
    <w:p>
      <w:pPr>
        <w:spacing w:after="0" w:line="32" w:lineRule="exact"/>
        <w:rPr>
          <w:sz w:val="24"/>
          <w:szCs w:val="24"/>
          <w:color w:val="auto"/>
        </w:rPr>
      </w:pPr>
    </w:p>
    <w:p>
      <w:pPr>
        <w:ind w:left="20"/>
        <w:spacing w:after="0"/>
        <w:rPr>
          <w:sz w:val="20"/>
          <w:szCs w:val="20"/>
          <w:color w:val="auto"/>
        </w:rPr>
      </w:pPr>
      <w:r>
        <w:rPr>
          <w:rFonts w:ascii="Arial" w:cs="Arial" w:eastAsia="Arial" w:hAnsi="Arial"/>
          <w:sz w:val="16"/>
          <w:szCs w:val="16"/>
          <w:color w:val="auto"/>
        </w:rPr>
        <w:t>Emerging Growth Company</w:t>
      </w:r>
    </w:p>
    <w:p>
      <w:pPr>
        <w:spacing w:after="0" w:line="20" w:lineRule="exact"/>
        <w:rPr>
          <w:sz w:val="24"/>
          <w:szCs w:val="24"/>
          <w:color w:val="auto"/>
        </w:rPr>
      </w:pPr>
      <w:r>
        <w:rPr>
          <w:sz w:val="24"/>
          <w:szCs w:val="24"/>
          <w:color w:val="auto"/>
        </w:rPr>
        <w:br w:type="column"/>
      </w:r>
    </w:p>
    <w:p>
      <w:pPr>
        <w:spacing w:after="0" w:line="23" w:lineRule="exact"/>
        <w:rPr>
          <w:sz w:val="24"/>
          <w:szCs w:val="24"/>
          <w:color w:val="auto"/>
        </w:rPr>
      </w:pPr>
    </w:p>
    <w:p>
      <w:pPr>
        <w:spacing w:after="0" w:line="161" w:lineRule="exact"/>
        <w:rPr>
          <w:sz w:val="20"/>
          <w:szCs w:val="20"/>
          <w:color w:val="auto"/>
        </w:rPr>
      </w:pPr>
      <w:r>
        <w:rPr>
          <w:rFonts w:ascii="MS PGothic" w:cs="MS PGothic" w:eastAsia="MS PGothic" w:hAnsi="MS PGothic"/>
          <w:sz w:val="16"/>
          <w:szCs w:val="16"/>
          <w:color w:val="auto"/>
        </w:rPr>
        <w:t>☐</w:t>
      </w:r>
    </w:p>
    <w:p>
      <w:pPr>
        <w:spacing w:after="0" w:line="98" w:lineRule="exact"/>
        <w:rPr>
          <w:sz w:val="24"/>
          <w:szCs w:val="24"/>
          <w:color w:val="auto"/>
        </w:rPr>
      </w:pPr>
    </w:p>
    <w:p>
      <w:pPr>
        <w:spacing w:after="0" w:line="161" w:lineRule="exact"/>
        <w:rPr>
          <w:sz w:val="20"/>
          <w:szCs w:val="20"/>
          <w:color w:val="auto"/>
        </w:rPr>
      </w:pPr>
      <w:r>
        <w:rPr>
          <w:rFonts w:ascii="MS PGothic" w:cs="MS PGothic" w:eastAsia="MS PGothic" w:hAnsi="MS PGothic"/>
          <w:sz w:val="16"/>
          <w:szCs w:val="16"/>
          <w:color w:val="auto"/>
        </w:rPr>
        <w:t>☐</w:t>
      </w:r>
    </w:p>
    <w:p>
      <w:pPr>
        <w:spacing w:after="0" w:line="56" w:lineRule="exact"/>
        <w:rPr>
          <w:sz w:val="24"/>
          <w:szCs w:val="24"/>
          <w:color w:val="auto"/>
        </w:rPr>
      </w:pPr>
    </w:p>
    <w:p>
      <w:pPr>
        <w:spacing w:after="0" w:line="161" w:lineRule="exact"/>
        <w:rPr>
          <w:sz w:val="20"/>
          <w:szCs w:val="20"/>
          <w:color w:val="auto"/>
        </w:rPr>
      </w:pPr>
      <w:r>
        <w:rPr>
          <w:rFonts w:ascii="MS PGothic" w:cs="MS PGothic" w:eastAsia="MS PGothic" w:hAnsi="MS PGothic"/>
          <w:sz w:val="16"/>
          <w:szCs w:val="16"/>
          <w:color w:val="auto"/>
        </w:rPr>
        <w:t>☐</w:t>
      </w:r>
    </w:p>
    <w:p>
      <w:pPr>
        <w:spacing w:after="0" w:line="140" w:lineRule="exact"/>
        <w:rPr>
          <w:sz w:val="24"/>
          <w:szCs w:val="24"/>
          <w:color w:val="auto"/>
        </w:rPr>
      </w:pPr>
    </w:p>
    <w:p>
      <w:pPr>
        <w:sectPr>
          <w:pgSz w:w="11900" w:h="16838" w:orient="portrait"/>
          <w:cols w:equalWidth="0" w:num="4">
            <w:col w:w="1710" w:space="160"/>
            <w:col w:w="5180" w:space="720"/>
            <w:col w:w="2060" w:space="220"/>
            <w:col w:w="180"/>
          </w:cols>
          <w:pgMar w:left="830" w:top="665" w:right="839" w:bottom="1440" w:gutter="0" w:footer="0" w:header="0"/>
          <w:type w:val="continuous"/>
        </w:sectPr>
      </w:pPr>
    </w:p>
    <w:p>
      <w:pPr>
        <w:ind w:left="10" w:right="340" w:firstLine="648"/>
        <w:spacing w:after="0" w:line="234" w:lineRule="exact"/>
        <w:rPr>
          <w:sz w:val="20"/>
          <w:szCs w:val="20"/>
          <w:color w:val="auto"/>
        </w:rPr>
      </w:pPr>
      <w:r>
        <w:rPr>
          <w:rFonts w:ascii="Arial" w:cs="Arial" w:eastAsia="Arial" w:hAnsi="Arial"/>
          <w:sz w:val="16"/>
          <w:szCs w:val="16"/>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6"/>
          <w:szCs w:val="16"/>
          <w:color w:val="auto"/>
        </w:rPr>
        <w:t>☐</w:t>
      </w:r>
    </w:p>
    <w:p>
      <w:pPr>
        <w:spacing w:after="0" w:line="28" w:lineRule="exact"/>
        <w:rPr>
          <w:sz w:val="24"/>
          <w:szCs w:val="24"/>
          <w:color w:val="auto"/>
        </w:rPr>
      </w:pPr>
    </w:p>
    <w:p>
      <w:pPr>
        <w:ind w:left="650" w:right="120"/>
        <w:spacing w:after="0" w:line="287" w:lineRule="exact"/>
        <w:rPr>
          <w:sz w:val="20"/>
          <w:szCs w:val="20"/>
          <w:color w:val="auto"/>
        </w:rPr>
      </w:pPr>
      <w:r>
        <w:rPr>
          <w:rFonts w:ascii="Arial" w:cs="Arial" w:eastAsia="Arial" w:hAnsi="Arial"/>
          <w:sz w:val="18"/>
          <w:szCs w:val="18"/>
          <w:color w:val="auto"/>
        </w:rPr>
        <w:t xml:space="preserve">Indicate by check mark whether the registrant is a shell company (as defined in Rule 12b-2 of the Exchange Act).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r>
        <w:rPr>
          <w:rFonts w:ascii="Arial" w:cs="Arial" w:eastAsia="Arial" w:hAnsi="Arial"/>
          <w:sz w:val="18"/>
          <w:szCs w:val="18"/>
          <w:color w:val="auto"/>
        </w:rPr>
        <w:t xml:space="preserve"> The total number of shares of common stock outstanding as of May 3, 2021, was 46,344,811.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-1270</wp:posOffset>
            </wp:positionH>
            <wp:positionV relativeFrom="paragraph">
              <wp:posOffset>506095</wp:posOffset>
            </wp:positionV>
            <wp:extent cx="6497955" cy="2540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497955" cy="25400"/>
                    </a:xfrm>
                    <a:prstGeom prst="rect">
                      <a:avLst/>
                    </a:prstGeom>
                    <a:noFill/>
                  </pic:spPr>
                </pic:pic>
              </a:graphicData>
            </a:graphic>
          </wp:anchor>
        </w:drawing>
        <w:drawing>
          <wp:anchor simplePos="0" relativeHeight="251657728" behindDoc="1" locked="0" layoutInCell="0" allowOverlap="1">
            <wp:simplePos x="0" y="0"/>
            <wp:positionH relativeFrom="column">
              <wp:posOffset>-1270</wp:posOffset>
            </wp:positionH>
            <wp:positionV relativeFrom="paragraph">
              <wp:posOffset>43180</wp:posOffset>
            </wp:positionV>
            <wp:extent cx="6497955"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497955" cy="8890"/>
                    </a:xfrm>
                    <a:prstGeom prst="rect">
                      <a:avLst/>
                    </a:prstGeom>
                    <a:noFill/>
                  </pic:spPr>
                </pic:pic>
              </a:graphicData>
            </a:graphic>
          </wp:anchor>
        </w:drawing>
        <w:drawing>
          <wp:anchor simplePos="0" relativeHeight="251657728" behindDoc="1" locked="0" layoutInCell="0" allowOverlap="1">
            <wp:simplePos x="0" y="0"/>
            <wp:positionH relativeFrom="column">
              <wp:posOffset>-1270</wp:posOffset>
            </wp:positionH>
            <wp:positionV relativeFrom="paragraph">
              <wp:posOffset>86360</wp:posOffset>
            </wp:positionV>
            <wp:extent cx="6497955" cy="342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6497955" cy="34290"/>
                    </a:xfrm>
                    <a:prstGeom prst="rect">
                      <a:avLst/>
                    </a:prstGeom>
                    <a:noFill/>
                  </pic:spPr>
                </pic:pic>
              </a:graphicData>
            </a:graphic>
          </wp:anchor>
        </w:drawing>
      </w:r>
    </w:p>
    <w:p>
      <w:pPr>
        <w:sectPr>
          <w:pgSz w:w="11900" w:h="16838" w:orient="portrait"/>
          <w:cols w:equalWidth="0" w:num="1">
            <w:col w:w="10230"/>
          </w:cols>
          <w:pgMar w:left="830" w:top="665" w:right="839" w:bottom="1440" w:gutter="0" w:footer="0" w:header="0"/>
          <w:type w:val="continuous"/>
        </w:sectPr>
      </w:pPr>
    </w:p>
    <w:bookmarkStart w:id="1" w:name="page2"/>
    <w:bookmarkEnd w:id="1"/>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FORM 10-Q</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INDEX</w:t>
      </w:r>
    </w:p>
    <w:p>
      <w:pPr>
        <w:spacing w:after="0" w:line="216" w:lineRule="exact"/>
        <w:rPr>
          <w:sz w:val="20"/>
          <w:szCs w:val="20"/>
          <w:color w:val="auto"/>
        </w:rPr>
      </w:pPr>
    </w:p>
    <w:tbl>
      <w:tblPr>
        <w:tblLayout w:type="fixed"/>
        <w:tblInd w:w="60" w:type="dxa"/>
        <w:tblCellMar>
          <w:top w:w="0" w:type="dxa"/>
          <w:left w:w="0" w:type="dxa"/>
          <w:bottom w:w="0" w:type="dxa"/>
          <w:right w:w="0" w:type="dxa"/>
        </w:tblCellMar>
      </w:tblPr>
      <w:tr>
        <w:trPr>
          <w:trHeight w:val="171"/>
        </w:trPr>
        <w:tc>
          <w:tcPr>
            <w:tcW w:w="8480" w:type="dxa"/>
            <w:vAlign w:val="bottom"/>
            <w:gridSpan w:val="14"/>
            <w:vMerge w:val="restart"/>
          </w:tcPr>
          <w:p>
            <w:pPr>
              <w:spacing w:after="0"/>
              <w:rPr>
                <w:rFonts w:ascii="Arial" w:cs="Arial" w:eastAsia="Arial" w:hAnsi="Arial"/>
                <w:sz w:val="18"/>
                <w:szCs w:val="18"/>
                <w:b w:val="1"/>
                <w:bCs w:val="1"/>
                <w:color w:val="0000EE"/>
              </w:rPr>
            </w:pPr>
            <w:hyperlink w:anchor="page3">
              <w:r>
                <w:rPr>
                  <w:rFonts w:ascii="Arial" w:cs="Arial" w:eastAsia="Arial" w:hAnsi="Arial"/>
                  <w:sz w:val="18"/>
                  <w:szCs w:val="18"/>
                  <w:b w:val="1"/>
                  <w:bCs w:val="1"/>
                  <w:color w:val="0000EE"/>
                </w:rPr>
                <w:t>PART I – FINANCIAL INFORMATION</w:t>
              </w:r>
            </w:hyperlink>
          </w:p>
        </w:tc>
        <w:tc>
          <w:tcPr>
            <w:tcW w:w="420" w:type="dxa"/>
            <w:vAlign w:val="bottom"/>
            <w:gridSpan w:val="2"/>
          </w:tcPr>
          <w:p>
            <w:pPr>
              <w:jc w:val="right"/>
              <w:ind w:right="60"/>
              <w:spacing w:after="0"/>
              <w:rPr>
                <w:sz w:val="20"/>
                <w:szCs w:val="20"/>
                <w:color w:val="auto"/>
              </w:rPr>
            </w:pPr>
            <w:r>
              <w:rPr>
                <w:rFonts w:ascii="Arial" w:cs="Arial" w:eastAsia="Arial" w:hAnsi="Arial"/>
                <w:sz w:val="14"/>
                <w:szCs w:val="14"/>
                <w:b w:val="1"/>
                <w:bCs w:val="1"/>
                <w:color w:val="auto"/>
              </w:rPr>
              <w:t>Page</w:t>
            </w:r>
          </w:p>
        </w:tc>
        <w:tc>
          <w:tcPr>
            <w:tcW w:w="0" w:type="dxa"/>
            <w:vAlign w:val="bottom"/>
          </w:tcPr>
          <w:p>
            <w:pPr>
              <w:spacing w:after="0"/>
              <w:rPr>
                <w:sz w:val="1"/>
                <w:szCs w:val="1"/>
                <w:color w:val="auto"/>
              </w:rPr>
            </w:pPr>
          </w:p>
        </w:tc>
      </w:tr>
      <w:tr>
        <w:trPr>
          <w:trHeight w:val="169"/>
        </w:trPr>
        <w:tc>
          <w:tcPr>
            <w:tcW w:w="8480" w:type="dxa"/>
            <w:vAlign w:val="bottom"/>
            <w:gridSpan w:val="14"/>
            <w:vMerge w:val="continue"/>
          </w:tcPr>
          <w:p>
            <w:pPr>
              <w:spacing w:after="0"/>
              <w:rPr>
                <w:sz w:val="14"/>
                <w:szCs w:val="14"/>
                <w:color w:val="auto"/>
              </w:rPr>
            </w:pPr>
          </w:p>
        </w:tc>
        <w:tc>
          <w:tcPr>
            <w:tcW w:w="400" w:type="dxa"/>
            <w:vAlign w:val="bottom"/>
            <w:tcBorders>
              <w:top w:val="single" w:sz="8" w:color="auto"/>
            </w:tcBorders>
          </w:tcPr>
          <w:p>
            <w:pPr>
              <w:jc w:val="right"/>
              <w:spacing w:after="0" w:line="169" w:lineRule="exact"/>
              <w:rPr>
                <w:sz w:val="20"/>
                <w:szCs w:val="20"/>
                <w:color w:val="auto"/>
              </w:rPr>
            </w:pPr>
            <w:r>
              <w:rPr>
                <w:rFonts w:ascii="Arial" w:cs="Arial" w:eastAsia="Arial" w:hAnsi="Arial"/>
                <w:sz w:val="18"/>
                <w:szCs w:val="18"/>
                <w:b w:val="1"/>
                <w:bCs w:val="1"/>
                <w:color w:val="auto"/>
              </w:rPr>
              <w:t>3</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12"/>
        </w:trPr>
        <w:tc>
          <w:tcPr>
            <w:tcW w:w="3140" w:type="dxa"/>
            <w:vAlign w:val="bottom"/>
            <w:tcBorders>
              <w:top w:val="single" w:sz="8" w:color="0000EE"/>
            </w:tcBorders>
            <w:gridSpan w:val="10"/>
          </w:tcPr>
          <w:p>
            <w:pPr>
              <w:spacing w:after="0"/>
              <w:rPr>
                <w:rFonts w:ascii="Arial" w:cs="Arial" w:eastAsia="Arial" w:hAnsi="Arial"/>
                <w:sz w:val="18"/>
                <w:szCs w:val="18"/>
                <w:color w:val="0000EE"/>
              </w:rPr>
            </w:pPr>
            <w:hyperlink w:anchor="page3">
              <w:r>
                <w:rPr>
                  <w:rFonts w:ascii="Arial" w:cs="Arial" w:eastAsia="Arial" w:hAnsi="Arial"/>
                  <w:sz w:val="18"/>
                  <w:szCs w:val="18"/>
                  <w:color w:val="0000EE"/>
                </w:rPr>
                <w:t>Item 1 Financial Statements</w:t>
              </w:r>
            </w:hyperlink>
          </w:p>
        </w:tc>
        <w:tc>
          <w:tcPr>
            <w:tcW w:w="5340" w:type="dxa"/>
            <w:vAlign w:val="bottom"/>
            <w:gridSpan w:val="4"/>
          </w:tcPr>
          <w:p>
            <w:pPr>
              <w:spacing w:after="0"/>
              <w:rPr>
                <w:sz w:val="24"/>
                <w:szCs w:val="24"/>
                <w:color w:val="auto"/>
              </w:rPr>
            </w:pPr>
          </w:p>
        </w:tc>
        <w:tc>
          <w:tcPr>
            <w:tcW w:w="420" w:type="dxa"/>
            <w:vAlign w:val="bottom"/>
            <w:gridSpan w:val="2"/>
          </w:tcPr>
          <w:p>
            <w:pPr>
              <w:jc w:val="right"/>
              <w:ind w:right="20"/>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0"/>
        </w:trPr>
        <w:tc>
          <w:tcPr>
            <w:tcW w:w="1100" w:type="dxa"/>
            <w:vAlign w:val="bottom"/>
            <w:gridSpan w:val="2"/>
            <w:shd w:val="clear" w:color="auto" w:fill="0000EE"/>
          </w:tcPr>
          <w:p>
            <w:pPr>
              <w:spacing w:after="0" w:line="20" w:lineRule="exact"/>
              <w:rPr>
                <w:sz w:val="1"/>
                <w:szCs w:val="1"/>
                <w:color w:val="auto"/>
              </w:rPr>
            </w:pPr>
          </w:p>
        </w:tc>
        <w:tc>
          <w:tcPr>
            <w:tcW w:w="44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100" w:type="dxa"/>
            <w:vAlign w:val="bottom"/>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6960" w:type="dxa"/>
            <w:vAlign w:val="bottom"/>
            <w:tcBorders>
              <w:bottom w:val="single" w:sz="8" w:color="0000EE"/>
            </w:tcBorders>
            <w:gridSpan w:val="13"/>
          </w:tcPr>
          <w:p>
            <w:pPr>
              <w:spacing w:after="0" w:line="196" w:lineRule="exact"/>
              <w:rPr>
                <w:rFonts w:ascii="Arial" w:cs="Arial" w:eastAsia="Arial" w:hAnsi="Arial"/>
                <w:sz w:val="18"/>
                <w:szCs w:val="18"/>
                <w:color w:val="0000EE"/>
                <w:w w:val="90"/>
              </w:rPr>
            </w:pPr>
            <w:hyperlink w:anchor="page22">
              <w:r>
                <w:rPr>
                  <w:rFonts w:ascii="Arial" w:cs="Arial" w:eastAsia="Arial" w:hAnsi="Arial"/>
                  <w:sz w:val="18"/>
                  <w:szCs w:val="18"/>
                  <w:color w:val="0000EE"/>
                  <w:w w:val="90"/>
                </w:rPr>
                <w:t>Item 2 Management’s Discussion and Analysis of Financial Condition and Results of Operations</w:t>
              </w:r>
            </w:hyperlink>
          </w:p>
        </w:tc>
        <w:tc>
          <w:tcPr>
            <w:tcW w:w="1520" w:type="dxa"/>
            <w:vAlign w:val="bottom"/>
          </w:tcPr>
          <w:p>
            <w:pPr>
              <w:spacing w:after="0"/>
              <w:rPr>
                <w:sz w:val="17"/>
                <w:szCs w:val="17"/>
                <w:color w:val="auto"/>
              </w:rPr>
            </w:pPr>
          </w:p>
        </w:tc>
        <w:tc>
          <w:tcPr>
            <w:tcW w:w="42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rPr>
              <w:t>22</w:t>
            </w:r>
          </w:p>
        </w:tc>
        <w:tc>
          <w:tcPr>
            <w:tcW w:w="0" w:type="dxa"/>
            <w:vAlign w:val="bottom"/>
          </w:tcPr>
          <w:p>
            <w:pPr>
              <w:spacing w:after="0"/>
              <w:rPr>
                <w:sz w:val="1"/>
                <w:szCs w:val="1"/>
                <w:color w:val="auto"/>
              </w:rPr>
            </w:pPr>
          </w:p>
        </w:tc>
      </w:tr>
      <w:tr>
        <w:trPr>
          <w:trHeight w:val="196"/>
        </w:trPr>
        <w:tc>
          <w:tcPr>
            <w:tcW w:w="4860" w:type="dxa"/>
            <w:vAlign w:val="bottom"/>
            <w:tcBorders>
              <w:bottom w:val="single" w:sz="8" w:color="0000EE"/>
            </w:tcBorders>
            <w:gridSpan w:val="12"/>
          </w:tcPr>
          <w:p>
            <w:pPr>
              <w:spacing w:after="0" w:line="196" w:lineRule="exact"/>
              <w:rPr>
                <w:rFonts w:ascii="Arial" w:cs="Arial" w:eastAsia="Arial" w:hAnsi="Arial"/>
                <w:sz w:val="18"/>
                <w:szCs w:val="18"/>
                <w:color w:val="0000EE"/>
                <w:w w:val="91"/>
              </w:rPr>
            </w:pPr>
            <w:hyperlink w:anchor="page31">
              <w:r>
                <w:rPr>
                  <w:rFonts w:ascii="Arial" w:cs="Arial" w:eastAsia="Arial" w:hAnsi="Arial"/>
                  <w:sz w:val="18"/>
                  <w:szCs w:val="18"/>
                  <w:color w:val="0000EE"/>
                  <w:w w:val="91"/>
                </w:rPr>
                <w:t>Item 3 Quantitative and Qualitative Disclosures About Market Risk</w:t>
              </w:r>
            </w:hyperlink>
          </w:p>
        </w:tc>
        <w:tc>
          <w:tcPr>
            <w:tcW w:w="3620" w:type="dxa"/>
            <w:vAlign w:val="bottom"/>
            <w:gridSpan w:val="2"/>
          </w:tcPr>
          <w:p>
            <w:pPr>
              <w:spacing w:after="0"/>
              <w:rPr>
                <w:sz w:val="17"/>
                <w:szCs w:val="17"/>
                <w:color w:val="auto"/>
              </w:rPr>
            </w:pPr>
          </w:p>
        </w:tc>
        <w:tc>
          <w:tcPr>
            <w:tcW w:w="42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rPr>
              <w:t>31</w:t>
            </w:r>
          </w:p>
        </w:tc>
        <w:tc>
          <w:tcPr>
            <w:tcW w:w="0" w:type="dxa"/>
            <w:vAlign w:val="bottom"/>
          </w:tcPr>
          <w:p>
            <w:pPr>
              <w:spacing w:after="0"/>
              <w:rPr>
                <w:sz w:val="1"/>
                <w:szCs w:val="1"/>
                <w:color w:val="auto"/>
              </w:rPr>
            </w:pPr>
          </w:p>
        </w:tc>
      </w:tr>
      <w:tr>
        <w:trPr>
          <w:trHeight w:val="196"/>
        </w:trPr>
        <w:tc>
          <w:tcPr>
            <w:tcW w:w="8480" w:type="dxa"/>
            <w:vAlign w:val="bottom"/>
            <w:gridSpan w:val="14"/>
          </w:tcPr>
          <w:p>
            <w:pPr>
              <w:spacing w:after="0" w:line="196" w:lineRule="exact"/>
              <w:rPr>
                <w:rFonts w:ascii="Arial" w:cs="Arial" w:eastAsia="Arial" w:hAnsi="Arial"/>
                <w:sz w:val="18"/>
                <w:szCs w:val="18"/>
                <w:color w:val="0000EE"/>
              </w:rPr>
            </w:pPr>
            <w:hyperlink w:anchor="page31">
              <w:r>
                <w:rPr>
                  <w:rFonts w:ascii="Arial" w:cs="Arial" w:eastAsia="Arial" w:hAnsi="Arial"/>
                  <w:sz w:val="18"/>
                  <w:szCs w:val="18"/>
                  <w:color w:val="0000EE"/>
                </w:rPr>
                <w:t>Item 4 Controls and Procedures</w:t>
              </w:r>
            </w:hyperlink>
          </w:p>
        </w:tc>
        <w:tc>
          <w:tcPr>
            <w:tcW w:w="42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rPr>
              <w:t>31</w:t>
            </w:r>
          </w:p>
        </w:tc>
        <w:tc>
          <w:tcPr>
            <w:tcW w:w="0" w:type="dxa"/>
            <w:vAlign w:val="bottom"/>
          </w:tcPr>
          <w:p>
            <w:pPr>
              <w:spacing w:after="0"/>
              <w:rPr>
                <w:sz w:val="1"/>
                <w:szCs w:val="1"/>
                <w:color w:val="auto"/>
              </w:rPr>
            </w:pPr>
          </w:p>
        </w:tc>
      </w:tr>
      <w:tr>
        <w:trPr>
          <w:trHeight w:val="20"/>
        </w:trPr>
        <w:tc>
          <w:tcPr>
            <w:tcW w:w="1100" w:type="dxa"/>
            <w:vAlign w:val="bottom"/>
            <w:gridSpan w:val="2"/>
            <w:shd w:val="clear" w:color="auto" w:fill="0000EE"/>
          </w:tcPr>
          <w:p>
            <w:pPr>
              <w:spacing w:after="0" w:line="20" w:lineRule="exact"/>
              <w:rPr>
                <w:sz w:val="1"/>
                <w:szCs w:val="1"/>
                <w:color w:val="auto"/>
              </w:rPr>
            </w:pPr>
          </w:p>
        </w:tc>
        <w:tc>
          <w:tcPr>
            <w:tcW w:w="44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20" w:type="dxa"/>
            <w:vAlign w:val="bottom"/>
            <w:gridSpan w:val="2"/>
            <w:shd w:val="clear" w:color="auto" w:fill="0000EE"/>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0" w:type="dxa"/>
            <w:vAlign w:val="bottom"/>
            <w:gridSpan w:val="2"/>
          </w:tcPr>
          <w:p>
            <w:pPr>
              <w:spacing w:after="0" w:line="20" w:lineRule="exact"/>
              <w:rPr>
                <w:sz w:val="1"/>
                <w:szCs w:val="1"/>
                <w:color w:val="auto"/>
              </w:rPr>
            </w:pPr>
          </w:p>
        </w:tc>
        <w:tc>
          <w:tcPr>
            <w:tcW w:w="3640" w:type="dxa"/>
            <w:vAlign w:val="bottom"/>
            <w:gridSpan w:val="3"/>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2"/>
        </w:trPr>
        <w:tc>
          <w:tcPr>
            <w:tcW w:w="8480" w:type="dxa"/>
            <w:vAlign w:val="bottom"/>
            <w:gridSpan w:val="14"/>
          </w:tcPr>
          <w:p>
            <w:pPr>
              <w:spacing w:after="0"/>
              <w:rPr>
                <w:rFonts w:ascii="Arial" w:cs="Arial" w:eastAsia="Arial" w:hAnsi="Arial"/>
                <w:sz w:val="18"/>
                <w:szCs w:val="18"/>
                <w:b w:val="1"/>
                <w:bCs w:val="1"/>
                <w:color w:val="0000EE"/>
              </w:rPr>
            </w:pPr>
            <w:hyperlink w:anchor="page32">
              <w:r>
                <w:rPr>
                  <w:rFonts w:ascii="Arial" w:cs="Arial" w:eastAsia="Arial" w:hAnsi="Arial"/>
                  <w:sz w:val="18"/>
                  <w:szCs w:val="18"/>
                  <w:b w:val="1"/>
                  <w:bCs w:val="1"/>
                  <w:color w:val="0000EE"/>
                </w:rPr>
                <w:t>PART II – OTHER INFORMATION</w:t>
              </w:r>
            </w:hyperlink>
          </w:p>
        </w:tc>
        <w:tc>
          <w:tcPr>
            <w:tcW w:w="420" w:type="dxa"/>
            <w:vAlign w:val="bottom"/>
            <w:gridSpan w:val="2"/>
          </w:tcPr>
          <w:p>
            <w:pPr>
              <w:jc w:val="right"/>
              <w:ind w:right="20"/>
              <w:spacing w:after="0"/>
              <w:rPr>
                <w:sz w:val="20"/>
                <w:szCs w:val="20"/>
                <w:color w:val="auto"/>
              </w:rPr>
            </w:pPr>
            <w:r>
              <w:rPr>
                <w:rFonts w:ascii="Arial" w:cs="Arial" w:eastAsia="Arial" w:hAnsi="Arial"/>
                <w:sz w:val="18"/>
                <w:szCs w:val="18"/>
                <w:b w:val="1"/>
                <w:bCs w:val="1"/>
                <w:color w:val="auto"/>
              </w:rPr>
              <w:t>32</w:t>
            </w:r>
          </w:p>
        </w:tc>
        <w:tc>
          <w:tcPr>
            <w:tcW w:w="0" w:type="dxa"/>
            <w:vAlign w:val="bottom"/>
          </w:tcPr>
          <w:p>
            <w:pPr>
              <w:spacing w:after="0"/>
              <w:rPr>
                <w:sz w:val="1"/>
                <w:szCs w:val="1"/>
                <w:color w:val="auto"/>
              </w:rPr>
            </w:pPr>
          </w:p>
        </w:tc>
      </w:tr>
      <w:tr>
        <w:trPr>
          <w:trHeight w:val="412"/>
        </w:trPr>
        <w:tc>
          <w:tcPr>
            <w:tcW w:w="1840" w:type="dxa"/>
            <w:vAlign w:val="bottom"/>
            <w:tcBorders>
              <w:top w:val="single" w:sz="8" w:color="0000EE"/>
              <w:bottom w:val="single" w:sz="8" w:color="0000EE"/>
            </w:tcBorders>
            <w:gridSpan w:val="5"/>
          </w:tcPr>
          <w:p>
            <w:pPr>
              <w:spacing w:after="0"/>
              <w:rPr>
                <w:rFonts w:ascii="Arial" w:cs="Arial" w:eastAsia="Arial" w:hAnsi="Arial"/>
                <w:sz w:val="18"/>
                <w:szCs w:val="18"/>
                <w:color w:val="0000EE"/>
                <w:w w:val="89"/>
              </w:rPr>
            </w:pPr>
            <w:hyperlink w:anchor="page32">
              <w:r>
                <w:rPr>
                  <w:rFonts w:ascii="Arial" w:cs="Arial" w:eastAsia="Arial" w:hAnsi="Arial"/>
                  <w:sz w:val="18"/>
                  <w:szCs w:val="18"/>
                  <w:color w:val="0000EE"/>
                  <w:w w:val="89"/>
                </w:rPr>
                <w:t>Item 1 Legal Proceedings</w:t>
              </w:r>
            </w:hyperlink>
          </w:p>
        </w:tc>
        <w:tc>
          <w:tcPr>
            <w:tcW w:w="1000" w:type="dxa"/>
            <w:vAlign w:val="bottom"/>
            <w:tcBorders>
              <w:top w:val="single" w:sz="8" w:color="0000EE"/>
            </w:tcBorders>
            <w:gridSpan w:val="4"/>
          </w:tcPr>
          <w:p>
            <w:pPr>
              <w:spacing w:after="0"/>
              <w:rPr>
                <w:sz w:val="24"/>
                <w:szCs w:val="24"/>
                <w:color w:val="auto"/>
              </w:rPr>
            </w:pPr>
          </w:p>
        </w:tc>
        <w:tc>
          <w:tcPr>
            <w:tcW w:w="5640" w:type="dxa"/>
            <w:vAlign w:val="bottom"/>
            <w:gridSpan w:val="5"/>
          </w:tcPr>
          <w:p>
            <w:pPr>
              <w:spacing w:after="0"/>
              <w:rPr>
                <w:sz w:val="24"/>
                <w:szCs w:val="24"/>
                <w:color w:val="auto"/>
              </w:rPr>
            </w:pPr>
          </w:p>
        </w:tc>
        <w:tc>
          <w:tcPr>
            <w:tcW w:w="420" w:type="dxa"/>
            <w:vAlign w:val="bottom"/>
            <w:gridSpan w:val="2"/>
          </w:tcPr>
          <w:p>
            <w:pPr>
              <w:jc w:val="right"/>
              <w:ind w:right="20"/>
              <w:spacing w:after="0"/>
              <w:rPr>
                <w:sz w:val="20"/>
                <w:szCs w:val="20"/>
                <w:color w:val="auto"/>
              </w:rPr>
            </w:pPr>
            <w:r>
              <w:rPr>
                <w:rFonts w:ascii="Arial" w:cs="Arial" w:eastAsia="Arial" w:hAnsi="Arial"/>
                <w:sz w:val="18"/>
                <w:szCs w:val="18"/>
                <w:color w:val="auto"/>
              </w:rPr>
              <w:t>32</w:t>
            </w:r>
          </w:p>
        </w:tc>
        <w:tc>
          <w:tcPr>
            <w:tcW w:w="0" w:type="dxa"/>
            <w:vAlign w:val="bottom"/>
          </w:tcPr>
          <w:p>
            <w:pPr>
              <w:spacing w:after="0"/>
              <w:rPr>
                <w:sz w:val="1"/>
                <w:szCs w:val="1"/>
                <w:color w:val="auto"/>
              </w:rPr>
            </w:pPr>
          </w:p>
        </w:tc>
      </w:tr>
      <w:tr>
        <w:trPr>
          <w:trHeight w:val="196"/>
        </w:trPr>
        <w:tc>
          <w:tcPr>
            <w:tcW w:w="1540" w:type="dxa"/>
            <w:vAlign w:val="bottom"/>
            <w:tcBorders>
              <w:bottom w:val="single" w:sz="8" w:color="0000EE"/>
            </w:tcBorders>
            <w:gridSpan w:val="3"/>
          </w:tcPr>
          <w:p>
            <w:pPr>
              <w:spacing w:after="0" w:line="196" w:lineRule="exact"/>
              <w:rPr>
                <w:rFonts w:ascii="Arial" w:cs="Arial" w:eastAsia="Arial" w:hAnsi="Arial"/>
                <w:sz w:val="18"/>
                <w:szCs w:val="18"/>
                <w:color w:val="0000EE"/>
                <w:w w:val="90"/>
              </w:rPr>
            </w:pPr>
            <w:hyperlink w:anchor="page32">
              <w:r>
                <w:rPr>
                  <w:rFonts w:ascii="Arial" w:cs="Arial" w:eastAsia="Arial" w:hAnsi="Arial"/>
                  <w:sz w:val="18"/>
                  <w:szCs w:val="18"/>
                  <w:color w:val="0000EE"/>
                  <w:w w:val="90"/>
                </w:rPr>
                <w:t>Item 1A Risk Factors</w:t>
              </w:r>
            </w:hyperlink>
          </w:p>
        </w:tc>
        <w:tc>
          <w:tcPr>
            <w:tcW w:w="6940" w:type="dxa"/>
            <w:vAlign w:val="bottom"/>
            <w:gridSpan w:val="11"/>
          </w:tcPr>
          <w:p>
            <w:pPr>
              <w:spacing w:after="0"/>
              <w:rPr>
                <w:sz w:val="17"/>
                <w:szCs w:val="17"/>
                <w:color w:val="auto"/>
              </w:rPr>
            </w:pPr>
          </w:p>
        </w:tc>
        <w:tc>
          <w:tcPr>
            <w:tcW w:w="42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rPr>
              <w:t>32</w:t>
            </w:r>
          </w:p>
        </w:tc>
        <w:tc>
          <w:tcPr>
            <w:tcW w:w="0" w:type="dxa"/>
            <w:vAlign w:val="bottom"/>
          </w:tcPr>
          <w:p>
            <w:pPr>
              <w:spacing w:after="0"/>
              <w:rPr>
                <w:sz w:val="1"/>
                <w:szCs w:val="1"/>
                <w:color w:val="auto"/>
              </w:rPr>
            </w:pPr>
          </w:p>
        </w:tc>
      </w:tr>
      <w:tr>
        <w:trPr>
          <w:trHeight w:val="196"/>
        </w:trPr>
        <w:tc>
          <w:tcPr>
            <w:tcW w:w="8480" w:type="dxa"/>
            <w:vAlign w:val="bottom"/>
            <w:gridSpan w:val="14"/>
          </w:tcPr>
          <w:p>
            <w:pPr>
              <w:spacing w:after="0" w:line="196" w:lineRule="exact"/>
              <w:rPr>
                <w:rFonts w:ascii="Arial" w:cs="Arial" w:eastAsia="Arial" w:hAnsi="Arial"/>
                <w:sz w:val="18"/>
                <w:szCs w:val="18"/>
                <w:color w:val="0000EE"/>
              </w:rPr>
            </w:pPr>
            <w:hyperlink w:anchor="page32">
              <w:r>
                <w:rPr>
                  <w:rFonts w:ascii="Arial" w:cs="Arial" w:eastAsia="Arial" w:hAnsi="Arial"/>
                  <w:sz w:val="18"/>
                  <w:szCs w:val="18"/>
                  <w:color w:val="0000EE"/>
                </w:rPr>
                <w:t>Item 2 Unregistered Sales of Equity Securities and Use of Proceeds</w:t>
              </w:r>
            </w:hyperlink>
          </w:p>
        </w:tc>
        <w:tc>
          <w:tcPr>
            <w:tcW w:w="42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rPr>
              <w:t>32</w:t>
            </w:r>
          </w:p>
        </w:tc>
        <w:tc>
          <w:tcPr>
            <w:tcW w:w="0" w:type="dxa"/>
            <w:vAlign w:val="bottom"/>
          </w:tcPr>
          <w:p>
            <w:pPr>
              <w:spacing w:after="0"/>
              <w:rPr>
                <w:sz w:val="1"/>
                <w:szCs w:val="1"/>
                <w:color w:val="auto"/>
              </w:rPr>
            </w:pPr>
          </w:p>
        </w:tc>
      </w:tr>
      <w:tr>
        <w:trPr>
          <w:trHeight w:val="196"/>
        </w:trPr>
        <w:tc>
          <w:tcPr>
            <w:tcW w:w="480" w:type="dxa"/>
            <w:vAlign w:val="bottom"/>
            <w:tcBorders>
              <w:top w:val="single" w:sz="8" w:color="0000EE"/>
            </w:tcBorders>
          </w:tcPr>
          <w:p>
            <w:pPr>
              <w:spacing w:after="0" w:line="196" w:lineRule="exact"/>
              <w:rPr>
                <w:rFonts w:ascii="Arial" w:cs="Arial" w:eastAsia="Arial" w:hAnsi="Arial"/>
                <w:sz w:val="18"/>
                <w:szCs w:val="18"/>
                <w:color w:val="0000EE"/>
                <w:w w:val="91"/>
              </w:rPr>
            </w:pPr>
            <w:hyperlink w:anchor="page33">
              <w:r>
                <w:rPr>
                  <w:rFonts w:ascii="Arial" w:cs="Arial" w:eastAsia="Arial" w:hAnsi="Arial"/>
                  <w:sz w:val="18"/>
                  <w:szCs w:val="18"/>
                  <w:color w:val="0000EE"/>
                  <w:w w:val="91"/>
                </w:rPr>
                <w:t>Item 3</w:t>
              </w:r>
            </w:hyperlink>
          </w:p>
        </w:tc>
        <w:tc>
          <w:tcPr>
            <w:tcW w:w="4360" w:type="dxa"/>
            <w:vAlign w:val="bottom"/>
            <w:tcBorders>
              <w:top w:val="single" w:sz="8" w:color="0000EE"/>
            </w:tcBorders>
            <w:gridSpan w:val="10"/>
          </w:tcPr>
          <w:p>
            <w:pPr>
              <w:ind w:left="20"/>
              <w:spacing w:after="0" w:line="196" w:lineRule="exact"/>
              <w:rPr>
                <w:rFonts w:ascii="Arial" w:cs="Arial" w:eastAsia="Arial" w:hAnsi="Arial"/>
                <w:sz w:val="18"/>
                <w:szCs w:val="18"/>
                <w:color w:val="0000EE"/>
              </w:rPr>
            </w:pPr>
            <w:hyperlink w:anchor="page33">
              <w:r>
                <w:rPr>
                  <w:rFonts w:ascii="Arial" w:cs="Arial" w:eastAsia="Arial" w:hAnsi="Arial"/>
                  <w:sz w:val="18"/>
                  <w:szCs w:val="18"/>
                  <w:color w:val="0000EE"/>
                </w:rPr>
                <w:t>Defaults Upon Senior Securities</w:t>
              </w:r>
            </w:hyperlink>
          </w:p>
        </w:tc>
        <w:tc>
          <w:tcPr>
            <w:tcW w:w="3640" w:type="dxa"/>
            <w:vAlign w:val="bottom"/>
            <w:gridSpan w:val="3"/>
          </w:tcPr>
          <w:p>
            <w:pPr>
              <w:spacing w:after="0"/>
              <w:rPr>
                <w:sz w:val="17"/>
                <w:szCs w:val="17"/>
                <w:color w:val="auto"/>
              </w:rPr>
            </w:pPr>
          </w:p>
        </w:tc>
        <w:tc>
          <w:tcPr>
            <w:tcW w:w="42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rPr>
              <w:t>33</w:t>
            </w:r>
          </w:p>
        </w:tc>
        <w:tc>
          <w:tcPr>
            <w:tcW w:w="0" w:type="dxa"/>
            <w:vAlign w:val="bottom"/>
          </w:tcPr>
          <w:p>
            <w:pPr>
              <w:spacing w:after="0"/>
              <w:rPr>
                <w:sz w:val="1"/>
                <w:szCs w:val="1"/>
                <w:color w:val="auto"/>
              </w:rPr>
            </w:pPr>
          </w:p>
        </w:tc>
      </w:tr>
      <w:tr>
        <w:trPr>
          <w:trHeight w:val="196"/>
        </w:trPr>
        <w:tc>
          <w:tcPr>
            <w:tcW w:w="480" w:type="dxa"/>
            <w:vAlign w:val="bottom"/>
            <w:tcBorders>
              <w:top w:val="single" w:sz="8" w:color="0000EE"/>
            </w:tcBorders>
          </w:tcPr>
          <w:p>
            <w:pPr>
              <w:spacing w:after="0" w:line="196" w:lineRule="exact"/>
              <w:rPr>
                <w:rFonts w:ascii="Arial" w:cs="Arial" w:eastAsia="Arial" w:hAnsi="Arial"/>
                <w:sz w:val="18"/>
                <w:szCs w:val="18"/>
                <w:color w:val="0000EE"/>
                <w:w w:val="91"/>
              </w:rPr>
            </w:pPr>
            <w:hyperlink w:anchor="page33">
              <w:r>
                <w:rPr>
                  <w:rFonts w:ascii="Arial" w:cs="Arial" w:eastAsia="Arial" w:hAnsi="Arial"/>
                  <w:sz w:val="18"/>
                  <w:szCs w:val="18"/>
                  <w:color w:val="0000EE"/>
                  <w:w w:val="91"/>
                </w:rPr>
                <w:t>Item 4</w:t>
              </w:r>
            </w:hyperlink>
          </w:p>
        </w:tc>
        <w:tc>
          <w:tcPr>
            <w:tcW w:w="2340" w:type="dxa"/>
            <w:vAlign w:val="bottom"/>
            <w:tcBorders>
              <w:top w:val="single" w:sz="8" w:color="0000EE"/>
            </w:tcBorders>
            <w:gridSpan w:val="7"/>
          </w:tcPr>
          <w:p>
            <w:pPr>
              <w:ind w:left="20"/>
              <w:spacing w:after="0" w:line="196" w:lineRule="exact"/>
              <w:rPr>
                <w:rFonts w:ascii="Arial" w:cs="Arial" w:eastAsia="Arial" w:hAnsi="Arial"/>
                <w:sz w:val="18"/>
                <w:szCs w:val="18"/>
                <w:color w:val="0000EE"/>
              </w:rPr>
            </w:pPr>
            <w:hyperlink w:anchor="page33">
              <w:r>
                <w:rPr>
                  <w:rFonts w:ascii="Arial" w:cs="Arial" w:eastAsia="Arial" w:hAnsi="Arial"/>
                  <w:sz w:val="18"/>
                  <w:szCs w:val="18"/>
                  <w:color w:val="0000EE"/>
                </w:rPr>
                <w:t>Mine Safety Disclosures</w:t>
              </w:r>
            </w:hyperlink>
          </w:p>
        </w:tc>
        <w:tc>
          <w:tcPr>
            <w:tcW w:w="5660" w:type="dxa"/>
            <w:vAlign w:val="bottom"/>
            <w:gridSpan w:val="6"/>
          </w:tcPr>
          <w:p>
            <w:pPr>
              <w:spacing w:after="0"/>
              <w:rPr>
                <w:sz w:val="17"/>
                <w:szCs w:val="17"/>
                <w:color w:val="auto"/>
              </w:rPr>
            </w:pPr>
          </w:p>
        </w:tc>
        <w:tc>
          <w:tcPr>
            <w:tcW w:w="42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rPr>
              <w:t>33</w:t>
            </w:r>
          </w:p>
        </w:tc>
        <w:tc>
          <w:tcPr>
            <w:tcW w:w="0" w:type="dxa"/>
            <w:vAlign w:val="bottom"/>
          </w:tcPr>
          <w:p>
            <w:pPr>
              <w:spacing w:after="0"/>
              <w:rPr>
                <w:sz w:val="1"/>
                <w:szCs w:val="1"/>
                <w:color w:val="auto"/>
              </w:rPr>
            </w:pPr>
          </w:p>
        </w:tc>
      </w:tr>
      <w:tr>
        <w:trPr>
          <w:trHeight w:val="196"/>
        </w:trPr>
        <w:tc>
          <w:tcPr>
            <w:tcW w:w="480" w:type="dxa"/>
            <w:vAlign w:val="bottom"/>
            <w:tcBorders>
              <w:top w:val="single" w:sz="8" w:color="0000EE"/>
              <w:bottom w:val="single" w:sz="8" w:color="0000EE"/>
            </w:tcBorders>
          </w:tcPr>
          <w:p>
            <w:pPr>
              <w:spacing w:after="0" w:line="196" w:lineRule="exact"/>
              <w:rPr>
                <w:rFonts w:ascii="Arial" w:cs="Arial" w:eastAsia="Arial" w:hAnsi="Arial"/>
                <w:sz w:val="18"/>
                <w:szCs w:val="18"/>
                <w:color w:val="0000EE"/>
                <w:w w:val="91"/>
              </w:rPr>
            </w:pPr>
            <w:hyperlink w:anchor="page33">
              <w:r>
                <w:rPr>
                  <w:rFonts w:ascii="Arial" w:cs="Arial" w:eastAsia="Arial" w:hAnsi="Arial"/>
                  <w:sz w:val="18"/>
                  <w:szCs w:val="18"/>
                  <w:color w:val="0000EE"/>
                  <w:w w:val="91"/>
                </w:rPr>
                <w:t>Item 5</w:t>
              </w:r>
            </w:hyperlink>
          </w:p>
        </w:tc>
        <w:tc>
          <w:tcPr>
            <w:tcW w:w="1340" w:type="dxa"/>
            <w:vAlign w:val="bottom"/>
            <w:tcBorders>
              <w:top w:val="single" w:sz="8" w:color="0000EE"/>
              <w:bottom w:val="single" w:sz="8" w:color="0000EE"/>
            </w:tcBorders>
            <w:gridSpan w:val="3"/>
          </w:tcPr>
          <w:p>
            <w:pPr>
              <w:ind w:left="20"/>
              <w:spacing w:after="0" w:line="196" w:lineRule="exact"/>
              <w:rPr>
                <w:rFonts w:ascii="Arial" w:cs="Arial" w:eastAsia="Arial" w:hAnsi="Arial"/>
                <w:sz w:val="18"/>
                <w:szCs w:val="18"/>
                <w:color w:val="0000EE"/>
                <w:w w:val="92"/>
              </w:rPr>
            </w:pPr>
            <w:hyperlink w:anchor="page33">
              <w:r>
                <w:rPr>
                  <w:rFonts w:ascii="Arial" w:cs="Arial" w:eastAsia="Arial" w:hAnsi="Arial"/>
                  <w:sz w:val="18"/>
                  <w:szCs w:val="18"/>
                  <w:color w:val="0000EE"/>
                  <w:w w:val="92"/>
                </w:rPr>
                <w:t>Other Information</w:t>
              </w:r>
            </w:hyperlink>
          </w:p>
        </w:tc>
        <w:tc>
          <w:tcPr>
            <w:tcW w:w="440" w:type="dxa"/>
            <w:vAlign w:val="bottom"/>
            <w:tcBorders>
              <w:top w:val="single" w:sz="8" w:color="0000EE"/>
            </w:tcBorders>
            <w:gridSpan w:val="3"/>
          </w:tcPr>
          <w:p>
            <w:pPr>
              <w:spacing w:after="0"/>
              <w:rPr>
                <w:sz w:val="17"/>
                <w:szCs w:val="17"/>
                <w:color w:val="auto"/>
              </w:rPr>
            </w:pPr>
          </w:p>
        </w:tc>
        <w:tc>
          <w:tcPr>
            <w:tcW w:w="6220" w:type="dxa"/>
            <w:vAlign w:val="bottom"/>
            <w:gridSpan w:val="7"/>
          </w:tcPr>
          <w:p>
            <w:pPr>
              <w:spacing w:after="0"/>
              <w:rPr>
                <w:sz w:val="17"/>
                <w:szCs w:val="17"/>
                <w:color w:val="auto"/>
              </w:rPr>
            </w:pPr>
          </w:p>
        </w:tc>
        <w:tc>
          <w:tcPr>
            <w:tcW w:w="42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rPr>
              <w:t>33</w:t>
            </w:r>
          </w:p>
        </w:tc>
        <w:tc>
          <w:tcPr>
            <w:tcW w:w="0" w:type="dxa"/>
            <w:vAlign w:val="bottom"/>
          </w:tcPr>
          <w:p>
            <w:pPr>
              <w:spacing w:after="0"/>
              <w:rPr>
                <w:sz w:val="1"/>
                <w:szCs w:val="1"/>
                <w:color w:val="auto"/>
              </w:rPr>
            </w:pPr>
          </w:p>
        </w:tc>
      </w:tr>
      <w:tr>
        <w:trPr>
          <w:trHeight w:val="196"/>
        </w:trPr>
        <w:tc>
          <w:tcPr>
            <w:tcW w:w="480" w:type="dxa"/>
            <w:vAlign w:val="bottom"/>
            <w:tcBorders>
              <w:bottom w:val="single" w:sz="8" w:color="0000EE"/>
            </w:tcBorders>
          </w:tcPr>
          <w:p>
            <w:pPr>
              <w:spacing w:after="0" w:line="196" w:lineRule="exact"/>
              <w:rPr>
                <w:rFonts w:ascii="Arial" w:cs="Arial" w:eastAsia="Arial" w:hAnsi="Arial"/>
                <w:sz w:val="18"/>
                <w:szCs w:val="18"/>
                <w:color w:val="0000EE"/>
                <w:w w:val="91"/>
              </w:rPr>
            </w:pPr>
            <w:hyperlink w:anchor="page33">
              <w:r>
                <w:rPr>
                  <w:rFonts w:ascii="Arial" w:cs="Arial" w:eastAsia="Arial" w:hAnsi="Arial"/>
                  <w:sz w:val="18"/>
                  <w:szCs w:val="18"/>
                  <w:color w:val="0000EE"/>
                  <w:w w:val="91"/>
                </w:rPr>
                <w:t>Item 6</w:t>
              </w:r>
            </w:hyperlink>
          </w:p>
        </w:tc>
        <w:tc>
          <w:tcPr>
            <w:tcW w:w="620" w:type="dxa"/>
            <w:vAlign w:val="bottom"/>
            <w:tcBorders>
              <w:bottom w:val="single" w:sz="8" w:color="0000EE"/>
            </w:tcBorders>
          </w:tcPr>
          <w:p>
            <w:pPr>
              <w:ind w:left="20"/>
              <w:spacing w:after="0" w:line="196" w:lineRule="exact"/>
              <w:rPr>
                <w:rFonts w:ascii="Arial" w:cs="Arial" w:eastAsia="Arial" w:hAnsi="Arial"/>
                <w:sz w:val="18"/>
                <w:szCs w:val="18"/>
                <w:color w:val="0000EE"/>
                <w:w w:val="91"/>
              </w:rPr>
            </w:pPr>
            <w:hyperlink w:anchor="page33">
              <w:r>
                <w:rPr>
                  <w:rFonts w:ascii="Arial" w:cs="Arial" w:eastAsia="Arial" w:hAnsi="Arial"/>
                  <w:sz w:val="18"/>
                  <w:szCs w:val="18"/>
                  <w:color w:val="0000EE"/>
                  <w:w w:val="91"/>
                </w:rPr>
                <w:t>Exhibits</w:t>
              </w:r>
            </w:hyperlink>
          </w:p>
        </w:tc>
        <w:tc>
          <w:tcPr>
            <w:tcW w:w="7380" w:type="dxa"/>
            <w:vAlign w:val="bottom"/>
            <w:gridSpan w:val="12"/>
          </w:tcPr>
          <w:p>
            <w:pPr>
              <w:spacing w:after="0"/>
              <w:rPr>
                <w:sz w:val="17"/>
                <w:szCs w:val="17"/>
                <w:color w:val="auto"/>
              </w:rPr>
            </w:pPr>
          </w:p>
        </w:tc>
        <w:tc>
          <w:tcPr>
            <w:tcW w:w="42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rPr>
              <w:t>33</w:t>
            </w:r>
          </w:p>
        </w:tc>
        <w:tc>
          <w:tcPr>
            <w:tcW w:w="0" w:type="dxa"/>
            <w:vAlign w:val="bottom"/>
          </w:tcPr>
          <w:p>
            <w:pPr>
              <w:spacing w:after="0"/>
              <w:rPr>
                <w:sz w:val="1"/>
                <w:szCs w:val="1"/>
                <w:color w:val="auto"/>
              </w:rPr>
            </w:pPr>
          </w:p>
        </w:tc>
      </w:tr>
      <w:tr>
        <w:trPr>
          <w:trHeight w:val="196"/>
        </w:trPr>
        <w:tc>
          <w:tcPr>
            <w:tcW w:w="1100" w:type="dxa"/>
            <w:vAlign w:val="bottom"/>
            <w:tcBorders>
              <w:bottom w:val="single" w:sz="8" w:color="0000EE"/>
            </w:tcBorders>
            <w:gridSpan w:val="2"/>
          </w:tcPr>
          <w:p>
            <w:pPr>
              <w:spacing w:after="0" w:line="196" w:lineRule="exact"/>
              <w:rPr>
                <w:rFonts w:ascii="Arial" w:cs="Arial" w:eastAsia="Arial" w:hAnsi="Arial"/>
                <w:sz w:val="18"/>
                <w:szCs w:val="18"/>
                <w:color w:val="0000EE"/>
                <w:w w:val="92"/>
              </w:rPr>
            </w:pPr>
            <w:hyperlink w:anchor="page35">
              <w:r>
                <w:rPr>
                  <w:rFonts w:ascii="Arial" w:cs="Arial" w:eastAsia="Arial" w:hAnsi="Arial"/>
                  <w:sz w:val="18"/>
                  <w:szCs w:val="18"/>
                  <w:color w:val="0000EE"/>
                  <w:w w:val="92"/>
                </w:rPr>
                <w:t>SIGNATURES</w:t>
              </w:r>
            </w:hyperlink>
          </w:p>
        </w:tc>
        <w:tc>
          <w:tcPr>
            <w:tcW w:w="7380" w:type="dxa"/>
            <w:vAlign w:val="bottom"/>
            <w:gridSpan w:val="12"/>
          </w:tcPr>
          <w:p>
            <w:pPr>
              <w:spacing w:after="0"/>
              <w:rPr>
                <w:sz w:val="17"/>
                <w:szCs w:val="17"/>
                <w:color w:val="auto"/>
              </w:rPr>
            </w:pPr>
          </w:p>
        </w:tc>
        <w:tc>
          <w:tcPr>
            <w:tcW w:w="42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rPr>
              <w:t>35</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54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2" w:name="page3"/>
    <w:bookmarkEnd w:id="2"/>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PART I – FINANCIAL INFORMATION</w:t>
      </w:r>
    </w:p>
    <w:p>
      <w:pPr>
        <w:spacing w:after="0" w:line="225"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Item 1. Financial Statements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Income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03" w:lineRule="exact"/>
        <w:rPr>
          <w:sz w:val="20"/>
          <w:szCs w:val="20"/>
          <w:color w:val="auto"/>
        </w:rPr>
      </w:pPr>
    </w:p>
    <w:tbl>
      <w:tblPr>
        <w:tblLayout w:type="fixed"/>
        <w:tblInd w:w="60" w:type="dxa"/>
        <w:tblCellMar>
          <w:top w:w="0" w:type="dxa"/>
          <w:left w:w="0" w:type="dxa"/>
          <w:bottom w:w="0" w:type="dxa"/>
          <w:right w:w="0" w:type="dxa"/>
        </w:tblCellMar>
      </w:tblPr>
      <w:tr>
        <w:trPr>
          <w:trHeight w:val="161"/>
        </w:trPr>
        <w:tc>
          <w:tcPr>
            <w:tcW w:w="66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940" w:type="dxa"/>
            <w:vAlign w:val="bottom"/>
            <w:gridSpan w:val="5"/>
          </w:tcPr>
          <w:p>
            <w:pPr>
              <w:jc w:val="right"/>
              <w:ind w:right="500"/>
              <w:spacing w:after="0"/>
              <w:rPr>
                <w:sz w:val="20"/>
                <w:szCs w:val="20"/>
                <w:color w:val="auto"/>
              </w:rPr>
            </w:pPr>
            <w:r>
              <w:rPr>
                <w:rFonts w:ascii="Arial" w:cs="Arial" w:eastAsia="Arial" w:hAnsi="Arial"/>
                <w:sz w:val="14"/>
                <w:szCs w:val="14"/>
                <w:b w:val="1"/>
                <w:bCs w:val="1"/>
                <w:color w:val="auto"/>
              </w:rPr>
              <w:t>Three Months Ended</w:t>
            </w:r>
          </w:p>
        </w:tc>
        <w:tc>
          <w:tcPr>
            <w:tcW w:w="0" w:type="dxa"/>
            <w:vAlign w:val="bottom"/>
          </w:tcPr>
          <w:p>
            <w:pPr>
              <w:spacing w:after="0"/>
              <w:rPr>
                <w:sz w:val="1"/>
                <w:szCs w:val="1"/>
                <w:color w:val="auto"/>
              </w:rPr>
            </w:pPr>
          </w:p>
        </w:tc>
      </w:tr>
      <w:tr>
        <w:trPr>
          <w:trHeight w:val="171"/>
        </w:trPr>
        <w:tc>
          <w:tcPr>
            <w:tcW w:w="6600" w:type="dxa"/>
            <w:vAlign w:val="bottom"/>
            <w:vMerge w:val="restart"/>
          </w:tcPr>
          <w:p>
            <w:pPr>
              <w:spacing w:after="0"/>
              <w:rPr>
                <w:sz w:val="20"/>
                <w:szCs w:val="20"/>
                <w:color w:val="auto"/>
              </w:rPr>
            </w:pPr>
            <w:r>
              <w:rPr>
                <w:rFonts w:ascii="Arial" w:cs="Arial" w:eastAsia="Arial" w:hAnsi="Arial"/>
                <w:sz w:val="14"/>
                <w:szCs w:val="14"/>
                <w:b w:val="1"/>
                <w:bCs w:val="1"/>
                <w:color w:val="auto"/>
              </w:rPr>
              <w:t>(In thousands, except per share data)</w:t>
            </w:r>
          </w:p>
        </w:tc>
        <w:tc>
          <w:tcPr>
            <w:tcW w:w="2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940" w:type="dxa"/>
            <w:vAlign w:val="bottom"/>
            <w:gridSpan w:val="5"/>
          </w:tcPr>
          <w:p>
            <w:pPr>
              <w:ind w:left="460"/>
              <w:spacing w:after="0"/>
              <w:rPr>
                <w:sz w:val="20"/>
                <w:szCs w:val="20"/>
                <w:color w:val="auto"/>
              </w:rPr>
            </w:pPr>
            <w:r>
              <w:rPr>
                <w:rFonts w:ascii="Arial" w:cs="Arial" w:eastAsia="Arial" w:hAnsi="Arial"/>
                <w:sz w:val="14"/>
                <w:szCs w:val="14"/>
                <w:b w:val="1"/>
                <w:bCs w:val="1"/>
                <w:color w:val="auto"/>
              </w:rPr>
              <w:t>March 31,</w:t>
            </w:r>
          </w:p>
        </w:tc>
        <w:tc>
          <w:tcPr>
            <w:tcW w:w="0" w:type="dxa"/>
            <w:vAlign w:val="bottom"/>
          </w:tcPr>
          <w:p>
            <w:pPr>
              <w:spacing w:after="0"/>
              <w:rPr>
                <w:sz w:val="1"/>
                <w:szCs w:val="1"/>
                <w:color w:val="auto"/>
              </w:rPr>
            </w:pPr>
          </w:p>
        </w:tc>
      </w:tr>
      <w:tr>
        <w:trPr>
          <w:trHeight w:val="142"/>
        </w:trPr>
        <w:tc>
          <w:tcPr>
            <w:tcW w:w="6600" w:type="dxa"/>
            <w:vAlign w:val="bottom"/>
            <w:tcBorders>
              <w:bottom w:val="single" w:sz="8" w:color="auto"/>
            </w:tcBorders>
            <w:vMerge w:val="continue"/>
          </w:tcPr>
          <w:p>
            <w:pPr>
              <w:spacing w:after="0"/>
              <w:rPr>
                <w:sz w:val="12"/>
                <w:szCs w:val="12"/>
                <w:color w:val="auto"/>
              </w:rPr>
            </w:pPr>
          </w:p>
        </w:tc>
        <w:tc>
          <w:tcPr>
            <w:tcW w:w="220" w:type="dxa"/>
            <w:vAlign w:val="bottom"/>
            <w:tcBorders>
              <w:bottom w:val="single" w:sz="8" w:color="CCEEFF"/>
            </w:tcBorders>
          </w:tcPr>
          <w:p>
            <w:pPr>
              <w:spacing w:after="0"/>
              <w:rPr>
                <w:sz w:val="12"/>
                <w:szCs w:val="12"/>
                <w:color w:val="auto"/>
              </w:rPr>
            </w:pPr>
          </w:p>
        </w:tc>
        <w:tc>
          <w:tcPr>
            <w:tcW w:w="140" w:type="dxa"/>
            <w:vAlign w:val="bottom"/>
            <w:tcBorders>
              <w:top w:val="single" w:sz="8" w:color="auto"/>
              <w:bottom w:val="single" w:sz="8" w:color="auto"/>
            </w:tcBorders>
          </w:tcPr>
          <w:p>
            <w:pPr>
              <w:spacing w:after="0"/>
              <w:rPr>
                <w:sz w:val="12"/>
                <w:szCs w:val="12"/>
                <w:color w:val="auto"/>
              </w:rPr>
            </w:pPr>
          </w:p>
        </w:tc>
        <w:tc>
          <w:tcPr>
            <w:tcW w:w="700" w:type="dxa"/>
            <w:vAlign w:val="bottom"/>
            <w:tcBorders>
              <w:top w:val="single" w:sz="8" w:color="auto"/>
              <w:bottom w:val="single" w:sz="8" w:color="auto"/>
            </w:tcBorders>
          </w:tcPr>
          <w:p>
            <w:pPr>
              <w:jc w:val="right"/>
              <w:ind w:right="193"/>
              <w:spacing w:after="0" w:line="142" w:lineRule="exact"/>
              <w:rPr>
                <w:sz w:val="20"/>
                <w:szCs w:val="20"/>
                <w:color w:val="auto"/>
              </w:rPr>
            </w:pPr>
            <w:r>
              <w:rPr>
                <w:rFonts w:ascii="Arial" w:cs="Arial" w:eastAsia="Arial" w:hAnsi="Arial"/>
                <w:sz w:val="14"/>
                <w:szCs w:val="14"/>
                <w:b w:val="1"/>
                <w:bCs w:val="1"/>
                <w:color w:val="auto"/>
              </w:rPr>
              <w:t>2021</w:t>
            </w:r>
          </w:p>
        </w:tc>
        <w:tc>
          <w:tcPr>
            <w:tcW w:w="180" w:type="dxa"/>
            <w:vAlign w:val="bottom"/>
            <w:tcBorders>
              <w:top w:val="single" w:sz="8" w:color="auto"/>
              <w:bottom w:val="single" w:sz="8" w:color="CCEEFF"/>
            </w:tcBorders>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740" w:type="dxa"/>
            <w:vAlign w:val="bottom"/>
            <w:tcBorders>
              <w:top w:val="single" w:sz="8" w:color="auto"/>
              <w:bottom w:val="single" w:sz="8" w:color="auto"/>
            </w:tcBorders>
          </w:tcPr>
          <w:p>
            <w:pPr>
              <w:jc w:val="right"/>
              <w:ind w:right="211"/>
              <w:spacing w:after="0" w:line="142" w:lineRule="exact"/>
              <w:rPr>
                <w:sz w:val="20"/>
                <w:szCs w:val="20"/>
                <w:color w:val="auto"/>
              </w:rPr>
            </w:pPr>
            <w:r>
              <w:rPr>
                <w:rFonts w:ascii="Arial" w:cs="Arial" w:eastAsia="Arial" w:hAnsi="Arial"/>
                <w:sz w:val="14"/>
                <w:szCs w:val="14"/>
                <w:b w:val="1"/>
                <w:bCs w:val="1"/>
                <w:color w:val="auto"/>
              </w:rPr>
              <w:t>2020</w:t>
            </w:r>
          </w:p>
        </w:tc>
        <w:tc>
          <w:tcPr>
            <w:tcW w:w="20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66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Service revenue</w:t>
            </w:r>
          </w:p>
        </w:tc>
        <w:tc>
          <w:tcPr>
            <w:tcW w:w="22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2"/>
              </w:rPr>
              <w:t>236,934</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8"/>
              </w:rPr>
              <w:t>221,655</w:t>
            </w: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6600" w:type="dxa"/>
            <w:vAlign w:val="bottom"/>
          </w:tcPr>
          <w:p>
            <w:pPr>
              <w:spacing w:after="0"/>
              <w:rPr>
                <w:sz w:val="20"/>
                <w:szCs w:val="20"/>
                <w:color w:val="auto"/>
              </w:rPr>
            </w:pPr>
            <w:r>
              <w:rPr>
                <w:rFonts w:ascii="Arial" w:cs="Arial" w:eastAsia="Arial" w:hAnsi="Arial"/>
                <w:sz w:val="18"/>
                <w:szCs w:val="18"/>
                <w:b w:val="1"/>
                <w:bCs w:val="1"/>
                <w:color w:val="auto"/>
              </w:rPr>
              <w:t>Costs and expenses:</w:t>
            </w: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600" w:type="dxa"/>
            <w:vAlign w:val="bottom"/>
            <w:shd w:val="clear" w:color="auto" w:fill="CCEEFF"/>
          </w:tcPr>
          <w:p>
            <w:pPr>
              <w:ind w:left="100"/>
              <w:spacing w:after="0"/>
              <w:rPr>
                <w:sz w:val="20"/>
                <w:szCs w:val="20"/>
                <w:color w:val="auto"/>
              </w:rPr>
            </w:pPr>
            <w:r>
              <w:rPr>
                <w:rFonts w:ascii="Arial" w:cs="Arial" w:eastAsia="Arial" w:hAnsi="Arial"/>
                <w:sz w:val="18"/>
                <w:szCs w:val="18"/>
                <w:color w:val="auto"/>
              </w:rPr>
              <w:t>Technology and academic services</w:t>
            </w: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32,051</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26,277</w:t>
            </w: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600" w:type="dxa"/>
            <w:vAlign w:val="bottom"/>
          </w:tcPr>
          <w:p>
            <w:pPr>
              <w:ind w:left="100"/>
              <w:spacing w:after="0"/>
              <w:rPr>
                <w:sz w:val="20"/>
                <w:szCs w:val="20"/>
                <w:color w:val="auto"/>
              </w:rPr>
            </w:pPr>
            <w:r>
              <w:rPr>
                <w:rFonts w:ascii="Arial" w:cs="Arial" w:eastAsia="Arial" w:hAnsi="Arial"/>
                <w:sz w:val="18"/>
                <w:szCs w:val="18"/>
                <w:color w:val="auto"/>
              </w:rPr>
              <w:t>Counseling services and support</w:t>
            </w: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61,239</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60,219</w:t>
            </w: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600" w:type="dxa"/>
            <w:vAlign w:val="bottom"/>
            <w:shd w:val="clear" w:color="auto" w:fill="CCEEFF"/>
          </w:tcPr>
          <w:p>
            <w:pPr>
              <w:ind w:left="100"/>
              <w:spacing w:after="0"/>
              <w:rPr>
                <w:sz w:val="20"/>
                <w:szCs w:val="20"/>
                <w:color w:val="auto"/>
              </w:rPr>
            </w:pPr>
            <w:r>
              <w:rPr>
                <w:rFonts w:ascii="Arial" w:cs="Arial" w:eastAsia="Arial" w:hAnsi="Arial"/>
                <w:sz w:val="18"/>
                <w:szCs w:val="18"/>
                <w:color w:val="auto"/>
              </w:rPr>
              <w:t>Marketing and communication</w:t>
            </w: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47,731</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42,693</w:t>
            </w: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600" w:type="dxa"/>
            <w:vAlign w:val="bottom"/>
          </w:tcPr>
          <w:p>
            <w:pPr>
              <w:ind w:left="100"/>
              <w:spacing w:after="0"/>
              <w:rPr>
                <w:sz w:val="20"/>
                <w:szCs w:val="20"/>
                <w:color w:val="auto"/>
              </w:rPr>
            </w:pPr>
            <w:r>
              <w:rPr>
                <w:rFonts w:ascii="Arial" w:cs="Arial" w:eastAsia="Arial" w:hAnsi="Arial"/>
                <w:sz w:val="18"/>
                <w:szCs w:val="18"/>
                <w:color w:val="auto"/>
              </w:rPr>
              <w:t>General and administrative</w:t>
            </w: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9,582</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9,565</w:t>
            </w: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600" w:type="dxa"/>
            <w:vAlign w:val="bottom"/>
            <w:shd w:val="clear" w:color="auto" w:fill="CCEEFF"/>
          </w:tcPr>
          <w:p>
            <w:pPr>
              <w:ind w:left="100"/>
              <w:spacing w:after="0"/>
              <w:rPr>
                <w:sz w:val="20"/>
                <w:szCs w:val="20"/>
                <w:color w:val="auto"/>
              </w:rPr>
            </w:pPr>
            <w:r>
              <w:rPr>
                <w:rFonts w:ascii="Arial" w:cs="Arial" w:eastAsia="Arial" w:hAnsi="Arial"/>
                <w:sz w:val="18"/>
                <w:szCs w:val="18"/>
                <w:color w:val="auto"/>
              </w:rPr>
              <w:t>Amortization of intangible assets</w:t>
            </w:r>
          </w:p>
        </w:tc>
        <w:tc>
          <w:tcPr>
            <w:tcW w:w="22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2,105</w:t>
            </w:r>
          </w:p>
        </w:tc>
        <w:tc>
          <w:tcPr>
            <w:tcW w:w="18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2,105</w:t>
            </w: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6600" w:type="dxa"/>
            <w:vAlign w:val="bottom"/>
            <w:tcBorders>
              <w:bottom w:val="single" w:sz="8" w:color="CCEEFF"/>
            </w:tcBorders>
          </w:tcPr>
          <w:p>
            <w:pPr>
              <w:spacing w:after="0"/>
              <w:rPr>
                <w:sz w:val="20"/>
                <w:szCs w:val="20"/>
                <w:color w:val="auto"/>
              </w:rPr>
            </w:pPr>
            <w:r>
              <w:rPr>
                <w:rFonts w:ascii="Arial" w:cs="Arial" w:eastAsia="Arial" w:hAnsi="Arial"/>
                <w:sz w:val="18"/>
                <w:szCs w:val="18"/>
                <w:b w:val="1"/>
                <w:bCs w:val="1"/>
                <w:color w:val="auto"/>
              </w:rPr>
              <w:t>Total costs and expenses</w:t>
            </w:r>
          </w:p>
        </w:tc>
        <w:tc>
          <w:tcPr>
            <w:tcW w:w="22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2"/>
              </w:rPr>
              <w:t>152,708</w:t>
            </w:r>
          </w:p>
        </w:tc>
        <w:tc>
          <w:tcPr>
            <w:tcW w:w="18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8"/>
              </w:rPr>
              <w:t>140,859</w:t>
            </w:r>
          </w:p>
        </w:tc>
        <w:tc>
          <w:tcPr>
            <w:tcW w:w="200" w:type="dxa"/>
            <w:vAlign w:val="bottom"/>
            <w:tcBorders>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66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Operating income</w:t>
            </w: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84,226</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80,796</w:t>
            </w: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600" w:type="dxa"/>
            <w:vAlign w:val="bottom"/>
          </w:tcPr>
          <w:p>
            <w:pPr>
              <w:ind w:left="100"/>
              <w:spacing w:after="0"/>
              <w:rPr>
                <w:sz w:val="20"/>
                <w:szCs w:val="20"/>
                <w:color w:val="auto"/>
              </w:rPr>
            </w:pPr>
            <w:r>
              <w:rPr>
                <w:rFonts w:ascii="Arial" w:cs="Arial" w:eastAsia="Arial" w:hAnsi="Arial"/>
                <w:sz w:val="18"/>
                <w:szCs w:val="18"/>
                <w:color w:val="auto"/>
              </w:rPr>
              <w:t>Interest income on Secured Note</w:t>
            </w: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14,549</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14,710</w:t>
            </w: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600" w:type="dxa"/>
            <w:vAlign w:val="bottom"/>
            <w:shd w:val="clear" w:color="auto" w:fill="CCEEFF"/>
          </w:tcPr>
          <w:p>
            <w:pPr>
              <w:ind w:left="100"/>
              <w:spacing w:after="0"/>
              <w:rPr>
                <w:sz w:val="20"/>
                <w:szCs w:val="20"/>
                <w:color w:val="auto"/>
              </w:rPr>
            </w:pPr>
            <w:r>
              <w:rPr>
                <w:rFonts w:ascii="Arial" w:cs="Arial" w:eastAsia="Arial" w:hAnsi="Arial"/>
                <w:sz w:val="18"/>
                <w:szCs w:val="18"/>
                <w:color w:val="auto"/>
              </w:rPr>
              <w:t>Interest expense</w:t>
            </w: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(799)</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(1,546)</w:t>
            </w: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600" w:type="dxa"/>
            <w:vAlign w:val="bottom"/>
            <w:tcBorders>
              <w:bottom w:val="single" w:sz="8" w:color="CCEEFF"/>
            </w:tcBorders>
          </w:tcPr>
          <w:p>
            <w:pPr>
              <w:ind w:left="100"/>
              <w:spacing w:after="0"/>
              <w:rPr>
                <w:sz w:val="20"/>
                <w:szCs w:val="20"/>
                <w:color w:val="auto"/>
              </w:rPr>
            </w:pPr>
            <w:r>
              <w:rPr>
                <w:rFonts w:ascii="Arial" w:cs="Arial" w:eastAsia="Arial" w:hAnsi="Arial"/>
                <w:sz w:val="18"/>
                <w:szCs w:val="18"/>
                <w:color w:val="auto"/>
              </w:rPr>
              <w:t>Investment interest and other</w:t>
            </w:r>
          </w:p>
        </w:tc>
        <w:tc>
          <w:tcPr>
            <w:tcW w:w="22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121</w:t>
            </w:r>
          </w:p>
        </w:tc>
        <w:tc>
          <w:tcPr>
            <w:tcW w:w="18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216</w:t>
            </w:r>
          </w:p>
        </w:tc>
        <w:tc>
          <w:tcPr>
            <w:tcW w:w="200" w:type="dxa"/>
            <w:vAlign w:val="bottom"/>
            <w:tcBorders>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66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Income before income taxes</w:t>
            </w: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98,097</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94,176</w:t>
            </w: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60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Income tax expense</w:t>
            </w:r>
          </w:p>
        </w:tc>
        <w:tc>
          <w:tcPr>
            <w:tcW w:w="22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19,985</w:t>
            </w:r>
          </w:p>
        </w:tc>
        <w:tc>
          <w:tcPr>
            <w:tcW w:w="18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22,791</w:t>
            </w:r>
          </w:p>
        </w:tc>
        <w:tc>
          <w:tcPr>
            <w:tcW w:w="200" w:type="dxa"/>
            <w:vAlign w:val="bottom"/>
            <w:tcBorders>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66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Net income</w:t>
            </w:r>
          </w:p>
        </w:tc>
        <w:tc>
          <w:tcPr>
            <w:tcW w:w="220" w:type="dxa"/>
            <w:vAlign w:val="bottom"/>
            <w:tcBorders>
              <w:bottom w:val="single" w:sz="8" w:color="CCEEFF"/>
            </w:tcBorders>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78,112</w:t>
            </w:r>
          </w:p>
        </w:tc>
        <w:tc>
          <w:tcPr>
            <w:tcW w:w="18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71,385</w:t>
            </w:r>
          </w:p>
        </w:tc>
        <w:tc>
          <w:tcPr>
            <w:tcW w:w="200" w:type="dxa"/>
            <w:vAlign w:val="bottom"/>
            <w:tcBorders>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600" w:type="dxa"/>
            <w:vAlign w:val="bottom"/>
            <w:vMerge w:val="restart"/>
          </w:tcPr>
          <w:p>
            <w:pPr>
              <w:spacing w:after="0"/>
              <w:rPr>
                <w:sz w:val="20"/>
                <w:szCs w:val="20"/>
                <w:color w:val="auto"/>
              </w:rPr>
            </w:pPr>
            <w:r>
              <w:rPr>
                <w:rFonts w:ascii="Arial" w:cs="Arial" w:eastAsia="Arial" w:hAnsi="Arial"/>
                <w:sz w:val="18"/>
                <w:szCs w:val="18"/>
                <w:b w:val="1"/>
                <w:bCs w:val="1"/>
                <w:color w:val="auto"/>
              </w:rPr>
              <w:t>Earnings per share:</w:t>
            </w:r>
          </w:p>
        </w:tc>
        <w:tc>
          <w:tcPr>
            <w:tcW w:w="2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2"/>
        </w:trPr>
        <w:tc>
          <w:tcPr>
            <w:tcW w:w="6600" w:type="dxa"/>
            <w:vAlign w:val="bottom"/>
            <w:vMerge w:val="continue"/>
          </w:tcPr>
          <w:p>
            <w:pPr>
              <w:spacing w:after="0"/>
              <w:rPr>
                <w:sz w:val="16"/>
                <w:szCs w:val="16"/>
                <w:color w:val="auto"/>
              </w:rPr>
            </w:pPr>
          </w:p>
        </w:tc>
        <w:tc>
          <w:tcPr>
            <w:tcW w:w="2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20"/>
        </w:trPr>
        <w:tc>
          <w:tcPr>
            <w:tcW w:w="6600" w:type="dxa"/>
            <w:vAlign w:val="bottom"/>
            <w:shd w:val="clear" w:color="auto" w:fill="CCEEFF"/>
          </w:tcPr>
          <w:p>
            <w:pPr>
              <w:ind w:left="100"/>
              <w:spacing w:after="0"/>
              <w:rPr>
                <w:sz w:val="20"/>
                <w:szCs w:val="20"/>
                <w:color w:val="auto"/>
              </w:rPr>
            </w:pPr>
            <w:r>
              <w:rPr>
                <w:rFonts w:ascii="Arial" w:cs="Arial" w:eastAsia="Arial" w:hAnsi="Arial"/>
                <w:sz w:val="18"/>
                <w:szCs w:val="18"/>
                <w:b w:val="1"/>
                <w:bCs w:val="1"/>
                <w:color w:val="auto"/>
              </w:rPr>
              <w:t>Basic income per share</w:t>
            </w:r>
          </w:p>
        </w:tc>
        <w:tc>
          <w:tcPr>
            <w:tcW w:w="3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1.70</w:t>
            </w:r>
          </w:p>
        </w:tc>
        <w:tc>
          <w:tcPr>
            <w:tcW w:w="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1.50</w:t>
            </w:r>
          </w:p>
        </w:tc>
        <w:tc>
          <w:tcPr>
            <w:tcW w:w="2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6600" w:type="dxa"/>
            <w:vAlign w:val="bottom"/>
            <w:tcBorders>
              <w:top w:val="single" w:sz="8" w:color="CCEEFF"/>
              <w:bottom w:val="single" w:sz="8" w:color="CCEEFF"/>
            </w:tcBorders>
            <w:vMerge w:val="restart"/>
          </w:tcPr>
          <w:p>
            <w:pPr>
              <w:ind w:left="100"/>
              <w:spacing w:after="0"/>
              <w:rPr>
                <w:sz w:val="20"/>
                <w:szCs w:val="20"/>
                <w:color w:val="auto"/>
              </w:rPr>
            </w:pPr>
            <w:r>
              <w:rPr>
                <w:rFonts w:ascii="Arial" w:cs="Arial" w:eastAsia="Arial" w:hAnsi="Arial"/>
                <w:sz w:val="18"/>
                <w:szCs w:val="18"/>
                <w:b w:val="1"/>
                <w:bCs w:val="1"/>
                <w:color w:val="auto"/>
              </w:rPr>
              <w:t>Diluted income per share</w:t>
            </w:r>
          </w:p>
        </w:tc>
        <w:tc>
          <w:tcPr>
            <w:tcW w:w="220" w:type="dxa"/>
            <w:vAlign w:val="bottom"/>
            <w:tcBorders>
              <w:top w:val="single" w:sz="8" w:color="CCEEFF"/>
              <w:bottom w:val="single" w:sz="8" w:color="CCEEFF"/>
            </w:tcBorders>
            <w:vMerge w:val="restart"/>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CCEEFF"/>
              <w:bottom w:val="single" w:sz="8" w:color="CCEEFF"/>
            </w:tcBorders>
            <w:vMerge w:val="restart"/>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6600" w:type="dxa"/>
            <w:vAlign w:val="bottom"/>
            <w:tcBorders>
              <w:bottom w:val="single" w:sz="8" w:color="CCEEFF"/>
            </w:tcBorders>
            <w:vMerge w:val="continue"/>
          </w:tcPr>
          <w:p>
            <w:pPr>
              <w:spacing w:after="0"/>
              <w:rPr>
                <w:sz w:val="20"/>
                <w:szCs w:val="20"/>
                <w:color w:val="auto"/>
              </w:rPr>
            </w:pPr>
          </w:p>
        </w:tc>
        <w:tc>
          <w:tcPr>
            <w:tcW w:w="220" w:type="dxa"/>
            <w:vAlign w:val="bottom"/>
            <w:tcBorders>
              <w:bottom w:val="single" w:sz="8" w:color="CCEEFF"/>
            </w:tcBorders>
            <w:vMerge w:val="continue"/>
          </w:tcPr>
          <w:p>
            <w:pPr>
              <w:spacing w:after="0"/>
              <w:rPr>
                <w:sz w:val="20"/>
                <w:szCs w:val="20"/>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70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1.69</w:t>
            </w:r>
          </w:p>
        </w:tc>
        <w:tc>
          <w:tcPr>
            <w:tcW w:w="180" w:type="dxa"/>
            <w:vAlign w:val="bottom"/>
            <w:tcBorders>
              <w:bottom w:val="single" w:sz="8" w:color="CCEEFF"/>
            </w:tcBorders>
            <w:vMerge w:val="continue"/>
          </w:tcPr>
          <w:p>
            <w:pPr>
              <w:spacing w:after="0"/>
              <w:rPr>
                <w:sz w:val="20"/>
                <w:szCs w:val="20"/>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1.49</w:t>
            </w:r>
          </w:p>
        </w:tc>
        <w:tc>
          <w:tcPr>
            <w:tcW w:w="200" w:type="dxa"/>
            <w:vAlign w:val="bottom"/>
            <w:tcBorders>
              <w:bottom w:val="single" w:sz="8" w:color="CCEEFF"/>
            </w:tcBorders>
          </w:tcPr>
          <w:p>
            <w:pPr>
              <w:spacing w:after="0"/>
              <w:rPr>
                <w:sz w:val="20"/>
                <w:szCs w:val="20"/>
                <w:color w:val="auto"/>
              </w:rPr>
            </w:pPr>
          </w:p>
        </w:tc>
        <w:tc>
          <w:tcPr>
            <w:tcW w:w="0" w:type="dxa"/>
            <w:vAlign w:val="bottom"/>
          </w:tcPr>
          <w:p>
            <w:pPr>
              <w:spacing w:after="0"/>
              <w:rPr>
                <w:sz w:val="1"/>
                <w:szCs w:val="1"/>
                <w:color w:val="auto"/>
              </w:rPr>
            </w:pPr>
          </w:p>
        </w:tc>
      </w:tr>
      <w:tr>
        <w:trPr>
          <w:trHeight w:val="197"/>
        </w:trPr>
        <w:tc>
          <w:tcPr>
            <w:tcW w:w="6600" w:type="dxa"/>
            <w:vAlign w:val="bottom"/>
            <w:tcBorders>
              <w:bottom w:val="single" w:sz="8" w:color="CCEEFF"/>
            </w:tcBorders>
            <w:shd w:val="clear" w:color="auto" w:fill="CCEEFF"/>
          </w:tcPr>
          <w:p>
            <w:pPr>
              <w:ind w:left="100"/>
              <w:spacing w:after="0" w:line="196" w:lineRule="exact"/>
              <w:rPr>
                <w:sz w:val="20"/>
                <w:szCs w:val="20"/>
                <w:color w:val="auto"/>
              </w:rPr>
            </w:pPr>
            <w:r>
              <w:rPr>
                <w:rFonts w:ascii="Arial" w:cs="Arial" w:eastAsia="Arial" w:hAnsi="Arial"/>
                <w:sz w:val="18"/>
                <w:szCs w:val="18"/>
                <w:b w:val="1"/>
                <w:bCs w:val="1"/>
                <w:color w:val="auto"/>
              </w:rPr>
              <w:t>Basic weighted average shares outstanding</w:t>
            </w:r>
          </w:p>
        </w:tc>
        <w:tc>
          <w:tcPr>
            <w:tcW w:w="220" w:type="dxa"/>
            <w:vAlign w:val="bottom"/>
            <w:tcBorders>
              <w:bottom w:val="single" w:sz="8" w:color="CCEEFF"/>
            </w:tcBorders>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70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46,084</w:t>
            </w:r>
          </w:p>
        </w:tc>
        <w:tc>
          <w:tcPr>
            <w:tcW w:w="180" w:type="dxa"/>
            <w:vAlign w:val="bottom"/>
            <w:tcBorders>
              <w:bottom w:val="single" w:sz="8" w:color="CCEEFF"/>
            </w:tcBorders>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spacing w:after="0"/>
              <w:rPr>
                <w:sz w:val="17"/>
                <w:szCs w:val="17"/>
                <w:color w:val="auto"/>
              </w:rPr>
            </w:pPr>
          </w:p>
        </w:tc>
        <w:tc>
          <w:tcPr>
            <w:tcW w:w="74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47,455</w:t>
            </w:r>
          </w:p>
        </w:tc>
        <w:tc>
          <w:tcPr>
            <w:tcW w:w="200" w:type="dxa"/>
            <w:vAlign w:val="bottom"/>
            <w:tcBorders>
              <w:bottom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6600" w:type="dxa"/>
            <w:vAlign w:val="bottom"/>
            <w:vMerge w:val="restart"/>
          </w:tcPr>
          <w:p>
            <w:pPr>
              <w:ind w:left="100"/>
              <w:spacing w:after="0"/>
              <w:rPr>
                <w:sz w:val="20"/>
                <w:szCs w:val="20"/>
                <w:color w:val="auto"/>
              </w:rPr>
            </w:pPr>
            <w:r>
              <w:rPr>
                <w:rFonts w:ascii="Arial" w:cs="Arial" w:eastAsia="Arial" w:hAnsi="Arial"/>
                <w:sz w:val="18"/>
                <w:szCs w:val="18"/>
                <w:b w:val="1"/>
                <w:bCs w:val="1"/>
                <w:color w:val="auto"/>
              </w:rPr>
              <w:t>Diluted weighted average shares outstanding</w:t>
            </w:r>
          </w:p>
        </w:tc>
        <w:tc>
          <w:tcPr>
            <w:tcW w:w="2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6600" w:type="dxa"/>
            <w:vAlign w:val="bottom"/>
            <w:vMerge w:val="continue"/>
          </w:tcPr>
          <w:p>
            <w:pPr>
              <w:spacing w:after="0"/>
              <w:rPr>
                <w:sz w:val="17"/>
                <w:szCs w:val="17"/>
                <w:color w:val="auto"/>
              </w:rPr>
            </w:pPr>
          </w:p>
        </w:tc>
        <w:tc>
          <w:tcPr>
            <w:tcW w:w="220" w:type="dxa"/>
            <w:vAlign w:val="bottom"/>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70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46,300</w:t>
            </w:r>
          </w:p>
        </w:tc>
        <w:tc>
          <w:tcPr>
            <w:tcW w:w="180" w:type="dxa"/>
            <w:vAlign w:val="bottom"/>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74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47,764</w:t>
            </w:r>
          </w:p>
        </w:tc>
        <w:tc>
          <w:tcPr>
            <w:tcW w:w="2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66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The accompanying notes are an integral part of these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540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3" w:name="page4"/>
    <w:bookmarkEnd w:id="3"/>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Balance Sheets</w:t>
      </w:r>
    </w:p>
    <w:p>
      <w:pPr>
        <w:spacing w:after="0" w:line="95" w:lineRule="exact"/>
        <w:rPr>
          <w:sz w:val="20"/>
          <w:szCs w:val="20"/>
          <w:color w:val="auto"/>
        </w:rPr>
      </w:pPr>
    </w:p>
    <w:tbl>
      <w:tblPr>
        <w:tblLayout w:type="fixed"/>
        <w:tblInd w:w="60" w:type="dxa"/>
        <w:tblCellMar>
          <w:top w:w="0" w:type="dxa"/>
          <w:left w:w="0" w:type="dxa"/>
          <w:bottom w:w="0" w:type="dxa"/>
          <w:right w:w="0" w:type="dxa"/>
        </w:tblCellMar>
      </w:tblPr>
      <w:tr>
        <w:trPr>
          <w:trHeight w:val="161"/>
        </w:trPr>
        <w:tc>
          <w:tcPr>
            <w:tcW w:w="6560" w:type="dxa"/>
            <w:vAlign w:val="bottom"/>
            <w:vMerge w:val="restart"/>
          </w:tcPr>
          <w:p>
            <w:pPr>
              <w:spacing w:after="0"/>
              <w:rPr>
                <w:sz w:val="20"/>
                <w:szCs w:val="20"/>
                <w:color w:val="auto"/>
              </w:rPr>
            </w:pPr>
            <w:r>
              <w:rPr>
                <w:rFonts w:ascii="Arial" w:cs="Arial" w:eastAsia="Arial" w:hAnsi="Arial"/>
                <w:sz w:val="14"/>
                <w:szCs w:val="14"/>
                <w:b w:val="1"/>
                <w:bCs w:val="1"/>
                <w:color w:val="auto"/>
              </w:rPr>
              <w:t>(In thousands, except par value)</w:t>
            </w:r>
          </w:p>
        </w:tc>
        <w:tc>
          <w:tcPr>
            <w:tcW w:w="3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40" w:type="dxa"/>
            <w:vAlign w:val="bottom"/>
          </w:tcPr>
          <w:p>
            <w:pPr>
              <w:jc w:val="center"/>
              <w:ind w:right="51"/>
              <w:spacing w:after="0"/>
              <w:rPr>
                <w:sz w:val="20"/>
                <w:szCs w:val="20"/>
                <w:color w:val="auto"/>
              </w:rPr>
            </w:pPr>
            <w:r>
              <w:rPr>
                <w:rFonts w:ascii="Arial" w:cs="Arial" w:eastAsia="Arial" w:hAnsi="Arial"/>
                <w:sz w:val="14"/>
                <w:szCs w:val="14"/>
                <w:b w:val="1"/>
                <w:bCs w:val="1"/>
                <w:color w:val="auto"/>
                <w:w w:val="95"/>
              </w:rPr>
              <w:t>March 31,</w:t>
            </w:r>
          </w:p>
        </w:tc>
        <w:tc>
          <w:tcPr>
            <w:tcW w:w="160" w:type="dxa"/>
            <w:vAlign w:val="bottom"/>
          </w:tcPr>
          <w:p>
            <w:pPr>
              <w:spacing w:after="0"/>
              <w:rPr>
                <w:sz w:val="14"/>
                <w:szCs w:val="14"/>
                <w:color w:val="auto"/>
              </w:rPr>
            </w:pPr>
          </w:p>
        </w:tc>
        <w:tc>
          <w:tcPr>
            <w:tcW w:w="940" w:type="dxa"/>
            <w:vAlign w:val="bottom"/>
            <w:gridSpan w:val="2"/>
          </w:tcPr>
          <w:p>
            <w:pPr>
              <w:jc w:val="right"/>
              <w:spacing w:after="0"/>
              <w:rPr>
                <w:sz w:val="20"/>
                <w:szCs w:val="20"/>
                <w:color w:val="auto"/>
              </w:rPr>
            </w:pPr>
            <w:r>
              <w:rPr>
                <w:rFonts w:ascii="Arial" w:cs="Arial" w:eastAsia="Arial" w:hAnsi="Arial"/>
                <w:sz w:val="14"/>
                <w:szCs w:val="14"/>
                <w:b w:val="1"/>
                <w:bCs w:val="1"/>
                <w:color w:val="auto"/>
                <w:w w:val="92"/>
              </w:rPr>
              <w:t>December 31,</w:t>
            </w:r>
          </w:p>
        </w:tc>
        <w:tc>
          <w:tcPr>
            <w:tcW w:w="0" w:type="dxa"/>
            <w:vAlign w:val="bottom"/>
          </w:tcPr>
          <w:p>
            <w:pPr>
              <w:spacing w:after="0"/>
              <w:rPr>
                <w:sz w:val="1"/>
                <w:szCs w:val="1"/>
                <w:color w:val="auto"/>
              </w:rPr>
            </w:pPr>
          </w:p>
        </w:tc>
      </w:tr>
      <w:tr>
        <w:trPr>
          <w:trHeight w:val="171"/>
        </w:trPr>
        <w:tc>
          <w:tcPr>
            <w:tcW w:w="6560" w:type="dxa"/>
            <w:vAlign w:val="bottom"/>
            <w:tcBorders>
              <w:bottom w:val="single" w:sz="8" w:color="auto"/>
            </w:tcBorders>
            <w:vMerge w:val="continue"/>
          </w:tcPr>
          <w:p>
            <w:pPr>
              <w:spacing w:after="0"/>
              <w:rPr>
                <w:sz w:val="14"/>
                <w:szCs w:val="14"/>
                <w:color w:val="auto"/>
              </w:rPr>
            </w:pPr>
          </w:p>
        </w:tc>
        <w:tc>
          <w:tcPr>
            <w:tcW w:w="32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jc w:val="center"/>
              <w:ind w:right="11"/>
              <w:spacing w:after="0"/>
              <w:rPr>
                <w:sz w:val="20"/>
                <w:szCs w:val="20"/>
                <w:color w:val="auto"/>
              </w:rPr>
            </w:pPr>
            <w:r>
              <w:rPr>
                <w:rFonts w:ascii="Arial" w:cs="Arial" w:eastAsia="Arial" w:hAnsi="Arial"/>
                <w:sz w:val="14"/>
                <w:szCs w:val="14"/>
                <w:b w:val="1"/>
                <w:bCs w:val="1"/>
                <w:color w:val="auto"/>
                <w:w w:val="96"/>
              </w:rPr>
              <w:t>2021</w:t>
            </w:r>
          </w:p>
        </w:tc>
        <w:tc>
          <w:tcPr>
            <w:tcW w:w="16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20" w:type="dxa"/>
            <w:vAlign w:val="bottom"/>
            <w:tcBorders>
              <w:bottom w:val="single" w:sz="8" w:color="auto"/>
            </w:tcBorders>
          </w:tcPr>
          <w:p>
            <w:pPr>
              <w:jc w:val="right"/>
              <w:ind w:right="231"/>
              <w:spacing w:after="0"/>
              <w:rPr>
                <w:sz w:val="20"/>
                <w:szCs w:val="20"/>
                <w:color w:val="auto"/>
              </w:rPr>
            </w:pPr>
            <w:r>
              <w:rPr>
                <w:rFonts w:ascii="Arial" w:cs="Arial" w:eastAsia="Arial" w:hAnsi="Arial"/>
                <w:sz w:val="14"/>
                <w:szCs w:val="14"/>
                <w:b w:val="1"/>
                <w:bCs w:val="1"/>
                <w:color w:val="auto"/>
              </w:rPr>
              <w:t>2020</w:t>
            </w:r>
          </w:p>
        </w:tc>
        <w:tc>
          <w:tcPr>
            <w:tcW w:w="0" w:type="dxa"/>
            <w:vAlign w:val="bottom"/>
          </w:tcPr>
          <w:p>
            <w:pPr>
              <w:spacing w:after="0"/>
              <w:rPr>
                <w:sz w:val="1"/>
                <w:szCs w:val="1"/>
                <w:color w:val="auto"/>
              </w:rPr>
            </w:pPr>
          </w:p>
        </w:tc>
      </w:tr>
      <w:tr>
        <w:trPr>
          <w:trHeight w:val="142"/>
        </w:trPr>
        <w:tc>
          <w:tcPr>
            <w:tcW w:w="656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40" w:type="dxa"/>
            <w:vAlign w:val="bottom"/>
          </w:tcPr>
          <w:p>
            <w:pPr>
              <w:jc w:val="center"/>
              <w:ind w:right="11"/>
              <w:spacing w:after="0" w:line="142" w:lineRule="exact"/>
              <w:rPr>
                <w:sz w:val="20"/>
                <w:szCs w:val="20"/>
                <w:color w:val="auto"/>
              </w:rPr>
            </w:pPr>
            <w:r>
              <w:rPr>
                <w:rFonts w:ascii="Arial" w:cs="Arial" w:eastAsia="Arial" w:hAnsi="Arial"/>
                <w:sz w:val="14"/>
                <w:szCs w:val="14"/>
                <w:b w:val="1"/>
                <w:bCs w:val="1"/>
                <w:color w:val="auto"/>
                <w:w w:val="95"/>
              </w:rPr>
              <w:t>(Unaudited)</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6560" w:type="dxa"/>
            <w:vAlign w:val="bottom"/>
            <w:shd w:val="clear" w:color="auto" w:fill="CCEEFF"/>
          </w:tcPr>
          <w:p>
            <w:pPr>
              <w:ind w:left="2920"/>
              <w:spacing w:after="0"/>
              <w:rPr>
                <w:sz w:val="20"/>
                <w:szCs w:val="20"/>
                <w:color w:val="auto"/>
              </w:rPr>
            </w:pPr>
            <w:r>
              <w:rPr>
                <w:rFonts w:ascii="Arial" w:cs="Arial" w:eastAsia="Arial" w:hAnsi="Arial"/>
                <w:sz w:val="18"/>
                <w:szCs w:val="18"/>
                <w:b w:val="1"/>
                <w:bCs w:val="1"/>
                <w:color w:val="auto"/>
              </w:rPr>
              <w:t>ASSETS:</w:t>
            </w:r>
          </w:p>
        </w:tc>
        <w:tc>
          <w:tcPr>
            <w:tcW w:w="3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560" w:type="dxa"/>
            <w:vAlign w:val="bottom"/>
          </w:tcPr>
          <w:p>
            <w:pPr>
              <w:spacing w:after="0"/>
              <w:rPr>
                <w:sz w:val="20"/>
                <w:szCs w:val="20"/>
                <w:color w:val="auto"/>
              </w:rPr>
            </w:pPr>
            <w:r>
              <w:rPr>
                <w:rFonts w:ascii="Arial" w:cs="Arial" w:eastAsia="Arial" w:hAnsi="Arial"/>
                <w:sz w:val="18"/>
                <w:szCs w:val="18"/>
                <w:b w:val="1"/>
                <w:bCs w:val="1"/>
                <w:color w:val="auto"/>
              </w:rPr>
              <w:t>Current assets</w:t>
            </w:r>
          </w:p>
        </w:tc>
        <w:tc>
          <w:tcPr>
            <w:tcW w:w="3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560" w:type="dxa"/>
            <w:vAlign w:val="bottom"/>
            <w:shd w:val="clear" w:color="auto" w:fill="CCEEFF"/>
          </w:tcPr>
          <w:p>
            <w:pPr>
              <w:ind w:left="100"/>
              <w:spacing w:after="0"/>
              <w:rPr>
                <w:sz w:val="20"/>
                <w:szCs w:val="20"/>
                <w:color w:val="auto"/>
              </w:rPr>
            </w:pPr>
            <w:r>
              <w:rPr>
                <w:rFonts w:ascii="Arial" w:cs="Arial" w:eastAsia="Arial" w:hAnsi="Arial"/>
                <w:sz w:val="18"/>
                <w:szCs w:val="18"/>
                <w:color w:val="auto"/>
              </w:rPr>
              <w:t>Cash and cash equivalents</w:t>
            </w:r>
          </w:p>
        </w:tc>
        <w:tc>
          <w:tcPr>
            <w:tcW w:w="4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225,829</w:t>
            </w: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245,769</w:t>
            </w:r>
          </w:p>
        </w:tc>
        <w:tc>
          <w:tcPr>
            <w:tcW w:w="0" w:type="dxa"/>
            <w:vAlign w:val="bottom"/>
          </w:tcPr>
          <w:p>
            <w:pPr>
              <w:spacing w:after="0"/>
              <w:rPr>
                <w:sz w:val="1"/>
                <w:szCs w:val="1"/>
                <w:color w:val="auto"/>
              </w:rPr>
            </w:pPr>
          </w:p>
        </w:tc>
      </w:tr>
      <w:tr>
        <w:trPr>
          <w:trHeight w:val="216"/>
        </w:trPr>
        <w:tc>
          <w:tcPr>
            <w:tcW w:w="6560" w:type="dxa"/>
            <w:vAlign w:val="bottom"/>
          </w:tcPr>
          <w:p>
            <w:pPr>
              <w:ind w:left="100"/>
              <w:spacing w:after="0"/>
              <w:rPr>
                <w:sz w:val="20"/>
                <w:szCs w:val="20"/>
                <w:color w:val="auto"/>
              </w:rPr>
            </w:pPr>
            <w:r>
              <w:rPr>
                <w:rFonts w:ascii="Arial" w:cs="Arial" w:eastAsia="Arial" w:hAnsi="Arial"/>
                <w:sz w:val="18"/>
                <w:szCs w:val="18"/>
                <w:color w:val="auto"/>
              </w:rPr>
              <w:t>Investments</w:t>
            </w:r>
          </w:p>
        </w:tc>
        <w:tc>
          <w:tcPr>
            <w:tcW w:w="3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36,443</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10,840</w:t>
            </w:r>
          </w:p>
        </w:tc>
        <w:tc>
          <w:tcPr>
            <w:tcW w:w="0" w:type="dxa"/>
            <w:vAlign w:val="bottom"/>
          </w:tcPr>
          <w:p>
            <w:pPr>
              <w:spacing w:after="0"/>
              <w:rPr>
                <w:sz w:val="1"/>
                <w:szCs w:val="1"/>
                <w:color w:val="auto"/>
              </w:rPr>
            </w:pPr>
          </w:p>
        </w:tc>
      </w:tr>
      <w:tr>
        <w:trPr>
          <w:trHeight w:val="216"/>
        </w:trPr>
        <w:tc>
          <w:tcPr>
            <w:tcW w:w="6560" w:type="dxa"/>
            <w:vAlign w:val="bottom"/>
            <w:shd w:val="clear" w:color="auto" w:fill="CCEEFF"/>
          </w:tcPr>
          <w:p>
            <w:pPr>
              <w:ind w:left="100"/>
              <w:spacing w:after="0"/>
              <w:rPr>
                <w:sz w:val="20"/>
                <w:szCs w:val="20"/>
                <w:color w:val="auto"/>
              </w:rPr>
            </w:pPr>
            <w:r>
              <w:rPr>
                <w:rFonts w:ascii="Arial" w:cs="Arial" w:eastAsia="Arial" w:hAnsi="Arial"/>
                <w:sz w:val="18"/>
                <w:szCs w:val="18"/>
                <w:color w:val="auto"/>
              </w:rPr>
              <w:t>Accounts receivable, net</w:t>
            </w:r>
          </w:p>
        </w:tc>
        <w:tc>
          <w:tcPr>
            <w:tcW w:w="3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91,790</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62,189</w:t>
            </w:r>
          </w:p>
        </w:tc>
        <w:tc>
          <w:tcPr>
            <w:tcW w:w="0" w:type="dxa"/>
            <w:vAlign w:val="bottom"/>
          </w:tcPr>
          <w:p>
            <w:pPr>
              <w:spacing w:after="0"/>
              <w:rPr>
                <w:sz w:val="1"/>
                <w:szCs w:val="1"/>
                <w:color w:val="auto"/>
              </w:rPr>
            </w:pPr>
          </w:p>
        </w:tc>
      </w:tr>
      <w:tr>
        <w:trPr>
          <w:trHeight w:val="216"/>
        </w:trPr>
        <w:tc>
          <w:tcPr>
            <w:tcW w:w="6560" w:type="dxa"/>
            <w:vAlign w:val="bottom"/>
          </w:tcPr>
          <w:p>
            <w:pPr>
              <w:ind w:left="100"/>
              <w:spacing w:after="0"/>
              <w:rPr>
                <w:sz w:val="20"/>
                <w:szCs w:val="20"/>
                <w:color w:val="auto"/>
              </w:rPr>
            </w:pPr>
            <w:r>
              <w:rPr>
                <w:rFonts w:ascii="Arial" w:cs="Arial" w:eastAsia="Arial" w:hAnsi="Arial"/>
                <w:sz w:val="18"/>
                <w:szCs w:val="18"/>
                <w:color w:val="auto"/>
              </w:rPr>
              <w:t>Interest receivable on Secured Note</w:t>
            </w:r>
          </w:p>
        </w:tc>
        <w:tc>
          <w:tcPr>
            <w:tcW w:w="3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5,011</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5,011</w:t>
            </w:r>
          </w:p>
        </w:tc>
        <w:tc>
          <w:tcPr>
            <w:tcW w:w="0" w:type="dxa"/>
            <w:vAlign w:val="bottom"/>
          </w:tcPr>
          <w:p>
            <w:pPr>
              <w:spacing w:after="0"/>
              <w:rPr>
                <w:sz w:val="1"/>
                <w:szCs w:val="1"/>
                <w:color w:val="auto"/>
              </w:rPr>
            </w:pPr>
          </w:p>
        </w:tc>
      </w:tr>
      <w:tr>
        <w:trPr>
          <w:trHeight w:val="216"/>
        </w:trPr>
        <w:tc>
          <w:tcPr>
            <w:tcW w:w="6560" w:type="dxa"/>
            <w:vAlign w:val="bottom"/>
            <w:shd w:val="clear" w:color="auto" w:fill="CCEEFF"/>
          </w:tcPr>
          <w:p>
            <w:pPr>
              <w:ind w:left="100"/>
              <w:spacing w:after="0"/>
              <w:rPr>
                <w:sz w:val="20"/>
                <w:szCs w:val="20"/>
                <w:color w:val="auto"/>
              </w:rPr>
            </w:pPr>
            <w:r>
              <w:rPr>
                <w:rFonts w:ascii="Arial" w:cs="Arial" w:eastAsia="Arial" w:hAnsi="Arial"/>
                <w:sz w:val="18"/>
                <w:szCs w:val="18"/>
                <w:color w:val="auto"/>
              </w:rPr>
              <w:t>Income tax receivable</w:t>
            </w:r>
          </w:p>
        </w:tc>
        <w:tc>
          <w:tcPr>
            <w:tcW w:w="3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763</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1,294</w:t>
            </w:r>
          </w:p>
        </w:tc>
        <w:tc>
          <w:tcPr>
            <w:tcW w:w="0" w:type="dxa"/>
            <w:vAlign w:val="bottom"/>
          </w:tcPr>
          <w:p>
            <w:pPr>
              <w:spacing w:after="0"/>
              <w:rPr>
                <w:sz w:val="1"/>
                <w:szCs w:val="1"/>
                <w:color w:val="auto"/>
              </w:rPr>
            </w:pPr>
          </w:p>
        </w:tc>
      </w:tr>
      <w:tr>
        <w:trPr>
          <w:trHeight w:val="216"/>
        </w:trPr>
        <w:tc>
          <w:tcPr>
            <w:tcW w:w="6560" w:type="dxa"/>
            <w:vAlign w:val="bottom"/>
            <w:tcBorders>
              <w:bottom w:val="single" w:sz="8" w:color="CCEEFF"/>
            </w:tcBorders>
          </w:tcPr>
          <w:p>
            <w:pPr>
              <w:ind w:left="100"/>
              <w:spacing w:after="0"/>
              <w:rPr>
                <w:sz w:val="20"/>
                <w:szCs w:val="20"/>
                <w:color w:val="auto"/>
              </w:rPr>
            </w:pPr>
            <w:r>
              <w:rPr>
                <w:rFonts w:ascii="Arial" w:cs="Arial" w:eastAsia="Arial" w:hAnsi="Arial"/>
                <w:sz w:val="18"/>
                <w:szCs w:val="18"/>
                <w:color w:val="auto"/>
              </w:rPr>
              <w:t>Other current assets</w:t>
            </w:r>
          </w:p>
        </w:tc>
        <w:tc>
          <w:tcPr>
            <w:tcW w:w="320" w:type="dxa"/>
            <w:vAlign w:val="bottom"/>
            <w:tcBorders>
              <w:bottom w:val="single" w:sz="8" w:color="CCEEFF"/>
            </w:tcBorders>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14,484</w:t>
            </w:r>
          </w:p>
        </w:tc>
        <w:tc>
          <w:tcPr>
            <w:tcW w:w="16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8,639</w:t>
            </w:r>
          </w:p>
        </w:tc>
        <w:tc>
          <w:tcPr>
            <w:tcW w:w="0" w:type="dxa"/>
            <w:vAlign w:val="bottom"/>
          </w:tcPr>
          <w:p>
            <w:pPr>
              <w:spacing w:after="0"/>
              <w:rPr>
                <w:sz w:val="1"/>
                <w:szCs w:val="1"/>
                <w:color w:val="auto"/>
              </w:rPr>
            </w:pPr>
          </w:p>
        </w:tc>
      </w:tr>
      <w:tr>
        <w:trPr>
          <w:trHeight w:val="209"/>
        </w:trPr>
        <w:tc>
          <w:tcPr>
            <w:tcW w:w="65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Total current assets</w:t>
            </w:r>
          </w:p>
        </w:tc>
        <w:tc>
          <w:tcPr>
            <w:tcW w:w="3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374,320</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333,742</w:t>
            </w:r>
          </w:p>
        </w:tc>
        <w:tc>
          <w:tcPr>
            <w:tcW w:w="0" w:type="dxa"/>
            <w:vAlign w:val="bottom"/>
          </w:tcPr>
          <w:p>
            <w:pPr>
              <w:spacing w:after="0"/>
              <w:rPr>
                <w:sz w:val="1"/>
                <w:szCs w:val="1"/>
                <w:color w:val="auto"/>
              </w:rPr>
            </w:pPr>
          </w:p>
        </w:tc>
      </w:tr>
      <w:tr>
        <w:trPr>
          <w:trHeight w:val="216"/>
        </w:trPr>
        <w:tc>
          <w:tcPr>
            <w:tcW w:w="6560" w:type="dxa"/>
            <w:vAlign w:val="bottom"/>
          </w:tcPr>
          <w:p>
            <w:pPr>
              <w:spacing w:after="0"/>
              <w:rPr>
                <w:sz w:val="20"/>
                <w:szCs w:val="20"/>
                <w:color w:val="auto"/>
              </w:rPr>
            </w:pPr>
            <w:r>
              <w:rPr>
                <w:rFonts w:ascii="Arial" w:cs="Arial" w:eastAsia="Arial" w:hAnsi="Arial"/>
                <w:sz w:val="18"/>
                <w:szCs w:val="18"/>
                <w:color w:val="auto"/>
              </w:rPr>
              <w:t>Property and equipment, net</w:t>
            </w:r>
          </w:p>
        </w:tc>
        <w:tc>
          <w:tcPr>
            <w:tcW w:w="3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131,929</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128,657</w:t>
            </w:r>
          </w:p>
        </w:tc>
        <w:tc>
          <w:tcPr>
            <w:tcW w:w="0" w:type="dxa"/>
            <w:vAlign w:val="bottom"/>
          </w:tcPr>
          <w:p>
            <w:pPr>
              <w:spacing w:after="0"/>
              <w:rPr>
                <w:sz w:val="1"/>
                <w:szCs w:val="1"/>
                <w:color w:val="auto"/>
              </w:rPr>
            </w:pPr>
          </w:p>
        </w:tc>
      </w:tr>
      <w:tr>
        <w:trPr>
          <w:trHeight w:val="216"/>
        </w:trPr>
        <w:tc>
          <w:tcPr>
            <w:tcW w:w="6560" w:type="dxa"/>
            <w:vAlign w:val="bottom"/>
            <w:shd w:val="clear" w:color="auto" w:fill="CCEEFF"/>
          </w:tcPr>
          <w:p>
            <w:pPr>
              <w:spacing w:after="0"/>
              <w:rPr>
                <w:sz w:val="20"/>
                <w:szCs w:val="20"/>
                <w:color w:val="auto"/>
              </w:rPr>
            </w:pPr>
            <w:r>
              <w:rPr>
                <w:rFonts w:ascii="Arial" w:cs="Arial" w:eastAsia="Arial" w:hAnsi="Arial"/>
                <w:sz w:val="18"/>
                <w:szCs w:val="18"/>
                <w:color w:val="auto"/>
              </w:rPr>
              <w:t>Right-of-use assets</w:t>
            </w:r>
          </w:p>
        </w:tc>
        <w:tc>
          <w:tcPr>
            <w:tcW w:w="3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59,434</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61,020</w:t>
            </w:r>
          </w:p>
        </w:tc>
        <w:tc>
          <w:tcPr>
            <w:tcW w:w="0" w:type="dxa"/>
            <w:vAlign w:val="bottom"/>
          </w:tcPr>
          <w:p>
            <w:pPr>
              <w:spacing w:after="0"/>
              <w:rPr>
                <w:sz w:val="1"/>
                <w:szCs w:val="1"/>
                <w:color w:val="auto"/>
              </w:rPr>
            </w:pPr>
          </w:p>
        </w:tc>
      </w:tr>
      <w:tr>
        <w:trPr>
          <w:trHeight w:val="216"/>
        </w:trPr>
        <w:tc>
          <w:tcPr>
            <w:tcW w:w="6560" w:type="dxa"/>
            <w:vAlign w:val="bottom"/>
          </w:tcPr>
          <w:p>
            <w:pPr>
              <w:spacing w:after="0"/>
              <w:rPr>
                <w:sz w:val="20"/>
                <w:szCs w:val="20"/>
                <w:color w:val="auto"/>
              </w:rPr>
            </w:pPr>
            <w:r>
              <w:rPr>
                <w:rFonts w:ascii="Arial" w:cs="Arial" w:eastAsia="Arial" w:hAnsi="Arial"/>
                <w:sz w:val="18"/>
                <w:szCs w:val="18"/>
                <w:color w:val="auto"/>
              </w:rPr>
              <w:t>Secured Note receivable, net</w:t>
            </w:r>
          </w:p>
        </w:tc>
        <w:tc>
          <w:tcPr>
            <w:tcW w:w="3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964,912</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964,912</w:t>
            </w:r>
          </w:p>
        </w:tc>
        <w:tc>
          <w:tcPr>
            <w:tcW w:w="0" w:type="dxa"/>
            <w:vAlign w:val="bottom"/>
          </w:tcPr>
          <w:p>
            <w:pPr>
              <w:spacing w:after="0"/>
              <w:rPr>
                <w:sz w:val="1"/>
                <w:szCs w:val="1"/>
                <w:color w:val="auto"/>
              </w:rPr>
            </w:pPr>
          </w:p>
        </w:tc>
      </w:tr>
      <w:tr>
        <w:trPr>
          <w:trHeight w:val="216"/>
        </w:trPr>
        <w:tc>
          <w:tcPr>
            <w:tcW w:w="6560" w:type="dxa"/>
            <w:vAlign w:val="bottom"/>
            <w:shd w:val="clear" w:color="auto" w:fill="CCEEFF"/>
          </w:tcPr>
          <w:p>
            <w:pPr>
              <w:spacing w:after="0"/>
              <w:rPr>
                <w:sz w:val="20"/>
                <w:szCs w:val="20"/>
                <w:color w:val="auto"/>
              </w:rPr>
            </w:pPr>
            <w:r>
              <w:rPr>
                <w:rFonts w:ascii="Arial" w:cs="Arial" w:eastAsia="Arial" w:hAnsi="Arial"/>
                <w:sz w:val="18"/>
                <w:szCs w:val="18"/>
                <w:color w:val="auto"/>
              </w:rPr>
              <w:t>Amortizable intangible assets, net</w:t>
            </w:r>
          </w:p>
        </w:tc>
        <w:tc>
          <w:tcPr>
            <w:tcW w:w="3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191,533</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193,638</w:t>
            </w:r>
          </w:p>
        </w:tc>
        <w:tc>
          <w:tcPr>
            <w:tcW w:w="0" w:type="dxa"/>
            <w:vAlign w:val="bottom"/>
          </w:tcPr>
          <w:p>
            <w:pPr>
              <w:spacing w:after="0"/>
              <w:rPr>
                <w:sz w:val="1"/>
                <w:szCs w:val="1"/>
                <w:color w:val="auto"/>
              </w:rPr>
            </w:pPr>
          </w:p>
        </w:tc>
      </w:tr>
      <w:tr>
        <w:trPr>
          <w:trHeight w:val="216"/>
        </w:trPr>
        <w:tc>
          <w:tcPr>
            <w:tcW w:w="6560" w:type="dxa"/>
            <w:vAlign w:val="bottom"/>
          </w:tcPr>
          <w:p>
            <w:pPr>
              <w:spacing w:after="0"/>
              <w:rPr>
                <w:sz w:val="20"/>
                <w:szCs w:val="20"/>
                <w:color w:val="auto"/>
              </w:rPr>
            </w:pPr>
            <w:r>
              <w:rPr>
                <w:rFonts w:ascii="Arial" w:cs="Arial" w:eastAsia="Arial" w:hAnsi="Arial"/>
                <w:sz w:val="18"/>
                <w:szCs w:val="18"/>
                <w:color w:val="auto"/>
              </w:rPr>
              <w:t>Goodwill</w:t>
            </w:r>
          </w:p>
        </w:tc>
        <w:tc>
          <w:tcPr>
            <w:tcW w:w="3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160,766</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160,766</w:t>
            </w:r>
          </w:p>
        </w:tc>
        <w:tc>
          <w:tcPr>
            <w:tcW w:w="0" w:type="dxa"/>
            <w:vAlign w:val="bottom"/>
          </w:tcPr>
          <w:p>
            <w:pPr>
              <w:spacing w:after="0"/>
              <w:rPr>
                <w:sz w:val="1"/>
                <w:szCs w:val="1"/>
                <w:color w:val="auto"/>
              </w:rPr>
            </w:pPr>
          </w:p>
        </w:tc>
      </w:tr>
      <w:tr>
        <w:trPr>
          <w:trHeight w:val="216"/>
        </w:trPr>
        <w:tc>
          <w:tcPr>
            <w:tcW w:w="6560" w:type="dxa"/>
            <w:vAlign w:val="bottom"/>
            <w:shd w:val="clear" w:color="auto" w:fill="CCEEFF"/>
          </w:tcPr>
          <w:p>
            <w:pPr>
              <w:spacing w:after="0"/>
              <w:rPr>
                <w:sz w:val="20"/>
                <w:szCs w:val="20"/>
                <w:color w:val="auto"/>
              </w:rPr>
            </w:pPr>
            <w:r>
              <w:rPr>
                <w:rFonts w:ascii="Arial" w:cs="Arial" w:eastAsia="Arial" w:hAnsi="Arial"/>
                <w:sz w:val="18"/>
                <w:szCs w:val="18"/>
                <w:color w:val="auto"/>
              </w:rPr>
              <w:t>Other assets</w:t>
            </w:r>
          </w:p>
        </w:tc>
        <w:tc>
          <w:tcPr>
            <w:tcW w:w="32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2,133</w:t>
            </w:r>
          </w:p>
        </w:tc>
        <w:tc>
          <w:tcPr>
            <w:tcW w:w="16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1,844</w:t>
            </w:r>
          </w:p>
        </w:tc>
        <w:tc>
          <w:tcPr>
            <w:tcW w:w="0" w:type="dxa"/>
            <w:vAlign w:val="bottom"/>
          </w:tcPr>
          <w:p>
            <w:pPr>
              <w:spacing w:after="0"/>
              <w:rPr>
                <w:sz w:val="1"/>
                <w:szCs w:val="1"/>
                <w:color w:val="auto"/>
              </w:rPr>
            </w:pPr>
          </w:p>
        </w:tc>
      </w:tr>
      <w:tr>
        <w:trPr>
          <w:trHeight w:val="250"/>
        </w:trPr>
        <w:tc>
          <w:tcPr>
            <w:tcW w:w="6560" w:type="dxa"/>
            <w:vAlign w:val="bottom"/>
            <w:tcBorders>
              <w:bottom w:val="single" w:sz="8" w:color="CCEEFF"/>
            </w:tcBorders>
          </w:tcPr>
          <w:p>
            <w:pPr>
              <w:spacing w:after="0"/>
              <w:rPr>
                <w:sz w:val="20"/>
                <w:szCs w:val="20"/>
                <w:color w:val="auto"/>
              </w:rPr>
            </w:pPr>
            <w:r>
              <w:rPr>
                <w:rFonts w:ascii="Arial" w:cs="Arial" w:eastAsia="Arial" w:hAnsi="Arial"/>
                <w:sz w:val="18"/>
                <w:szCs w:val="18"/>
                <w:b w:val="1"/>
                <w:bCs w:val="1"/>
                <w:color w:val="auto"/>
              </w:rPr>
              <w:t>Total assets</w:t>
            </w:r>
          </w:p>
        </w:tc>
        <w:tc>
          <w:tcPr>
            <w:tcW w:w="320" w:type="dxa"/>
            <w:vAlign w:val="bottom"/>
            <w:tcBorders>
              <w:bottom w:val="single" w:sz="8" w:color="CCEEFF"/>
            </w:tcBorders>
          </w:tcPr>
          <w:p>
            <w:pPr>
              <w:spacing w:after="0"/>
              <w:rPr>
                <w:sz w:val="21"/>
                <w:szCs w:val="21"/>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4"/>
              </w:rPr>
              <w:t>1,885,027</w:t>
            </w:r>
          </w:p>
        </w:tc>
        <w:tc>
          <w:tcPr>
            <w:tcW w:w="160" w:type="dxa"/>
            <w:vAlign w:val="bottom"/>
            <w:tcBorders>
              <w:bottom w:val="single" w:sz="8" w:color="CCEEFF"/>
            </w:tcBorders>
          </w:tcPr>
          <w:p>
            <w:pPr>
              <w:spacing w:after="0"/>
              <w:rPr>
                <w:sz w:val="21"/>
                <w:szCs w:val="21"/>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9"/>
              </w:rPr>
              <w:t>1,844,579</w:t>
            </w:r>
          </w:p>
        </w:tc>
        <w:tc>
          <w:tcPr>
            <w:tcW w:w="0" w:type="dxa"/>
            <w:vAlign w:val="bottom"/>
          </w:tcPr>
          <w:p>
            <w:pPr>
              <w:spacing w:after="0"/>
              <w:rPr>
                <w:sz w:val="1"/>
                <w:szCs w:val="1"/>
                <w:color w:val="auto"/>
              </w:rPr>
            </w:pPr>
          </w:p>
        </w:tc>
      </w:tr>
      <w:tr>
        <w:trPr>
          <w:trHeight w:val="197"/>
        </w:trPr>
        <w:tc>
          <w:tcPr>
            <w:tcW w:w="6560" w:type="dxa"/>
            <w:vAlign w:val="bottom"/>
            <w:shd w:val="clear" w:color="auto" w:fill="CCEEFF"/>
          </w:tcPr>
          <w:p>
            <w:pPr>
              <w:ind w:left="1300"/>
              <w:spacing w:after="0" w:line="195" w:lineRule="exact"/>
              <w:rPr>
                <w:sz w:val="20"/>
                <w:szCs w:val="20"/>
                <w:color w:val="auto"/>
              </w:rPr>
            </w:pPr>
            <w:r>
              <w:rPr>
                <w:rFonts w:ascii="Arial" w:cs="Arial" w:eastAsia="Arial" w:hAnsi="Arial"/>
                <w:sz w:val="18"/>
                <w:szCs w:val="18"/>
                <w:b w:val="1"/>
                <w:bCs w:val="1"/>
                <w:color w:val="auto"/>
              </w:rPr>
              <w:t>LIABILITIES AND STOCKHOLDERS’ EQUITY:</w:t>
            </w:r>
          </w:p>
        </w:tc>
        <w:tc>
          <w:tcPr>
            <w:tcW w:w="3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6560" w:type="dxa"/>
            <w:vAlign w:val="bottom"/>
          </w:tcPr>
          <w:p>
            <w:pPr>
              <w:spacing w:after="0"/>
              <w:rPr>
                <w:sz w:val="20"/>
                <w:szCs w:val="20"/>
                <w:color w:val="auto"/>
              </w:rPr>
            </w:pPr>
            <w:r>
              <w:rPr>
                <w:rFonts w:ascii="Arial" w:cs="Arial" w:eastAsia="Arial" w:hAnsi="Arial"/>
                <w:sz w:val="18"/>
                <w:szCs w:val="18"/>
                <w:b w:val="1"/>
                <w:bCs w:val="1"/>
                <w:color w:val="auto"/>
              </w:rPr>
              <w:t>Current liabilities</w:t>
            </w:r>
          </w:p>
        </w:tc>
        <w:tc>
          <w:tcPr>
            <w:tcW w:w="3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560" w:type="dxa"/>
            <w:vAlign w:val="bottom"/>
            <w:shd w:val="clear" w:color="auto" w:fill="CCEEFF"/>
          </w:tcPr>
          <w:p>
            <w:pPr>
              <w:ind w:left="100"/>
              <w:spacing w:after="0"/>
              <w:rPr>
                <w:sz w:val="20"/>
                <w:szCs w:val="20"/>
                <w:color w:val="auto"/>
              </w:rPr>
            </w:pPr>
            <w:r>
              <w:rPr>
                <w:rFonts w:ascii="Arial" w:cs="Arial" w:eastAsia="Arial" w:hAnsi="Arial"/>
                <w:sz w:val="18"/>
                <w:szCs w:val="18"/>
                <w:color w:val="auto"/>
              </w:rPr>
              <w:t>Accounts payable</w:t>
            </w:r>
          </w:p>
        </w:tc>
        <w:tc>
          <w:tcPr>
            <w:tcW w:w="4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17,224</w:t>
            </w: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16,583</w:t>
            </w:r>
          </w:p>
        </w:tc>
        <w:tc>
          <w:tcPr>
            <w:tcW w:w="0" w:type="dxa"/>
            <w:vAlign w:val="bottom"/>
          </w:tcPr>
          <w:p>
            <w:pPr>
              <w:spacing w:after="0"/>
              <w:rPr>
                <w:sz w:val="1"/>
                <w:szCs w:val="1"/>
                <w:color w:val="auto"/>
              </w:rPr>
            </w:pPr>
          </w:p>
        </w:tc>
      </w:tr>
      <w:tr>
        <w:trPr>
          <w:trHeight w:val="216"/>
        </w:trPr>
        <w:tc>
          <w:tcPr>
            <w:tcW w:w="6560" w:type="dxa"/>
            <w:vAlign w:val="bottom"/>
          </w:tcPr>
          <w:p>
            <w:pPr>
              <w:ind w:left="100"/>
              <w:spacing w:after="0"/>
              <w:rPr>
                <w:sz w:val="20"/>
                <w:szCs w:val="20"/>
                <w:color w:val="auto"/>
              </w:rPr>
            </w:pPr>
            <w:r>
              <w:rPr>
                <w:rFonts w:ascii="Arial" w:cs="Arial" w:eastAsia="Arial" w:hAnsi="Arial"/>
                <w:sz w:val="18"/>
                <w:szCs w:val="18"/>
                <w:color w:val="auto"/>
              </w:rPr>
              <w:t>Accrued compensation and benefits</w:t>
            </w:r>
          </w:p>
        </w:tc>
        <w:tc>
          <w:tcPr>
            <w:tcW w:w="3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37,307</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34,248</w:t>
            </w:r>
          </w:p>
        </w:tc>
        <w:tc>
          <w:tcPr>
            <w:tcW w:w="0" w:type="dxa"/>
            <w:vAlign w:val="bottom"/>
          </w:tcPr>
          <w:p>
            <w:pPr>
              <w:spacing w:after="0"/>
              <w:rPr>
                <w:sz w:val="1"/>
                <w:szCs w:val="1"/>
                <w:color w:val="auto"/>
              </w:rPr>
            </w:pPr>
          </w:p>
        </w:tc>
      </w:tr>
      <w:tr>
        <w:trPr>
          <w:trHeight w:val="216"/>
        </w:trPr>
        <w:tc>
          <w:tcPr>
            <w:tcW w:w="6560" w:type="dxa"/>
            <w:vAlign w:val="bottom"/>
            <w:shd w:val="clear" w:color="auto" w:fill="CCEEFF"/>
          </w:tcPr>
          <w:p>
            <w:pPr>
              <w:ind w:left="100"/>
              <w:spacing w:after="0"/>
              <w:rPr>
                <w:sz w:val="20"/>
                <w:szCs w:val="20"/>
                <w:color w:val="auto"/>
              </w:rPr>
            </w:pPr>
            <w:r>
              <w:rPr>
                <w:rFonts w:ascii="Arial" w:cs="Arial" w:eastAsia="Arial" w:hAnsi="Arial"/>
                <w:sz w:val="18"/>
                <w:szCs w:val="18"/>
                <w:color w:val="auto"/>
              </w:rPr>
              <w:t>Accrued liabilities</w:t>
            </w:r>
          </w:p>
        </w:tc>
        <w:tc>
          <w:tcPr>
            <w:tcW w:w="3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29,495</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21,945</w:t>
            </w:r>
          </w:p>
        </w:tc>
        <w:tc>
          <w:tcPr>
            <w:tcW w:w="0" w:type="dxa"/>
            <w:vAlign w:val="bottom"/>
          </w:tcPr>
          <w:p>
            <w:pPr>
              <w:spacing w:after="0"/>
              <w:rPr>
                <w:sz w:val="1"/>
                <w:szCs w:val="1"/>
                <w:color w:val="auto"/>
              </w:rPr>
            </w:pPr>
          </w:p>
        </w:tc>
      </w:tr>
      <w:tr>
        <w:trPr>
          <w:trHeight w:val="216"/>
        </w:trPr>
        <w:tc>
          <w:tcPr>
            <w:tcW w:w="6560" w:type="dxa"/>
            <w:vAlign w:val="bottom"/>
          </w:tcPr>
          <w:p>
            <w:pPr>
              <w:ind w:left="100"/>
              <w:spacing w:after="0"/>
              <w:rPr>
                <w:sz w:val="20"/>
                <w:szCs w:val="20"/>
                <w:color w:val="auto"/>
              </w:rPr>
            </w:pPr>
            <w:r>
              <w:rPr>
                <w:rFonts w:ascii="Arial" w:cs="Arial" w:eastAsia="Arial" w:hAnsi="Arial"/>
                <w:sz w:val="18"/>
                <w:szCs w:val="18"/>
                <w:color w:val="auto"/>
              </w:rPr>
              <w:t>Income taxes payable</w:t>
            </w:r>
          </w:p>
        </w:tc>
        <w:tc>
          <w:tcPr>
            <w:tcW w:w="3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21,180</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5,405</w:t>
            </w:r>
          </w:p>
        </w:tc>
        <w:tc>
          <w:tcPr>
            <w:tcW w:w="0" w:type="dxa"/>
            <w:vAlign w:val="bottom"/>
          </w:tcPr>
          <w:p>
            <w:pPr>
              <w:spacing w:after="0"/>
              <w:rPr>
                <w:sz w:val="1"/>
                <w:szCs w:val="1"/>
                <w:color w:val="auto"/>
              </w:rPr>
            </w:pPr>
          </w:p>
        </w:tc>
      </w:tr>
      <w:tr>
        <w:trPr>
          <w:trHeight w:val="216"/>
        </w:trPr>
        <w:tc>
          <w:tcPr>
            <w:tcW w:w="6560" w:type="dxa"/>
            <w:vAlign w:val="bottom"/>
            <w:shd w:val="clear" w:color="auto" w:fill="CCEEFF"/>
          </w:tcPr>
          <w:p>
            <w:pPr>
              <w:ind w:left="100"/>
              <w:spacing w:after="0"/>
              <w:rPr>
                <w:sz w:val="20"/>
                <w:szCs w:val="20"/>
                <w:color w:val="auto"/>
              </w:rPr>
            </w:pPr>
            <w:r>
              <w:rPr>
                <w:rFonts w:ascii="Arial" w:cs="Arial" w:eastAsia="Arial" w:hAnsi="Arial"/>
                <w:sz w:val="18"/>
                <w:szCs w:val="18"/>
                <w:color w:val="auto"/>
              </w:rPr>
              <w:t>Deferred revenue</w:t>
            </w:r>
          </w:p>
        </w:tc>
        <w:tc>
          <w:tcPr>
            <w:tcW w:w="3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6,936</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6560" w:type="dxa"/>
            <w:vAlign w:val="bottom"/>
          </w:tcPr>
          <w:p>
            <w:pPr>
              <w:ind w:left="100"/>
              <w:spacing w:after="0"/>
              <w:rPr>
                <w:sz w:val="20"/>
                <w:szCs w:val="20"/>
                <w:color w:val="auto"/>
              </w:rPr>
            </w:pPr>
            <w:r>
              <w:rPr>
                <w:rFonts w:ascii="Arial" w:cs="Arial" w:eastAsia="Arial" w:hAnsi="Arial"/>
                <w:sz w:val="18"/>
                <w:szCs w:val="18"/>
                <w:color w:val="auto"/>
              </w:rPr>
              <w:t>Current portion of lease liability</w:t>
            </w:r>
          </w:p>
        </w:tc>
        <w:tc>
          <w:tcPr>
            <w:tcW w:w="3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7,525</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7,393</w:t>
            </w:r>
          </w:p>
        </w:tc>
        <w:tc>
          <w:tcPr>
            <w:tcW w:w="0" w:type="dxa"/>
            <w:vAlign w:val="bottom"/>
          </w:tcPr>
          <w:p>
            <w:pPr>
              <w:spacing w:after="0"/>
              <w:rPr>
                <w:sz w:val="1"/>
                <w:szCs w:val="1"/>
                <w:color w:val="auto"/>
              </w:rPr>
            </w:pPr>
          </w:p>
        </w:tc>
      </w:tr>
      <w:tr>
        <w:trPr>
          <w:trHeight w:val="216"/>
        </w:trPr>
        <w:tc>
          <w:tcPr>
            <w:tcW w:w="6560" w:type="dxa"/>
            <w:vAlign w:val="bottom"/>
            <w:shd w:val="clear" w:color="auto" w:fill="CCEEFF"/>
          </w:tcPr>
          <w:p>
            <w:pPr>
              <w:ind w:left="100"/>
              <w:spacing w:after="0"/>
              <w:rPr>
                <w:sz w:val="20"/>
                <w:szCs w:val="20"/>
                <w:color w:val="auto"/>
              </w:rPr>
            </w:pPr>
            <w:r>
              <w:rPr>
                <w:rFonts w:ascii="Arial" w:cs="Arial" w:eastAsia="Arial" w:hAnsi="Arial"/>
                <w:sz w:val="18"/>
                <w:szCs w:val="18"/>
                <w:color w:val="auto"/>
              </w:rPr>
              <w:t>Current portion of notes payable</w:t>
            </w:r>
          </w:p>
        </w:tc>
        <w:tc>
          <w:tcPr>
            <w:tcW w:w="32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33,144</w:t>
            </w:r>
          </w:p>
        </w:tc>
        <w:tc>
          <w:tcPr>
            <w:tcW w:w="16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33,144</w:t>
            </w:r>
          </w:p>
        </w:tc>
        <w:tc>
          <w:tcPr>
            <w:tcW w:w="0" w:type="dxa"/>
            <w:vAlign w:val="bottom"/>
          </w:tcPr>
          <w:p>
            <w:pPr>
              <w:spacing w:after="0"/>
              <w:rPr>
                <w:sz w:val="1"/>
                <w:szCs w:val="1"/>
                <w:color w:val="auto"/>
              </w:rPr>
            </w:pPr>
          </w:p>
        </w:tc>
      </w:tr>
      <w:tr>
        <w:trPr>
          <w:trHeight w:val="209"/>
        </w:trPr>
        <w:tc>
          <w:tcPr>
            <w:tcW w:w="6560" w:type="dxa"/>
            <w:vAlign w:val="bottom"/>
          </w:tcPr>
          <w:p>
            <w:pPr>
              <w:spacing w:after="0"/>
              <w:rPr>
                <w:sz w:val="20"/>
                <w:szCs w:val="20"/>
                <w:color w:val="auto"/>
              </w:rPr>
            </w:pPr>
            <w:r>
              <w:rPr>
                <w:rFonts w:ascii="Arial" w:cs="Arial" w:eastAsia="Arial" w:hAnsi="Arial"/>
                <w:sz w:val="18"/>
                <w:szCs w:val="18"/>
                <w:b w:val="1"/>
                <w:bCs w:val="1"/>
                <w:color w:val="auto"/>
              </w:rPr>
              <w:t>Total current liabilities</w:t>
            </w:r>
          </w:p>
        </w:tc>
        <w:tc>
          <w:tcPr>
            <w:tcW w:w="3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152,811</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118,718</w:t>
            </w:r>
          </w:p>
        </w:tc>
        <w:tc>
          <w:tcPr>
            <w:tcW w:w="0" w:type="dxa"/>
            <w:vAlign w:val="bottom"/>
          </w:tcPr>
          <w:p>
            <w:pPr>
              <w:spacing w:after="0"/>
              <w:rPr>
                <w:sz w:val="1"/>
                <w:szCs w:val="1"/>
                <w:color w:val="auto"/>
              </w:rPr>
            </w:pPr>
          </w:p>
        </w:tc>
      </w:tr>
      <w:tr>
        <w:trPr>
          <w:trHeight w:val="216"/>
        </w:trPr>
        <w:tc>
          <w:tcPr>
            <w:tcW w:w="6560" w:type="dxa"/>
            <w:vAlign w:val="bottom"/>
            <w:shd w:val="clear" w:color="auto" w:fill="CCEEFF"/>
          </w:tcPr>
          <w:p>
            <w:pPr>
              <w:spacing w:after="0"/>
              <w:rPr>
                <w:sz w:val="20"/>
                <w:szCs w:val="20"/>
                <w:color w:val="auto"/>
              </w:rPr>
            </w:pPr>
            <w:r>
              <w:rPr>
                <w:rFonts w:ascii="Arial" w:cs="Arial" w:eastAsia="Arial" w:hAnsi="Arial"/>
                <w:sz w:val="18"/>
                <w:szCs w:val="18"/>
                <w:color w:val="auto"/>
              </w:rPr>
              <w:t>Deferred income taxes, noncurrent</w:t>
            </w:r>
          </w:p>
        </w:tc>
        <w:tc>
          <w:tcPr>
            <w:tcW w:w="3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22,029</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20,288</w:t>
            </w:r>
          </w:p>
        </w:tc>
        <w:tc>
          <w:tcPr>
            <w:tcW w:w="0" w:type="dxa"/>
            <w:vAlign w:val="bottom"/>
          </w:tcPr>
          <w:p>
            <w:pPr>
              <w:spacing w:after="0"/>
              <w:rPr>
                <w:sz w:val="1"/>
                <w:szCs w:val="1"/>
                <w:color w:val="auto"/>
              </w:rPr>
            </w:pPr>
          </w:p>
        </w:tc>
      </w:tr>
      <w:tr>
        <w:trPr>
          <w:trHeight w:val="216"/>
        </w:trPr>
        <w:tc>
          <w:tcPr>
            <w:tcW w:w="6560" w:type="dxa"/>
            <w:vAlign w:val="bottom"/>
          </w:tcPr>
          <w:p>
            <w:pPr>
              <w:spacing w:after="0"/>
              <w:rPr>
                <w:sz w:val="20"/>
                <w:szCs w:val="20"/>
                <w:color w:val="auto"/>
              </w:rPr>
            </w:pPr>
            <w:r>
              <w:rPr>
                <w:rFonts w:ascii="Arial" w:cs="Arial" w:eastAsia="Arial" w:hAnsi="Arial"/>
                <w:sz w:val="18"/>
                <w:szCs w:val="18"/>
                <w:color w:val="auto"/>
              </w:rPr>
              <w:t>Other long term liability</w:t>
            </w:r>
          </w:p>
        </w:tc>
        <w:tc>
          <w:tcPr>
            <w:tcW w:w="3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107</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16"/>
        </w:trPr>
        <w:tc>
          <w:tcPr>
            <w:tcW w:w="6560" w:type="dxa"/>
            <w:vAlign w:val="bottom"/>
            <w:shd w:val="clear" w:color="auto" w:fill="CCEEFF"/>
          </w:tcPr>
          <w:p>
            <w:pPr>
              <w:spacing w:after="0"/>
              <w:rPr>
                <w:sz w:val="20"/>
                <w:szCs w:val="20"/>
                <w:color w:val="auto"/>
              </w:rPr>
            </w:pPr>
            <w:r>
              <w:rPr>
                <w:rFonts w:ascii="Arial" w:cs="Arial" w:eastAsia="Arial" w:hAnsi="Arial"/>
                <w:sz w:val="18"/>
                <w:szCs w:val="18"/>
                <w:color w:val="auto"/>
              </w:rPr>
              <w:t>Lease liability, less current portion</w:t>
            </w:r>
          </w:p>
        </w:tc>
        <w:tc>
          <w:tcPr>
            <w:tcW w:w="3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55,058</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56,611</w:t>
            </w:r>
          </w:p>
        </w:tc>
        <w:tc>
          <w:tcPr>
            <w:tcW w:w="0" w:type="dxa"/>
            <w:vAlign w:val="bottom"/>
          </w:tcPr>
          <w:p>
            <w:pPr>
              <w:spacing w:after="0"/>
              <w:rPr>
                <w:sz w:val="1"/>
                <w:szCs w:val="1"/>
                <w:color w:val="auto"/>
              </w:rPr>
            </w:pPr>
          </w:p>
        </w:tc>
      </w:tr>
      <w:tr>
        <w:trPr>
          <w:trHeight w:val="216"/>
        </w:trPr>
        <w:tc>
          <w:tcPr>
            <w:tcW w:w="656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Notes payable, less current portion</w:t>
            </w:r>
          </w:p>
        </w:tc>
        <w:tc>
          <w:tcPr>
            <w:tcW w:w="320" w:type="dxa"/>
            <w:vAlign w:val="bottom"/>
            <w:tcBorders>
              <w:bottom w:val="single" w:sz="8" w:color="CCEEFF"/>
            </w:tcBorders>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66,344</w:t>
            </w:r>
          </w:p>
        </w:tc>
        <w:tc>
          <w:tcPr>
            <w:tcW w:w="16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74,630</w:t>
            </w:r>
          </w:p>
        </w:tc>
        <w:tc>
          <w:tcPr>
            <w:tcW w:w="0" w:type="dxa"/>
            <w:vAlign w:val="bottom"/>
          </w:tcPr>
          <w:p>
            <w:pPr>
              <w:spacing w:after="0"/>
              <w:rPr>
                <w:sz w:val="1"/>
                <w:szCs w:val="1"/>
                <w:color w:val="auto"/>
              </w:rPr>
            </w:pPr>
          </w:p>
        </w:tc>
      </w:tr>
      <w:tr>
        <w:trPr>
          <w:trHeight w:val="210"/>
        </w:trPr>
        <w:tc>
          <w:tcPr>
            <w:tcW w:w="65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Total liabilities</w:t>
            </w:r>
          </w:p>
        </w:tc>
        <w:tc>
          <w:tcPr>
            <w:tcW w:w="32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296,349</w:t>
            </w:r>
          </w:p>
        </w:tc>
        <w:tc>
          <w:tcPr>
            <w:tcW w:w="16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270,250</w:t>
            </w:r>
          </w:p>
        </w:tc>
        <w:tc>
          <w:tcPr>
            <w:tcW w:w="0" w:type="dxa"/>
            <w:vAlign w:val="bottom"/>
          </w:tcPr>
          <w:p>
            <w:pPr>
              <w:spacing w:after="0"/>
              <w:rPr>
                <w:sz w:val="1"/>
                <w:szCs w:val="1"/>
                <w:color w:val="auto"/>
              </w:rPr>
            </w:pPr>
          </w:p>
        </w:tc>
      </w:tr>
      <w:tr>
        <w:trPr>
          <w:trHeight w:val="209"/>
        </w:trPr>
        <w:tc>
          <w:tcPr>
            <w:tcW w:w="6560" w:type="dxa"/>
            <w:vAlign w:val="bottom"/>
          </w:tcPr>
          <w:p>
            <w:pPr>
              <w:spacing w:after="0"/>
              <w:rPr>
                <w:sz w:val="20"/>
                <w:szCs w:val="20"/>
                <w:color w:val="auto"/>
              </w:rPr>
            </w:pPr>
            <w:r>
              <w:rPr>
                <w:rFonts w:ascii="Arial" w:cs="Arial" w:eastAsia="Arial" w:hAnsi="Arial"/>
                <w:sz w:val="18"/>
                <w:szCs w:val="18"/>
                <w:color w:val="auto"/>
              </w:rPr>
              <w:t>Commitments and contingencies</w:t>
            </w:r>
          </w:p>
        </w:tc>
        <w:tc>
          <w:tcPr>
            <w:tcW w:w="3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5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Stockholders’ equity</w:t>
            </w:r>
          </w:p>
        </w:tc>
        <w:tc>
          <w:tcPr>
            <w:tcW w:w="3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6560" w:type="dxa"/>
            <w:vAlign w:val="bottom"/>
          </w:tcPr>
          <w:p>
            <w:pPr>
              <w:spacing w:after="0" w:line="201" w:lineRule="exact"/>
              <w:rPr>
                <w:sz w:val="20"/>
                <w:szCs w:val="20"/>
                <w:color w:val="auto"/>
              </w:rPr>
            </w:pPr>
            <w:r>
              <w:rPr>
                <w:rFonts w:ascii="Arial" w:cs="Arial" w:eastAsia="Arial" w:hAnsi="Arial"/>
                <w:sz w:val="18"/>
                <w:szCs w:val="18"/>
                <w:color w:val="auto"/>
                <w:w w:val="88"/>
              </w:rPr>
              <w:t>Preferred stock, $0.01 par value, 10,000 shares authorized; 0 shares issued and outstanding</w:t>
            </w:r>
          </w:p>
        </w:tc>
        <w:tc>
          <w:tcPr>
            <w:tcW w:w="3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6560" w:type="dxa"/>
            <w:vAlign w:val="bottom"/>
          </w:tcPr>
          <w:p>
            <w:pPr>
              <w:spacing w:after="0"/>
              <w:rPr>
                <w:sz w:val="20"/>
                <w:szCs w:val="20"/>
                <w:color w:val="auto"/>
              </w:rPr>
            </w:pPr>
            <w:r>
              <w:rPr>
                <w:rFonts w:ascii="Arial" w:cs="Arial" w:eastAsia="Arial" w:hAnsi="Arial"/>
                <w:sz w:val="18"/>
                <w:szCs w:val="18"/>
                <w:color w:val="auto"/>
              </w:rPr>
              <w:t>at March 31, 2021 and December 31, 2020</w:t>
            </w:r>
          </w:p>
        </w:tc>
        <w:tc>
          <w:tcPr>
            <w:tcW w:w="3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2"/>
        </w:trPr>
        <w:tc>
          <w:tcPr>
            <w:tcW w:w="656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w w:val="93"/>
              </w:rPr>
              <w:t>Common stock, $0.01 par value, 100,000 shares authorized; 53,633 and 53,277 shares</w:t>
            </w:r>
          </w:p>
        </w:tc>
        <w:tc>
          <w:tcPr>
            <w:tcW w:w="3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6560" w:type="dxa"/>
            <w:vAlign w:val="bottom"/>
            <w:shd w:val="clear" w:color="auto" w:fill="CCEEFF"/>
          </w:tcPr>
          <w:p>
            <w:pPr>
              <w:spacing w:after="0"/>
              <w:rPr>
                <w:sz w:val="20"/>
                <w:szCs w:val="20"/>
                <w:color w:val="auto"/>
              </w:rPr>
            </w:pPr>
            <w:r>
              <w:rPr>
                <w:rFonts w:ascii="Arial" w:cs="Arial" w:eastAsia="Arial" w:hAnsi="Arial"/>
                <w:sz w:val="18"/>
                <w:szCs w:val="18"/>
                <w:color w:val="auto"/>
                <w:w w:val="93"/>
              </w:rPr>
              <w:t>issued and 46,382 and 46,649 shares outstanding at March 31, 2021 and December 31,</w:t>
            </w:r>
          </w:p>
        </w:tc>
        <w:tc>
          <w:tcPr>
            <w:tcW w:w="3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6560" w:type="dxa"/>
            <w:vAlign w:val="bottom"/>
            <w:shd w:val="clear" w:color="auto" w:fill="CCEEFF"/>
          </w:tcPr>
          <w:p>
            <w:pPr>
              <w:spacing w:after="0"/>
              <w:rPr>
                <w:sz w:val="20"/>
                <w:szCs w:val="20"/>
                <w:color w:val="auto"/>
              </w:rPr>
            </w:pPr>
            <w:r>
              <w:rPr>
                <w:rFonts w:ascii="Arial" w:cs="Arial" w:eastAsia="Arial" w:hAnsi="Arial"/>
                <w:sz w:val="18"/>
                <w:szCs w:val="18"/>
                <w:color w:val="auto"/>
              </w:rPr>
              <w:t>2020, respectively</w:t>
            </w:r>
          </w:p>
        </w:tc>
        <w:tc>
          <w:tcPr>
            <w:tcW w:w="32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536</w:t>
            </w:r>
          </w:p>
        </w:tc>
        <w:tc>
          <w:tcPr>
            <w:tcW w:w="16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533</w:t>
            </w:r>
          </w:p>
        </w:tc>
        <w:tc>
          <w:tcPr>
            <w:tcW w:w="0" w:type="dxa"/>
            <w:vAlign w:val="bottom"/>
          </w:tcPr>
          <w:p>
            <w:pPr>
              <w:spacing w:after="0"/>
              <w:rPr>
                <w:sz w:val="1"/>
                <w:szCs w:val="1"/>
                <w:color w:val="auto"/>
              </w:rPr>
            </w:pPr>
          </w:p>
        </w:tc>
      </w:tr>
      <w:tr>
        <w:trPr>
          <w:trHeight w:val="202"/>
        </w:trPr>
        <w:tc>
          <w:tcPr>
            <w:tcW w:w="6560" w:type="dxa"/>
            <w:vAlign w:val="bottom"/>
          </w:tcPr>
          <w:p>
            <w:pPr>
              <w:spacing w:after="0" w:line="201" w:lineRule="exact"/>
              <w:rPr>
                <w:sz w:val="20"/>
                <w:szCs w:val="20"/>
                <w:color w:val="auto"/>
              </w:rPr>
            </w:pPr>
            <w:r>
              <w:rPr>
                <w:rFonts w:ascii="Arial" w:cs="Arial" w:eastAsia="Arial" w:hAnsi="Arial"/>
                <w:sz w:val="18"/>
                <w:szCs w:val="18"/>
                <w:color w:val="auto"/>
                <w:w w:val="92"/>
              </w:rPr>
              <w:t>Treasury stock, at cost, 7,251 and 6,628 shares of common stock at March 31, 2021 and</w:t>
            </w:r>
          </w:p>
        </w:tc>
        <w:tc>
          <w:tcPr>
            <w:tcW w:w="3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6560" w:type="dxa"/>
            <w:vAlign w:val="bottom"/>
          </w:tcPr>
          <w:p>
            <w:pPr>
              <w:spacing w:after="0"/>
              <w:rPr>
                <w:sz w:val="20"/>
                <w:szCs w:val="20"/>
                <w:color w:val="auto"/>
              </w:rPr>
            </w:pPr>
            <w:r>
              <w:rPr>
                <w:rFonts w:ascii="Arial" w:cs="Arial" w:eastAsia="Arial" w:hAnsi="Arial"/>
                <w:sz w:val="18"/>
                <w:szCs w:val="18"/>
                <w:color w:val="auto"/>
              </w:rPr>
              <w:t>December 31, 2020, respectively</w:t>
            </w:r>
          </w:p>
        </w:tc>
        <w:tc>
          <w:tcPr>
            <w:tcW w:w="3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(365,721)</w:t>
            </w:r>
          </w:p>
        </w:tc>
        <w:tc>
          <w:tcPr>
            <w:tcW w:w="1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(303,379)</w:t>
            </w:r>
          </w:p>
        </w:tc>
        <w:tc>
          <w:tcPr>
            <w:tcW w:w="0" w:type="dxa"/>
            <w:vAlign w:val="bottom"/>
          </w:tcPr>
          <w:p>
            <w:pPr>
              <w:spacing w:after="0"/>
              <w:rPr>
                <w:sz w:val="1"/>
                <w:szCs w:val="1"/>
                <w:color w:val="auto"/>
              </w:rPr>
            </w:pPr>
          </w:p>
        </w:tc>
      </w:tr>
      <w:tr>
        <w:trPr>
          <w:trHeight w:val="216"/>
        </w:trPr>
        <w:tc>
          <w:tcPr>
            <w:tcW w:w="6560" w:type="dxa"/>
            <w:vAlign w:val="bottom"/>
            <w:shd w:val="clear" w:color="auto" w:fill="CCEEFF"/>
          </w:tcPr>
          <w:p>
            <w:pPr>
              <w:spacing w:after="0"/>
              <w:rPr>
                <w:sz w:val="20"/>
                <w:szCs w:val="20"/>
                <w:color w:val="auto"/>
              </w:rPr>
            </w:pPr>
            <w:r>
              <w:rPr>
                <w:rFonts w:ascii="Arial" w:cs="Arial" w:eastAsia="Arial" w:hAnsi="Arial"/>
                <w:sz w:val="18"/>
                <w:szCs w:val="18"/>
                <w:color w:val="auto"/>
              </w:rPr>
              <w:t>Additional paid-in capital</w:t>
            </w:r>
          </w:p>
        </w:tc>
        <w:tc>
          <w:tcPr>
            <w:tcW w:w="3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281,163</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282,467</w:t>
            </w:r>
          </w:p>
        </w:tc>
        <w:tc>
          <w:tcPr>
            <w:tcW w:w="0" w:type="dxa"/>
            <w:vAlign w:val="bottom"/>
          </w:tcPr>
          <w:p>
            <w:pPr>
              <w:spacing w:after="0"/>
              <w:rPr>
                <w:sz w:val="1"/>
                <w:szCs w:val="1"/>
                <w:color w:val="auto"/>
              </w:rPr>
            </w:pPr>
          </w:p>
        </w:tc>
      </w:tr>
      <w:tr>
        <w:trPr>
          <w:trHeight w:val="216"/>
        </w:trPr>
        <w:tc>
          <w:tcPr>
            <w:tcW w:w="6560" w:type="dxa"/>
            <w:vAlign w:val="bottom"/>
          </w:tcPr>
          <w:p>
            <w:pPr>
              <w:spacing w:after="0"/>
              <w:rPr>
                <w:sz w:val="20"/>
                <w:szCs w:val="20"/>
                <w:color w:val="auto"/>
              </w:rPr>
            </w:pPr>
            <w:r>
              <w:rPr>
                <w:rFonts w:ascii="Arial" w:cs="Arial" w:eastAsia="Arial" w:hAnsi="Arial"/>
                <w:sz w:val="18"/>
                <w:szCs w:val="18"/>
                <w:color w:val="auto"/>
              </w:rPr>
              <w:t>Accumulated other comprehensive loss</w:t>
            </w:r>
          </w:p>
        </w:tc>
        <w:tc>
          <w:tcPr>
            <w:tcW w:w="3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(120)</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6560" w:type="dxa"/>
            <w:vAlign w:val="bottom"/>
            <w:shd w:val="clear" w:color="auto" w:fill="CCEEFF"/>
          </w:tcPr>
          <w:p>
            <w:pPr>
              <w:spacing w:after="0"/>
              <w:rPr>
                <w:sz w:val="20"/>
                <w:szCs w:val="20"/>
                <w:color w:val="auto"/>
              </w:rPr>
            </w:pPr>
            <w:r>
              <w:rPr>
                <w:rFonts w:ascii="Arial" w:cs="Arial" w:eastAsia="Arial" w:hAnsi="Arial"/>
                <w:sz w:val="18"/>
                <w:szCs w:val="18"/>
                <w:color w:val="auto"/>
              </w:rPr>
              <w:t>Retained earnings</w:t>
            </w:r>
          </w:p>
        </w:tc>
        <w:tc>
          <w:tcPr>
            <w:tcW w:w="32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4"/>
              </w:rPr>
              <w:t>1,672,820</w:t>
            </w:r>
          </w:p>
        </w:tc>
        <w:tc>
          <w:tcPr>
            <w:tcW w:w="16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9"/>
              </w:rPr>
              <w:t>1,594,708</w:t>
            </w:r>
          </w:p>
        </w:tc>
        <w:tc>
          <w:tcPr>
            <w:tcW w:w="0" w:type="dxa"/>
            <w:vAlign w:val="bottom"/>
          </w:tcPr>
          <w:p>
            <w:pPr>
              <w:spacing w:after="0"/>
              <w:rPr>
                <w:sz w:val="1"/>
                <w:szCs w:val="1"/>
                <w:color w:val="auto"/>
              </w:rPr>
            </w:pPr>
          </w:p>
        </w:tc>
      </w:tr>
      <w:tr>
        <w:trPr>
          <w:trHeight w:val="209"/>
        </w:trPr>
        <w:tc>
          <w:tcPr>
            <w:tcW w:w="6560" w:type="dxa"/>
            <w:vAlign w:val="bottom"/>
            <w:tcBorders>
              <w:bottom w:val="single" w:sz="8" w:color="CCEEFF"/>
            </w:tcBorders>
          </w:tcPr>
          <w:p>
            <w:pPr>
              <w:spacing w:after="0"/>
              <w:rPr>
                <w:sz w:val="20"/>
                <w:szCs w:val="20"/>
                <w:color w:val="auto"/>
              </w:rPr>
            </w:pPr>
            <w:r>
              <w:rPr>
                <w:rFonts w:ascii="Arial" w:cs="Arial" w:eastAsia="Arial" w:hAnsi="Arial"/>
                <w:sz w:val="18"/>
                <w:szCs w:val="18"/>
                <w:b w:val="1"/>
                <w:bCs w:val="1"/>
                <w:color w:val="auto"/>
              </w:rPr>
              <w:t>Total stockholders’ equity</w:t>
            </w:r>
          </w:p>
        </w:tc>
        <w:tc>
          <w:tcPr>
            <w:tcW w:w="320" w:type="dxa"/>
            <w:vAlign w:val="bottom"/>
            <w:tcBorders>
              <w:bottom w:val="single" w:sz="8" w:color="CCEEFF"/>
            </w:tcBorders>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4"/>
              </w:rPr>
              <w:t>1,588,678</w:t>
            </w:r>
          </w:p>
        </w:tc>
        <w:tc>
          <w:tcPr>
            <w:tcW w:w="16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9"/>
              </w:rPr>
              <w:t>1,574,329</w:t>
            </w:r>
          </w:p>
        </w:tc>
        <w:tc>
          <w:tcPr>
            <w:tcW w:w="0" w:type="dxa"/>
            <w:vAlign w:val="bottom"/>
          </w:tcPr>
          <w:p>
            <w:pPr>
              <w:spacing w:after="0"/>
              <w:rPr>
                <w:sz w:val="1"/>
                <w:szCs w:val="1"/>
                <w:color w:val="auto"/>
              </w:rPr>
            </w:pPr>
          </w:p>
        </w:tc>
      </w:tr>
      <w:tr>
        <w:trPr>
          <w:trHeight w:val="210"/>
        </w:trPr>
        <w:tc>
          <w:tcPr>
            <w:tcW w:w="656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Total liabilities and stockholders’ equity</w:t>
            </w:r>
          </w:p>
        </w:tc>
        <w:tc>
          <w:tcPr>
            <w:tcW w:w="320" w:type="dxa"/>
            <w:vAlign w:val="bottom"/>
            <w:tcBorders>
              <w:bottom w:val="single" w:sz="8" w:color="CCEEFF"/>
            </w:tcBorders>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4"/>
              </w:rPr>
              <w:t>1,885,027</w:t>
            </w:r>
          </w:p>
        </w:tc>
        <w:tc>
          <w:tcPr>
            <w:tcW w:w="16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9"/>
              </w:rPr>
              <w:t>1,844,579</w:t>
            </w:r>
          </w:p>
        </w:tc>
        <w:tc>
          <w:tcPr>
            <w:tcW w:w="0" w:type="dxa"/>
            <w:vAlign w:val="bottom"/>
          </w:tcPr>
          <w:p>
            <w:pPr>
              <w:spacing w:after="0"/>
              <w:rPr>
                <w:sz w:val="1"/>
                <w:szCs w:val="1"/>
                <w:color w:val="auto"/>
              </w:rPr>
            </w:pPr>
          </w:p>
        </w:tc>
      </w:tr>
      <w:tr>
        <w:trPr>
          <w:trHeight w:val="20"/>
        </w:trPr>
        <w:tc>
          <w:tcPr>
            <w:tcW w:w="65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07" w:lineRule="exact"/>
        <w:rPr>
          <w:sz w:val="20"/>
          <w:szCs w:val="20"/>
          <w:color w:val="auto"/>
        </w:rPr>
      </w:pPr>
    </w:p>
    <w:p>
      <w:pPr>
        <w:ind w:left="1660"/>
        <w:spacing w:after="0"/>
        <w:rPr>
          <w:sz w:val="20"/>
          <w:szCs w:val="20"/>
          <w:color w:val="auto"/>
        </w:rPr>
      </w:pPr>
      <w:r>
        <w:rPr>
          <w:rFonts w:ascii="Arial" w:cs="Arial" w:eastAsia="Arial" w:hAnsi="Arial"/>
          <w:sz w:val="18"/>
          <w:szCs w:val="18"/>
          <w:i w:val="1"/>
          <w:iCs w:val="1"/>
          <w:color w:val="auto"/>
        </w:rPr>
        <w:t>The accompanying notes are an integral part of these consolidated financial statements.</w:t>
      </w:r>
    </w:p>
    <w:p>
      <w:pPr>
        <w:sectPr>
          <w:pgSz w:w="11900" w:h="16838" w:orient="portrait"/>
          <w:cols w:equalWidth="0" w:num="1">
            <w:col w:w="9019"/>
          </w:cols>
          <w:pgMar w:left="1440" w:top="517" w:right="1440" w:bottom="1440" w:gutter="0" w:footer="0" w:header="0"/>
        </w:sectPr>
      </w:pPr>
    </w:p>
    <w:p>
      <w:pPr>
        <w:spacing w:after="0" w:line="200" w:lineRule="exact"/>
        <w:rPr>
          <w:sz w:val="20"/>
          <w:szCs w:val="20"/>
          <w:color w:val="auto"/>
        </w:rPr>
      </w:pPr>
    </w:p>
    <w:p>
      <w:pPr>
        <w:spacing w:after="0" w:line="241" w:lineRule="exact"/>
        <w:rPr>
          <w:sz w:val="20"/>
          <w:szCs w:val="20"/>
          <w:color w:val="auto"/>
        </w:rPr>
      </w:pPr>
    </w:p>
    <w:p>
      <w:pPr>
        <w:jc w:val="center"/>
        <w:ind w:right="19"/>
        <w:spacing w:after="0"/>
        <w:rPr>
          <w:sz w:val="20"/>
          <w:szCs w:val="20"/>
          <w:color w:val="auto"/>
        </w:rPr>
      </w:pPr>
      <w:r>
        <w:rPr>
          <w:rFonts w:ascii="Arial" w:cs="Arial" w:eastAsia="Arial" w:hAnsi="Arial"/>
          <w:sz w:val="13"/>
          <w:szCs w:val="13"/>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394335</wp:posOffset>
            </wp:positionV>
            <wp:extent cx="5657850" cy="2540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4" w:name="page5"/>
    <w:bookmarkEnd w:id="4"/>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Consolidated Statement of Other Comprehensive Income</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203" w:lineRule="exact"/>
        <w:rPr>
          <w:sz w:val="20"/>
          <w:szCs w:val="20"/>
          <w:color w:val="auto"/>
        </w:rPr>
      </w:pPr>
    </w:p>
    <w:tbl>
      <w:tblPr>
        <w:tblLayout w:type="fixed"/>
        <w:tblInd w:w="40" w:type="dxa"/>
        <w:tblCellMar>
          <w:top w:w="0" w:type="dxa"/>
          <w:left w:w="0" w:type="dxa"/>
          <w:bottom w:w="0" w:type="dxa"/>
          <w:right w:w="0" w:type="dxa"/>
        </w:tblCellMar>
      </w:tblPr>
      <w:tr>
        <w:trPr>
          <w:trHeight w:val="161"/>
        </w:trPr>
        <w:tc>
          <w:tcPr>
            <w:tcW w:w="65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860" w:type="dxa"/>
            <w:vAlign w:val="bottom"/>
            <w:gridSpan w:val="5"/>
          </w:tcPr>
          <w:p>
            <w:pPr>
              <w:ind w:left="80"/>
              <w:spacing w:after="0"/>
              <w:rPr>
                <w:sz w:val="20"/>
                <w:szCs w:val="20"/>
                <w:color w:val="auto"/>
              </w:rPr>
            </w:pPr>
            <w:r>
              <w:rPr>
                <w:rFonts w:ascii="Arial" w:cs="Arial" w:eastAsia="Arial" w:hAnsi="Arial"/>
                <w:sz w:val="14"/>
                <w:szCs w:val="14"/>
                <w:b w:val="1"/>
                <w:bCs w:val="1"/>
                <w:color w:val="auto"/>
              </w:rPr>
              <w:t>Three Months Ended</w:t>
            </w:r>
          </w:p>
        </w:tc>
        <w:tc>
          <w:tcPr>
            <w:tcW w:w="0" w:type="dxa"/>
            <w:vAlign w:val="bottom"/>
          </w:tcPr>
          <w:p>
            <w:pPr>
              <w:spacing w:after="0"/>
              <w:rPr>
                <w:sz w:val="1"/>
                <w:szCs w:val="1"/>
                <w:color w:val="auto"/>
              </w:rPr>
            </w:pPr>
          </w:p>
        </w:tc>
      </w:tr>
      <w:tr>
        <w:trPr>
          <w:trHeight w:val="171"/>
        </w:trPr>
        <w:tc>
          <w:tcPr>
            <w:tcW w:w="686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(In thousands)</w:t>
            </w:r>
          </w:p>
        </w:tc>
        <w:tc>
          <w:tcPr>
            <w:tcW w:w="180" w:type="dxa"/>
            <w:vAlign w:val="bottom"/>
            <w:tcBorders>
              <w:bottom w:val="single" w:sz="8" w:color="auto"/>
            </w:tcBorders>
          </w:tcPr>
          <w:p>
            <w:pPr>
              <w:spacing w:after="0"/>
              <w:rPr>
                <w:sz w:val="14"/>
                <w:szCs w:val="14"/>
                <w:color w:val="auto"/>
              </w:rPr>
            </w:pPr>
          </w:p>
        </w:tc>
        <w:tc>
          <w:tcPr>
            <w:tcW w:w="1060" w:type="dxa"/>
            <w:vAlign w:val="bottom"/>
            <w:tcBorders>
              <w:bottom w:val="single" w:sz="8" w:color="auto"/>
            </w:tcBorders>
            <w:gridSpan w:val="3"/>
          </w:tcPr>
          <w:p>
            <w:pPr>
              <w:ind w:left="400"/>
              <w:spacing w:after="0"/>
              <w:rPr>
                <w:sz w:val="20"/>
                <w:szCs w:val="20"/>
                <w:color w:val="auto"/>
              </w:rPr>
            </w:pPr>
            <w:r>
              <w:rPr>
                <w:rFonts w:ascii="Arial" w:cs="Arial" w:eastAsia="Arial" w:hAnsi="Arial"/>
                <w:sz w:val="14"/>
                <w:szCs w:val="14"/>
                <w:b w:val="1"/>
                <w:bCs w:val="1"/>
                <w:color w:val="auto"/>
                <w:w w:val="99"/>
              </w:rPr>
              <w:t>March 31,</w:t>
            </w:r>
          </w:p>
        </w:tc>
        <w:tc>
          <w:tcPr>
            <w:tcW w:w="600" w:type="dxa"/>
            <w:vAlign w:val="bottom"/>
            <w:tcBorders>
              <w:bottom w:val="single" w:sz="8" w:color="auto"/>
            </w:tcBorders>
          </w:tcPr>
          <w:p>
            <w:pPr>
              <w:spacing w:after="0"/>
              <w:rPr>
                <w:sz w:val="14"/>
                <w:szCs w:val="14"/>
                <w:color w:val="auto"/>
              </w:rPr>
            </w:pPr>
          </w:p>
        </w:tc>
        <w:tc>
          <w:tcPr>
            <w:tcW w:w="2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6860" w:type="dxa"/>
            <w:vAlign w:val="bottom"/>
            <w:gridSpan w:val="2"/>
            <w:vMerge w:val="continue"/>
          </w:tcPr>
          <w:p>
            <w:pPr>
              <w:spacing w:after="0"/>
              <w:rPr>
                <w:sz w:val="12"/>
                <w:szCs w:val="12"/>
                <w:color w:val="auto"/>
              </w:rPr>
            </w:pPr>
          </w:p>
        </w:tc>
        <w:tc>
          <w:tcPr>
            <w:tcW w:w="180" w:type="dxa"/>
            <w:vAlign w:val="bottom"/>
          </w:tcPr>
          <w:p>
            <w:pPr>
              <w:spacing w:after="0"/>
              <w:rPr>
                <w:sz w:val="12"/>
                <w:szCs w:val="12"/>
                <w:color w:val="auto"/>
              </w:rPr>
            </w:pPr>
          </w:p>
        </w:tc>
        <w:tc>
          <w:tcPr>
            <w:tcW w:w="640" w:type="dxa"/>
            <w:vAlign w:val="bottom"/>
          </w:tcPr>
          <w:p>
            <w:pPr>
              <w:ind w:left="80"/>
              <w:spacing w:after="0" w:line="142" w:lineRule="exact"/>
              <w:rPr>
                <w:sz w:val="20"/>
                <w:szCs w:val="20"/>
                <w:color w:val="auto"/>
              </w:rPr>
            </w:pPr>
            <w:r>
              <w:rPr>
                <w:rFonts w:ascii="Arial" w:cs="Arial" w:eastAsia="Arial" w:hAnsi="Arial"/>
                <w:sz w:val="14"/>
                <w:szCs w:val="14"/>
                <w:b w:val="1"/>
                <w:bCs w:val="1"/>
                <w:color w:val="auto"/>
              </w:rPr>
              <w:t>2021</w:t>
            </w:r>
          </w:p>
        </w:tc>
        <w:tc>
          <w:tcPr>
            <w:tcW w:w="1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00" w:type="dxa"/>
            <w:vAlign w:val="bottom"/>
          </w:tcPr>
          <w:p>
            <w:pPr>
              <w:jc w:val="right"/>
              <w:ind w:right="195"/>
              <w:spacing w:after="0" w:line="142" w:lineRule="exact"/>
              <w:rPr>
                <w:sz w:val="20"/>
                <w:szCs w:val="20"/>
                <w:color w:val="auto"/>
              </w:rPr>
            </w:pPr>
            <w:r>
              <w:rPr>
                <w:rFonts w:ascii="Arial" w:cs="Arial" w:eastAsia="Arial" w:hAnsi="Arial"/>
                <w:sz w:val="14"/>
                <w:szCs w:val="14"/>
                <w:b w:val="1"/>
                <w:bCs w:val="1"/>
                <w:color w:val="auto"/>
                <w:w w:val="96"/>
              </w:rPr>
              <w:t>2020</w:t>
            </w:r>
          </w:p>
        </w:tc>
        <w:tc>
          <w:tcPr>
            <w:tcW w:w="2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9"/>
        </w:trPr>
        <w:tc>
          <w:tcPr>
            <w:tcW w:w="652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Net income</w:t>
            </w:r>
          </w:p>
        </w:tc>
        <w:tc>
          <w:tcPr>
            <w:tcW w:w="34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jc w:val="right"/>
              <w:ind w:right="27"/>
              <w:spacing w:after="0"/>
              <w:rPr>
                <w:sz w:val="20"/>
                <w:szCs w:val="20"/>
                <w:color w:val="auto"/>
              </w:rPr>
            </w:pPr>
            <w:r>
              <w:rPr>
                <w:rFonts w:ascii="Arial" w:cs="Arial" w:eastAsia="Arial" w:hAnsi="Arial"/>
                <w:sz w:val="15"/>
                <w:szCs w:val="15"/>
                <w:color w:val="auto"/>
                <w:w w:val="71"/>
              </w:rPr>
              <w:t>$</w:t>
            </w:r>
          </w:p>
        </w:tc>
        <w:tc>
          <w:tcPr>
            <w:tcW w:w="6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78,112</w:t>
            </w:r>
          </w:p>
        </w:tc>
        <w:tc>
          <w:tcPr>
            <w:tcW w:w="18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6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4"/>
              </w:rPr>
              <w:t>71,385</w:t>
            </w:r>
          </w:p>
        </w:tc>
        <w:tc>
          <w:tcPr>
            <w:tcW w:w="2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860" w:type="dxa"/>
            <w:vAlign w:val="bottom"/>
            <w:gridSpan w:val="2"/>
          </w:tcPr>
          <w:p>
            <w:pPr>
              <w:ind w:left="20"/>
              <w:spacing w:after="0"/>
              <w:rPr>
                <w:sz w:val="20"/>
                <w:szCs w:val="20"/>
                <w:color w:val="auto"/>
              </w:rPr>
            </w:pPr>
            <w:r>
              <w:rPr>
                <w:rFonts w:ascii="Arial" w:cs="Arial" w:eastAsia="Arial" w:hAnsi="Arial"/>
                <w:sz w:val="18"/>
                <w:szCs w:val="18"/>
                <w:b w:val="1"/>
                <w:bCs w:val="1"/>
                <w:color w:val="auto"/>
              </w:rPr>
              <w:t>Other comprehensive income, net of tax:</w:t>
            </w:r>
          </w:p>
        </w:tc>
        <w:tc>
          <w:tcPr>
            <w:tcW w:w="1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6860" w:type="dxa"/>
            <w:vAlign w:val="bottom"/>
            <w:gridSpan w:val="2"/>
            <w:shd w:val="clear" w:color="auto" w:fill="CCEEFF"/>
          </w:tcPr>
          <w:p>
            <w:pPr>
              <w:ind w:left="120"/>
              <w:spacing w:after="0" w:line="201" w:lineRule="exact"/>
              <w:rPr>
                <w:sz w:val="20"/>
                <w:szCs w:val="20"/>
                <w:color w:val="auto"/>
              </w:rPr>
            </w:pPr>
            <w:r>
              <w:rPr>
                <w:rFonts w:ascii="Arial" w:cs="Arial" w:eastAsia="Arial" w:hAnsi="Arial"/>
                <w:sz w:val="18"/>
                <w:szCs w:val="18"/>
                <w:color w:val="auto"/>
              </w:rPr>
              <w:t>Unrealized losses on available-for-sale securities, net of taxes of $35 for the three</w:t>
            </w:r>
          </w:p>
        </w:tc>
        <w:tc>
          <w:tcPr>
            <w:tcW w:w="18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686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months ended March 31, 2021</w:t>
            </w:r>
          </w:p>
        </w:tc>
        <w:tc>
          <w:tcPr>
            <w:tcW w:w="180" w:type="dxa"/>
            <w:vAlign w:val="bottom"/>
            <w:shd w:val="clear" w:color="auto" w:fill="CCEEFF"/>
          </w:tcPr>
          <w:p>
            <w:pPr>
              <w:spacing w:after="0"/>
              <w:rPr>
                <w:sz w:val="20"/>
                <w:szCs w:val="20"/>
                <w:color w:val="auto"/>
              </w:rPr>
            </w:pPr>
          </w:p>
        </w:tc>
        <w:tc>
          <w:tcPr>
            <w:tcW w:w="8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(120)</w:t>
            </w:r>
          </w:p>
        </w:tc>
        <w:tc>
          <w:tcPr>
            <w:tcW w:w="240" w:type="dxa"/>
            <w:vAlign w:val="bottom"/>
            <w:shd w:val="clear" w:color="auto" w:fill="CCEEFF"/>
          </w:tcPr>
          <w:p>
            <w:pPr>
              <w:spacing w:after="0"/>
              <w:rPr>
                <w:sz w:val="20"/>
                <w:szCs w:val="20"/>
                <w:color w:val="auto"/>
              </w:rPr>
            </w:pPr>
          </w:p>
        </w:tc>
        <w:tc>
          <w:tcPr>
            <w:tcW w:w="80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6860" w:type="dxa"/>
            <w:vAlign w:val="bottom"/>
            <w:gridSpan w:val="2"/>
          </w:tcPr>
          <w:p>
            <w:pPr>
              <w:ind w:left="20"/>
              <w:spacing w:after="0"/>
              <w:rPr>
                <w:sz w:val="20"/>
                <w:szCs w:val="20"/>
                <w:color w:val="auto"/>
              </w:rPr>
            </w:pPr>
            <w:r>
              <w:rPr>
                <w:rFonts w:ascii="Arial" w:cs="Arial" w:eastAsia="Arial" w:hAnsi="Arial"/>
                <w:sz w:val="18"/>
                <w:szCs w:val="18"/>
                <w:b w:val="1"/>
                <w:bCs w:val="1"/>
                <w:color w:val="auto"/>
              </w:rPr>
              <w:t>Comprehensive income</w:t>
            </w:r>
          </w:p>
        </w:tc>
        <w:tc>
          <w:tcPr>
            <w:tcW w:w="180" w:type="dxa"/>
            <w:vAlign w:val="bottom"/>
            <w:tcBorders>
              <w:bottom w:val="single" w:sz="8" w:color="auto"/>
            </w:tcBorders>
          </w:tcPr>
          <w:p>
            <w:pPr>
              <w:jc w:val="right"/>
              <w:ind w:right="27"/>
              <w:spacing w:after="0"/>
              <w:rPr>
                <w:sz w:val="20"/>
                <w:szCs w:val="20"/>
                <w:color w:val="auto"/>
              </w:rPr>
            </w:pPr>
            <w:r>
              <w:rPr>
                <w:rFonts w:ascii="Arial" w:cs="Arial" w:eastAsia="Arial" w:hAnsi="Arial"/>
                <w:sz w:val="15"/>
                <w:szCs w:val="15"/>
                <w:color w:val="auto"/>
                <w:w w:val="71"/>
              </w:rPr>
              <w:t>$</w:t>
            </w: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77,992</w:t>
            </w:r>
          </w:p>
        </w:tc>
        <w:tc>
          <w:tcPr>
            <w:tcW w:w="180" w:type="dxa"/>
            <w:vAlign w:val="bottom"/>
          </w:tcPr>
          <w:p>
            <w:pPr>
              <w:spacing w:after="0"/>
              <w:rPr>
                <w:sz w:val="18"/>
                <w:szCs w:val="18"/>
                <w:color w:val="auto"/>
              </w:rPr>
            </w:pPr>
          </w:p>
        </w:tc>
        <w:tc>
          <w:tcPr>
            <w:tcW w:w="2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w w:val="79"/>
              </w:rPr>
              <w:t>$</w:t>
            </w: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4"/>
              </w:rPr>
              <w:t>71,385</w:t>
            </w: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5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540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5" w:name="page6"/>
    <w:bookmarkEnd w:id="5"/>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 of Stockholders’ Equity</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16" w:lineRule="exact"/>
        <w:rPr>
          <w:sz w:val="20"/>
          <w:szCs w:val="20"/>
          <w:color w:val="auto"/>
        </w:rPr>
      </w:pPr>
    </w:p>
    <w:tbl>
      <w:tblPr>
        <w:tblLayout w:type="fixed"/>
        <w:tblInd w:w="60" w:type="dxa"/>
        <w:tblCellMar>
          <w:top w:w="0" w:type="dxa"/>
          <w:left w:w="0" w:type="dxa"/>
          <w:bottom w:w="0" w:type="dxa"/>
          <w:right w:w="0" w:type="dxa"/>
        </w:tblCellMar>
      </w:tblPr>
      <w:tr>
        <w:trPr>
          <w:trHeight w:val="186"/>
        </w:trPr>
        <w:tc>
          <w:tcPr>
            <w:tcW w:w="210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360" w:type="dxa"/>
            <w:vAlign w:val="bottom"/>
            <w:gridSpan w:val="9"/>
          </w:tcPr>
          <w:p>
            <w:pPr>
              <w:jc w:val="right"/>
              <w:spacing w:after="0"/>
              <w:rPr>
                <w:sz w:val="20"/>
                <w:szCs w:val="20"/>
                <w:color w:val="auto"/>
              </w:rPr>
            </w:pPr>
            <w:r>
              <w:rPr>
                <w:rFonts w:ascii="Arial" w:cs="Arial" w:eastAsia="Arial" w:hAnsi="Arial"/>
                <w:sz w:val="14"/>
                <w:szCs w:val="14"/>
                <w:b w:val="1"/>
                <w:bCs w:val="1"/>
                <w:color w:val="auto"/>
                <w:w w:val="95"/>
              </w:rPr>
              <w:t>Three Months Ended March 31, 2021</w:t>
            </w:r>
          </w:p>
        </w:tc>
        <w:tc>
          <w:tcPr>
            <w:tcW w:w="7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960" w:type="dxa"/>
            <w:vAlign w:val="bottom"/>
            <w:gridSpan w:val="2"/>
            <w:vMerge w:val="restart"/>
          </w:tcPr>
          <w:p>
            <w:pPr>
              <w:jc w:val="center"/>
              <w:spacing w:after="0"/>
              <w:rPr>
                <w:sz w:val="20"/>
                <w:szCs w:val="20"/>
                <w:color w:val="auto"/>
              </w:rPr>
            </w:pPr>
            <w:r>
              <w:rPr>
                <w:rFonts w:ascii="Arial" w:cs="Arial" w:eastAsia="Arial" w:hAnsi="Arial"/>
                <w:sz w:val="14"/>
                <w:szCs w:val="14"/>
                <w:b w:val="1"/>
                <w:bCs w:val="1"/>
                <w:color w:val="auto"/>
                <w:w w:val="93"/>
              </w:rPr>
              <w:t>Accumulated</w:t>
            </w: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11"/>
        </w:trPr>
        <w:tc>
          <w:tcPr>
            <w:tcW w:w="2100" w:type="dxa"/>
            <w:vAlign w:val="bottom"/>
          </w:tcPr>
          <w:p>
            <w:pPr>
              <w:spacing w:after="0"/>
              <w:rPr>
                <w:sz w:val="9"/>
                <w:szCs w:val="9"/>
                <w:color w:val="auto"/>
              </w:rPr>
            </w:pPr>
          </w:p>
        </w:tc>
        <w:tc>
          <w:tcPr>
            <w:tcW w:w="600" w:type="dxa"/>
            <w:vAlign w:val="bottom"/>
          </w:tcPr>
          <w:p>
            <w:pPr>
              <w:spacing w:after="0"/>
              <w:rPr>
                <w:sz w:val="9"/>
                <w:szCs w:val="9"/>
                <w:color w:val="auto"/>
              </w:rPr>
            </w:pPr>
          </w:p>
        </w:tc>
        <w:tc>
          <w:tcPr>
            <w:tcW w:w="80" w:type="dxa"/>
            <w:vAlign w:val="bottom"/>
          </w:tcPr>
          <w:p>
            <w:pPr>
              <w:spacing w:after="0"/>
              <w:rPr>
                <w:sz w:val="9"/>
                <w:szCs w:val="9"/>
                <w:color w:val="auto"/>
              </w:rPr>
            </w:pPr>
          </w:p>
        </w:tc>
        <w:tc>
          <w:tcPr>
            <w:tcW w:w="100" w:type="dxa"/>
            <w:vAlign w:val="bottom"/>
          </w:tcPr>
          <w:p>
            <w:pPr>
              <w:spacing w:after="0"/>
              <w:rPr>
                <w:sz w:val="9"/>
                <w:szCs w:val="9"/>
                <w:color w:val="auto"/>
              </w:rPr>
            </w:pPr>
          </w:p>
        </w:tc>
        <w:tc>
          <w:tcPr>
            <w:tcW w:w="540" w:type="dxa"/>
            <w:vAlign w:val="bottom"/>
          </w:tcPr>
          <w:p>
            <w:pPr>
              <w:spacing w:after="0"/>
              <w:rPr>
                <w:sz w:val="9"/>
                <w:szCs w:val="9"/>
                <w:color w:val="auto"/>
              </w:rPr>
            </w:pPr>
          </w:p>
        </w:tc>
        <w:tc>
          <w:tcPr>
            <w:tcW w:w="80" w:type="dxa"/>
            <w:vAlign w:val="bottom"/>
          </w:tcPr>
          <w:p>
            <w:pPr>
              <w:spacing w:after="0"/>
              <w:rPr>
                <w:sz w:val="9"/>
                <w:szCs w:val="9"/>
                <w:color w:val="auto"/>
              </w:rPr>
            </w:pPr>
          </w:p>
        </w:tc>
        <w:tc>
          <w:tcPr>
            <w:tcW w:w="52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7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0" w:type="dxa"/>
            <w:vAlign w:val="bottom"/>
            <w:gridSpan w:val="2"/>
            <w:vMerge w:val="restart"/>
          </w:tcPr>
          <w:p>
            <w:pPr>
              <w:jc w:val="right"/>
              <w:spacing w:after="0"/>
              <w:rPr>
                <w:sz w:val="20"/>
                <w:szCs w:val="20"/>
                <w:color w:val="auto"/>
              </w:rPr>
            </w:pPr>
            <w:r>
              <w:rPr>
                <w:rFonts w:ascii="Arial" w:cs="Arial" w:eastAsia="Arial" w:hAnsi="Arial"/>
                <w:sz w:val="14"/>
                <w:szCs w:val="14"/>
                <w:b w:val="1"/>
                <w:bCs w:val="1"/>
                <w:color w:val="auto"/>
              </w:rPr>
              <w:t>Additional</w:t>
            </w:r>
          </w:p>
        </w:tc>
        <w:tc>
          <w:tcPr>
            <w:tcW w:w="80" w:type="dxa"/>
            <w:vAlign w:val="bottom"/>
          </w:tcPr>
          <w:p>
            <w:pPr>
              <w:spacing w:after="0"/>
              <w:rPr>
                <w:sz w:val="9"/>
                <w:szCs w:val="9"/>
                <w:color w:val="auto"/>
              </w:rPr>
            </w:pPr>
          </w:p>
        </w:tc>
        <w:tc>
          <w:tcPr>
            <w:tcW w:w="960" w:type="dxa"/>
            <w:vAlign w:val="bottom"/>
            <w:gridSpan w:val="2"/>
            <w:vMerge w:val="continue"/>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40" w:type="dxa"/>
            <w:vAlign w:val="bottom"/>
          </w:tcPr>
          <w:p>
            <w:pPr>
              <w:spacing w:after="0"/>
              <w:rPr>
                <w:sz w:val="9"/>
                <w:szCs w:val="9"/>
                <w:color w:val="auto"/>
              </w:rPr>
            </w:pPr>
          </w:p>
        </w:tc>
        <w:tc>
          <w:tcPr>
            <w:tcW w:w="80" w:type="dxa"/>
            <w:vAlign w:val="bottom"/>
          </w:tcPr>
          <w:p>
            <w:pPr>
              <w:spacing w:after="0"/>
              <w:rPr>
                <w:sz w:val="9"/>
                <w:szCs w:val="9"/>
                <w:color w:val="auto"/>
              </w:rPr>
            </w:pPr>
          </w:p>
        </w:tc>
        <w:tc>
          <w:tcPr>
            <w:tcW w:w="100" w:type="dxa"/>
            <w:vAlign w:val="bottom"/>
          </w:tcPr>
          <w:p>
            <w:pPr>
              <w:spacing w:after="0"/>
              <w:rPr>
                <w:sz w:val="9"/>
                <w:szCs w:val="9"/>
                <w:color w:val="auto"/>
              </w:rPr>
            </w:pPr>
          </w:p>
        </w:tc>
        <w:tc>
          <w:tcPr>
            <w:tcW w:w="8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8"/>
        </w:trPr>
        <w:tc>
          <w:tcPr>
            <w:tcW w:w="2100" w:type="dxa"/>
            <w:vAlign w:val="bottom"/>
          </w:tcPr>
          <w:p>
            <w:pPr>
              <w:spacing w:after="0"/>
              <w:rPr>
                <w:sz w:val="12"/>
                <w:szCs w:val="12"/>
                <w:color w:val="auto"/>
              </w:rPr>
            </w:pPr>
          </w:p>
        </w:tc>
        <w:tc>
          <w:tcPr>
            <w:tcW w:w="1400" w:type="dxa"/>
            <w:vAlign w:val="bottom"/>
            <w:gridSpan w:val="5"/>
            <w:vMerge w:val="restart"/>
          </w:tcPr>
          <w:p>
            <w:pPr>
              <w:ind w:left="180"/>
              <w:spacing w:after="0"/>
              <w:rPr>
                <w:sz w:val="20"/>
                <w:szCs w:val="20"/>
                <w:color w:val="auto"/>
              </w:rPr>
            </w:pPr>
            <w:r>
              <w:rPr>
                <w:rFonts w:ascii="Arial" w:cs="Arial" w:eastAsia="Arial" w:hAnsi="Arial"/>
                <w:sz w:val="14"/>
                <w:szCs w:val="14"/>
                <w:b w:val="1"/>
                <w:bCs w:val="1"/>
                <w:color w:val="auto"/>
              </w:rPr>
              <w:t>Common Stock</w:t>
            </w:r>
          </w:p>
        </w:tc>
        <w:tc>
          <w:tcPr>
            <w:tcW w:w="1460" w:type="dxa"/>
            <w:vAlign w:val="bottom"/>
            <w:gridSpan w:val="4"/>
            <w:vMerge w:val="restart"/>
          </w:tcPr>
          <w:p>
            <w:pPr>
              <w:jc w:val="right"/>
              <w:ind w:right="196"/>
              <w:spacing w:after="0"/>
              <w:rPr>
                <w:sz w:val="20"/>
                <w:szCs w:val="20"/>
                <w:color w:val="auto"/>
              </w:rPr>
            </w:pPr>
            <w:r>
              <w:rPr>
                <w:rFonts w:ascii="Arial" w:cs="Arial" w:eastAsia="Arial" w:hAnsi="Arial"/>
                <w:sz w:val="14"/>
                <w:szCs w:val="14"/>
                <w:b w:val="1"/>
                <w:bCs w:val="1"/>
                <w:color w:val="auto"/>
              </w:rPr>
              <w:t>Treasury Stock</w:t>
            </w:r>
          </w:p>
        </w:tc>
        <w:tc>
          <w:tcPr>
            <w:tcW w:w="80" w:type="dxa"/>
            <w:vAlign w:val="bottom"/>
          </w:tcPr>
          <w:p>
            <w:pPr>
              <w:spacing w:after="0"/>
              <w:rPr>
                <w:sz w:val="12"/>
                <w:szCs w:val="12"/>
                <w:color w:val="auto"/>
              </w:rPr>
            </w:pPr>
          </w:p>
        </w:tc>
        <w:tc>
          <w:tcPr>
            <w:tcW w:w="800" w:type="dxa"/>
            <w:vAlign w:val="bottom"/>
            <w:gridSpan w:val="2"/>
            <w:vMerge w:val="continue"/>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60" w:type="dxa"/>
            <w:vAlign w:val="bottom"/>
          </w:tcPr>
          <w:p>
            <w:pPr>
              <w:jc w:val="center"/>
              <w:ind w:right="37"/>
              <w:spacing w:after="0" w:line="149" w:lineRule="exact"/>
              <w:rPr>
                <w:sz w:val="20"/>
                <w:szCs w:val="20"/>
                <w:color w:val="auto"/>
              </w:rPr>
            </w:pPr>
            <w:r>
              <w:rPr>
                <w:rFonts w:ascii="Arial" w:cs="Arial" w:eastAsia="Arial" w:hAnsi="Arial"/>
                <w:sz w:val="14"/>
                <w:szCs w:val="14"/>
                <w:b w:val="1"/>
                <w:bCs w:val="1"/>
                <w:color w:val="auto"/>
              </w:rPr>
              <w:t>Other</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40" w:type="dxa"/>
            <w:vAlign w:val="bottom"/>
            <w:vMerge w:val="restart"/>
          </w:tcPr>
          <w:p>
            <w:pPr>
              <w:jc w:val="right"/>
              <w:ind w:right="117"/>
              <w:spacing w:after="0"/>
              <w:rPr>
                <w:sz w:val="20"/>
                <w:szCs w:val="20"/>
                <w:color w:val="auto"/>
              </w:rPr>
            </w:pPr>
            <w:r>
              <w:rPr>
                <w:rFonts w:ascii="Arial" w:cs="Arial" w:eastAsia="Arial" w:hAnsi="Arial"/>
                <w:sz w:val="14"/>
                <w:szCs w:val="14"/>
                <w:b w:val="1"/>
                <w:bCs w:val="1"/>
                <w:color w:val="auto"/>
              </w:rPr>
              <w:t>Retained</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2100" w:type="dxa"/>
            <w:vAlign w:val="bottom"/>
          </w:tcPr>
          <w:p>
            <w:pPr>
              <w:spacing w:after="0"/>
              <w:rPr>
                <w:sz w:val="14"/>
                <w:szCs w:val="14"/>
                <w:color w:val="auto"/>
              </w:rPr>
            </w:pPr>
          </w:p>
        </w:tc>
        <w:tc>
          <w:tcPr>
            <w:tcW w:w="1400" w:type="dxa"/>
            <w:vAlign w:val="bottom"/>
            <w:gridSpan w:val="5"/>
            <w:vMerge w:val="continue"/>
          </w:tcPr>
          <w:p>
            <w:pPr>
              <w:spacing w:after="0"/>
              <w:rPr>
                <w:sz w:val="14"/>
                <w:szCs w:val="14"/>
                <w:color w:val="auto"/>
              </w:rPr>
            </w:pPr>
          </w:p>
        </w:tc>
        <w:tc>
          <w:tcPr>
            <w:tcW w:w="1460" w:type="dxa"/>
            <w:vAlign w:val="bottom"/>
            <w:gridSpan w:val="4"/>
            <w:vMerge w:val="continue"/>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00" w:type="dxa"/>
            <w:vAlign w:val="bottom"/>
          </w:tcPr>
          <w:p>
            <w:pPr>
              <w:jc w:val="right"/>
              <w:ind w:right="97"/>
              <w:spacing w:after="0"/>
              <w:rPr>
                <w:sz w:val="20"/>
                <w:szCs w:val="20"/>
                <w:color w:val="auto"/>
              </w:rPr>
            </w:pPr>
            <w:r>
              <w:rPr>
                <w:rFonts w:ascii="Arial" w:cs="Arial" w:eastAsia="Arial" w:hAnsi="Arial"/>
                <w:sz w:val="14"/>
                <w:szCs w:val="14"/>
                <w:b w:val="1"/>
                <w:bCs w:val="1"/>
                <w:color w:val="auto"/>
              </w:rPr>
              <w:t>Paid-in</w:t>
            </w:r>
          </w:p>
        </w:tc>
        <w:tc>
          <w:tcPr>
            <w:tcW w:w="1040" w:type="dxa"/>
            <w:vAlign w:val="bottom"/>
            <w:gridSpan w:val="3"/>
          </w:tcPr>
          <w:p>
            <w:pPr>
              <w:jc w:val="center"/>
              <w:spacing w:after="0"/>
              <w:rPr>
                <w:sz w:val="20"/>
                <w:szCs w:val="20"/>
                <w:color w:val="auto"/>
              </w:rPr>
            </w:pPr>
            <w:r>
              <w:rPr>
                <w:rFonts w:ascii="Arial" w:cs="Arial" w:eastAsia="Arial" w:hAnsi="Arial"/>
                <w:sz w:val="14"/>
                <w:szCs w:val="14"/>
                <w:b w:val="1"/>
                <w:bCs w:val="1"/>
                <w:color w:val="auto"/>
                <w:w w:val="91"/>
              </w:rPr>
              <w:t>Comprehensive</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40" w:type="dxa"/>
            <w:vAlign w:val="bottom"/>
            <w:vMerge w:val="continue"/>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100" w:type="dxa"/>
            <w:vAlign w:val="bottom"/>
            <w:tcBorders>
              <w:bottom w:val="single" w:sz="8" w:color="CCEEFF"/>
            </w:tcBorders>
          </w:tcPr>
          <w:p>
            <w:pPr>
              <w:spacing w:after="0"/>
              <w:rPr>
                <w:sz w:val="12"/>
                <w:szCs w:val="12"/>
                <w:color w:val="auto"/>
              </w:rPr>
            </w:pPr>
          </w:p>
        </w:tc>
        <w:tc>
          <w:tcPr>
            <w:tcW w:w="600" w:type="dxa"/>
            <w:vAlign w:val="bottom"/>
            <w:tcBorders>
              <w:top w:val="single" w:sz="8" w:color="auto"/>
              <w:bottom w:val="single" w:sz="8" w:color="auto"/>
            </w:tcBorders>
          </w:tcPr>
          <w:p>
            <w:pPr>
              <w:jc w:val="right"/>
              <w:ind w:right="17"/>
              <w:spacing w:after="0" w:line="142" w:lineRule="exact"/>
              <w:rPr>
                <w:sz w:val="20"/>
                <w:szCs w:val="20"/>
                <w:color w:val="auto"/>
              </w:rPr>
            </w:pPr>
            <w:r>
              <w:rPr>
                <w:rFonts w:ascii="Arial" w:cs="Arial" w:eastAsia="Arial" w:hAnsi="Arial"/>
                <w:sz w:val="14"/>
                <w:szCs w:val="14"/>
                <w:b w:val="1"/>
                <w:bCs w:val="1"/>
                <w:color w:val="auto"/>
              </w:rPr>
              <w:t>Shares</w:t>
            </w:r>
          </w:p>
        </w:tc>
        <w:tc>
          <w:tcPr>
            <w:tcW w:w="80" w:type="dxa"/>
            <w:vAlign w:val="bottom"/>
            <w:tcBorders>
              <w:top w:val="single" w:sz="8" w:color="auto"/>
              <w:bottom w:val="single" w:sz="8" w:color="CCEEFF"/>
            </w:tcBorders>
          </w:tcPr>
          <w:p>
            <w:pPr>
              <w:spacing w:after="0"/>
              <w:rPr>
                <w:sz w:val="12"/>
                <w:szCs w:val="12"/>
                <w:color w:val="auto"/>
              </w:rPr>
            </w:pPr>
          </w:p>
        </w:tc>
        <w:tc>
          <w:tcPr>
            <w:tcW w:w="640" w:type="dxa"/>
            <w:vAlign w:val="bottom"/>
            <w:tcBorders>
              <w:top w:val="single" w:sz="8" w:color="auto"/>
              <w:bottom w:val="single" w:sz="8" w:color="auto"/>
            </w:tcBorders>
            <w:gridSpan w:val="2"/>
          </w:tcPr>
          <w:p>
            <w:pPr>
              <w:ind w:left="20"/>
              <w:spacing w:after="0" w:line="142" w:lineRule="exact"/>
              <w:rPr>
                <w:sz w:val="20"/>
                <w:szCs w:val="20"/>
                <w:color w:val="auto"/>
              </w:rPr>
            </w:pPr>
            <w:r>
              <w:rPr>
                <w:rFonts w:ascii="Arial" w:cs="Arial" w:eastAsia="Arial" w:hAnsi="Arial"/>
                <w:sz w:val="14"/>
                <w:szCs w:val="14"/>
                <w:b w:val="1"/>
                <w:bCs w:val="1"/>
                <w:color w:val="auto"/>
                <w:w w:val="93"/>
              </w:rPr>
              <w:t>Par Value</w:t>
            </w:r>
          </w:p>
        </w:tc>
        <w:tc>
          <w:tcPr>
            <w:tcW w:w="80" w:type="dxa"/>
            <w:vAlign w:val="bottom"/>
            <w:tcBorders>
              <w:bottom w:val="single" w:sz="8" w:color="CCEEFF"/>
            </w:tcBorders>
          </w:tcPr>
          <w:p>
            <w:pPr>
              <w:spacing w:after="0"/>
              <w:rPr>
                <w:sz w:val="12"/>
                <w:szCs w:val="12"/>
                <w:color w:val="auto"/>
              </w:rPr>
            </w:pPr>
          </w:p>
        </w:tc>
        <w:tc>
          <w:tcPr>
            <w:tcW w:w="520" w:type="dxa"/>
            <w:vAlign w:val="bottom"/>
            <w:tcBorders>
              <w:top w:val="single" w:sz="8" w:color="auto"/>
              <w:bottom w:val="single" w:sz="8" w:color="auto"/>
            </w:tcBorders>
          </w:tcPr>
          <w:p>
            <w:pPr>
              <w:ind w:left="40"/>
              <w:spacing w:after="0" w:line="142" w:lineRule="exact"/>
              <w:rPr>
                <w:sz w:val="20"/>
                <w:szCs w:val="20"/>
                <w:color w:val="auto"/>
              </w:rPr>
            </w:pPr>
            <w:r>
              <w:rPr>
                <w:rFonts w:ascii="Arial" w:cs="Arial" w:eastAsia="Arial" w:hAnsi="Arial"/>
                <w:sz w:val="14"/>
                <w:szCs w:val="14"/>
                <w:b w:val="1"/>
                <w:bCs w:val="1"/>
                <w:color w:val="auto"/>
                <w:w w:val="98"/>
              </w:rPr>
              <w:t>Shares</w:t>
            </w:r>
          </w:p>
        </w:tc>
        <w:tc>
          <w:tcPr>
            <w:tcW w:w="80" w:type="dxa"/>
            <w:vAlign w:val="bottom"/>
            <w:tcBorders>
              <w:top w:val="single" w:sz="8" w:color="auto"/>
              <w:bottom w:val="single" w:sz="8" w:color="CCEEFF"/>
            </w:tcBorders>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780" w:type="dxa"/>
            <w:vAlign w:val="bottom"/>
            <w:tcBorders>
              <w:top w:val="single" w:sz="8" w:color="auto"/>
              <w:bottom w:val="single" w:sz="8" w:color="auto"/>
            </w:tcBorders>
          </w:tcPr>
          <w:p>
            <w:pPr>
              <w:jc w:val="right"/>
              <w:ind w:right="216"/>
              <w:spacing w:after="0" w:line="142" w:lineRule="exact"/>
              <w:rPr>
                <w:sz w:val="20"/>
                <w:szCs w:val="20"/>
                <w:color w:val="auto"/>
              </w:rPr>
            </w:pPr>
            <w:r>
              <w:rPr>
                <w:rFonts w:ascii="Arial" w:cs="Arial" w:eastAsia="Arial" w:hAnsi="Arial"/>
                <w:sz w:val="14"/>
                <w:szCs w:val="14"/>
                <w:b w:val="1"/>
                <w:bCs w:val="1"/>
                <w:color w:val="auto"/>
              </w:rPr>
              <w:t>Cost</w:t>
            </w:r>
          </w:p>
        </w:tc>
        <w:tc>
          <w:tcPr>
            <w:tcW w:w="80" w:type="dxa"/>
            <w:vAlign w:val="bottom"/>
            <w:tcBorders>
              <w:bottom w:val="single" w:sz="8" w:color="CCEEFF"/>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700" w:type="dxa"/>
            <w:vAlign w:val="bottom"/>
            <w:tcBorders>
              <w:bottom w:val="single" w:sz="8" w:color="auto"/>
            </w:tcBorders>
          </w:tcPr>
          <w:p>
            <w:pPr>
              <w:jc w:val="right"/>
              <w:ind w:right="97"/>
              <w:spacing w:after="0" w:line="142" w:lineRule="exact"/>
              <w:rPr>
                <w:sz w:val="20"/>
                <w:szCs w:val="20"/>
                <w:color w:val="auto"/>
              </w:rPr>
            </w:pPr>
            <w:r>
              <w:rPr>
                <w:rFonts w:ascii="Arial" w:cs="Arial" w:eastAsia="Arial" w:hAnsi="Arial"/>
                <w:sz w:val="14"/>
                <w:szCs w:val="14"/>
                <w:b w:val="1"/>
                <w:bCs w:val="1"/>
                <w:color w:val="auto"/>
              </w:rPr>
              <w:t>Capital</w:t>
            </w:r>
          </w:p>
        </w:tc>
        <w:tc>
          <w:tcPr>
            <w:tcW w:w="80" w:type="dxa"/>
            <w:vAlign w:val="bottom"/>
            <w:tcBorders>
              <w:bottom w:val="single" w:sz="8" w:color="CCEEFF"/>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860" w:type="dxa"/>
            <w:vAlign w:val="bottom"/>
            <w:tcBorders>
              <w:bottom w:val="single" w:sz="8" w:color="auto"/>
            </w:tcBorders>
          </w:tcPr>
          <w:p>
            <w:pPr>
              <w:jc w:val="center"/>
              <w:ind w:right="57"/>
              <w:spacing w:after="0" w:line="142" w:lineRule="exact"/>
              <w:rPr>
                <w:sz w:val="20"/>
                <w:szCs w:val="20"/>
                <w:color w:val="auto"/>
              </w:rPr>
            </w:pPr>
            <w:r>
              <w:rPr>
                <w:rFonts w:ascii="Arial" w:cs="Arial" w:eastAsia="Arial" w:hAnsi="Arial"/>
                <w:sz w:val="14"/>
                <w:szCs w:val="14"/>
                <w:b w:val="1"/>
                <w:bCs w:val="1"/>
                <w:color w:val="auto"/>
                <w:w w:val="85"/>
              </w:rPr>
              <w:t>Loss</w:t>
            </w:r>
          </w:p>
        </w:tc>
        <w:tc>
          <w:tcPr>
            <w:tcW w:w="80" w:type="dxa"/>
            <w:vAlign w:val="bottom"/>
            <w:tcBorders>
              <w:bottom w:val="single" w:sz="8" w:color="CCEEFF"/>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840" w:type="dxa"/>
            <w:vAlign w:val="bottom"/>
            <w:tcBorders>
              <w:bottom w:val="single" w:sz="8" w:color="auto"/>
            </w:tcBorders>
          </w:tcPr>
          <w:p>
            <w:pPr>
              <w:jc w:val="right"/>
              <w:ind w:right="97"/>
              <w:spacing w:after="0" w:line="142" w:lineRule="exact"/>
              <w:rPr>
                <w:sz w:val="20"/>
                <w:szCs w:val="20"/>
                <w:color w:val="auto"/>
              </w:rPr>
            </w:pPr>
            <w:r>
              <w:rPr>
                <w:rFonts w:ascii="Arial" w:cs="Arial" w:eastAsia="Arial" w:hAnsi="Arial"/>
                <w:sz w:val="14"/>
                <w:szCs w:val="14"/>
                <w:b w:val="1"/>
                <w:bCs w:val="1"/>
                <w:color w:val="auto"/>
              </w:rPr>
              <w:t>Earnings</w:t>
            </w:r>
          </w:p>
        </w:tc>
        <w:tc>
          <w:tcPr>
            <w:tcW w:w="80" w:type="dxa"/>
            <w:vAlign w:val="bottom"/>
            <w:tcBorders>
              <w:bottom w:val="single" w:sz="8" w:color="CCEEFF"/>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840" w:type="dxa"/>
            <w:vAlign w:val="bottom"/>
            <w:tcBorders>
              <w:bottom w:val="single" w:sz="8" w:color="auto"/>
            </w:tcBorders>
          </w:tcPr>
          <w:p>
            <w:pPr>
              <w:jc w:val="right"/>
              <w:ind w:right="236"/>
              <w:spacing w:after="0" w:line="142" w:lineRule="exact"/>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82"/>
        </w:trPr>
        <w:tc>
          <w:tcPr>
            <w:tcW w:w="2100" w:type="dxa"/>
            <w:vAlign w:val="bottom"/>
            <w:shd w:val="clear" w:color="auto" w:fill="CCEEFF"/>
          </w:tcPr>
          <w:p>
            <w:pPr>
              <w:spacing w:after="0" w:line="182" w:lineRule="exact"/>
              <w:rPr>
                <w:sz w:val="20"/>
                <w:szCs w:val="20"/>
                <w:color w:val="auto"/>
              </w:rPr>
            </w:pPr>
            <w:r>
              <w:rPr>
                <w:rFonts w:ascii="Arial" w:cs="Arial" w:eastAsia="Arial" w:hAnsi="Arial"/>
                <w:sz w:val="18"/>
                <w:szCs w:val="18"/>
                <w:color w:val="auto"/>
              </w:rPr>
              <w:t>Balance at</w:t>
            </w:r>
          </w:p>
        </w:tc>
        <w:tc>
          <w:tcPr>
            <w:tcW w:w="60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w w:val="94"/>
              </w:rPr>
              <w:t>53,277</w:t>
            </w:r>
          </w:p>
        </w:tc>
        <w:tc>
          <w:tcPr>
            <w:tcW w:w="180" w:type="dxa"/>
            <w:vAlign w:val="bottom"/>
            <w:gridSpan w:val="2"/>
            <w:vMerge w:val="restart"/>
            <w:shd w:val="clear" w:color="auto" w:fill="CCEEFF"/>
          </w:tcPr>
          <w:p>
            <w:pPr>
              <w:ind w:left="80"/>
              <w:spacing w:after="0"/>
              <w:rPr>
                <w:sz w:val="20"/>
                <w:szCs w:val="20"/>
                <w:color w:val="auto"/>
              </w:rPr>
            </w:pPr>
            <w:r>
              <w:rPr>
                <w:rFonts w:ascii="Arial" w:cs="Arial" w:eastAsia="Arial" w:hAnsi="Arial"/>
                <w:sz w:val="18"/>
                <w:szCs w:val="18"/>
                <w:color w:val="auto"/>
                <w:w w:val="79"/>
              </w:rPr>
              <w:t>$</w:t>
            </w:r>
          </w:p>
        </w:tc>
        <w:tc>
          <w:tcPr>
            <w:tcW w:w="54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533</w:t>
            </w:r>
          </w:p>
        </w:tc>
        <w:tc>
          <w:tcPr>
            <w:tcW w:w="80" w:type="dxa"/>
            <w:vAlign w:val="bottom"/>
            <w:shd w:val="clear" w:color="auto" w:fill="CCEEFF"/>
          </w:tcPr>
          <w:p>
            <w:pPr>
              <w:spacing w:after="0"/>
              <w:rPr>
                <w:sz w:val="15"/>
                <w:szCs w:val="15"/>
                <w:color w:val="auto"/>
              </w:rPr>
            </w:pPr>
          </w:p>
        </w:tc>
        <w:tc>
          <w:tcPr>
            <w:tcW w:w="520" w:type="dxa"/>
            <w:vAlign w:val="bottom"/>
            <w:vMerge w:val="restart"/>
            <w:shd w:val="clear" w:color="auto" w:fill="CCEEFF"/>
          </w:tcPr>
          <w:p>
            <w:pPr>
              <w:ind w:left="40"/>
              <w:spacing w:after="0"/>
              <w:rPr>
                <w:sz w:val="20"/>
                <w:szCs w:val="20"/>
                <w:color w:val="auto"/>
              </w:rPr>
            </w:pPr>
            <w:r>
              <w:rPr>
                <w:rFonts w:ascii="Arial" w:cs="Arial" w:eastAsia="Arial" w:hAnsi="Arial"/>
                <w:sz w:val="18"/>
                <w:szCs w:val="18"/>
                <w:color w:val="auto"/>
              </w:rPr>
              <w:t>6,628</w:t>
            </w:r>
          </w:p>
        </w:tc>
        <w:tc>
          <w:tcPr>
            <w:tcW w:w="160" w:type="dxa"/>
            <w:vAlign w:val="bottom"/>
            <w:gridSpan w:val="2"/>
            <w:vMerge w:val="restart"/>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8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w w:val="98"/>
              </w:rPr>
              <w:t>(303,379)</w:t>
            </w:r>
          </w:p>
        </w:tc>
        <w:tc>
          <w:tcPr>
            <w:tcW w:w="180" w:type="dxa"/>
            <w:vAlign w:val="bottom"/>
            <w:gridSpan w:val="2"/>
            <w:vMerge w:val="restart"/>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0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w w:val="92"/>
              </w:rPr>
              <w:t>282,467</w:t>
            </w:r>
          </w:p>
        </w:tc>
        <w:tc>
          <w:tcPr>
            <w:tcW w:w="8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86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gridSpan w:val="2"/>
            <w:vMerge w:val="restart"/>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4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w w:val="94"/>
              </w:rPr>
              <w:t>1,594,708</w:t>
            </w:r>
          </w:p>
        </w:tc>
        <w:tc>
          <w:tcPr>
            <w:tcW w:w="180" w:type="dxa"/>
            <w:vAlign w:val="bottom"/>
            <w:gridSpan w:val="2"/>
            <w:vMerge w:val="restart"/>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4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w w:val="92"/>
              </w:rPr>
              <w:t>1,574,329</w:t>
            </w:r>
          </w:p>
        </w:tc>
        <w:tc>
          <w:tcPr>
            <w:tcW w:w="0" w:type="dxa"/>
            <w:vAlign w:val="bottom"/>
          </w:tcPr>
          <w:p>
            <w:pPr>
              <w:spacing w:after="0"/>
              <w:rPr>
                <w:sz w:val="1"/>
                <w:szCs w:val="1"/>
                <w:color w:val="auto"/>
              </w:rPr>
            </w:pPr>
          </w:p>
        </w:tc>
      </w:tr>
      <w:tr>
        <w:trPr>
          <w:trHeight w:val="217"/>
        </w:trPr>
        <w:tc>
          <w:tcPr>
            <w:tcW w:w="2100" w:type="dxa"/>
            <w:vAlign w:val="bottom"/>
            <w:shd w:val="clear" w:color="auto" w:fill="CCEEFF"/>
          </w:tcPr>
          <w:p>
            <w:pPr>
              <w:spacing w:after="0"/>
              <w:rPr>
                <w:sz w:val="20"/>
                <w:szCs w:val="20"/>
                <w:color w:val="auto"/>
              </w:rPr>
            </w:pPr>
            <w:r>
              <w:rPr>
                <w:rFonts w:ascii="Arial" w:cs="Arial" w:eastAsia="Arial" w:hAnsi="Arial"/>
                <w:sz w:val="18"/>
                <w:szCs w:val="18"/>
                <w:color w:val="auto"/>
              </w:rPr>
              <w:t>December 31, 2020</w:t>
            </w:r>
          </w:p>
        </w:tc>
        <w:tc>
          <w:tcPr>
            <w:tcW w:w="600" w:type="dxa"/>
            <w:vAlign w:val="bottom"/>
            <w:vMerge w:val="continue"/>
            <w:shd w:val="clear" w:color="auto" w:fill="CCEEFF"/>
          </w:tcPr>
          <w:p>
            <w:pPr>
              <w:spacing w:after="0"/>
              <w:rPr>
                <w:sz w:val="18"/>
                <w:szCs w:val="18"/>
                <w:color w:val="auto"/>
              </w:rPr>
            </w:pPr>
          </w:p>
        </w:tc>
        <w:tc>
          <w:tcPr>
            <w:tcW w:w="180" w:type="dxa"/>
            <w:vAlign w:val="bottom"/>
            <w:gridSpan w:val="2"/>
            <w:vMerge w:val="continue"/>
            <w:shd w:val="clear" w:color="auto" w:fill="CCEEFF"/>
          </w:tcPr>
          <w:p>
            <w:pPr>
              <w:spacing w:after="0"/>
              <w:rPr>
                <w:sz w:val="18"/>
                <w:szCs w:val="18"/>
                <w:color w:val="auto"/>
              </w:rPr>
            </w:pPr>
          </w:p>
        </w:tc>
        <w:tc>
          <w:tcPr>
            <w:tcW w:w="540" w:type="dxa"/>
            <w:vAlign w:val="bottom"/>
            <w:vMerge w:val="continue"/>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20" w:type="dxa"/>
            <w:vAlign w:val="bottom"/>
            <w:vMerge w:val="continue"/>
            <w:shd w:val="clear" w:color="auto" w:fill="CCEEFF"/>
          </w:tcPr>
          <w:p>
            <w:pPr>
              <w:spacing w:after="0"/>
              <w:rPr>
                <w:sz w:val="18"/>
                <w:szCs w:val="18"/>
                <w:color w:val="auto"/>
              </w:rPr>
            </w:pPr>
          </w:p>
        </w:tc>
        <w:tc>
          <w:tcPr>
            <w:tcW w:w="160" w:type="dxa"/>
            <w:vAlign w:val="bottom"/>
            <w:gridSpan w:val="2"/>
            <w:vMerge w:val="continue"/>
            <w:shd w:val="clear" w:color="auto" w:fill="CCEEFF"/>
          </w:tcPr>
          <w:p>
            <w:pPr>
              <w:spacing w:after="0"/>
              <w:rPr>
                <w:sz w:val="18"/>
                <w:szCs w:val="18"/>
                <w:color w:val="auto"/>
              </w:rPr>
            </w:pPr>
          </w:p>
        </w:tc>
        <w:tc>
          <w:tcPr>
            <w:tcW w:w="780" w:type="dxa"/>
            <w:vAlign w:val="bottom"/>
            <w:vMerge w:val="continue"/>
            <w:shd w:val="clear" w:color="auto" w:fill="CCEEFF"/>
          </w:tcPr>
          <w:p>
            <w:pPr>
              <w:spacing w:after="0"/>
              <w:rPr>
                <w:sz w:val="18"/>
                <w:szCs w:val="18"/>
                <w:color w:val="auto"/>
              </w:rPr>
            </w:pPr>
          </w:p>
        </w:tc>
        <w:tc>
          <w:tcPr>
            <w:tcW w:w="180" w:type="dxa"/>
            <w:vAlign w:val="bottom"/>
            <w:gridSpan w:val="2"/>
            <w:vMerge w:val="continue"/>
            <w:shd w:val="clear" w:color="auto" w:fill="CCEEFF"/>
          </w:tcPr>
          <w:p>
            <w:pPr>
              <w:spacing w:after="0"/>
              <w:rPr>
                <w:sz w:val="18"/>
                <w:szCs w:val="18"/>
                <w:color w:val="auto"/>
              </w:rPr>
            </w:pPr>
          </w:p>
        </w:tc>
        <w:tc>
          <w:tcPr>
            <w:tcW w:w="700" w:type="dxa"/>
            <w:vAlign w:val="bottom"/>
            <w:vMerge w:val="continue"/>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vMerge w:val="continue"/>
            <w:shd w:val="clear" w:color="auto" w:fill="CCEEFF"/>
          </w:tcPr>
          <w:p>
            <w:pPr>
              <w:spacing w:after="0"/>
              <w:rPr>
                <w:sz w:val="18"/>
                <w:szCs w:val="18"/>
                <w:color w:val="auto"/>
              </w:rPr>
            </w:pPr>
          </w:p>
        </w:tc>
        <w:tc>
          <w:tcPr>
            <w:tcW w:w="160" w:type="dxa"/>
            <w:vAlign w:val="bottom"/>
            <w:gridSpan w:val="2"/>
            <w:vMerge w:val="continue"/>
            <w:shd w:val="clear" w:color="auto" w:fill="CCEEFF"/>
          </w:tcPr>
          <w:p>
            <w:pPr>
              <w:spacing w:after="0"/>
              <w:rPr>
                <w:sz w:val="18"/>
                <w:szCs w:val="18"/>
                <w:color w:val="auto"/>
              </w:rPr>
            </w:pPr>
          </w:p>
        </w:tc>
        <w:tc>
          <w:tcPr>
            <w:tcW w:w="840" w:type="dxa"/>
            <w:vAlign w:val="bottom"/>
            <w:vMerge w:val="continue"/>
            <w:shd w:val="clear" w:color="auto" w:fill="CCEEFF"/>
          </w:tcPr>
          <w:p>
            <w:pPr>
              <w:spacing w:after="0"/>
              <w:rPr>
                <w:sz w:val="18"/>
                <w:szCs w:val="18"/>
                <w:color w:val="auto"/>
              </w:rPr>
            </w:pPr>
          </w:p>
        </w:tc>
        <w:tc>
          <w:tcPr>
            <w:tcW w:w="180" w:type="dxa"/>
            <w:vAlign w:val="bottom"/>
            <w:gridSpan w:val="2"/>
            <w:vMerge w:val="continue"/>
            <w:shd w:val="clear" w:color="auto" w:fill="CCEEFF"/>
          </w:tcPr>
          <w:p>
            <w:pPr>
              <w:spacing w:after="0"/>
              <w:rPr>
                <w:sz w:val="18"/>
                <w:szCs w:val="18"/>
                <w:color w:val="auto"/>
              </w:rPr>
            </w:pPr>
          </w:p>
        </w:tc>
        <w:tc>
          <w:tcPr>
            <w:tcW w:w="840" w:type="dxa"/>
            <w:vAlign w:val="bottom"/>
            <w:vMerge w:val="continue"/>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100" w:type="dxa"/>
            <w:vAlign w:val="bottom"/>
            <w:tcBorders>
              <w:top w:val="single" w:sz="8" w:color="CCEEFF"/>
              <w:bottom w:val="single" w:sz="8" w:color="CCEEFF"/>
            </w:tcBorders>
            <w:vMerge w:val="restart"/>
          </w:tcPr>
          <w:p>
            <w:pPr>
              <w:spacing w:after="0"/>
              <w:rPr>
                <w:sz w:val="20"/>
                <w:szCs w:val="20"/>
                <w:color w:val="auto"/>
              </w:rPr>
            </w:pPr>
            <w:r>
              <w:rPr>
                <w:rFonts w:ascii="Arial" w:cs="Arial" w:eastAsia="Arial" w:hAnsi="Arial"/>
                <w:sz w:val="18"/>
                <w:szCs w:val="18"/>
                <w:color w:val="auto"/>
              </w:rPr>
              <w:t>Comprehensive income</w:t>
            </w:r>
          </w:p>
        </w:tc>
        <w:tc>
          <w:tcPr>
            <w:tcW w:w="6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bottom w:val="single" w:sz="8" w:color="CCEEFF"/>
            </w:tcBorders>
            <w:vMerge w:val="restart"/>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3"/>
        </w:trPr>
        <w:tc>
          <w:tcPr>
            <w:tcW w:w="2100" w:type="dxa"/>
            <w:vAlign w:val="bottom"/>
            <w:vMerge w:val="continue"/>
          </w:tcPr>
          <w:p>
            <w:pPr>
              <w:spacing w:after="0"/>
              <w:rPr>
                <w:sz w:val="15"/>
                <w:szCs w:val="15"/>
                <w:color w:val="auto"/>
              </w:rPr>
            </w:pPr>
          </w:p>
        </w:tc>
        <w:tc>
          <w:tcPr>
            <w:tcW w:w="600" w:type="dxa"/>
            <w:vAlign w:val="bottom"/>
          </w:tcPr>
          <w:p>
            <w:pPr>
              <w:jc w:val="right"/>
              <w:spacing w:after="0" w:line="183" w:lineRule="exact"/>
              <w:rPr>
                <w:sz w:val="20"/>
                <w:szCs w:val="20"/>
                <w:color w:val="auto"/>
              </w:rPr>
            </w:pPr>
            <w:r>
              <w:rPr>
                <w:rFonts w:ascii="Arial" w:cs="Arial" w:eastAsia="Arial" w:hAnsi="Arial"/>
                <w:sz w:val="17"/>
                <w:szCs w:val="17"/>
                <w:color w:val="auto"/>
              </w:rPr>
              <w:t>—</w:t>
            </w: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40" w:type="dxa"/>
            <w:vAlign w:val="bottom"/>
          </w:tcPr>
          <w:p>
            <w:pPr>
              <w:jc w:val="right"/>
              <w:spacing w:after="0" w:line="183" w:lineRule="exact"/>
              <w:rPr>
                <w:sz w:val="20"/>
                <w:szCs w:val="20"/>
                <w:color w:val="auto"/>
              </w:rPr>
            </w:pPr>
            <w:r>
              <w:rPr>
                <w:rFonts w:ascii="Arial" w:cs="Arial" w:eastAsia="Arial" w:hAnsi="Arial"/>
                <w:sz w:val="17"/>
                <w:szCs w:val="17"/>
                <w:color w:val="auto"/>
              </w:rPr>
              <w:t>—</w:t>
            </w:r>
          </w:p>
        </w:tc>
        <w:tc>
          <w:tcPr>
            <w:tcW w:w="80" w:type="dxa"/>
            <w:vAlign w:val="bottom"/>
            <w:vMerge w:val="continue"/>
          </w:tcPr>
          <w:p>
            <w:pPr>
              <w:spacing w:after="0"/>
              <w:rPr>
                <w:sz w:val="15"/>
                <w:szCs w:val="15"/>
                <w:color w:val="auto"/>
              </w:rPr>
            </w:pPr>
          </w:p>
        </w:tc>
        <w:tc>
          <w:tcPr>
            <w:tcW w:w="520" w:type="dxa"/>
            <w:vAlign w:val="bottom"/>
          </w:tcPr>
          <w:p>
            <w:pPr>
              <w:jc w:val="right"/>
              <w:spacing w:after="0" w:line="183" w:lineRule="exact"/>
              <w:rPr>
                <w:sz w:val="20"/>
                <w:szCs w:val="20"/>
                <w:color w:val="auto"/>
              </w:rPr>
            </w:pPr>
            <w:r>
              <w:rPr>
                <w:rFonts w:ascii="Arial" w:cs="Arial" w:eastAsia="Arial" w:hAnsi="Arial"/>
                <w:sz w:val="17"/>
                <w:szCs w:val="17"/>
                <w:color w:val="auto"/>
              </w:rPr>
              <w:t>—</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80" w:type="dxa"/>
            <w:vAlign w:val="bottom"/>
          </w:tcPr>
          <w:p>
            <w:pPr>
              <w:jc w:val="right"/>
              <w:spacing w:after="0" w:line="183" w:lineRule="exact"/>
              <w:rPr>
                <w:sz w:val="20"/>
                <w:szCs w:val="20"/>
                <w:color w:val="auto"/>
              </w:rPr>
            </w:pPr>
            <w:r>
              <w:rPr>
                <w:rFonts w:ascii="Arial" w:cs="Arial" w:eastAsia="Arial" w:hAnsi="Arial"/>
                <w:sz w:val="17"/>
                <w:szCs w:val="17"/>
                <w:color w:val="auto"/>
              </w:rPr>
              <w:t>—</w:t>
            </w: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00" w:type="dxa"/>
            <w:vAlign w:val="bottom"/>
          </w:tcPr>
          <w:p>
            <w:pPr>
              <w:jc w:val="right"/>
              <w:spacing w:after="0" w:line="183" w:lineRule="exact"/>
              <w:rPr>
                <w:sz w:val="20"/>
                <w:szCs w:val="20"/>
                <w:color w:val="auto"/>
              </w:rPr>
            </w:pPr>
            <w:r>
              <w:rPr>
                <w:rFonts w:ascii="Arial" w:cs="Arial" w:eastAsia="Arial" w:hAnsi="Arial"/>
                <w:sz w:val="17"/>
                <w:szCs w:val="17"/>
                <w:color w:val="auto"/>
              </w:rPr>
              <w:t>—</w:t>
            </w: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60" w:type="dxa"/>
            <w:vAlign w:val="bottom"/>
          </w:tcPr>
          <w:p>
            <w:pPr>
              <w:jc w:val="right"/>
              <w:spacing w:after="0" w:line="183" w:lineRule="exact"/>
              <w:rPr>
                <w:sz w:val="20"/>
                <w:szCs w:val="20"/>
                <w:color w:val="auto"/>
              </w:rPr>
            </w:pPr>
            <w:r>
              <w:rPr>
                <w:rFonts w:ascii="Arial" w:cs="Arial" w:eastAsia="Arial" w:hAnsi="Arial"/>
                <w:sz w:val="17"/>
                <w:szCs w:val="17"/>
                <w:color w:val="auto"/>
              </w:rPr>
              <w:t>(120)</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40" w:type="dxa"/>
            <w:vAlign w:val="bottom"/>
          </w:tcPr>
          <w:p>
            <w:pPr>
              <w:jc w:val="right"/>
              <w:spacing w:after="0" w:line="183" w:lineRule="exact"/>
              <w:rPr>
                <w:sz w:val="20"/>
                <w:szCs w:val="20"/>
                <w:color w:val="auto"/>
              </w:rPr>
            </w:pPr>
            <w:r>
              <w:rPr>
                <w:rFonts w:ascii="Arial" w:cs="Arial" w:eastAsia="Arial" w:hAnsi="Arial"/>
                <w:sz w:val="17"/>
                <w:szCs w:val="17"/>
                <w:color w:val="auto"/>
              </w:rPr>
              <w:t>78,112</w:t>
            </w: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40" w:type="dxa"/>
            <w:vAlign w:val="bottom"/>
          </w:tcPr>
          <w:p>
            <w:pPr>
              <w:jc w:val="right"/>
              <w:spacing w:after="0" w:line="183" w:lineRule="exact"/>
              <w:rPr>
                <w:sz w:val="20"/>
                <w:szCs w:val="20"/>
                <w:color w:val="auto"/>
              </w:rPr>
            </w:pPr>
            <w:r>
              <w:rPr>
                <w:rFonts w:ascii="Arial" w:cs="Arial" w:eastAsia="Arial" w:hAnsi="Arial"/>
                <w:sz w:val="17"/>
                <w:szCs w:val="17"/>
                <w:color w:val="auto"/>
              </w:rPr>
              <w:t>77,992</w:t>
            </w:r>
          </w:p>
        </w:tc>
        <w:tc>
          <w:tcPr>
            <w:tcW w:w="0" w:type="dxa"/>
            <w:vAlign w:val="bottom"/>
          </w:tcPr>
          <w:p>
            <w:pPr>
              <w:spacing w:after="0"/>
              <w:rPr>
                <w:sz w:val="1"/>
                <w:szCs w:val="1"/>
                <w:color w:val="auto"/>
              </w:rPr>
            </w:pPr>
          </w:p>
        </w:tc>
      </w:tr>
      <w:tr>
        <w:trPr>
          <w:trHeight w:val="202"/>
        </w:trPr>
        <w:tc>
          <w:tcPr>
            <w:tcW w:w="210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w w:val="99"/>
              </w:rPr>
              <w:t>Common stock purchased</w:t>
            </w:r>
          </w:p>
        </w:tc>
        <w:tc>
          <w:tcPr>
            <w:tcW w:w="6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100" w:type="dxa"/>
            <w:vAlign w:val="bottom"/>
            <w:shd w:val="clear" w:color="auto" w:fill="CCEEFF"/>
          </w:tcPr>
          <w:p>
            <w:pPr>
              <w:spacing w:after="0"/>
              <w:rPr>
                <w:sz w:val="20"/>
                <w:szCs w:val="20"/>
                <w:color w:val="auto"/>
              </w:rPr>
            </w:pPr>
            <w:r>
              <w:rPr>
                <w:rFonts w:ascii="Arial" w:cs="Arial" w:eastAsia="Arial" w:hAnsi="Arial"/>
                <w:sz w:val="18"/>
                <w:szCs w:val="18"/>
                <w:color w:val="auto"/>
              </w:rPr>
              <w:t>for treasury</w:t>
            </w:r>
          </w:p>
        </w:tc>
        <w:tc>
          <w:tcPr>
            <w:tcW w:w="6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8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6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w:t>
            </w:r>
          </w:p>
        </w:tc>
        <w:tc>
          <w:tcPr>
            <w:tcW w:w="5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567</w:t>
            </w:r>
          </w:p>
        </w:tc>
        <w:tc>
          <w:tcPr>
            <w:tcW w:w="8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(56,348)</w:t>
            </w:r>
          </w:p>
        </w:tc>
        <w:tc>
          <w:tcPr>
            <w:tcW w:w="8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(7,000)</w:t>
            </w:r>
          </w:p>
        </w:tc>
        <w:tc>
          <w:tcPr>
            <w:tcW w:w="8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8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8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(63,348)</w:t>
            </w:r>
          </w:p>
        </w:tc>
        <w:tc>
          <w:tcPr>
            <w:tcW w:w="0" w:type="dxa"/>
            <w:vAlign w:val="bottom"/>
          </w:tcPr>
          <w:p>
            <w:pPr>
              <w:spacing w:after="0"/>
              <w:rPr>
                <w:sz w:val="1"/>
                <w:szCs w:val="1"/>
                <w:color w:val="auto"/>
              </w:rPr>
            </w:pPr>
          </w:p>
        </w:tc>
      </w:tr>
      <w:tr>
        <w:trPr>
          <w:trHeight w:val="216"/>
        </w:trPr>
        <w:tc>
          <w:tcPr>
            <w:tcW w:w="2100" w:type="dxa"/>
            <w:vAlign w:val="bottom"/>
          </w:tcPr>
          <w:p>
            <w:pPr>
              <w:spacing w:after="0"/>
              <w:rPr>
                <w:sz w:val="20"/>
                <w:szCs w:val="20"/>
                <w:color w:val="auto"/>
              </w:rPr>
            </w:pPr>
            <w:r>
              <w:rPr>
                <w:rFonts w:ascii="Arial" w:cs="Arial" w:eastAsia="Arial" w:hAnsi="Arial"/>
                <w:sz w:val="18"/>
                <w:szCs w:val="18"/>
                <w:color w:val="auto"/>
                <w:w w:val="98"/>
              </w:rPr>
              <w:t>Restricted shares forfeited</w:t>
            </w:r>
          </w:p>
        </w:tc>
        <w:tc>
          <w:tcPr>
            <w:tcW w:w="600" w:type="dxa"/>
            <w:vAlign w:val="bottom"/>
          </w:tcPr>
          <w:p>
            <w:pPr>
              <w:jc w:val="right"/>
              <w:spacing w:after="0"/>
              <w:rPr>
                <w:sz w:val="20"/>
                <w:szCs w:val="20"/>
                <w:color w:val="auto"/>
              </w:rPr>
            </w:pPr>
            <w:r>
              <w:rPr>
                <w:rFonts w:ascii="Arial" w:cs="Arial" w:eastAsia="Arial" w:hAnsi="Arial"/>
                <w:sz w:val="17"/>
                <w:szCs w:val="17"/>
                <w:color w:val="auto"/>
              </w:rPr>
              <w:t>—</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gridSpan w:val="2"/>
          </w:tcPr>
          <w:p>
            <w:pPr>
              <w:jc w:val="right"/>
              <w:ind w:right="140"/>
              <w:spacing w:after="0"/>
              <w:rPr>
                <w:sz w:val="20"/>
                <w:szCs w:val="20"/>
                <w:color w:val="auto"/>
              </w:rPr>
            </w:pPr>
            <w:r>
              <w:rPr>
                <w:rFonts w:ascii="Arial" w:cs="Arial" w:eastAsia="Arial" w:hAnsi="Arial"/>
                <w:sz w:val="17"/>
                <w:szCs w:val="17"/>
                <w:color w:val="auto"/>
              </w:rPr>
              <w:t>—</w:t>
            </w:r>
          </w:p>
        </w:tc>
        <w:tc>
          <w:tcPr>
            <w:tcW w:w="520" w:type="dxa"/>
            <w:vAlign w:val="bottom"/>
          </w:tcPr>
          <w:p>
            <w:pPr>
              <w:jc w:val="right"/>
              <w:spacing w:after="0"/>
              <w:rPr>
                <w:sz w:val="20"/>
                <w:szCs w:val="20"/>
                <w:color w:val="auto"/>
              </w:rPr>
            </w:pPr>
            <w:r>
              <w:rPr>
                <w:rFonts w:ascii="Arial" w:cs="Arial" w:eastAsia="Arial" w:hAnsi="Arial"/>
                <w:sz w:val="17"/>
                <w:szCs w:val="17"/>
                <w:color w:val="auto"/>
              </w:rPr>
              <w:t>—</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7"/>
                <w:szCs w:val="17"/>
                <w:color w:val="auto"/>
              </w:rPr>
              <w:t>—</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7"/>
                <w:szCs w:val="17"/>
                <w:color w:val="auto"/>
              </w:rPr>
              <w:t>—</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7"/>
                <w:szCs w:val="17"/>
                <w:color w:val="auto"/>
              </w:rPr>
              <w:t>—</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7"/>
                <w:szCs w:val="17"/>
                <w:color w:val="auto"/>
              </w:rPr>
              <w:t>—</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16"/>
        </w:trPr>
        <w:tc>
          <w:tcPr>
            <w:tcW w:w="2100" w:type="dxa"/>
            <w:vAlign w:val="bottom"/>
            <w:shd w:val="clear" w:color="auto" w:fill="CCEEFF"/>
          </w:tcPr>
          <w:p>
            <w:pPr>
              <w:spacing w:after="0"/>
              <w:rPr>
                <w:sz w:val="20"/>
                <w:szCs w:val="20"/>
                <w:color w:val="auto"/>
              </w:rPr>
            </w:pPr>
            <w:r>
              <w:rPr>
                <w:rFonts w:ascii="Arial" w:cs="Arial" w:eastAsia="Arial" w:hAnsi="Arial"/>
                <w:sz w:val="18"/>
                <w:szCs w:val="18"/>
                <w:color w:val="auto"/>
                <w:w w:val="94"/>
              </w:rPr>
              <w:t>Share-based compensation</w:t>
            </w:r>
          </w:p>
        </w:tc>
        <w:tc>
          <w:tcPr>
            <w:tcW w:w="6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180</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w:t>
            </w:r>
          </w:p>
        </w:tc>
        <w:tc>
          <w:tcPr>
            <w:tcW w:w="80" w:type="dxa"/>
            <w:vAlign w:val="bottom"/>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56</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(5,994)</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3,018</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(2,975)</w:t>
            </w:r>
          </w:p>
        </w:tc>
        <w:tc>
          <w:tcPr>
            <w:tcW w:w="0" w:type="dxa"/>
            <w:vAlign w:val="bottom"/>
          </w:tcPr>
          <w:p>
            <w:pPr>
              <w:spacing w:after="0"/>
              <w:rPr>
                <w:sz w:val="1"/>
                <w:szCs w:val="1"/>
                <w:color w:val="auto"/>
              </w:rPr>
            </w:pPr>
          </w:p>
        </w:tc>
      </w:tr>
      <w:tr>
        <w:trPr>
          <w:trHeight w:val="216"/>
        </w:trPr>
        <w:tc>
          <w:tcPr>
            <w:tcW w:w="210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Exercise of stock options</w:t>
            </w: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176</w:t>
            </w:r>
          </w:p>
        </w:tc>
        <w:tc>
          <w:tcPr>
            <w:tcW w:w="80" w:type="dxa"/>
            <w:vAlign w:val="bottom"/>
            <w:tcBorders>
              <w:bottom w:val="single" w:sz="8" w:color="CCEEFF"/>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5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w:t>
            </w:r>
          </w:p>
        </w:tc>
        <w:tc>
          <w:tcPr>
            <w:tcW w:w="80" w:type="dxa"/>
            <w:vAlign w:val="bottom"/>
            <w:tcBorders>
              <w:bottom w:val="single" w:sz="8" w:color="CCEEFF"/>
            </w:tcBorders>
          </w:tcPr>
          <w:p>
            <w:pPr>
              <w:spacing w:after="0"/>
              <w:rPr>
                <w:sz w:val="18"/>
                <w:szCs w:val="18"/>
                <w:color w:val="auto"/>
              </w:rPr>
            </w:pPr>
          </w:p>
        </w:tc>
        <w:tc>
          <w:tcPr>
            <w:tcW w:w="5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w:t>
            </w:r>
          </w:p>
        </w:tc>
        <w:tc>
          <w:tcPr>
            <w:tcW w:w="80" w:type="dxa"/>
            <w:vAlign w:val="bottom"/>
            <w:tcBorders>
              <w:bottom w:val="single" w:sz="8" w:color="CCEEFF"/>
            </w:tcBorders>
          </w:tcPr>
          <w:p>
            <w:pPr>
              <w:spacing w:after="0"/>
              <w:rPr>
                <w:sz w:val="18"/>
                <w:szCs w:val="18"/>
                <w:color w:val="auto"/>
              </w:rPr>
            </w:pPr>
          </w:p>
        </w:tc>
        <w:tc>
          <w:tcPr>
            <w:tcW w:w="80" w:type="dxa"/>
            <w:vAlign w:val="bottom"/>
            <w:tcBorders>
              <w:bottom w:val="single" w:sz="8" w:color="CCEEFF"/>
            </w:tcBorders>
          </w:tcPr>
          <w:p>
            <w:pPr>
              <w:spacing w:after="0"/>
              <w:rPr>
                <w:sz w:val="18"/>
                <w:szCs w:val="18"/>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w:t>
            </w:r>
          </w:p>
        </w:tc>
        <w:tc>
          <w:tcPr>
            <w:tcW w:w="80" w:type="dxa"/>
            <w:vAlign w:val="bottom"/>
            <w:tcBorders>
              <w:bottom w:val="single" w:sz="8" w:color="CCEEFF"/>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2,678</w:t>
            </w:r>
          </w:p>
        </w:tc>
        <w:tc>
          <w:tcPr>
            <w:tcW w:w="80" w:type="dxa"/>
            <w:vAlign w:val="bottom"/>
            <w:tcBorders>
              <w:bottom w:val="single" w:sz="8" w:color="CCEEFF"/>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w:t>
            </w:r>
          </w:p>
        </w:tc>
        <w:tc>
          <w:tcPr>
            <w:tcW w:w="80" w:type="dxa"/>
            <w:vAlign w:val="bottom"/>
            <w:tcBorders>
              <w:bottom w:val="single" w:sz="8" w:color="CCEEFF"/>
            </w:tcBorders>
          </w:tcPr>
          <w:p>
            <w:pPr>
              <w:spacing w:after="0"/>
              <w:rPr>
                <w:sz w:val="18"/>
                <w:szCs w:val="18"/>
                <w:color w:val="auto"/>
              </w:rPr>
            </w:pPr>
          </w:p>
        </w:tc>
        <w:tc>
          <w:tcPr>
            <w:tcW w:w="80" w:type="dxa"/>
            <w:vAlign w:val="bottom"/>
            <w:tcBorders>
              <w:bottom w:val="single" w:sz="8" w:color="CCEEFF"/>
            </w:tcBorders>
          </w:tcPr>
          <w:p>
            <w:pPr>
              <w:spacing w:after="0"/>
              <w:rPr>
                <w:sz w:val="18"/>
                <w:szCs w:val="18"/>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w:t>
            </w:r>
          </w:p>
        </w:tc>
        <w:tc>
          <w:tcPr>
            <w:tcW w:w="80" w:type="dxa"/>
            <w:vAlign w:val="bottom"/>
            <w:tcBorders>
              <w:bottom w:val="single" w:sz="8" w:color="CCEEFF"/>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2,680</w:t>
            </w:r>
          </w:p>
        </w:tc>
        <w:tc>
          <w:tcPr>
            <w:tcW w:w="0" w:type="dxa"/>
            <w:vAlign w:val="bottom"/>
          </w:tcPr>
          <w:p>
            <w:pPr>
              <w:spacing w:after="0"/>
              <w:rPr>
                <w:sz w:val="1"/>
                <w:szCs w:val="1"/>
                <w:color w:val="auto"/>
              </w:rPr>
            </w:pPr>
          </w:p>
        </w:tc>
      </w:tr>
      <w:tr>
        <w:trPr>
          <w:trHeight w:val="196"/>
        </w:trPr>
        <w:tc>
          <w:tcPr>
            <w:tcW w:w="2100" w:type="dxa"/>
            <w:vAlign w:val="bottom"/>
            <w:shd w:val="clear" w:color="auto" w:fill="CCEEFF"/>
          </w:tcPr>
          <w:p>
            <w:pPr>
              <w:spacing w:after="0" w:line="196" w:lineRule="exact"/>
              <w:rPr>
                <w:sz w:val="20"/>
                <w:szCs w:val="20"/>
                <w:color w:val="auto"/>
              </w:rPr>
            </w:pPr>
            <w:r>
              <w:rPr>
                <w:rFonts w:ascii="Arial" w:cs="Arial" w:eastAsia="Arial" w:hAnsi="Arial"/>
                <w:sz w:val="18"/>
                <w:szCs w:val="18"/>
                <w:color w:val="auto"/>
                <w:w w:val="96"/>
              </w:rPr>
              <w:t>Balance at March 31, 2021</w:t>
            </w:r>
          </w:p>
        </w:tc>
        <w:tc>
          <w:tcPr>
            <w:tcW w:w="6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99"/>
              </w:rPr>
              <w:t>53,633</w:t>
            </w:r>
          </w:p>
        </w:tc>
        <w:tc>
          <w:tcPr>
            <w:tcW w:w="180" w:type="dxa"/>
            <w:vAlign w:val="bottom"/>
            <w:gridSpan w:val="2"/>
            <w:shd w:val="clear" w:color="auto" w:fill="CCEEFF"/>
          </w:tcPr>
          <w:p>
            <w:pPr>
              <w:ind w:left="80"/>
              <w:spacing w:after="0"/>
              <w:rPr>
                <w:sz w:val="20"/>
                <w:szCs w:val="20"/>
                <w:color w:val="auto"/>
              </w:rPr>
            </w:pPr>
            <w:r>
              <w:rPr>
                <w:rFonts w:ascii="Arial" w:cs="Arial" w:eastAsia="Arial" w:hAnsi="Arial"/>
                <w:sz w:val="17"/>
                <w:szCs w:val="17"/>
                <w:color w:val="auto"/>
                <w:w w:val="84"/>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536</w:t>
            </w:r>
          </w:p>
        </w:tc>
        <w:tc>
          <w:tcPr>
            <w:tcW w:w="80" w:type="dxa"/>
            <w:vAlign w:val="bottom"/>
            <w:shd w:val="clear" w:color="auto" w:fill="CCEEFF"/>
          </w:tcPr>
          <w:p>
            <w:pPr>
              <w:spacing w:after="0"/>
              <w:rPr>
                <w:sz w:val="17"/>
                <w:szCs w:val="17"/>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7,251</w:t>
            </w: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(365,721)</w:t>
            </w: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281,163</w:t>
            </w: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(120)</w:t>
            </w: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1,672,820</w:t>
            </w:r>
          </w:p>
        </w:tc>
        <w:tc>
          <w:tcPr>
            <w:tcW w:w="180" w:type="dxa"/>
            <w:vAlign w:val="bottom"/>
            <w:gridSpan w:val="2"/>
            <w:shd w:val="clear" w:color="auto" w:fill="CCEEFF"/>
          </w:tcPr>
          <w:p>
            <w:pPr>
              <w:jc w:val="right"/>
              <w:ind w:right="20"/>
              <w:spacing w:after="0"/>
              <w:rPr>
                <w:sz w:val="20"/>
                <w:szCs w:val="20"/>
                <w:color w:val="auto"/>
              </w:rPr>
            </w:pPr>
            <w:r>
              <w:rPr>
                <w:rFonts w:ascii="Arial" w:cs="Arial" w:eastAsia="Arial" w:hAnsi="Arial"/>
                <w:sz w:val="17"/>
                <w:szCs w:val="17"/>
                <w:color w:val="auto"/>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1,588,678</w:t>
            </w:r>
          </w:p>
        </w:tc>
        <w:tc>
          <w:tcPr>
            <w:tcW w:w="0" w:type="dxa"/>
            <w:vAlign w:val="bottom"/>
          </w:tcPr>
          <w:p>
            <w:pPr>
              <w:spacing w:after="0"/>
              <w:rPr>
                <w:sz w:val="1"/>
                <w:szCs w:val="1"/>
                <w:color w:val="auto"/>
              </w:rPr>
            </w:pPr>
          </w:p>
        </w:tc>
      </w:tr>
      <w:tr>
        <w:trPr>
          <w:trHeight w:val="20"/>
        </w:trPr>
        <w:tc>
          <w:tcPr>
            <w:tcW w:w="2100" w:type="dxa"/>
            <w:vAlign w:val="bottom"/>
            <w:tcBorders>
              <w:top w:val="single" w:sz="8" w:color="CCEEFF"/>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23" w:lineRule="exact"/>
        <w:rPr>
          <w:sz w:val="20"/>
          <w:szCs w:val="20"/>
          <w:color w:val="auto"/>
        </w:rPr>
      </w:pPr>
    </w:p>
    <w:tbl>
      <w:tblPr>
        <w:tblLayout w:type="fixed"/>
        <w:tblInd w:w="60" w:type="dxa"/>
        <w:tblCellMar>
          <w:top w:w="0" w:type="dxa"/>
          <w:left w:w="0" w:type="dxa"/>
          <w:bottom w:w="0" w:type="dxa"/>
          <w:right w:w="0" w:type="dxa"/>
        </w:tblCellMar>
      </w:tblPr>
      <w:tr>
        <w:trPr>
          <w:trHeight w:val="186"/>
        </w:trPr>
        <w:tc>
          <w:tcPr>
            <w:tcW w:w="236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3020" w:type="dxa"/>
            <w:vAlign w:val="bottom"/>
            <w:gridSpan w:val="11"/>
          </w:tcPr>
          <w:p>
            <w:pPr>
              <w:jc w:val="right"/>
              <w:ind w:right="578"/>
              <w:spacing w:after="0"/>
              <w:rPr>
                <w:sz w:val="20"/>
                <w:szCs w:val="20"/>
                <w:color w:val="auto"/>
              </w:rPr>
            </w:pPr>
            <w:r>
              <w:rPr>
                <w:rFonts w:ascii="Arial" w:cs="Arial" w:eastAsia="Arial" w:hAnsi="Arial"/>
                <w:sz w:val="14"/>
                <w:szCs w:val="14"/>
                <w:b w:val="1"/>
                <w:bCs w:val="1"/>
                <w:color w:val="auto"/>
                <w:w w:val="96"/>
              </w:rPr>
              <w:t>Three Months Ended March 31, 2020</w:t>
            </w:r>
          </w:p>
        </w:tc>
        <w:tc>
          <w:tcPr>
            <w:tcW w:w="80" w:type="dxa"/>
            <w:vAlign w:val="bottom"/>
          </w:tcPr>
          <w:p>
            <w:pPr>
              <w:spacing w:after="0"/>
              <w:rPr>
                <w:sz w:val="16"/>
                <w:szCs w:val="16"/>
                <w:color w:val="auto"/>
              </w:rPr>
            </w:pPr>
          </w:p>
        </w:tc>
        <w:tc>
          <w:tcPr>
            <w:tcW w:w="1040" w:type="dxa"/>
            <w:vAlign w:val="bottom"/>
            <w:gridSpan w:val="3"/>
            <w:vMerge w:val="restart"/>
          </w:tcPr>
          <w:p>
            <w:pPr>
              <w:jc w:val="center"/>
              <w:ind w:right="15"/>
              <w:spacing w:after="0"/>
              <w:rPr>
                <w:sz w:val="20"/>
                <w:szCs w:val="20"/>
                <w:color w:val="auto"/>
              </w:rPr>
            </w:pPr>
            <w:r>
              <w:rPr>
                <w:rFonts w:ascii="Arial" w:cs="Arial" w:eastAsia="Arial" w:hAnsi="Arial"/>
                <w:sz w:val="14"/>
                <w:szCs w:val="14"/>
                <w:b w:val="1"/>
                <w:bCs w:val="1"/>
                <w:color w:val="auto"/>
                <w:w w:val="93"/>
              </w:rPr>
              <w:t>Accumulated</w:t>
            </w:r>
          </w:p>
        </w:tc>
        <w:tc>
          <w:tcPr>
            <w:tcW w:w="10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11"/>
        </w:trPr>
        <w:tc>
          <w:tcPr>
            <w:tcW w:w="2360" w:type="dxa"/>
            <w:vAlign w:val="bottom"/>
          </w:tcPr>
          <w:p>
            <w:pPr>
              <w:spacing w:after="0"/>
              <w:rPr>
                <w:sz w:val="9"/>
                <w:szCs w:val="9"/>
                <w:color w:val="auto"/>
              </w:rPr>
            </w:pPr>
          </w:p>
        </w:tc>
        <w:tc>
          <w:tcPr>
            <w:tcW w:w="560" w:type="dxa"/>
            <w:vAlign w:val="bottom"/>
          </w:tcPr>
          <w:p>
            <w:pPr>
              <w:spacing w:after="0"/>
              <w:rPr>
                <w:sz w:val="9"/>
                <w:szCs w:val="9"/>
                <w:color w:val="auto"/>
              </w:rPr>
            </w:pPr>
          </w:p>
        </w:tc>
        <w:tc>
          <w:tcPr>
            <w:tcW w:w="80" w:type="dxa"/>
            <w:vAlign w:val="bottom"/>
          </w:tcPr>
          <w:p>
            <w:pPr>
              <w:spacing w:after="0"/>
              <w:rPr>
                <w:sz w:val="9"/>
                <w:szCs w:val="9"/>
                <w:color w:val="auto"/>
              </w:rPr>
            </w:pPr>
          </w:p>
        </w:tc>
        <w:tc>
          <w:tcPr>
            <w:tcW w:w="100" w:type="dxa"/>
            <w:vAlign w:val="bottom"/>
          </w:tcPr>
          <w:p>
            <w:pPr>
              <w:spacing w:after="0"/>
              <w:rPr>
                <w:sz w:val="9"/>
                <w:szCs w:val="9"/>
                <w:color w:val="auto"/>
              </w:rPr>
            </w:pPr>
          </w:p>
        </w:tc>
        <w:tc>
          <w:tcPr>
            <w:tcW w:w="540" w:type="dxa"/>
            <w:vAlign w:val="bottom"/>
          </w:tcPr>
          <w:p>
            <w:pPr>
              <w:spacing w:after="0"/>
              <w:rPr>
                <w:sz w:val="9"/>
                <w:szCs w:val="9"/>
                <w:color w:val="auto"/>
              </w:rPr>
            </w:pPr>
          </w:p>
        </w:tc>
        <w:tc>
          <w:tcPr>
            <w:tcW w:w="80" w:type="dxa"/>
            <w:vAlign w:val="bottom"/>
          </w:tcPr>
          <w:p>
            <w:pPr>
              <w:spacing w:after="0"/>
              <w:rPr>
                <w:sz w:val="9"/>
                <w:szCs w:val="9"/>
                <w:color w:val="auto"/>
              </w:rPr>
            </w:pPr>
          </w:p>
        </w:tc>
        <w:tc>
          <w:tcPr>
            <w:tcW w:w="5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720" w:type="dxa"/>
            <w:vAlign w:val="bottom"/>
          </w:tcPr>
          <w:p>
            <w:pPr>
              <w:spacing w:after="0"/>
              <w:rPr>
                <w:sz w:val="9"/>
                <w:szCs w:val="9"/>
                <w:color w:val="auto"/>
              </w:rPr>
            </w:pPr>
          </w:p>
        </w:tc>
        <w:tc>
          <w:tcPr>
            <w:tcW w:w="80" w:type="dxa"/>
            <w:vAlign w:val="bottom"/>
          </w:tcPr>
          <w:p>
            <w:pPr>
              <w:spacing w:after="0"/>
              <w:rPr>
                <w:sz w:val="9"/>
                <w:szCs w:val="9"/>
                <w:color w:val="auto"/>
              </w:rPr>
            </w:pPr>
          </w:p>
        </w:tc>
        <w:tc>
          <w:tcPr>
            <w:tcW w:w="760" w:type="dxa"/>
            <w:vAlign w:val="bottom"/>
            <w:gridSpan w:val="2"/>
            <w:vMerge w:val="restart"/>
          </w:tcPr>
          <w:p>
            <w:pPr>
              <w:jc w:val="right"/>
              <w:spacing w:after="0"/>
              <w:rPr>
                <w:sz w:val="20"/>
                <w:szCs w:val="20"/>
                <w:color w:val="auto"/>
              </w:rPr>
            </w:pPr>
            <w:r>
              <w:rPr>
                <w:rFonts w:ascii="Arial" w:cs="Arial" w:eastAsia="Arial" w:hAnsi="Arial"/>
                <w:sz w:val="14"/>
                <w:szCs w:val="14"/>
                <w:b w:val="1"/>
                <w:bCs w:val="1"/>
                <w:color w:val="auto"/>
                <w:w w:val="99"/>
              </w:rPr>
              <w:t>Additional</w:t>
            </w:r>
          </w:p>
        </w:tc>
        <w:tc>
          <w:tcPr>
            <w:tcW w:w="80" w:type="dxa"/>
            <w:vAlign w:val="bottom"/>
          </w:tcPr>
          <w:p>
            <w:pPr>
              <w:spacing w:after="0"/>
              <w:rPr>
                <w:sz w:val="9"/>
                <w:szCs w:val="9"/>
                <w:color w:val="auto"/>
              </w:rPr>
            </w:pPr>
          </w:p>
        </w:tc>
        <w:tc>
          <w:tcPr>
            <w:tcW w:w="1040" w:type="dxa"/>
            <w:vAlign w:val="bottom"/>
            <w:gridSpan w:val="3"/>
            <w:vMerge w:val="continue"/>
          </w:tcPr>
          <w:p>
            <w:pPr>
              <w:spacing w:after="0"/>
              <w:rPr>
                <w:sz w:val="9"/>
                <w:szCs w:val="9"/>
                <w:color w:val="auto"/>
              </w:rPr>
            </w:pPr>
          </w:p>
        </w:tc>
        <w:tc>
          <w:tcPr>
            <w:tcW w:w="100" w:type="dxa"/>
            <w:vAlign w:val="bottom"/>
          </w:tcPr>
          <w:p>
            <w:pPr>
              <w:spacing w:after="0"/>
              <w:rPr>
                <w:sz w:val="9"/>
                <w:szCs w:val="9"/>
                <w:color w:val="auto"/>
              </w:rPr>
            </w:pPr>
          </w:p>
        </w:tc>
        <w:tc>
          <w:tcPr>
            <w:tcW w:w="78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7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2360" w:type="dxa"/>
            <w:vAlign w:val="bottom"/>
          </w:tcPr>
          <w:p>
            <w:pPr>
              <w:spacing w:after="0"/>
              <w:rPr>
                <w:sz w:val="12"/>
                <w:szCs w:val="12"/>
                <w:color w:val="auto"/>
              </w:rPr>
            </w:pPr>
          </w:p>
        </w:tc>
        <w:tc>
          <w:tcPr>
            <w:tcW w:w="1360" w:type="dxa"/>
            <w:vAlign w:val="bottom"/>
            <w:gridSpan w:val="5"/>
            <w:vMerge w:val="restart"/>
          </w:tcPr>
          <w:p>
            <w:pPr>
              <w:ind w:left="160"/>
              <w:spacing w:after="0"/>
              <w:rPr>
                <w:sz w:val="20"/>
                <w:szCs w:val="20"/>
                <w:color w:val="auto"/>
              </w:rPr>
            </w:pPr>
            <w:r>
              <w:rPr>
                <w:rFonts w:ascii="Arial" w:cs="Arial" w:eastAsia="Arial" w:hAnsi="Arial"/>
                <w:sz w:val="14"/>
                <w:szCs w:val="14"/>
                <w:b w:val="1"/>
                <w:bCs w:val="1"/>
                <w:color w:val="auto"/>
              </w:rPr>
              <w:t>Common Stock</w:t>
            </w:r>
          </w:p>
        </w:tc>
        <w:tc>
          <w:tcPr>
            <w:tcW w:w="1380" w:type="dxa"/>
            <w:vAlign w:val="bottom"/>
            <w:gridSpan w:val="4"/>
            <w:vMerge w:val="restart"/>
          </w:tcPr>
          <w:p>
            <w:pPr>
              <w:jc w:val="right"/>
              <w:ind w:right="137"/>
              <w:spacing w:after="0"/>
              <w:rPr>
                <w:sz w:val="20"/>
                <w:szCs w:val="20"/>
                <w:color w:val="auto"/>
              </w:rPr>
            </w:pPr>
            <w:r>
              <w:rPr>
                <w:rFonts w:ascii="Arial" w:cs="Arial" w:eastAsia="Arial" w:hAnsi="Arial"/>
                <w:sz w:val="14"/>
                <w:szCs w:val="14"/>
                <w:b w:val="1"/>
                <w:bCs w:val="1"/>
                <w:color w:val="auto"/>
              </w:rPr>
              <w:t>Treasury Stock</w:t>
            </w:r>
          </w:p>
        </w:tc>
        <w:tc>
          <w:tcPr>
            <w:tcW w:w="80" w:type="dxa"/>
            <w:vAlign w:val="bottom"/>
          </w:tcPr>
          <w:p>
            <w:pPr>
              <w:spacing w:after="0"/>
              <w:rPr>
                <w:sz w:val="12"/>
                <w:szCs w:val="12"/>
                <w:color w:val="auto"/>
              </w:rPr>
            </w:pPr>
          </w:p>
        </w:tc>
        <w:tc>
          <w:tcPr>
            <w:tcW w:w="760" w:type="dxa"/>
            <w:vAlign w:val="bottom"/>
            <w:gridSpan w:val="2"/>
            <w:vMerge w:val="continue"/>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20" w:type="dxa"/>
            <w:vAlign w:val="bottom"/>
            <w:gridSpan w:val="2"/>
          </w:tcPr>
          <w:p>
            <w:pPr>
              <w:jc w:val="center"/>
              <w:ind w:right="115"/>
              <w:spacing w:after="0" w:line="149" w:lineRule="exact"/>
              <w:rPr>
                <w:sz w:val="20"/>
                <w:szCs w:val="20"/>
                <w:color w:val="auto"/>
              </w:rPr>
            </w:pPr>
            <w:r>
              <w:rPr>
                <w:rFonts w:ascii="Arial" w:cs="Arial" w:eastAsia="Arial" w:hAnsi="Arial"/>
                <w:sz w:val="14"/>
                <w:szCs w:val="14"/>
                <w:b w:val="1"/>
                <w:bCs w:val="1"/>
                <w:color w:val="auto"/>
                <w:w w:val="96"/>
              </w:rPr>
              <w:t>Other</w:t>
            </w:r>
          </w:p>
        </w:tc>
        <w:tc>
          <w:tcPr>
            <w:tcW w:w="100" w:type="dxa"/>
            <w:vAlign w:val="bottom"/>
          </w:tcPr>
          <w:p>
            <w:pPr>
              <w:spacing w:after="0"/>
              <w:rPr>
                <w:sz w:val="12"/>
                <w:szCs w:val="12"/>
                <w:color w:val="auto"/>
              </w:rPr>
            </w:pPr>
          </w:p>
        </w:tc>
        <w:tc>
          <w:tcPr>
            <w:tcW w:w="860" w:type="dxa"/>
            <w:vAlign w:val="bottom"/>
            <w:gridSpan w:val="2"/>
            <w:vMerge w:val="restart"/>
          </w:tcPr>
          <w:p>
            <w:pPr>
              <w:ind w:left="60"/>
              <w:spacing w:after="0"/>
              <w:rPr>
                <w:sz w:val="20"/>
                <w:szCs w:val="20"/>
                <w:color w:val="auto"/>
              </w:rPr>
            </w:pPr>
            <w:r>
              <w:rPr>
                <w:rFonts w:ascii="Arial" w:cs="Arial" w:eastAsia="Arial" w:hAnsi="Arial"/>
                <w:sz w:val="14"/>
                <w:szCs w:val="14"/>
                <w:b w:val="1"/>
                <w:bCs w:val="1"/>
                <w:color w:val="auto"/>
              </w:rPr>
              <w:t>Retained</w:t>
            </w: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2360" w:type="dxa"/>
            <w:vAlign w:val="bottom"/>
          </w:tcPr>
          <w:p>
            <w:pPr>
              <w:spacing w:after="0"/>
              <w:rPr>
                <w:sz w:val="14"/>
                <w:szCs w:val="14"/>
                <w:color w:val="auto"/>
              </w:rPr>
            </w:pPr>
          </w:p>
        </w:tc>
        <w:tc>
          <w:tcPr>
            <w:tcW w:w="1360" w:type="dxa"/>
            <w:vAlign w:val="bottom"/>
            <w:gridSpan w:val="5"/>
            <w:vMerge w:val="continue"/>
          </w:tcPr>
          <w:p>
            <w:pPr>
              <w:spacing w:after="0"/>
              <w:rPr>
                <w:sz w:val="14"/>
                <w:szCs w:val="14"/>
                <w:color w:val="auto"/>
              </w:rPr>
            </w:pPr>
          </w:p>
        </w:tc>
        <w:tc>
          <w:tcPr>
            <w:tcW w:w="1380" w:type="dxa"/>
            <w:vAlign w:val="bottom"/>
            <w:gridSpan w:val="4"/>
            <w:vMerge w:val="continue"/>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60" w:type="dxa"/>
            <w:vAlign w:val="bottom"/>
          </w:tcPr>
          <w:p>
            <w:pPr>
              <w:jc w:val="right"/>
              <w:ind w:right="78"/>
              <w:spacing w:after="0"/>
              <w:rPr>
                <w:sz w:val="20"/>
                <w:szCs w:val="20"/>
                <w:color w:val="auto"/>
              </w:rPr>
            </w:pPr>
            <w:r>
              <w:rPr>
                <w:rFonts w:ascii="Arial" w:cs="Arial" w:eastAsia="Arial" w:hAnsi="Arial"/>
                <w:sz w:val="14"/>
                <w:szCs w:val="14"/>
                <w:b w:val="1"/>
                <w:bCs w:val="1"/>
                <w:color w:val="auto"/>
              </w:rPr>
              <w:t>Paid-in</w:t>
            </w:r>
          </w:p>
        </w:tc>
        <w:tc>
          <w:tcPr>
            <w:tcW w:w="1120" w:type="dxa"/>
            <w:vAlign w:val="bottom"/>
            <w:gridSpan w:val="4"/>
          </w:tcPr>
          <w:p>
            <w:pPr>
              <w:jc w:val="center"/>
              <w:spacing w:after="0"/>
              <w:rPr>
                <w:sz w:val="20"/>
                <w:szCs w:val="20"/>
                <w:color w:val="auto"/>
              </w:rPr>
            </w:pPr>
            <w:r>
              <w:rPr>
                <w:rFonts w:ascii="Arial" w:cs="Arial" w:eastAsia="Arial" w:hAnsi="Arial"/>
                <w:sz w:val="14"/>
                <w:szCs w:val="14"/>
                <w:b w:val="1"/>
                <w:bCs w:val="1"/>
                <w:color w:val="auto"/>
                <w:w w:val="91"/>
              </w:rPr>
              <w:t>Comprehensive</w:t>
            </w:r>
          </w:p>
        </w:tc>
        <w:tc>
          <w:tcPr>
            <w:tcW w:w="100" w:type="dxa"/>
            <w:vAlign w:val="bottom"/>
          </w:tcPr>
          <w:p>
            <w:pPr>
              <w:spacing w:after="0"/>
              <w:rPr>
                <w:sz w:val="14"/>
                <w:szCs w:val="14"/>
                <w:color w:val="auto"/>
              </w:rPr>
            </w:pPr>
          </w:p>
        </w:tc>
        <w:tc>
          <w:tcPr>
            <w:tcW w:w="860" w:type="dxa"/>
            <w:vAlign w:val="bottom"/>
            <w:gridSpan w:val="2"/>
            <w:vMerge w:val="continue"/>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360" w:type="dxa"/>
            <w:vAlign w:val="bottom"/>
          </w:tcPr>
          <w:p>
            <w:pPr>
              <w:spacing w:after="0"/>
              <w:rPr>
                <w:sz w:val="12"/>
                <w:szCs w:val="12"/>
                <w:color w:val="auto"/>
              </w:rPr>
            </w:pPr>
          </w:p>
        </w:tc>
        <w:tc>
          <w:tcPr>
            <w:tcW w:w="56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98"/>
              </w:rPr>
              <w:t>Shares</w:t>
            </w:r>
          </w:p>
        </w:tc>
        <w:tc>
          <w:tcPr>
            <w:tcW w:w="80" w:type="dxa"/>
            <w:vAlign w:val="bottom"/>
            <w:tcBorders>
              <w:top w:val="single" w:sz="8" w:color="auto"/>
            </w:tcBorders>
          </w:tcPr>
          <w:p>
            <w:pPr>
              <w:spacing w:after="0"/>
              <w:rPr>
                <w:sz w:val="12"/>
                <w:szCs w:val="12"/>
                <w:color w:val="auto"/>
              </w:rPr>
            </w:pPr>
          </w:p>
        </w:tc>
        <w:tc>
          <w:tcPr>
            <w:tcW w:w="640" w:type="dxa"/>
            <w:vAlign w:val="bottom"/>
            <w:tcBorders>
              <w:top w:val="single" w:sz="8" w:color="auto"/>
            </w:tcBorders>
            <w:gridSpan w:val="2"/>
          </w:tcPr>
          <w:p>
            <w:pPr>
              <w:jc w:val="right"/>
              <w:spacing w:after="0" w:line="142" w:lineRule="exact"/>
              <w:rPr>
                <w:sz w:val="20"/>
                <w:szCs w:val="20"/>
                <w:color w:val="auto"/>
              </w:rPr>
            </w:pPr>
            <w:r>
              <w:rPr>
                <w:rFonts w:ascii="Arial" w:cs="Arial" w:eastAsia="Arial" w:hAnsi="Arial"/>
                <w:sz w:val="14"/>
                <w:szCs w:val="14"/>
                <w:b w:val="1"/>
                <w:bCs w:val="1"/>
                <w:color w:val="auto"/>
                <w:w w:val="93"/>
              </w:rPr>
              <w:t>Par Value</w:t>
            </w:r>
          </w:p>
        </w:tc>
        <w:tc>
          <w:tcPr>
            <w:tcW w:w="80" w:type="dxa"/>
            <w:vAlign w:val="bottom"/>
          </w:tcPr>
          <w:p>
            <w:pPr>
              <w:spacing w:after="0"/>
              <w:rPr>
                <w:sz w:val="12"/>
                <w:szCs w:val="12"/>
                <w:color w:val="auto"/>
              </w:rPr>
            </w:pPr>
          </w:p>
        </w:tc>
        <w:tc>
          <w:tcPr>
            <w:tcW w:w="50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94"/>
              </w:rPr>
              <w:t>Shares</w:t>
            </w:r>
          </w:p>
        </w:tc>
        <w:tc>
          <w:tcPr>
            <w:tcW w:w="80" w:type="dxa"/>
            <w:vAlign w:val="bottom"/>
            <w:tcBorders>
              <w:top w:val="single" w:sz="8" w:color="auto"/>
            </w:tcBorders>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720" w:type="dxa"/>
            <w:vAlign w:val="bottom"/>
            <w:tcBorders>
              <w:top w:val="single" w:sz="8" w:color="auto"/>
            </w:tcBorders>
          </w:tcPr>
          <w:p>
            <w:pPr>
              <w:jc w:val="right"/>
              <w:ind w:right="177"/>
              <w:spacing w:after="0" w:line="142" w:lineRule="exact"/>
              <w:rPr>
                <w:sz w:val="20"/>
                <w:szCs w:val="20"/>
                <w:color w:val="auto"/>
              </w:rPr>
            </w:pPr>
            <w:r>
              <w:rPr>
                <w:rFonts w:ascii="Arial" w:cs="Arial" w:eastAsia="Arial" w:hAnsi="Arial"/>
                <w:sz w:val="14"/>
                <w:szCs w:val="14"/>
                <w:b w:val="1"/>
                <w:bCs w:val="1"/>
                <w:color w:val="auto"/>
              </w:rPr>
              <w:t>Cost</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60" w:type="dxa"/>
            <w:vAlign w:val="bottom"/>
          </w:tcPr>
          <w:p>
            <w:pPr>
              <w:jc w:val="right"/>
              <w:ind w:right="78"/>
              <w:spacing w:after="0" w:line="142" w:lineRule="exact"/>
              <w:rPr>
                <w:sz w:val="20"/>
                <w:szCs w:val="20"/>
                <w:color w:val="auto"/>
              </w:rPr>
            </w:pPr>
            <w:r>
              <w:rPr>
                <w:rFonts w:ascii="Arial" w:cs="Arial" w:eastAsia="Arial" w:hAnsi="Arial"/>
                <w:sz w:val="14"/>
                <w:szCs w:val="14"/>
                <w:b w:val="1"/>
                <w:bCs w:val="1"/>
                <w:color w:val="auto"/>
              </w:rPr>
              <w:t>Capital</w:t>
            </w: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20" w:type="dxa"/>
            <w:vAlign w:val="bottom"/>
            <w:gridSpan w:val="2"/>
          </w:tcPr>
          <w:p>
            <w:pPr>
              <w:jc w:val="center"/>
              <w:ind w:right="115"/>
              <w:spacing w:after="0" w:line="142" w:lineRule="exact"/>
              <w:rPr>
                <w:sz w:val="20"/>
                <w:szCs w:val="20"/>
                <w:color w:val="auto"/>
              </w:rPr>
            </w:pPr>
            <w:r>
              <w:rPr>
                <w:rFonts w:ascii="Arial" w:cs="Arial" w:eastAsia="Arial" w:hAnsi="Arial"/>
                <w:sz w:val="14"/>
                <w:szCs w:val="14"/>
                <w:b w:val="1"/>
                <w:bCs w:val="1"/>
                <w:color w:val="auto"/>
                <w:w w:val="85"/>
              </w:rPr>
              <w:t>Loss</w:t>
            </w:r>
          </w:p>
        </w:tc>
        <w:tc>
          <w:tcPr>
            <w:tcW w:w="100" w:type="dxa"/>
            <w:vAlign w:val="bottom"/>
          </w:tcPr>
          <w:p>
            <w:pPr>
              <w:spacing w:after="0"/>
              <w:rPr>
                <w:sz w:val="12"/>
                <w:szCs w:val="12"/>
                <w:color w:val="auto"/>
              </w:rPr>
            </w:pPr>
          </w:p>
        </w:tc>
        <w:tc>
          <w:tcPr>
            <w:tcW w:w="860" w:type="dxa"/>
            <w:vAlign w:val="bottom"/>
            <w:gridSpan w:val="2"/>
          </w:tcPr>
          <w:p>
            <w:pPr>
              <w:ind w:left="60"/>
              <w:spacing w:after="0" w:line="142" w:lineRule="exact"/>
              <w:rPr>
                <w:sz w:val="20"/>
                <w:szCs w:val="20"/>
                <w:color w:val="auto"/>
              </w:rPr>
            </w:pPr>
            <w:r>
              <w:rPr>
                <w:rFonts w:ascii="Arial" w:cs="Arial" w:eastAsia="Arial" w:hAnsi="Arial"/>
                <w:sz w:val="14"/>
                <w:szCs w:val="14"/>
                <w:b w:val="1"/>
                <w:bCs w:val="1"/>
                <w:color w:val="auto"/>
              </w:rPr>
              <w:t>Earnings</w:t>
            </w: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80" w:type="dxa"/>
            <w:vAlign w:val="bottom"/>
          </w:tcPr>
          <w:p>
            <w:pPr>
              <w:jc w:val="right"/>
              <w:ind w:right="199"/>
              <w:spacing w:after="0" w:line="142" w:lineRule="exact"/>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96"/>
        </w:trPr>
        <w:tc>
          <w:tcPr>
            <w:tcW w:w="2360" w:type="dxa"/>
            <w:vAlign w:val="bottom"/>
            <w:tcBorders>
              <w:top w:val="single" w:sz="8" w:color="CCEEFF"/>
              <w:bottom w:val="single" w:sz="8" w:color="CCEEFF"/>
            </w:tcBorders>
            <w:shd w:val="clear" w:color="auto" w:fill="CCEEFF"/>
          </w:tcPr>
          <w:p>
            <w:pPr>
              <w:spacing w:after="0" w:line="196" w:lineRule="exact"/>
              <w:rPr>
                <w:sz w:val="20"/>
                <w:szCs w:val="20"/>
                <w:color w:val="auto"/>
              </w:rPr>
            </w:pPr>
            <w:r>
              <w:rPr>
                <w:rFonts w:ascii="Arial" w:cs="Arial" w:eastAsia="Arial" w:hAnsi="Arial"/>
                <w:sz w:val="18"/>
                <w:szCs w:val="18"/>
                <w:color w:val="auto"/>
                <w:w w:val="94"/>
              </w:rPr>
              <w:t>Balance at December 31, 2019</w:t>
            </w:r>
          </w:p>
        </w:tc>
        <w:tc>
          <w:tcPr>
            <w:tcW w:w="5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w w:val="92"/>
              </w:rPr>
              <w:t>53,054</w:t>
            </w:r>
          </w:p>
        </w:tc>
        <w:tc>
          <w:tcPr>
            <w:tcW w:w="80" w:type="dxa"/>
            <w:vAlign w:val="bottom"/>
            <w:tcBorders>
              <w:top w:val="single" w:sz="8" w:color="CCEEFF"/>
              <w:bottom w:val="single" w:sz="8" w:color="CCEEFF"/>
            </w:tcBorders>
            <w:shd w:val="clear" w:color="auto" w:fill="CCEEFF"/>
          </w:tcPr>
          <w:p>
            <w:pPr>
              <w:spacing w:after="0"/>
              <w:rPr>
                <w:sz w:val="17"/>
                <w:szCs w:val="17"/>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531</w:t>
            </w:r>
          </w:p>
        </w:tc>
        <w:tc>
          <w:tcPr>
            <w:tcW w:w="80" w:type="dxa"/>
            <w:vAlign w:val="bottom"/>
            <w:tcBorders>
              <w:top w:val="single" w:sz="8" w:color="CCEEFF"/>
              <w:bottom w:val="single" w:sz="8" w:color="CCEEFF"/>
            </w:tcBorders>
            <w:shd w:val="clear" w:color="auto" w:fill="CCEEFF"/>
          </w:tcPr>
          <w:p>
            <w:pPr>
              <w:spacing w:after="0"/>
              <w:rPr>
                <w:sz w:val="17"/>
                <w:szCs w:val="17"/>
                <w:color w:val="auto"/>
              </w:rPr>
            </w:pPr>
          </w:p>
        </w:tc>
        <w:tc>
          <w:tcPr>
            <w:tcW w:w="5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w w:val="98"/>
              </w:rPr>
              <w:t>4,949</w:t>
            </w:r>
          </w:p>
        </w:tc>
        <w:tc>
          <w:tcPr>
            <w:tcW w:w="80" w:type="dxa"/>
            <w:vAlign w:val="bottom"/>
            <w:tcBorders>
              <w:top w:val="single" w:sz="8" w:color="CCEEFF"/>
              <w:bottom w:val="single" w:sz="8" w:color="CCEEFF"/>
            </w:tcBorders>
            <w:shd w:val="clear" w:color="auto" w:fill="CCEEFF"/>
          </w:tcPr>
          <w:p>
            <w:pPr>
              <w:spacing w:after="0"/>
              <w:rPr>
                <w:sz w:val="17"/>
                <w:szCs w:val="17"/>
                <w:color w:val="auto"/>
              </w:rPr>
            </w:pPr>
          </w:p>
        </w:tc>
        <w:tc>
          <w:tcPr>
            <w:tcW w:w="80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Arial" w:cs="Arial" w:eastAsia="Arial" w:hAnsi="Arial"/>
                <w:sz w:val="17"/>
                <w:szCs w:val="17"/>
                <w:color w:val="auto"/>
                <w:w w:val="89"/>
              </w:rPr>
              <w:t>$ (169,365)</w:t>
            </w:r>
          </w:p>
        </w:tc>
        <w:tc>
          <w:tcPr>
            <w:tcW w:w="80" w:type="dxa"/>
            <w:vAlign w:val="bottom"/>
            <w:tcBorders>
              <w:top w:val="single" w:sz="8" w:color="CCEEFF"/>
              <w:bottom w:val="single" w:sz="8" w:color="CCEEFF"/>
            </w:tcBorders>
            <w:shd w:val="clear" w:color="auto" w:fill="CCEEFF"/>
          </w:tcPr>
          <w:p>
            <w:pPr>
              <w:spacing w:after="0"/>
              <w:rPr>
                <w:sz w:val="17"/>
                <w:szCs w:val="17"/>
                <w:color w:val="auto"/>
              </w:rPr>
            </w:pPr>
          </w:p>
        </w:tc>
        <w:tc>
          <w:tcPr>
            <w:tcW w:w="76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Arial" w:cs="Arial" w:eastAsia="Arial" w:hAnsi="Arial"/>
                <w:sz w:val="17"/>
                <w:szCs w:val="17"/>
                <w:color w:val="auto"/>
                <w:w w:val="89"/>
              </w:rPr>
              <w:t>$ 270,923</w:t>
            </w:r>
          </w:p>
        </w:tc>
        <w:tc>
          <w:tcPr>
            <w:tcW w:w="80" w:type="dxa"/>
            <w:vAlign w:val="bottom"/>
            <w:tcBorders>
              <w:top w:val="single" w:sz="8" w:color="CCEEFF"/>
              <w:bottom w:val="single" w:sz="8" w:color="CCEEFF"/>
            </w:tcBorders>
            <w:shd w:val="clear" w:color="auto" w:fill="CCEEFF"/>
          </w:tcPr>
          <w:p>
            <w:pPr>
              <w:spacing w:after="0"/>
              <w:rPr>
                <w:sz w:val="17"/>
                <w:szCs w:val="17"/>
                <w:color w:val="auto"/>
              </w:rPr>
            </w:pPr>
          </w:p>
        </w:tc>
        <w:tc>
          <w:tcPr>
            <w:tcW w:w="120" w:type="dxa"/>
            <w:vAlign w:val="bottom"/>
            <w:tcBorders>
              <w:top w:val="single" w:sz="8" w:color="auto"/>
              <w:bottom w:val="single" w:sz="8" w:color="auto"/>
            </w:tcBorders>
            <w:shd w:val="clear" w:color="auto" w:fill="CCEEFF"/>
          </w:tcPr>
          <w:p>
            <w:pPr>
              <w:spacing w:after="0"/>
              <w:rPr>
                <w:sz w:val="17"/>
                <w:szCs w:val="17"/>
                <w:color w:val="auto"/>
              </w:rPr>
            </w:pPr>
          </w:p>
        </w:tc>
        <w:tc>
          <w:tcPr>
            <w:tcW w:w="840" w:type="dxa"/>
            <w:vAlign w:val="bottom"/>
            <w:tcBorders>
              <w:top w:val="single" w:sz="8" w:color="auto"/>
              <w:bottom w:val="single" w:sz="8" w:color="auto"/>
            </w:tcBorders>
            <w:shd w:val="clear" w:color="auto" w:fill="CCEEFF"/>
          </w:tcPr>
          <w:p>
            <w:pPr>
              <w:ind w:left="620"/>
              <w:spacing w:after="0"/>
              <w:rPr>
                <w:sz w:val="20"/>
                <w:szCs w:val="20"/>
                <w:color w:val="auto"/>
              </w:rPr>
            </w:pPr>
            <w:r>
              <w:rPr>
                <w:rFonts w:ascii="Arial" w:cs="Arial" w:eastAsia="Arial" w:hAnsi="Arial"/>
                <w:sz w:val="17"/>
                <w:szCs w:val="17"/>
                <w:color w:val="auto"/>
              </w:rPr>
              <w:t>—</w:t>
            </w:r>
          </w:p>
        </w:tc>
        <w:tc>
          <w:tcPr>
            <w:tcW w:w="80" w:type="dxa"/>
            <w:vAlign w:val="bottom"/>
            <w:tcBorders>
              <w:top w:val="single" w:sz="8" w:color="CCEEFF"/>
              <w:bottom w:val="single" w:sz="8" w:color="CCEEFF"/>
            </w:tcBorders>
            <w:shd w:val="clear" w:color="auto" w:fill="CCEEFF"/>
          </w:tcPr>
          <w:p>
            <w:pPr>
              <w:spacing w:after="0"/>
              <w:rPr>
                <w:sz w:val="17"/>
                <w:szCs w:val="17"/>
                <w:color w:val="auto"/>
              </w:rPr>
            </w:pPr>
          </w:p>
        </w:tc>
        <w:tc>
          <w:tcPr>
            <w:tcW w:w="88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Arial" w:cs="Arial" w:eastAsia="Arial" w:hAnsi="Arial"/>
                <w:sz w:val="17"/>
                <w:szCs w:val="17"/>
                <w:color w:val="auto"/>
                <w:w w:val="89"/>
              </w:rPr>
              <w:t>$ 1,341,344</w:t>
            </w:r>
          </w:p>
        </w:tc>
        <w:tc>
          <w:tcPr>
            <w:tcW w:w="80" w:type="dxa"/>
            <w:vAlign w:val="bottom"/>
            <w:tcBorders>
              <w:top w:val="single" w:sz="8" w:color="CCEEFF"/>
              <w:bottom w:val="single" w:sz="8" w:color="CCEEFF"/>
            </w:tcBorders>
            <w:shd w:val="clear" w:color="auto" w:fill="CCEEFF"/>
          </w:tcPr>
          <w:p>
            <w:pPr>
              <w:spacing w:after="0"/>
              <w:rPr>
                <w:sz w:val="17"/>
                <w:szCs w:val="17"/>
                <w:color w:val="auto"/>
              </w:rPr>
            </w:pPr>
          </w:p>
        </w:tc>
        <w:tc>
          <w:tcPr>
            <w:tcW w:w="20" w:type="dxa"/>
            <w:vAlign w:val="bottom"/>
            <w:tcBorders>
              <w:top w:val="single" w:sz="8" w:color="CCEEFF"/>
              <w:bottom w:val="single" w:sz="8" w:color="CCEEFF"/>
            </w:tcBorders>
            <w:shd w:val="clear" w:color="auto" w:fill="CCEEFF"/>
          </w:tcPr>
          <w:p>
            <w:pPr>
              <w:spacing w:after="0"/>
              <w:rPr>
                <w:sz w:val="17"/>
                <w:szCs w:val="17"/>
                <w:color w:val="auto"/>
              </w:rPr>
            </w:pPr>
          </w:p>
        </w:tc>
        <w:tc>
          <w:tcPr>
            <w:tcW w:w="86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Arial" w:cs="Arial" w:eastAsia="Arial" w:hAnsi="Arial"/>
                <w:sz w:val="17"/>
                <w:szCs w:val="17"/>
                <w:color w:val="auto"/>
                <w:w w:val="86"/>
              </w:rPr>
              <w:t>$ 1,443,433</w:t>
            </w:r>
          </w:p>
        </w:tc>
        <w:tc>
          <w:tcPr>
            <w:tcW w:w="0" w:type="dxa"/>
            <w:vAlign w:val="bottom"/>
          </w:tcPr>
          <w:p>
            <w:pPr>
              <w:spacing w:after="0"/>
              <w:rPr>
                <w:sz w:val="1"/>
                <w:szCs w:val="1"/>
                <w:color w:val="auto"/>
              </w:rPr>
            </w:pPr>
          </w:p>
        </w:tc>
      </w:tr>
      <w:tr>
        <w:trPr>
          <w:trHeight w:val="20"/>
        </w:trPr>
        <w:tc>
          <w:tcPr>
            <w:tcW w:w="2360" w:type="dxa"/>
            <w:vAlign w:val="bottom"/>
            <w:vMerge w:val="restart"/>
          </w:tcPr>
          <w:p>
            <w:pPr>
              <w:spacing w:after="0" w:line="195" w:lineRule="exact"/>
              <w:rPr>
                <w:sz w:val="20"/>
                <w:szCs w:val="20"/>
                <w:color w:val="auto"/>
              </w:rPr>
            </w:pPr>
            <w:r>
              <w:rPr>
                <w:rFonts w:ascii="Arial" w:cs="Arial" w:eastAsia="Arial" w:hAnsi="Arial"/>
                <w:sz w:val="18"/>
                <w:szCs w:val="18"/>
                <w:color w:val="auto"/>
              </w:rPr>
              <w:t>Cumulative effect from the</w:t>
            </w:r>
          </w:p>
        </w:tc>
        <w:tc>
          <w:tcPr>
            <w:tcW w:w="56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5"/>
        </w:trPr>
        <w:tc>
          <w:tcPr>
            <w:tcW w:w="2360" w:type="dxa"/>
            <w:vAlign w:val="bottom"/>
            <w:vMerge w:val="continue"/>
          </w:tcPr>
          <w:p>
            <w:pPr>
              <w:spacing w:after="0"/>
              <w:rPr>
                <w:sz w:val="13"/>
                <w:szCs w:val="13"/>
                <w:color w:val="auto"/>
              </w:rPr>
            </w:pPr>
          </w:p>
        </w:tc>
        <w:tc>
          <w:tcPr>
            <w:tcW w:w="5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16"/>
        </w:trPr>
        <w:tc>
          <w:tcPr>
            <w:tcW w:w="2360" w:type="dxa"/>
            <w:vAlign w:val="bottom"/>
          </w:tcPr>
          <w:p>
            <w:pPr>
              <w:spacing w:after="0"/>
              <w:rPr>
                <w:sz w:val="20"/>
                <w:szCs w:val="20"/>
                <w:color w:val="auto"/>
              </w:rPr>
            </w:pPr>
            <w:r>
              <w:rPr>
                <w:rFonts w:ascii="Arial" w:cs="Arial" w:eastAsia="Arial" w:hAnsi="Arial"/>
                <w:sz w:val="18"/>
                <w:szCs w:val="18"/>
                <w:color w:val="auto"/>
              </w:rPr>
              <w:t>adoption of accounting</w:t>
            </w:r>
          </w:p>
        </w:tc>
        <w:tc>
          <w:tcPr>
            <w:tcW w:w="5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360" w:type="dxa"/>
            <w:vAlign w:val="bottom"/>
          </w:tcPr>
          <w:p>
            <w:pPr>
              <w:spacing w:after="0"/>
              <w:rPr>
                <w:sz w:val="20"/>
                <w:szCs w:val="20"/>
                <w:color w:val="auto"/>
              </w:rPr>
            </w:pPr>
            <w:r>
              <w:rPr>
                <w:rFonts w:ascii="Arial" w:cs="Arial" w:eastAsia="Arial" w:hAnsi="Arial"/>
                <w:sz w:val="18"/>
                <w:szCs w:val="18"/>
                <w:color w:val="auto"/>
                <w:w w:val="98"/>
              </w:rPr>
              <w:t>pronouncements, net of taxes</w:t>
            </w:r>
          </w:p>
        </w:tc>
        <w:tc>
          <w:tcPr>
            <w:tcW w:w="5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360" w:type="dxa"/>
            <w:vAlign w:val="bottom"/>
          </w:tcPr>
          <w:p>
            <w:pPr>
              <w:spacing w:after="0"/>
              <w:rPr>
                <w:sz w:val="20"/>
                <w:szCs w:val="20"/>
                <w:color w:val="auto"/>
              </w:rPr>
            </w:pPr>
            <w:r>
              <w:rPr>
                <w:rFonts w:ascii="Arial" w:cs="Arial" w:eastAsia="Arial" w:hAnsi="Arial"/>
                <w:sz w:val="18"/>
                <w:szCs w:val="18"/>
                <w:color w:val="auto"/>
              </w:rPr>
              <w:t>of $1,168</w:t>
            </w:r>
          </w:p>
        </w:tc>
        <w:tc>
          <w:tcPr>
            <w:tcW w:w="560" w:type="dxa"/>
            <w:vAlign w:val="bottom"/>
          </w:tcPr>
          <w:p>
            <w:pPr>
              <w:jc w:val="right"/>
              <w:spacing w:after="0"/>
              <w:rPr>
                <w:sz w:val="20"/>
                <w:szCs w:val="20"/>
                <w:color w:val="auto"/>
              </w:rPr>
            </w:pPr>
            <w:r>
              <w:rPr>
                <w:rFonts w:ascii="Arial" w:cs="Arial" w:eastAsia="Arial" w:hAnsi="Arial"/>
                <w:sz w:val="17"/>
                <w:szCs w:val="17"/>
                <w:color w:val="auto"/>
              </w:rPr>
              <w:t>—</w:t>
            </w: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gridSpan w:val="2"/>
          </w:tcPr>
          <w:p>
            <w:pPr>
              <w:jc w:val="right"/>
              <w:ind w:right="140"/>
              <w:spacing w:after="0"/>
              <w:rPr>
                <w:sz w:val="20"/>
                <w:szCs w:val="20"/>
                <w:color w:val="auto"/>
              </w:rPr>
            </w:pPr>
            <w:r>
              <w:rPr>
                <w:rFonts w:ascii="Arial" w:cs="Arial" w:eastAsia="Arial" w:hAnsi="Arial"/>
                <w:sz w:val="17"/>
                <w:szCs w:val="17"/>
                <w:color w:val="auto"/>
              </w:rPr>
              <w:t>—</w:t>
            </w:r>
          </w:p>
        </w:tc>
        <w:tc>
          <w:tcPr>
            <w:tcW w:w="500" w:type="dxa"/>
            <w:vAlign w:val="bottom"/>
          </w:tcPr>
          <w:p>
            <w:pPr>
              <w:jc w:val="right"/>
              <w:spacing w:after="0"/>
              <w:rPr>
                <w:sz w:val="20"/>
                <w:szCs w:val="20"/>
                <w:color w:val="auto"/>
              </w:rPr>
            </w:pPr>
            <w:r>
              <w:rPr>
                <w:rFonts w:ascii="Arial" w:cs="Arial" w:eastAsia="Arial" w:hAnsi="Arial"/>
                <w:sz w:val="17"/>
                <w:szCs w:val="17"/>
                <w:color w:val="auto"/>
              </w:rPr>
              <w:t>—</w:t>
            </w: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720" w:type="dxa"/>
            <w:vAlign w:val="bottom"/>
          </w:tcPr>
          <w:p>
            <w:pPr>
              <w:jc w:val="right"/>
              <w:spacing w:after="0"/>
              <w:rPr>
                <w:sz w:val="20"/>
                <w:szCs w:val="20"/>
                <w:color w:val="auto"/>
              </w:rPr>
            </w:pPr>
            <w:r>
              <w:rPr>
                <w:rFonts w:ascii="Arial" w:cs="Arial" w:eastAsia="Arial" w:hAnsi="Arial"/>
                <w:sz w:val="17"/>
                <w:szCs w:val="17"/>
                <w:color w:val="auto"/>
              </w:rPr>
              <w:t>—</w:t>
            </w: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60" w:type="dxa"/>
            <w:vAlign w:val="bottom"/>
          </w:tcPr>
          <w:p>
            <w:pPr>
              <w:jc w:val="right"/>
              <w:spacing w:after="0"/>
              <w:rPr>
                <w:sz w:val="20"/>
                <w:szCs w:val="20"/>
                <w:color w:val="auto"/>
              </w:rPr>
            </w:pPr>
            <w:r>
              <w:rPr>
                <w:rFonts w:ascii="Arial" w:cs="Arial" w:eastAsia="Arial" w:hAnsi="Arial"/>
                <w:sz w:val="17"/>
                <w:szCs w:val="17"/>
                <w:color w:val="auto"/>
              </w:rPr>
              <w:t>—</w:t>
            </w: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20" w:type="dxa"/>
            <w:vAlign w:val="bottom"/>
            <w:gridSpan w:val="2"/>
          </w:tcPr>
          <w:p>
            <w:pPr>
              <w:ind w:left="620"/>
              <w:spacing w:after="0"/>
              <w:rPr>
                <w:sz w:val="20"/>
                <w:szCs w:val="20"/>
                <w:color w:val="auto"/>
              </w:rPr>
            </w:pPr>
            <w:r>
              <w:rPr>
                <w:rFonts w:ascii="Arial" w:cs="Arial" w:eastAsia="Arial" w:hAnsi="Arial"/>
                <w:sz w:val="17"/>
                <w:szCs w:val="17"/>
                <w:color w:val="auto"/>
              </w:rPr>
              <w:t>—</w:t>
            </w:r>
          </w:p>
        </w:tc>
        <w:tc>
          <w:tcPr>
            <w:tcW w:w="880" w:type="dxa"/>
            <w:vAlign w:val="bottom"/>
            <w:gridSpan w:val="2"/>
          </w:tcPr>
          <w:p>
            <w:pPr>
              <w:jc w:val="right"/>
              <w:spacing w:after="0"/>
              <w:rPr>
                <w:sz w:val="20"/>
                <w:szCs w:val="20"/>
                <w:color w:val="auto"/>
              </w:rPr>
            </w:pPr>
            <w:r>
              <w:rPr>
                <w:rFonts w:ascii="Arial" w:cs="Arial" w:eastAsia="Arial" w:hAnsi="Arial"/>
                <w:sz w:val="17"/>
                <w:szCs w:val="17"/>
                <w:color w:val="auto"/>
              </w:rPr>
              <w:t>(3,832)</w:t>
            </w:r>
          </w:p>
        </w:tc>
        <w:tc>
          <w:tcPr>
            <w:tcW w:w="80" w:type="dxa"/>
            <w:vAlign w:val="bottom"/>
          </w:tcPr>
          <w:p>
            <w:pPr>
              <w:spacing w:after="0"/>
              <w:rPr>
                <w:sz w:val="20"/>
                <w:szCs w:val="20"/>
                <w:color w:val="auto"/>
              </w:rPr>
            </w:pPr>
          </w:p>
        </w:tc>
        <w:tc>
          <w:tcPr>
            <w:tcW w:w="880" w:type="dxa"/>
            <w:vAlign w:val="bottom"/>
            <w:gridSpan w:val="3"/>
          </w:tcPr>
          <w:p>
            <w:pPr>
              <w:jc w:val="right"/>
              <w:spacing w:after="0"/>
              <w:rPr>
                <w:sz w:val="20"/>
                <w:szCs w:val="20"/>
                <w:color w:val="auto"/>
              </w:rPr>
            </w:pPr>
            <w:r>
              <w:rPr>
                <w:rFonts w:ascii="Arial" w:cs="Arial" w:eastAsia="Arial" w:hAnsi="Arial"/>
                <w:sz w:val="17"/>
                <w:szCs w:val="17"/>
                <w:color w:val="auto"/>
              </w:rPr>
              <w:t>(3,832)</w:t>
            </w:r>
          </w:p>
        </w:tc>
        <w:tc>
          <w:tcPr>
            <w:tcW w:w="0" w:type="dxa"/>
            <w:vAlign w:val="bottom"/>
          </w:tcPr>
          <w:p>
            <w:pPr>
              <w:spacing w:after="0"/>
              <w:rPr>
                <w:sz w:val="1"/>
                <w:szCs w:val="1"/>
                <w:color w:val="auto"/>
              </w:rPr>
            </w:pPr>
          </w:p>
        </w:tc>
      </w:tr>
      <w:tr>
        <w:trPr>
          <w:trHeight w:val="216"/>
        </w:trPr>
        <w:tc>
          <w:tcPr>
            <w:tcW w:w="2360" w:type="dxa"/>
            <w:vAlign w:val="bottom"/>
            <w:shd w:val="clear" w:color="auto" w:fill="CCEEFF"/>
          </w:tcPr>
          <w:p>
            <w:pPr>
              <w:spacing w:after="0"/>
              <w:rPr>
                <w:sz w:val="20"/>
                <w:szCs w:val="20"/>
                <w:color w:val="auto"/>
              </w:rPr>
            </w:pPr>
            <w:r>
              <w:rPr>
                <w:rFonts w:ascii="Arial" w:cs="Arial" w:eastAsia="Arial" w:hAnsi="Arial"/>
                <w:sz w:val="18"/>
                <w:szCs w:val="18"/>
                <w:color w:val="auto"/>
              </w:rPr>
              <w:t>Comprehensive income</w:t>
            </w:r>
          </w:p>
        </w:tc>
        <w:tc>
          <w:tcPr>
            <w:tcW w:w="5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ind w:left="620"/>
              <w:spacing w:after="0"/>
              <w:rPr>
                <w:sz w:val="20"/>
                <w:szCs w:val="20"/>
                <w:color w:val="auto"/>
              </w:rPr>
            </w:pPr>
            <w:r>
              <w:rPr>
                <w:rFonts w:ascii="Arial" w:cs="Arial" w:eastAsia="Arial" w:hAnsi="Arial"/>
                <w:sz w:val="17"/>
                <w:szCs w:val="17"/>
                <w:color w:val="auto"/>
              </w:rPr>
              <w:t>—</w:t>
            </w: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71,385</w:t>
            </w:r>
          </w:p>
        </w:tc>
        <w:tc>
          <w:tcPr>
            <w:tcW w:w="80" w:type="dxa"/>
            <w:vAlign w:val="bottom"/>
            <w:shd w:val="clear" w:color="auto" w:fill="CCEEFF"/>
          </w:tcPr>
          <w:p>
            <w:pPr>
              <w:spacing w:after="0"/>
              <w:rPr>
                <w:sz w:val="18"/>
                <w:szCs w:val="18"/>
                <w:color w:val="auto"/>
              </w:rPr>
            </w:pPr>
          </w:p>
        </w:tc>
        <w:tc>
          <w:tcPr>
            <w:tcW w:w="880" w:type="dxa"/>
            <w:vAlign w:val="bottom"/>
            <w:gridSpan w:val="3"/>
            <w:shd w:val="clear" w:color="auto" w:fill="CCEEFF"/>
          </w:tcPr>
          <w:p>
            <w:pPr>
              <w:jc w:val="right"/>
              <w:spacing w:after="0"/>
              <w:rPr>
                <w:sz w:val="20"/>
                <w:szCs w:val="20"/>
                <w:color w:val="auto"/>
              </w:rPr>
            </w:pPr>
            <w:r>
              <w:rPr>
                <w:rFonts w:ascii="Arial" w:cs="Arial" w:eastAsia="Arial" w:hAnsi="Arial"/>
                <w:sz w:val="17"/>
                <w:szCs w:val="17"/>
                <w:color w:val="auto"/>
              </w:rPr>
              <w:t>71,385</w:t>
            </w:r>
          </w:p>
        </w:tc>
        <w:tc>
          <w:tcPr>
            <w:tcW w:w="0" w:type="dxa"/>
            <w:vAlign w:val="bottom"/>
          </w:tcPr>
          <w:p>
            <w:pPr>
              <w:spacing w:after="0"/>
              <w:rPr>
                <w:sz w:val="1"/>
                <w:szCs w:val="1"/>
                <w:color w:val="auto"/>
              </w:rPr>
            </w:pPr>
          </w:p>
        </w:tc>
      </w:tr>
      <w:tr>
        <w:trPr>
          <w:trHeight w:val="202"/>
        </w:trPr>
        <w:tc>
          <w:tcPr>
            <w:tcW w:w="2360" w:type="dxa"/>
            <w:vAlign w:val="bottom"/>
          </w:tcPr>
          <w:p>
            <w:pPr>
              <w:spacing w:after="0" w:line="201" w:lineRule="exact"/>
              <w:rPr>
                <w:sz w:val="20"/>
                <w:szCs w:val="20"/>
                <w:color w:val="auto"/>
              </w:rPr>
            </w:pPr>
            <w:r>
              <w:rPr>
                <w:rFonts w:ascii="Arial" w:cs="Arial" w:eastAsia="Arial" w:hAnsi="Arial"/>
                <w:sz w:val="18"/>
                <w:szCs w:val="18"/>
                <w:color w:val="auto"/>
                <w:w w:val="99"/>
              </w:rPr>
              <w:t>Common stock purchased for</w:t>
            </w:r>
          </w:p>
        </w:tc>
        <w:tc>
          <w:tcPr>
            <w:tcW w:w="5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360" w:type="dxa"/>
            <w:vAlign w:val="bottom"/>
          </w:tcPr>
          <w:p>
            <w:pPr>
              <w:spacing w:after="0"/>
              <w:rPr>
                <w:sz w:val="20"/>
                <w:szCs w:val="20"/>
                <w:color w:val="auto"/>
              </w:rPr>
            </w:pPr>
            <w:r>
              <w:rPr>
                <w:rFonts w:ascii="Arial" w:cs="Arial" w:eastAsia="Arial" w:hAnsi="Arial"/>
                <w:sz w:val="18"/>
                <w:szCs w:val="18"/>
                <w:color w:val="auto"/>
              </w:rPr>
              <w:t>treasury</w:t>
            </w:r>
          </w:p>
        </w:tc>
        <w:tc>
          <w:tcPr>
            <w:tcW w:w="560" w:type="dxa"/>
            <w:vAlign w:val="bottom"/>
          </w:tcPr>
          <w:p>
            <w:pPr>
              <w:jc w:val="right"/>
              <w:spacing w:after="0"/>
              <w:rPr>
                <w:sz w:val="20"/>
                <w:szCs w:val="20"/>
                <w:color w:val="auto"/>
              </w:rPr>
            </w:pPr>
            <w:r>
              <w:rPr>
                <w:rFonts w:ascii="Arial" w:cs="Arial" w:eastAsia="Arial" w:hAnsi="Arial"/>
                <w:sz w:val="17"/>
                <w:szCs w:val="17"/>
                <w:color w:val="auto"/>
              </w:rPr>
              <w:t>—</w:t>
            </w: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gridSpan w:val="2"/>
          </w:tcPr>
          <w:p>
            <w:pPr>
              <w:jc w:val="right"/>
              <w:ind w:right="140"/>
              <w:spacing w:after="0"/>
              <w:rPr>
                <w:sz w:val="20"/>
                <w:szCs w:val="20"/>
                <w:color w:val="auto"/>
              </w:rPr>
            </w:pPr>
            <w:r>
              <w:rPr>
                <w:rFonts w:ascii="Arial" w:cs="Arial" w:eastAsia="Arial" w:hAnsi="Arial"/>
                <w:sz w:val="17"/>
                <w:szCs w:val="17"/>
                <w:color w:val="auto"/>
              </w:rPr>
              <w:t>—</w:t>
            </w:r>
          </w:p>
        </w:tc>
        <w:tc>
          <w:tcPr>
            <w:tcW w:w="500" w:type="dxa"/>
            <w:vAlign w:val="bottom"/>
          </w:tcPr>
          <w:p>
            <w:pPr>
              <w:jc w:val="right"/>
              <w:spacing w:after="0"/>
              <w:rPr>
                <w:sz w:val="20"/>
                <w:szCs w:val="20"/>
                <w:color w:val="auto"/>
              </w:rPr>
            </w:pPr>
            <w:r>
              <w:rPr>
                <w:rFonts w:ascii="Arial" w:cs="Arial" w:eastAsia="Arial" w:hAnsi="Arial"/>
                <w:sz w:val="17"/>
                <w:szCs w:val="17"/>
                <w:color w:val="auto"/>
              </w:rPr>
              <w:t>787</w:t>
            </w:r>
          </w:p>
        </w:tc>
        <w:tc>
          <w:tcPr>
            <w:tcW w:w="880" w:type="dxa"/>
            <w:vAlign w:val="bottom"/>
            <w:gridSpan w:val="3"/>
          </w:tcPr>
          <w:p>
            <w:pPr>
              <w:jc w:val="right"/>
              <w:spacing w:after="0"/>
              <w:rPr>
                <w:sz w:val="20"/>
                <w:szCs w:val="20"/>
                <w:color w:val="auto"/>
              </w:rPr>
            </w:pPr>
            <w:r>
              <w:rPr>
                <w:rFonts w:ascii="Arial" w:cs="Arial" w:eastAsia="Arial" w:hAnsi="Arial"/>
                <w:sz w:val="17"/>
                <w:szCs w:val="17"/>
                <w:color w:val="auto"/>
              </w:rPr>
              <w:t>(60,737)</w:t>
            </w: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60" w:type="dxa"/>
            <w:vAlign w:val="bottom"/>
          </w:tcPr>
          <w:p>
            <w:pPr>
              <w:jc w:val="right"/>
              <w:spacing w:after="0"/>
              <w:rPr>
                <w:sz w:val="20"/>
                <w:szCs w:val="20"/>
                <w:color w:val="auto"/>
              </w:rPr>
            </w:pPr>
            <w:r>
              <w:rPr>
                <w:rFonts w:ascii="Arial" w:cs="Arial" w:eastAsia="Arial" w:hAnsi="Arial"/>
                <w:sz w:val="17"/>
                <w:szCs w:val="17"/>
                <w:color w:val="auto"/>
              </w:rPr>
              <w:t>—</w:t>
            </w: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20" w:type="dxa"/>
            <w:vAlign w:val="bottom"/>
            <w:gridSpan w:val="2"/>
          </w:tcPr>
          <w:p>
            <w:pPr>
              <w:ind w:left="620"/>
              <w:spacing w:after="0"/>
              <w:rPr>
                <w:sz w:val="20"/>
                <w:szCs w:val="20"/>
                <w:color w:val="auto"/>
              </w:rPr>
            </w:pPr>
            <w:r>
              <w:rPr>
                <w:rFonts w:ascii="Arial" w:cs="Arial" w:eastAsia="Arial" w:hAnsi="Arial"/>
                <w:sz w:val="17"/>
                <w:szCs w:val="17"/>
                <w:color w:val="auto"/>
              </w:rPr>
              <w:t>—</w:t>
            </w:r>
          </w:p>
        </w:tc>
        <w:tc>
          <w:tcPr>
            <w:tcW w:w="100" w:type="dxa"/>
            <w:vAlign w:val="bottom"/>
          </w:tcPr>
          <w:p>
            <w:pPr>
              <w:spacing w:after="0"/>
              <w:rPr>
                <w:sz w:val="20"/>
                <w:szCs w:val="20"/>
                <w:color w:val="auto"/>
              </w:rPr>
            </w:pPr>
          </w:p>
        </w:tc>
        <w:tc>
          <w:tcPr>
            <w:tcW w:w="860" w:type="dxa"/>
            <w:vAlign w:val="bottom"/>
            <w:gridSpan w:val="2"/>
          </w:tcPr>
          <w:p>
            <w:pPr>
              <w:jc w:val="right"/>
              <w:ind w:right="140"/>
              <w:spacing w:after="0"/>
              <w:rPr>
                <w:sz w:val="20"/>
                <w:szCs w:val="20"/>
                <w:color w:val="auto"/>
              </w:rPr>
            </w:pPr>
            <w:r>
              <w:rPr>
                <w:rFonts w:ascii="Arial" w:cs="Arial" w:eastAsia="Arial" w:hAnsi="Arial"/>
                <w:sz w:val="17"/>
                <w:szCs w:val="17"/>
                <w:color w:val="auto"/>
              </w:rPr>
              <w:t>—</w:t>
            </w:r>
          </w:p>
        </w:tc>
        <w:tc>
          <w:tcPr>
            <w:tcW w:w="880" w:type="dxa"/>
            <w:vAlign w:val="bottom"/>
            <w:gridSpan w:val="3"/>
          </w:tcPr>
          <w:p>
            <w:pPr>
              <w:jc w:val="right"/>
              <w:spacing w:after="0"/>
              <w:rPr>
                <w:sz w:val="20"/>
                <w:szCs w:val="20"/>
                <w:color w:val="auto"/>
              </w:rPr>
            </w:pPr>
            <w:r>
              <w:rPr>
                <w:rFonts w:ascii="Arial" w:cs="Arial" w:eastAsia="Arial" w:hAnsi="Arial"/>
                <w:sz w:val="17"/>
                <w:szCs w:val="17"/>
                <w:color w:val="auto"/>
              </w:rPr>
              <w:t>(60,737)</w:t>
            </w:r>
          </w:p>
        </w:tc>
        <w:tc>
          <w:tcPr>
            <w:tcW w:w="0" w:type="dxa"/>
            <w:vAlign w:val="bottom"/>
          </w:tcPr>
          <w:p>
            <w:pPr>
              <w:spacing w:after="0"/>
              <w:rPr>
                <w:sz w:val="1"/>
                <w:szCs w:val="1"/>
                <w:color w:val="auto"/>
              </w:rPr>
            </w:pPr>
          </w:p>
        </w:tc>
      </w:tr>
      <w:tr>
        <w:trPr>
          <w:trHeight w:val="216"/>
        </w:trPr>
        <w:tc>
          <w:tcPr>
            <w:tcW w:w="2360" w:type="dxa"/>
            <w:vAlign w:val="bottom"/>
            <w:shd w:val="clear" w:color="auto" w:fill="CCEEFF"/>
          </w:tcPr>
          <w:p>
            <w:pPr>
              <w:spacing w:after="0"/>
              <w:rPr>
                <w:sz w:val="20"/>
                <w:szCs w:val="20"/>
                <w:color w:val="auto"/>
              </w:rPr>
            </w:pPr>
            <w:r>
              <w:rPr>
                <w:rFonts w:ascii="Arial" w:cs="Arial" w:eastAsia="Arial" w:hAnsi="Arial"/>
                <w:sz w:val="18"/>
                <w:szCs w:val="18"/>
                <w:color w:val="auto"/>
              </w:rPr>
              <w:t>Restricted shares forfeited</w:t>
            </w:r>
          </w:p>
        </w:tc>
        <w:tc>
          <w:tcPr>
            <w:tcW w:w="5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10</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ind w:left="620"/>
              <w:spacing w:after="0"/>
              <w:rPr>
                <w:sz w:val="20"/>
                <w:szCs w:val="20"/>
                <w:color w:val="auto"/>
              </w:rPr>
            </w:pPr>
            <w:r>
              <w:rPr>
                <w:rFonts w:ascii="Arial" w:cs="Arial" w:eastAsia="Arial" w:hAnsi="Arial"/>
                <w:sz w:val="17"/>
                <w:szCs w:val="17"/>
                <w:color w:val="auto"/>
              </w:rPr>
              <w:t>—</w:t>
            </w:r>
          </w:p>
        </w:tc>
        <w:tc>
          <w:tcPr>
            <w:tcW w:w="10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16"/>
        </w:trPr>
        <w:tc>
          <w:tcPr>
            <w:tcW w:w="2360" w:type="dxa"/>
            <w:vAlign w:val="bottom"/>
          </w:tcPr>
          <w:p>
            <w:pPr>
              <w:spacing w:after="0"/>
              <w:rPr>
                <w:sz w:val="20"/>
                <w:szCs w:val="20"/>
                <w:color w:val="auto"/>
              </w:rPr>
            </w:pPr>
            <w:r>
              <w:rPr>
                <w:rFonts w:ascii="Arial" w:cs="Arial" w:eastAsia="Arial" w:hAnsi="Arial"/>
                <w:sz w:val="18"/>
                <w:szCs w:val="18"/>
                <w:color w:val="auto"/>
              </w:rPr>
              <w:t>Share-based compensation</w:t>
            </w:r>
          </w:p>
        </w:tc>
        <w:tc>
          <w:tcPr>
            <w:tcW w:w="560" w:type="dxa"/>
            <w:vAlign w:val="bottom"/>
          </w:tcPr>
          <w:p>
            <w:pPr>
              <w:jc w:val="right"/>
              <w:spacing w:after="0"/>
              <w:rPr>
                <w:sz w:val="20"/>
                <w:szCs w:val="20"/>
                <w:color w:val="auto"/>
              </w:rPr>
            </w:pPr>
            <w:r>
              <w:rPr>
                <w:rFonts w:ascii="Arial" w:cs="Arial" w:eastAsia="Arial" w:hAnsi="Arial"/>
                <w:sz w:val="17"/>
                <w:szCs w:val="17"/>
                <w:color w:val="auto"/>
              </w:rPr>
              <w:t>164</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tcPr>
          <w:p>
            <w:pPr>
              <w:jc w:val="right"/>
              <w:spacing w:after="0"/>
              <w:rPr>
                <w:sz w:val="20"/>
                <w:szCs w:val="20"/>
                <w:color w:val="auto"/>
              </w:rPr>
            </w:pPr>
            <w:r>
              <w:rPr>
                <w:rFonts w:ascii="Arial" w:cs="Arial" w:eastAsia="Arial" w:hAnsi="Arial"/>
                <w:sz w:val="17"/>
                <w:szCs w:val="17"/>
                <w:color w:val="auto"/>
              </w:rPr>
              <w:t>1</w:t>
            </w:r>
          </w:p>
        </w:tc>
        <w:tc>
          <w:tcPr>
            <w:tcW w:w="8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7"/>
                <w:szCs w:val="17"/>
                <w:color w:val="auto"/>
              </w:rPr>
              <w:t>62</w:t>
            </w:r>
          </w:p>
        </w:tc>
        <w:tc>
          <w:tcPr>
            <w:tcW w:w="880" w:type="dxa"/>
            <w:vAlign w:val="bottom"/>
            <w:gridSpan w:val="3"/>
          </w:tcPr>
          <w:p>
            <w:pPr>
              <w:jc w:val="right"/>
              <w:spacing w:after="0"/>
              <w:rPr>
                <w:sz w:val="20"/>
                <w:szCs w:val="20"/>
                <w:color w:val="auto"/>
              </w:rPr>
            </w:pPr>
            <w:r>
              <w:rPr>
                <w:rFonts w:ascii="Arial" w:cs="Arial" w:eastAsia="Arial" w:hAnsi="Arial"/>
                <w:sz w:val="17"/>
                <w:szCs w:val="17"/>
                <w:color w:val="auto"/>
              </w:rPr>
              <w:t>(4,969)</w:t>
            </w:r>
          </w:p>
        </w:tc>
        <w:tc>
          <w:tcPr>
            <w:tcW w:w="840" w:type="dxa"/>
            <w:vAlign w:val="bottom"/>
            <w:gridSpan w:val="3"/>
          </w:tcPr>
          <w:p>
            <w:pPr>
              <w:jc w:val="right"/>
              <w:spacing w:after="0"/>
              <w:rPr>
                <w:sz w:val="20"/>
                <w:szCs w:val="20"/>
                <w:color w:val="auto"/>
              </w:rPr>
            </w:pPr>
            <w:r>
              <w:rPr>
                <w:rFonts w:ascii="Arial" w:cs="Arial" w:eastAsia="Arial" w:hAnsi="Arial"/>
                <w:sz w:val="17"/>
                <w:szCs w:val="17"/>
                <w:color w:val="auto"/>
              </w:rPr>
              <w:t>2,655</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gridSpan w:val="2"/>
          </w:tcPr>
          <w:p>
            <w:pPr>
              <w:ind w:left="620"/>
              <w:spacing w:after="0"/>
              <w:rPr>
                <w:sz w:val="20"/>
                <w:szCs w:val="20"/>
                <w:color w:val="auto"/>
              </w:rPr>
            </w:pPr>
            <w:r>
              <w:rPr>
                <w:rFonts w:ascii="Arial" w:cs="Arial" w:eastAsia="Arial" w:hAnsi="Arial"/>
                <w:sz w:val="17"/>
                <w:szCs w:val="17"/>
                <w:color w:val="auto"/>
              </w:rPr>
              <w:t>—</w:t>
            </w:r>
          </w:p>
        </w:tc>
        <w:tc>
          <w:tcPr>
            <w:tcW w:w="100" w:type="dxa"/>
            <w:vAlign w:val="bottom"/>
          </w:tcPr>
          <w:p>
            <w:pPr>
              <w:spacing w:after="0"/>
              <w:rPr>
                <w:sz w:val="18"/>
                <w:szCs w:val="18"/>
                <w:color w:val="auto"/>
              </w:rPr>
            </w:pPr>
          </w:p>
        </w:tc>
        <w:tc>
          <w:tcPr>
            <w:tcW w:w="860" w:type="dxa"/>
            <w:vAlign w:val="bottom"/>
            <w:gridSpan w:val="2"/>
          </w:tcPr>
          <w:p>
            <w:pPr>
              <w:jc w:val="right"/>
              <w:ind w:right="140"/>
              <w:spacing w:after="0"/>
              <w:rPr>
                <w:sz w:val="20"/>
                <w:szCs w:val="20"/>
                <w:color w:val="auto"/>
              </w:rPr>
            </w:pPr>
            <w:r>
              <w:rPr>
                <w:rFonts w:ascii="Arial" w:cs="Arial" w:eastAsia="Arial" w:hAnsi="Arial"/>
                <w:sz w:val="17"/>
                <w:szCs w:val="17"/>
                <w:color w:val="auto"/>
              </w:rPr>
              <w:t>—</w:t>
            </w:r>
          </w:p>
        </w:tc>
        <w:tc>
          <w:tcPr>
            <w:tcW w:w="880" w:type="dxa"/>
            <w:vAlign w:val="bottom"/>
            <w:gridSpan w:val="3"/>
          </w:tcPr>
          <w:p>
            <w:pPr>
              <w:jc w:val="right"/>
              <w:spacing w:after="0"/>
              <w:rPr>
                <w:sz w:val="20"/>
                <w:szCs w:val="20"/>
                <w:color w:val="auto"/>
              </w:rPr>
            </w:pPr>
            <w:r>
              <w:rPr>
                <w:rFonts w:ascii="Arial" w:cs="Arial" w:eastAsia="Arial" w:hAnsi="Arial"/>
                <w:sz w:val="17"/>
                <w:szCs w:val="17"/>
                <w:color w:val="auto"/>
              </w:rPr>
              <w:t>(2,313)</w:t>
            </w:r>
          </w:p>
        </w:tc>
        <w:tc>
          <w:tcPr>
            <w:tcW w:w="0" w:type="dxa"/>
            <w:vAlign w:val="bottom"/>
          </w:tcPr>
          <w:p>
            <w:pPr>
              <w:spacing w:after="0"/>
              <w:rPr>
                <w:sz w:val="1"/>
                <w:szCs w:val="1"/>
                <w:color w:val="auto"/>
              </w:rPr>
            </w:pPr>
          </w:p>
        </w:tc>
      </w:tr>
      <w:tr>
        <w:trPr>
          <w:trHeight w:val="216"/>
        </w:trPr>
        <w:tc>
          <w:tcPr>
            <w:tcW w:w="2360" w:type="dxa"/>
            <w:vAlign w:val="bottom"/>
            <w:shd w:val="clear" w:color="auto" w:fill="CCEEFF"/>
          </w:tcPr>
          <w:p>
            <w:pPr>
              <w:spacing w:after="0"/>
              <w:rPr>
                <w:sz w:val="20"/>
                <w:szCs w:val="20"/>
                <w:color w:val="auto"/>
              </w:rPr>
            </w:pPr>
            <w:r>
              <w:rPr>
                <w:rFonts w:ascii="Arial" w:cs="Arial" w:eastAsia="Arial" w:hAnsi="Arial"/>
                <w:sz w:val="18"/>
                <w:szCs w:val="18"/>
                <w:color w:val="auto"/>
              </w:rPr>
              <w:t>Exercise of stock options</w:t>
            </w:r>
          </w:p>
        </w:tc>
        <w:tc>
          <w:tcPr>
            <w:tcW w:w="5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840" w:type="dxa"/>
            <w:vAlign w:val="bottom"/>
            <w:gridSpan w:val="3"/>
            <w:shd w:val="clear" w:color="auto" w:fill="CCEEFF"/>
          </w:tcPr>
          <w:p>
            <w:pPr>
              <w:jc w:val="right"/>
              <w:spacing w:after="0"/>
              <w:rPr>
                <w:sz w:val="20"/>
                <w:szCs w:val="20"/>
                <w:color w:val="auto"/>
              </w:rPr>
            </w:pPr>
            <w:r>
              <w:rPr>
                <w:rFonts w:ascii="Arial" w:cs="Arial" w:eastAsia="Arial" w:hAnsi="Arial"/>
                <w:sz w:val="17"/>
                <w:szCs w:val="17"/>
                <w:color w:val="auto"/>
              </w:rPr>
              <w:t>72</w:t>
            </w: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ind w:left="620"/>
              <w:spacing w:after="0"/>
              <w:rPr>
                <w:sz w:val="20"/>
                <w:szCs w:val="20"/>
                <w:color w:val="auto"/>
              </w:rPr>
            </w:pPr>
            <w:r>
              <w:rPr>
                <w:rFonts w:ascii="Arial" w:cs="Arial" w:eastAsia="Arial" w:hAnsi="Arial"/>
                <w:sz w:val="17"/>
                <w:szCs w:val="17"/>
                <w:color w:val="auto"/>
              </w:rPr>
              <w:t>—</w:t>
            </w:r>
          </w:p>
        </w:tc>
        <w:tc>
          <w:tcPr>
            <w:tcW w:w="10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w:t>
            </w:r>
          </w:p>
        </w:tc>
        <w:tc>
          <w:tcPr>
            <w:tcW w:w="880" w:type="dxa"/>
            <w:vAlign w:val="bottom"/>
            <w:gridSpan w:val="3"/>
            <w:shd w:val="clear" w:color="auto" w:fill="CCEEFF"/>
          </w:tcPr>
          <w:p>
            <w:pPr>
              <w:jc w:val="right"/>
              <w:spacing w:after="0"/>
              <w:rPr>
                <w:sz w:val="20"/>
                <w:szCs w:val="20"/>
                <w:color w:val="auto"/>
              </w:rPr>
            </w:pPr>
            <w:r>
              <w:rPr>
                <w:rFonts w:ascii="Arial" w:cs="Arial" w:eastAsia="Arial" w:hAnsi="Arial"/>
                <w:sz w:val="17"/>
                <w:szCs w:val="17"/>
                <w:color w:val="auto"/>
              </w:rPr>
              <w:t>72</w:t>
            </w:r>
          </w:p>
        </w:tc>
        <w:tc>
          <w:tcPr>
            <w:tcW w:w="0" w:type="dxa"/>
            <w:vAlign w:val="bottom"/>
          </w:tcPr>
          <w:p>
            <w:pPr>
              <w:spacing w:after="0"/>
              <w:rPr>
                <w:sz w:val="1"/>
                <w:szCs w:val="1"/>
                <w:color w:val="auto"/>
              </w:rPr>
            </w:pPr>
          </w:p>
        </w:tc>
      </w:tr>
      <w:tr>
        <w:trPr>
          <w:trHeight w:val="196"/>
        </w:trPr>
        <w:tc>
          <w:tcPr>
            <w:tcW w:w="2360" w:type="dxa"/>
            <w:vAlign w:val="bottom"/>
          </w:tcPr>
          <w:p>
            <w:pPr>
              <w:spacing w:after="0" w:line="196" w:lineRule="exact"/>
              <w:rPr>
                <w:sz w:val="20"/>
                <w:szCs w:val="20"/>
                <w:color w:val="auto"/>
              </w:rPr>
            </w:pPr>
            <w:r>
              <w:rPr>
                <w:rFonts w:ascii="Arial" w:cs="Arial" w:eastAsia="Arial" w:hAnsi="Arial"/>
                <w:sz w:val="18"/>
                <w:szCs w:val="18"/>
                <w:color w:val="auto"/>
              </w:rPr>
              <w:t>Balance at March 31, 2020</w:t>
            </w:r>
          </w:p>
        </w:tc>
        <w:tc>
          <w:tcPr>
            <w:tcW w:w="56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92"/>
              </w:rPr>
              <w:t>53,221</w:t>
            </w:r>
          </w:p>
        </w:tc>
        <w:tc>
          <w:tcPr>
            <w:tcW w:w="18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5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532</w:t>
            </w:r>
          </w:p>
        </w:tc>
        <w:tc>
          <w:tcPr>
            <w:tcW w:w="80" w:type="dxa"/>
            <w:vAlign w:val="bottom"/>
          </w:tcPr>
          <w:p>
            <w:pPr>
              <w:spacing w:after="0"/>
              <w:rPr>
                <w:sz w:val="17"/>
                <w:szCs w:val="17"/>
                <w:color w:val="auto"/>
              </w:rPr>
            </w:pPr>
          </w:p>
        </w:tc>
        <w:tc>
          <w:tcPr>
            <w:tcW w:w="5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98"/>
              </w:rPr>
              <w:t>5,808</w:t>
            </w:r>
          </w:p>
        </w:tc>
        <w:tc>
          <w:tcPr>
            <w:tcW w:w="16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7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96"/>
              </w:rPr>
              <w:t>(235,071)</w:t>
            </w:r>
          </w:p>
        </w:tc>
        <w:tc>
          <w:tcPr>
            <w:tcW w:w="18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66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94"/>
              </w:rPr>
              <w:t>273,650</w:t>
            </w:r>
          </w:p>
        </w:tc>
        <w:tc>
          <w:tcPr>
            <w:tcW w:w="20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840" w:type="dxa"/>
            <w:vAlign w:val="bottom"/>
            <w:tcBorders>
              <w:top w:val="single" w:sz="8" w:color="auto"/>
            </w:tcBorders>
          </w:tcPr>
          <w:p>
            <w:pPr>
              <w:ind w:left="620"/>
              <w:spacing w:after="0"/>
              <w:rPr>
                <w:sz w:val="20"/>
                <w:szCs w:val="20"/>
                <w:color w:val="auto"/>
              </w:rPr>
            </w:pPr>
            <w:r>
              <w:rPr>
                <w:rFonts w:ascii="Arial" w:cs="Arial" w:eastAsia="Arial" w:hAnsi="Arial"/>
                <w:sz w:val="17"/>
                <w:szCs w:val="17"/>
                <w:color w:val="auto"/>
              </w:rPr>
              <w:t>—</w:t>
            </w:r>
          </w:p>
        </w:tc>
        <w:tc>
          <w:tcPr>
            <w:tcW w:w="18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7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92"/>
              </w:rPr>
              <w:t>1,408,897</w:t>
            </w:r>
          </w:p>
        </w:tc>
        <w:tc>
          <w:tcPr>
            <w:tcW w:w="80" w:type="dxa"/>
            <w:vAlign w:val="bottom"/>
          </w:tcPr>
          <w:p>
            <w:pPr>
              <w:spacing w:after="0"/>
              <w:rPr>
                <w:sz w:val="17"/>
                <w:szCs w:val="17"/>
                <w:color w:val="auto"/>
              </w:rPr>
            </w:pPr>
          </w:p>
        </w:tc>
        <w:tc>
          <w:tcPr>
            <w:tcW w:w="100" w:type="dxa"/>
            <w:vAlign w:val="bottom"/>
            <w:gridSpan w:val="2"/>
          </w:tcPr>
          <w:p>
            <w:pPr>
              <w:jc w:val="right"/>
              <w:spacing w:after="0"/>
              <w:rPr>
                <w:sz w:val="20"/>
                <w:szCs w:val="20"/>
                <w:color w:val="auto"/>
              </w:rPr>
            </w:pPr>
            <w:r>
              <w:rPr>
                <w:rFonts w:ascii="Arial" w:cs="Arial" w:eastAsia="Arial" w:hAnsi="Arial"/>
                <w:sz w:val="15"/>
                <w:szCs w:val="15"/>
                <w:color w:val="auto"/>
                <w:w w:val="71"/>
              </w:rPr>
              <w:t>$</w:t>
            </w:r>
          </w:p>
        </w:tc>
        <w:tc>
          <w:tcPr>
            <w:tcW w:w="7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92"/>
              </w:rPr>
              <w:t>1,448,008</w:t>
            </w:r>
          </w:p>
        </w:tc>
        <w:tc>
          <w:tcPr>
            <w:tcW w:w="0" w:type="dxa"/>
            <w:vAlign w:val="bottom"/>
          </w:tcPr>
          <w:p>
            <w:pPr>
              <w:spacing w:after="0"/>
              <w:rPr>
                <w:sz w:val="1"/>
                <w:szCs w:val="1"/>
                <w:color w:val="auto"/>
              </w:rPr>
            </w:pPr>
          </w:p>
        </w:tc>
      </w:tr>
      <w:tr>
        <w:trPr>
          <w:trHeight w:val="20"/>
        </w:trPr>
        <w:tc>
          <w:tcPr>
            <w:tcW w:w="2360" w:type="dxa"/>
            <w:vAlign w:val="bottom"/>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The accompanying notes are an integral part of these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171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5657850" cy="1714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6" w:name="page7"/>
    <w:bookmarkEnd w:id="6"/>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Cash Flows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22" w:lineRule="exact"/>
        <w:rPr>
          <w:sz w:val="20"/>
          <w:szCs w:val="20"/>
          <w:color w:val="auto"/>
        </w:rPr>
      </w:pPr>
    </w:p>
    <w:tbl>
      <w:tblPr>
        <w:tblLayout w:type="fixed"/>
        <w:tblInd w:w="60" w:type="dxa"/>
        <w:tblCellMar>
          <w:top w:w="0" w:type="dxa"/>
          <w:left w:w="0" w:type="dxa"/>
          <w:bottom w:w="0" w:type="dxa"/>
          <w:right w:w="0" w:type="dxa"/>
        </w:tblCellMar>
      </w:tblPr>
      <w:tr>
        <w:trPr>
          <w:trHeight w:val="161"/>
        </w:trPr>
        <w:tc>
          <w:tcPr>
            <w:tcW w:w="67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740" w:type="dxa"/>
            <w:vAlign w:val="bottom"/>
            <w:gridSpan w:val="4"/>
          </w:tcPr>
          <w:p>
            <w:pPr>
              <w:jc w:val="right"/>
              <w:ind w:right="228"/>
              <w:spacing w:after="0"/>
              <w:rPr>
                <w:sz w:val="20"/>
                <w:szCs w:val="20"/>
                <w:color w:val="auto"/>
              </w:rPr>
            </w:pPr>
            <w:r>
              <w:rPr>
                <w:rFonts w:ascii="Arial" w:cs="Arial" w:eastAsia="Arial" w:hAnsi="Arial"/>
                <w:sz w:val="14"/>
                <w:szCs w:val="14"/>
                <w:b w:val="1"/>
                <w:bCs w:val="1"/>
                <w:color w:val="auto"/>
              </w:rPr>
              <w:t>Three Months Ended</w:t>
            </w:r>
          </w:p>
        </w:tc>
        <w:tc>
          <w:tcPr>
            <w:tcW w:w="0" w:type="dxa"/>
            <w:vAlign w:val="bottom"/>
          </w:tcPr>
          <w:p>
            <w:pPr>
              <w:spacing w:after="0"/>
              <w:rPr>
                <w:sz w:val="1"/>
                <w:szCs w:val="1"/>
                <w:color w:val="auto"/>
              </w:rPr>
            </w:pPr>
          </w:p>
        </w:tc>
      </w:tr>
      <w:tr>
        <w:trPr>
          <w:trHeight w:val="171"/>
        </w:trPr>
        <w:tc>
          <w:tcPr>
            <w:tcW w:w="6740" w:type="dxa"/>
            <w:vAlign w:val="bottom"/>
            <w:vMerge w:val="restart"/>
          </w:tcPr>
          <w:p>
            <w:pPr>
              <w:spacing w:after="0"/>
              <w:rPr>
                <w:sz w:val="20"/>
                <w:szCs w:val="20"/>
                <w:color w:val="auto"/>
              </w:rPr>
            </w:pPr>
            <w:r>
              <w:rPr>
                <w:rFonts w:ascii="Arial" w:cs="Arial" w:eastAsia="Arial" w:hAnsi="Arial"/>
                <w:sz w:val="14"/>
                <w:szCs w:val="14"/>
                <w:b w:val="1"/>
                <w:bCs w:val="1"/>
                <w:color w:val="auto"/>
              </w:rPr>
              <w:t>(In thousands)</w:t>
            </w:r>
          </w:p>
        </w:tc>
        <w:tc>
          <w:tcPr>
            <w:tcW w:w="26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12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March 31,</w:t>
            </w:r>
          </w:p>
        </w:tc>
        <w:tc>
          <w:tcPr>
            <w:tcW w:w="62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6740" w:type="dxa"/>
            <w:vAlign w:val="bottom"/>
            <w:tcBorders>
              <w:bottom w:val="single" w:sz="8" w:color="auto"/>
            </w:tcBorders>
            <w:vMerge w:val="continue"/>
          </w:tcPr>
          <w:p>
            <w:pPr>
              <w:spacing w:after="0"/>
              <w:rPr>
                <w:sz w:val="12"/>
                <w:szCs w:val="12"/>
                <w:color w:val="auto"/>
              </w:rPr>
            </w:pPr>
          </w:p>
        </w:tc>
        <w:tc>
          <w:tcPr>
            <w:tcW w:w="260" w:type="dxa"/>
            <w:vAlign w:val="bottom"/>
            <w:tcBorders>
              <w:bottom w:val="single" w:sz="8" w:color="CCEEFF"/>
            </w:tcBorders>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680" w:type="dxa"/>
            <w:vAlign w:val="bottom"/>
            <w:tcBorders>
              <w:bottom w:val="single" w:sz="8" w:color="auto"/>
            </w:tcBorders>
          </w:tcPr>
          <w:p>
            <w:pPr>
              <w:jc w:val="right"/>
              <w:ind w:right="208"/>
              <w:spacing w:after="0" w:line="142" w:lineRule="exact"/>
              <w:rPr>
                <w:sz w:val="20"/>
                <w:szCs w:val="20"/>
                <w:color w:val="auto"/>
              </w:rPr>
            </w:pPr>
            <w:r>
              <w:rPr>
                <w:rFonts w:ascii="Arial" w:cs="Arial" w:eastAsia="Arial" w:hAnsi="Arial"/>
                <w:sz w:val="14"/>
                <w:szCs w:val="14"/>
                <w:b w:val="1"/>
                <w:bCs w:val="1"/>
                <w:color w:val="auto"/>
              </w:rPr>
              <w:t>2021</w:t>
            </w:r>
          </w:p>
        </w:tc>
        <w:tc>
          <w:tcPr>
            <w:tcW w:w="200" w:type="dxa"/>
            <w:vAlign w:val="bottom"/>
            <w:tcBorders>
              <w:bottom w:val="single" w:sz="8" w:color="CCEEFF"/>
            </w:tcBorders>
          </w:tcPr>
          <w:p>
            <w:pPr>
              <w:spacing w:after="0"/>
              <w:rPr>
                <w:sz w:val="12"/>
                <w:szCs w:val="12"/>
                <w:color w:val="auto"/>
              </w:rPr>
            </w:pPr>
          </w:p>
        </w:tc>
        <w:tc>
          <w:tcPr>
            <w:tcW w:w="240" w:type="dxa"/>
            <w:vAlign w:val="bottom"/>
            <w:tcBorders>
              <w:bottom w:val="single" w:sz="8" w:color="auto"/>
            </w:tcBorders>
          </w:tcPr>
          <w:p>
            <w:pPr>
              <w:spacing w:after="0"/>
              <w:rPr>
                <w:sz w:val="12"/>
                <w:szCs w:val="12"/>
                <w:color w:val="auto"/>
              </w:rPr>
            </w:pPr>
          </w:p>
        </w:tc>
        <w:tc>
          <w:tcPr>
            <w:tcW w:w="620" w:type="dxa"/>
            <w:vAlign w:val="bottom"/>
            <w:tcBorders>
              <w:bottom w:val="single" w:sz="8" w:color="auto"/>
            </w:tcBorders>
          </w:tcPr>
          <w:p>
            <w:pPr>
              <w:jc w:val="right"/>
              <w:ind w:right="228"/>
              <w:spacing w:after="0" w:line="142" w:lineRule="exact"/>
              <w:rPr>
                <w:sz w:val="20"/>
                <w:szCs w:val="20"/>
                <w:color w:val="auto"/>
              </w:rPr>
            </w:pPr>
            <w:r>
              <w:rPr>
                <w:rFonts w:ascii="Arial" w:cs="Arial" w:eastAsia="Arial" w:hAnsi="Arial"/>
                <w:sz w:val="14"/>
                <w:szCs w:val="14"/>
                <w:b w:val="1"/>
                <w:bCs w:val="1"/>
                <w:color w:val="auto"/>
                <w:w w:val="96"/>
              </w:rPr>
              <w:t>2020</w:t>
            </w:r>
          </w:p>
        </w:tc>
        <w:tc>
          <w:tcPr>
            <w:tcW w:w="0" w:type="dxa"/>
            <w:vAlign w:val="bottom"/>
          </w:tcPr>
          <w:p>
            <w:pPr>
              <w:spacing w:after="0"/>
              <w:rPr>
                <w:sz w:val="1"/>
                <w:szCs w:val="1"/>
                <w:color w:val="auto"/>
              </w:rPr>
            </w:pPr>
          </w:p>
        </w:tc>
      </w:tr>
      <w:tr>
        <w:trPr>
          <w:trHeight w:val="142"/>
        </w:trPr>
        <w:tc>
          <w:tcPr>
            <w:tcW w:w="6740" w:type="dxa"/>
            <w:vAlign w:val="bottom"/>
            <w:shd w:val="clear" w:color="auto" w:fill="CCEEFF"/>
          </w:tcPr>
          <w:p>
            <w:pPr>
              <w:spacing w:after="0" w:line="142" w:lineRule="exact"/>
              <w:rPr>
                <w:sz w:val="20"/>
                <w:szCs w:val="20"/>
                <w:color w:val="auto"/>
              </w:rPr>
            </w:pPr>
            <w:r>
              <w:rPr>
                <w:rFonts w:ascii="Arial" w:cs="Arial" w:eastAsia="Arial" w:hAnsi="Arial"/>
                <w:sz w:val="14"/>
                <w:szCs w:val="14"/>
                <w:b w:val="1"/>
                <w:bCs w:val="1"/>
                <w:color w:val="auto"/>
              </w:rPr>
              <w:t>Cash flows provided by operating activities:</w:t>
            </w:r>
          </w:p>
        </w:tc>
        <w:tc>
          <w:tcPr>
            <w:tcW w:w="2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6740" w:type="dxa"/>
            <w:vAlign w:val="bottom"/>
          </w:tcPr>
          <w:p>
            <w:pPr>
              <w:spacing w:after="0" w:line="149" w:lineRule="exact"/>
              <w:rPr>
                <w:sz w:val="20"/>
                <w:szCs w:val="20"/>
                <w:color w:val="auto"/>
              </w:rPr>
            </w:pPr>
            <w:r>
              <w:rPr>
                <w:rFonts w:ascii="Arial" w:cs="Arial" w:eastAsia="Arial" w:hAnsi="Arial"/>
                <w:sz w:val="14"/>
                <w:szCs w:val="14"/>
                <w:color w:val="auto"/>
              </w:rPr>
              <w:t>Net income</w:t>
            </w:r>
          </w:p>
        </w:tc>
        <w:tc>
          <w:tcPr>
            <w:tcW w:w="420" w:type="dxa"/>
            <w:vAlign w:val="bottom"/>
            <w:gridSpan w:val="2"/>
          </w:tcPr>
          <w:p>
            <w:pPr>
              <w:jc w:val="right"/>
              <w:ind w:right="49"/>
              <w:spacing w:after="0" w:line="149" w:lineRule="exact"/>
              <w:rPr>
                <w:sz w:val="20"/>
                <w:szCs w:val="20"/>
                <w:color w:val="auto"/>
              </w:rPr>
            </w:pPr>
            <w:r>
              <w:rPr>
                <w:rFonts w:ascii="Arial" w:cs="Arial" w:eastAsia="Arial" w:hAnsi="Arial"/>
                <w:sz w:val="14"/>
                <w:szCs w:val="14"/>
                <w:color w:val="auto"/>
              </w:rPr>
              <w:t>$</w:t>
            </w:r>
          </w:p>
        </w:tc>
        <w:tc>
          <w:tcPr>
            <w:tcW w:w="680" w:type="dxa"/>
            <w:vAlign w:val="bottom"/>
          </w:tcPr>
          <w:p>
            <w:pPr>
              <w:jc w:val="right"/>
              <w:spacing w:after="0" w:line="149" w:lineRule="exact"/>
              <w:rPr>
                <w:sz w:val="20"/>
                <w:szCs w:val="20"/>
                <w:color w:val="auto"/>
              </w:rPr>
            </w:pPr>
            <w:r>
              <w:rPr>
                <w:rFonts w:ascii="Arial" w:cs="Arial" w:eastAsia="Arial" w:hAnsi="Arial"/>
                <w:sz w:val="14"/>
                <w:szCs w:val="14"/>
                <w:color w:val="auto"/>
              </w:rPr>
              <w:t>78,112</w:t>
            </w:r>
          </w:p>
        </w:tc>
        <w:tc>
          <w:tcPr>
            <w:tcW w:w="440" w:type="dxa"/>
            <w:vAlign w:val="bottom"/>
            <w:gridSpan w:val="2"/>
          </w:tcPr>
          <w:p>
            <w:pPr>
              <w:jc w:val="right"/>
              <w:ind w:right="129"/>
              <w:spacing w:after="0" w:line="149" w:lineRule="exact"/>
              <w:rPr>
                <w:sz w:val="20"/>
                <w:szCs w:val="20"/>
                <w:color w:val="auto"/>
              </w:rPr>
            </w:pPr>
            <w:r>
              <w:rPr>
                <w:rFonts w:ascii="Arial" w:cs="Arial" w:eastAsia="Arial" w:hAnsi="Arial"/>
                <w:sz w:val="14"/>
                <w:szCs w:val="14"/>
                <w:color w:val="auto"/>
              </w:rPr>
              <w:t>$</w:t>
            </w:r>
          </w:p>
        </w:tc>
        <w:tc>
          <w:tcPr>
            <w:tcW w:w="620" w:type="dxa"/>
            <w:vAlign w:val="bottom"/>
          </w:tcPr>
          <w:p>
            <w:pPr>
              <w:jc w:val="right"/>
              <w:spacing w:after="0" w:line="149" w:lineRule="exact"/>
              <w:rPr>
                <w:sz w:val="20"/>
                <w:szCs w:val="20"/>
                <w:color w:val="auto"/>
              </w:rPr>
            </w:pPr>
            <w:r>
              <w:rPr>
                <w:rFonts w:ascii="Arial" w:cs="Arial" w:eastAsia="Arial" w:hAnsi="Arial"/>
                <w:sz w:val="14"/>
                <w:szCs w:val="14"/>
                <w:color w:val="auto"/>
              </w:rPr>
              <w:t>71,385</w:t>
            </w:r>
          </w:p>
        </w:tc>
        <w:tc>
          <w:tcPr>
            <w:tcW w:w="0" w:type="dxa"/>
            <w:vAlign w:val="bottom"/>
          </w:tcPr>
          <w:p>
            <w:pPr>
              <w:spacing w:after="0"/>
              <w:rPr>
                <w:sz w:val="1"/>
                <w:szCs w:val="1"/>
                <w:color w:val="auto"/>
              </w:rPr>
            </w:pPr>
          </w:p>
        </w:tc>
      </w:tr>
      <w:tr>
        <w:trPr>
          <w:trHeight w:val="148"/>
        </w:trPr>
        <w:tc>
          <w:tcPr>
            <w:tcW w:w="67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Adjustments to reconcile net income to net cash provided by operating activities:</w:t>
            </w:r>
          </w:p>
        </w:tc>
        <w:tc>
          <w:tcPr>
            <w:tcW w:w="2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6740" w:type="dxa"/>
            <w:vAlign w:val="bottom"/>
          </w:tcPr>
          <w:p>
            <w:pPr>
              <w:ind w:left="100"/>
              <w:spacing w:after="0" w:line="149" w:lineRule="exact"/>
              <w:rPr>
                <w:sz w:val="20"/>
                <w:szCs w:val="20"/>
                <w:color w:val="auto"/>
              </w:rPr>
            </w:pPr>
            <w:r>
              <w:rPr>
                <w:rFonts w:ascii="Arial" w:cs="Arial" w:eastAsia="Arial" w:hAnsi="Arial"/>
                <w:sz w:val="14"/>
                <w:szCs w:val="14"/>
                <w:color w:val="auto"/>
              </w:rPr>
              <w:t>Share-based compensation</w:t>
            </w:r>
          </w:p>
        </w:tc>
        <w:tc>
          <w:tcPr>
            <w:tcW w:w="2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color w:val="auto"/>
              </w:rPr>
              <w:t>3,019</w:t>
            </w:r>
          </w:p>
        </w:tc>
        <w:tc>
          <w:tcPr>
            <w:tcW w:w="2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20" w:type="dxa"/>
            <w:vAlign w:val="bottom"/>
          </w:tcPr>
          <w:p>
            <w:pPr>
              <w:jc w:val="right"/>
              <w:spacing w:after="0" w:line="149" w:lineRule="exact"/>
              <w:rPr>
                <w:sz w:val="20"/>
                <w:szCs w:val="20"/>
                <w:color w:val="auto"/>
              </w:rPr>
            </w:pPr>
            <w:r>
              <w:rPr>
                <w:rFonts w:ascii="Arial" w:cs="Arial" w:eastAsia="Arial" w:hAnsi="Arial"/>
                <w:sz w:val="14"/>
                <w:szCs w:val="14"/>
                <w:color w:val="auto"/>
              </w:rPr>
              <w:t>2,656</w:t>
            </w:r>
          </w:p>
        </w:tc>
        <w:tc>
          <w:tcPr>
            <w:tcW w:w="0" w:type="dxa"/>
            <w:vAlign w:val="bottom"/>
          </w:tcPr>
          <w:p>
            <w:pPr>
              <w:spacing w:after="0"/>
              <w:rPr>
                <w:sz w:val="1"/>
                <w:szCs w:val="1"/>
                <w:color w:val="auto"/>
              </w:rPr>
            </w:pPr>
          </w:p>
        </w:tc>
      </w:tr>
      <w:tr>
        <w:trPr>
          <w:trHeight w:val="148"/>
        </w:trPr>
        <w:tc>
          <w:tcPr>
            <w:tcW w:w="6740" w:type="dxa"/>
            <w:vAlign w:val="bottom"/>
            <w:shd w:val="clear" w:color="auto" w:fill="CCEEFF"/>
          </w:tcPr>
          <w:p>
            <w:pPr>
              <w:ind w:left="100"/>
              <w:spacing w:after="0" w:line="149" w:lineRule="exact"/>
              <w:rPr>
                <w:sz w:val="20"/>
                <w:szCs w:val="20"/>
                <w:color w:val="auto"/>
              </w:rPr>
            </w:pPr>
            <w:r>
              <w:rPr>
                <w:rFonts w:ascii="Arial" w:cs="Arial" w:eastAsia="Arial" w:hAnsi="Arial"/>
                <w:sz w:val="14"/>
                <w:szCs w:val="14"/>
                <w:color w:val="auto"/>
              </w:rPr>
              <w:t>Depreciation and amortization</w:t>
            </w:r>
          </w:p>
        </w:tc>
        <w:tc>
          <w:tcPr>
            <w:tcW w:w="2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5,426</w:t>
            </w:r>
          </w:p>
        </w:tc>
        <w:tc>
          <w:tcPr>
            <w:tcW w:w="20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4,989</w:t>
            </w:r>
          </w:p>
        </w:tc>
        <w:tc>
          <w:tcPr>
            <w:tcW w:w="0" w:type="dxa"/>
            <w:vAlign w:val="bottom"/>
          </w:tcPr>
          <w:p>
            <w:pPr>
              <w:spacing w:after="0"/>
              <w:rPr>
                <w:sz w:val="1"/>
                <w:szCs w:val="1"/>
                <w:color w:val="auto"/>
              </w:rPr>
            </w:pPr>
          </w:p>
        </w:tc>
      </w:tr>
      <w:tr>
        <w:trPr>
          <w:trHeight w:val="149"/>
        </w:trPr>
        <w:tc>
          <w:tcPr>
            <w:tcW w:w="6740" w:type="dxa"/>
            <w:vAlign w:val="bottom"/>
          </w:tcPr>
          <w:p>
            <w:pPr>
              <w:ind w:left="100"/>
              <w:spacing w:after="0" w:line="149" w:lineRule="exact"/>
              <w:rPr>
                <w:sz w:val="20"/>
                <w:szCs w:val="20"/>
                <w:color w:val="auto"/>
              </w:rPr>
            </w:pPr>
            <w:r>
              <w:rPr>
                <w:rFonts w:ascii="Arial" w:cs="Arial" w:eastAsia="Arial" w:hAnsi="Arial"/>
                <w:sz w:val="14"/>
                <w:szCs w:val="14"/>
                <w:color w:val="auto"/>
              </w:rPr>
              <w:t>Amortization of intangible assets</w:t>
            </w:r>
          </w:p>
        </w:tc>
        <w:tc>
          <w:tcPr>
            <w:tcW w:w="2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color w:val="auto"/>
              </w:rPr>
              <w:t>2,105</w:t>
            </w:r>
          </w:p>
        </w:tc>
        <w:tc>
          <w:tcPr>
            <w:tcW w:w="2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20" w:type="dxa"/>
            <w:vAlign w:val="bottom"/>
          </w:tcPr>
          <w:p>
            <w:pPr>
              <w:jc w:val="right"/>
              <w:spacing w:after="0" w:line="149" w:lineRule="exact"/>
              <w:rPr>
                <w:sz w:val="20"/>
                <w:szCs w:val="20"/>
                <w:color w:val="auto"/>
              </w:rPr>
            </w:pPr>
            <w:r>
              <w:rPr>
                <w:rFonts w:ascii="Arial" w:cs="Arial" w:eastAsia="Arial" w:hAnsi="Arial"/>
                <w:sz w:val="14"/>
                <w:szCs w:val="14"/>
                <w:color w:val="auto"/>
              </w:rPr>
              <w:t>2,105</w:t>
            </w:r>
          </w:p>
        </w:tc>
        <w:tc>
          <w:tcPr>
            <w:tcW w:w="0" w:type="dxa"/>
            <w:vAlign w:val="bottom"/>
          </w:tcPr>
          <w:p>
            <w:pPr>
              <w:spacing w:after="0"/>
              <w:rPr>
                <w:sz w:val="1"/>
                <w:szCs w:val="1"/>
                <w:color w:val="auto"/>
              </w:rPr>
            </w:pPr>
          </w:p>
        </w:tc>
      </w:tr>
      <w:tr>
        <w:trPr>
          <w:trHeight w:val="148"/>
        </w:trPr>
        <w:tc>
          <w:tcPr>
            <w:tcW w:w="6740" w:type="dxa"/>
            <w:vAlign w:val="bottom"/>
            <w:shd w:val="clear" w:color="auto" w:fill="CCEEFF"/>
          </w:tcPr>
          <w:p>
            <w:pPr>
              <w:ind w:left="100"/>
              <w:spacing w:after="0" w:line="149" w:lineRule="exact"/>
              <w:rPr>
                <w:sz w:val="20"/>
                <w:szCs w:val="20"/>
                <w:color w:val="auto"/>
              </w:rPr>
            </w:pPr>
            <w:r>
              <w:rPr>
                <w:rFonts w:ascii="Arial" w:cs="Arial" w:eastAsia="Arial" w:hAnsi="Arial"/>
                <w:sz w:val="14"/>
                <w:szCs w:val="14"/>
                <w:color w:val="auto"/>
              </w:rPr>
              <w:t>Deferred income taxes</w:t>
            </w:r>
          </w:p>
        </w:tc>
        <w:tc>
          <w:tcPr>
            <w:tcW w:w="2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1,776</w:t>
            </w:r>
          </w:p>
        </w:tc>
        <w:tc>
          <w:tcPr>
            <w:tcW w:w="20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1,688</w:t>
            </w:r>
          </w:p>
        </w:tc>
        <w:tc>
          <w:tcPr>
            <w:tcW w:w="0" w:type="dxa"/>
            <w:vAlign w:val="bottom"/>
          </w:tcPr>
          <w:p>
            <w:pPr>
              <w:spacing w:after="0"/>
              <w:rPr>
                <w:sz w:val="1"/>
                <w:szCs w:val="1"/>
                <w:color w:val="auto"/>
              </w:rPr>
            </w:pPr>
          </w:p>
        </w:tc>
      </w:tr>
      <w:tr>
        <w:trPr>
          <w:trHeight w:val="148"/>
        </w:trPr>
        <w:tc>
          <w:tcPr>
            <w:tcW w:w="6740" w:type="dxa"/>
            <w:vAlign w:val="bottom"/>
          </w:tcPr>
          <w:p>
            <w:pPr>
              <w:ind w:left="100"/>
              <w:spacing w:after="0" w:line="149" w:lineRule="exact"/>
              <w:rPr>
                <w:sz w:val="20"/>
                <w:szCs w:val="20"/>
                <w:color w:val="auto"/>
              </w:rPr>
            </w:pPr>
            <w:r>
              <w:rPr>
                <w:rFonts w:ascii="Arial" w:cs="Arial" w:eastAsia="Arial" w:hAnsi="Arial"/>
                <w:sz w:val="14"/>
                <w:szCs w:val="14"/>
                <w:color w:val="auto"/>
              </w:rPr>
              <w:t>Other, including fixed asset impairments</w:t>
            </w:r>
          </w:p>
        </w:tc>
        <w:tc>
          <w:tcPr>
            <w:tcW w:w="2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color w:val="auto"/>
              </w:rPr>
              <w:t>65</w:t>
            </w:r>
          </w:p>
        </w:tc>
        <w:tc>
          <w:tcPr>
            <w:tcW w:w="2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20" w:type="dxa"/>
            <w:vAlign w:val="bottom"/>
          </w:tcPr>
          <w:p>
            <w:pPr>
              <w:jc w:val="right"/>
              <w:spacing w:after="0" w:line="149" w:lineRule="exact"/>
              <w:rPr>
                <w:sz w:val="20"/>
                <w:szCs w:val="20"/>
                <w:color w:val="auto"/>
              </w:rPr>
            </w:pPr>
            <w:r>
              <w:rPr>
                <w:rFonts w:ascii="Arial" w:cs="Arial" w:eastAsia="Arial" w:hAnsi="Arial"/>
                <w:sz w:val="14"/>
                <w:szCs w:val="14"/>
                <w:color w:val="auto"/>
              </w:rPr>
              <w:t>289</w:t>
            </w:r>
          </w:p>
        </w:tc>
        <w:tc>
          <w:tcPr>
            <w:tcW w:w="0" w:type="dxa"/>
            <w:vAlign w:val="bottom"/>
          </w:tcPr>
          <w:p>
            <w:pPr>
              <w:spacing w:after="0"/>
              <w:rPr>
                <w:sz w:val="1"/>
                <w:szCs w:val="1"/>
                <w:color w:val="auto"/>
              </w:rPr>
            </w:pPr>
          </w:p>
        </w:tc>
      </w:tr>
      <w:tr>
        <w:trPr>
          <w:trHeight w:val="148"/>
        </w:trPr>
        <w:tc>
          <w:tcPr>
            <w:tcW w:w="6740" w:type="dxa"/>
            <w:vAlign w:val="bottom"/>
            <w:shd w:val="clear" w:color="auto" w:fill="CCEEFF"/>
          </w:tcPr>
          <w:p>
            <w:pPr>
              <w:ind w:left="100"/>
              <w:spacing w:after="0" w:line="149" w:lineRule="exact"/>
              <w:rPr>
                <w:sz w:val="20"/>
                <w:szCs w:val="20"/>
                <w:color w:val="auto"/>
              </w:rPr>
            </w:pPr>
            <w:r>
              <w:rPr>
                <w:rFonts w:ascii="Arial" w:cs="Arial" w:eastAsia="Arial" w:hAnsi="Arial"/>
                <w:sz w:val="14"/>
                <w:szCs w:val="14"/>
                <w:color w:val="auto"/>
              </w:rPr>
              <w:t>Changes in assets and liabilities:</w:t>
            </w:r>
          </w:p>
        </w:tc>
        <w:tc>
          <w:tcPr>
            <w:tcW w:w="2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6740" w:type="dxa"/>
            <w:vAlign w:val="bottom"/>
          </w:tcPr>
          <w:p>
            <w:pPr>
              <w:ind w:left="220"/>
              <w:spacing w:after="0" w:line="149" w:lineRule="exact"/>
              <w:rPr>
                <w:sz w:val="20"/>
                <w:szCs w:val="20"/>
                <w:color w:val="auto"/>
              </w:rPr>
            </w:pPr>
            <w:r>
              <w:rPr>
                <w:rFonts w:ascii="Arial" w:cs="Arial" w:eastAsia="Arial" w:hAnsi="Arial"/>
                <w:sz w:val="14"/>
                <w:szCs w:val="14"/>
                <w:color w:val="auto"/>
              </w:rPr>
              <w:t>Accounts receivable and interest receivable from university partners</w:t>
            </w:r>
          </w:p>
        </w:tc>
        <w:tc>
          <w:tcPr>
            <w:tcW w:w="2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color w:val="auto"/>
              </w:rPr>
              <w:t>(29,601)</w:t>
            </w:r>
          </w:p>
        </w:tc>
        <w:tc>
          <w:tcPr>
            <w:tcW w:w="2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20" w:type="dxa"/>
            <w:vAlign w:val="bottom"/>
          </w:tcPr>
          <w:p>
            <w:pPr>
              <w:jc w:val="right"/>
              <w:spacing w:after="0" w:line="149" w:lineRule="exact"/>
              <w:rPr>
                <w:sz w:val="20"/>
                <w:szCs w:val="20"/>
                <w:color w:val="auto"/>
              </w:rPr>
            </w:pPr>
            <w:r>
              <w:rPr>
                <w:rFonts w:ascii="Arial" w:cs="Arial" w:eastAsia="Arial" w:hAnsi="Arial"/>
                <w:sz w:val="14"/>
                <w:szCs w:val="14"/>
                <w:color w:val="auto"/>
              </w:rPr>
              <w:t>(28,451)</w:t>
            </w:r>
          </w:p>
        </w:tc>
        <w:tc>
          <w:tcPr>
            <w:tcW w:w="0" w:type="dxa"/>
            <w:vAlign w:val="bottom"/>
          </w:tcPr>
          <w:p>
            <w:pPr>
              <w:spacing w:after="0"/>
              <w:rPr>
                <w:sz w:val="1"/>
                <w:szCs w:val="1"/>
                <w:color w:val="auto"/>
              </w:rPr>
            </w:pPr>
          </w:p>
        </w:tc>
      </w:tr>
      <w:tr>
        <w:trPr>
          <w:trHeight w:val="148"/>
        </w:trPr>
        <w:tc>
          <w:tcPr>
            <w:tcW w:w="6740" w:type="dxa"/>
            <w:vAlign w:val="bottom"/>
            <w:shd w:val="clear" w:color="auto" w:fill="CCEEFF"/>
          </w:tcPr>
          <w:p>
            <w:pPr>
              <w:ind w:left="220"/>
              <w:spacing w:after="0" w:line="149" w:lineRule="exact"/>
              <w:rPr>
                <w:sz w:val="20"/>
                <w:szCs w:val="20"/>
                <w:color w:val="auto"/>
              </w:rPr>
            </w:pPr>
            <w:r>
              <w:rPr>
                <w:rFonts w:ascii="Arial" w:cs="Arial" w:eastAsia="Arial" w:hAnsi="Arial"/>
                <w:sz w:val="14"/>
                <w:szCs w:val="14"/>
                <w:color w:val="auto"/>
              </w:rPr>
              <w:t>Other assets</w:t>
            </w:r>
          </w:p>
        </w:tc>
        <w:tc>
          <w:tcPr>
            <w:tcW w:w="2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(6,166)</w:t>
            </w:r>
          </w:p>
        </w:tc>
        <w:tc>
          <w:tcPr>
            <w:tcW w:w="20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(6,742)</w:t>
            </w:r>
          </w:p>
        </w:tc>
        <w:tc>
          <w:tcPr>
            <w:tcW w:w="0" w:type="dxa"/>
            <w:vAlign w:val="bottom"/>
          </w:tcPr>
          <w:p>
            <w:pPr>
              <w:spacing w:after="0"/>
              <w:rPr>
                <w:sz w:val="1"/>
                <w:szCs w:val="1"/>
                <w:color w:val="auto"/>
              </w:rPr>
            </w:pPr>
          </w:p>
        </w:tc>
      </w:tr>
      <w:tr>
        <w:trPr>
          <w:trHeight w:val="149"/>
        </w:trPr>
        <w:tc>
          <w:tcPr>
            <w:tcW w:w="6740" w:type="dxa"/>
            <w:vAlign w:val="bottom"/>
          </w:tcPr>
          <w:p>
            <w:pPr>
              <w:ind w:left="220"/>
              <w:spacing w:after="0" w:line="149" w:lineRule="exact"/>
              <w:rPr>
                <w:sz w:val="20"/>
                <w:szCs w:val="20"/>
                <w:color w:val="auto"/>
              </w:rPr>
            </w:pPr>
            <w:r>
              <w:rPr>
                <w:rFonts w:ascii="Arial" w:cs="Arial" w:eastAsia="Arial" w:hAnsi="Arial"/>
                <w:sz w:val="14"/>
                <w:szCs w:val="14"/>
                <w:color w:val="auto"/>
              </w:rPr>
              <w:t>Right-of-use assets and lease liabilities</w:t>
            </w:r>
          </w:p>
        </w:tc>
        <w:tc>
          <w:tcPr>
            <w:tcW w:w="2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color w:val="auto"/>
              </w:rPr>
              <w:t>165</w:t>
            </w:r>
          </w:p>
        </w:tc>
        <w:tc>
          <w:tcPr>
            <w:tcW w:w="2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20" w:type="dxa"/>
            <w:vAlign w:val="bottom"/>
          </w:tcPr>
          <w:p>
            <w:pPr>
              <w:jc w:val="right"/>
              <w:spacing w:after="0" w:line="149" w:lineRule="exact"/>
              <w:rPr>
                <w:sz w:val="20"/>
                <w:szCs w:val="20"/>
                <w:color w:val="auto"/>
              </w:rPr>
            </w:pPr>
            <w:r>
              <w:rPr>
                <w:rFonts w:ascii="Arial" w:cs="Arial" w:eastAsia="Arial" w:hAnsi="Arial"/>
                <w:sz w:val="14"/>
                <w:szCs w:val="14"/>
                <w:color w:val="auto"/>
              </w:rPr>
              <w:t>544</w:t>
            </w:r>
          </w:p>
        </w:tc>
        <w:tc>
          <w:tcPr>
            <w:tcW w:w="0" w:type="dxa"/>
            <w:vAlign w:val="bottom"/>
          </w:tcPr>
          <w:p>
            <w:pPr>
              <w:spacing w:after="0"/>
              <w:rPr>
                <w:sz w:val="1"/>
                <w:szCs w:val="1"/>
                <w:color w:val="auto"/>
              </w:rPr>
            </w:pPr>
          </w:p>
        </w:tc>
      </w:tr>
      <w:tr>
        <w:trPr>
          <w:trHeight w:val="148"/>
        </w:trPr>
        <w:tc>
          <w:tcPr>
            <w:tcW w:w="6740" w:type="dxa"/>
            <w:vAlign w:val="bottom"/>
            <w:shd w:val="clear" w:color="auto" w:fill="CCEEFF"/>
          </w:tcPr>
          <w:p>
            <w:pPr>
              <w:ind w:left="220"/>
              <w:spacing w:after="0" w:line="149" w:lineRule="exact"/>
              <w:rPr>
                <w:sz w:val="20"/>
                <w:szCs w:val="20"/>
                <w:color w:val="auto"/>
              </w:rPr>
            </w:pPr>
            <w:r>
              <w:rPr>
                <w:rFonts w:ascii="Arial" w:cs="Arial" w:eastAsia="Arial" w:hAnsi="Arial"/>
                <w:sz w:val="14"/>
                <w:szCs w:val="14"/>
                <w:color w:val="auto"/>
              </w:rPr>
              <w:t>Accounts payable</w:t>
            </w:r>
          </w:p>
        </w:tc>
        <w:tc>
          <w:tcPr>
            <w:tcW w:w="2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971</w:t>
            </w:r>
          </w:p>
        </w:tc>
        <w:tc>
          <w:tcPr>
            <w:tcW w:w="20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3,957</w:t>
            </w:r>
          </w:p>
        </w:tc>
        <w:tc>
          <w:tcPr>
            <w:tcW w:w="0" w:type="dxa"/>
            <w:vAlign w:val="bottom"/>
          </w:tcPr>
          <w:p>
            <w:pPr>
              <w:spacing w:after="0"/>
              <w:rPr>
                <w:sz w:val="1"/>
                <w:szCs w:val="1"/>
                <w:color w:val="auto"/>
              </w:rPr>
            </w:pPr>
          </w:p>
        </w:tc>
      </w:tr>
      <w:tr>
        <w:trPr>
          <w:trHeight w:val="148"/>
        </w:trPr>
        <w:tc>
          <w:tcPr>
            <w:tcW w:w="6740" w:type="dxa"/>
            <w:vAlign w:val="bottom"/>
          </w:tcPr>
          <w:p>
            <w:pPr>
              <w:ind w:left="220"/>
              <w:spacing w:after="0" w:line="149" w:lineRule="exact"/>
              <w:rPr>
                <w:sz w:val="20"/>
                <w:szCs w:val="20"/>
                <w:color w:val="auto"/>
              </w:rPr>
            </w:pPr>
            <w:r>
              <w:rPr>
                <w:rFonts w:ascii="Arial" w:cs="Arial" w:eastAsia="Arial" w:hAnsi="Arial"/>
                <w:sz w:val="14"/>
                <w:szCs w:val="14"/>
                <w:color w:val="auto"/>
              </w:rPr>
              <w:t>Accrued liabilities</w:t>
            </w:r>
          </w:p>
        </w:tc>
        <w:tc>
          <w:tcPr>
            <w:tcW w:w="2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color w:val="auto"/>
              </w:rPr>
              <w:t>10,714</w:t>
            </w:r>
          </w:p>
        </w:tc>
        <w:tc>
          <w:tcPr>
            <w:tcW w:w="2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20" w:type="dxa"/>
            <w:vAlign w:val="bottom"/>
          </w:tcPr>
          <w:p>
            <w:pPr>
              <w:jc w:val="right"/>
              <w:spacing w:after="0" w:line="149" w:lineRule="exact"/>
              <w:rPr>
                <w:sz w:val="20"/>
                <w:szCs w:val="20"/>
                <w:color w:val="auto"/>
              </w:rPr>
            </w:pPr>
            <w:r>
              <w:rPr>
                <w:rFonts w:ascii="Arial" w:cs="Arial" w:eastAsia="Arial" w:hAnsi="Arial"/>
                <w:sz w:val="14"/>
                <w:szCs w:val="14"/>
                <w:color w:val="auto"/>
              </w:rPr>
              <w:t>5,972</w:t>
            </w:r>
          </w:p>
        </w:tc>
        <w:tc>
          <w:tcPr>
            <w:tcW w:w="0" w:type="dxa"/>
            <w:vAlign w:val="bottom"/>
          </w:tcPr>
          <w:p>
            <w:pPr>
              <w:spacing w:after="0"/>
              <w:rPr>
                <w:sz w:val="1"/>
                <w:szCs w:val="1"/>
                <w:color w:val="auto"/>
              </w:rPr>
            </w:pPr>
          </w:p>
        </w:tc>
      </w:tr>
      <w:tr>
        <w:trPr>
          <w:trHeight w:val="148"/>
        </w:trPr>
        <w:tc>
          <w:tcPr>
            <w:tcW w:w="6740" w:type="dxa"/>
            <w:vAlign w:val="bottom"/>
            <w:shd w:val="clear" w:color="auto" w:fill="CCEEFF"/>
          </w:tcPr>
          <w:p>
            <w:pPr>
              <w:ind w:left="220"/>
              <w:spacing w:after="0" w:line="149" w:lineRule="exact"/>
              <w:rPr>
                <w:sz w:val="20"/>
                <w:szCs w:val="20"/>
                <w:color w:val="auto"/>
              </w:rPr>
            </w:pPr>
            <w:r>
              <w:rPr>
                <w:rFonts w:ascii="Arial" w:cs="Arial" w:eastAsia="Arial" w:hAnsi="Arial"/>
                <w:sz w:val="14"/>
                <w:szCs w:val="14"/>
                <w:color w:val="auto"/>
              </w:rPr>
              <w:t>Income taxes receivable/payable</w:t>
            </w:r>
          </w:p>
        </w:tc>
        <w:tc>
          <w:tcPr>
            <w:tcW w:w="2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16,305</w:t>
            </w:r>
          </w:p>
        </w:tc>
        <w:tc>
          <w:tcPr>
            <w:tcW w:w="20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19,174</w:t>
            </w:r>
          </w:p>
        </w:tc>
        <w:tc>
          <w:tcPr>
            <w:tcW w:w="0" w:type="dxa"/>
            <w:vAlign w:val="bottom"/>
          </w:tcPr>
          <w:p>
            <w:pPr>
              <w:spacing w:after="0"/>
              <w:rPr>
                <w:sz w:val="1"/>
                <w:szCs w:val="1"/>
                <w:color w:val="auto"/>
              </w:rPr>
            </w:pPr>
          </w:p>
        </w:tc>
      </w:tr>
      <w:tr>
        <w:trPr>
          <w:trHeight w:val="148"/>
        </w:trPr>
        <w:tc>
          <w:tcPr>
            <w:tcW w:w="6740" w:type="dxa"/>
            <w:vAlign w:val="bottom"/>
            <w:tcBorders>
              <w:bottom w:val="single" w:sz="8" w:color="CCEEFF"/>
            </w:tcBorders>
          </w:tcPr>
          <w:p>
            <w:pPr>
              <w:ind w:left="220"/>
              <w:spacing w:after="0" w:line="149" w:lineRule="exact"/>
              <w:rPr>
                <w:sz w:val="20"/>
                <w:szCs w:val="20"/>
                <w:color w:val="auto"/>
              </w:rPr>
            </w:pPr>
            <w:r>
              <w:rPr>
                <w:rFonts w:ascii="Arial" w:cs="Arial" w:eastAsia="Arial" w:hAnsi="Arial"/>
                <w:sz w:val="14"/>
                <w:szCs w:val="14"/>
                <w:color w:val="auto"/>
              </w:rPr>
              <w:t>Deferred revenue</w:t>
            </w:r>
          </w:p>
        </w:tc>
        <w:tc>
          <w:tcPr>
            <w:tcW w:w="260" w:type="dxa"/>
            <w:vAlign w:val="bottom"/>
            <w:tcBorders>
              <w:bottom w:val="single" w:sz="8" w:color="CCEEFF"/>
            </w:tcBorders>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68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6,936</w:t>
            </w:r>
          </w:p>
        </w:tc>
        <w:tc>
          <w:tcPr>
            <w:tcW w:w="200" w:type="dxa"/>
            <w:vAlign w:val="bottom"/>
            <w:tcBorders>
              <w:bottom w:val="single" w:sz="8" w:color="CCEEFF"/>
            </w:tcBorders>
          </w:tcPr>
          <w:p>
            <w:pPr>
              <w:spacing w:after="0"/>
              <w:rPr>
                <w:sz w:val="12"/>
                <w:szCs w:val="12"/>
                <w:color w:val="auto"/>
              </w:rPr>
            </w:pPr>
          </w:p>
        </w:tc>
        <w:tc>
          <w:tcPr>
            <w:tcW w:w="240" w:type="dxa"/>
            <w:vAlign w:val="bottom"/>
            <w:tcBorders>
              <w:bottom w:val="single" w:sz="8" w:color="auto"/>
            </w:tcBorders>
          </w:tcPr>
          <w:p>
            <w:pPr>
              <w:spacing w:after="0"/>
              <w:rPr>
                <w:sz w:val="12"/>
                <w:szCs w:val="12"/>
                <w:color w:val="auto"/>
              </w:rPr>
            </w:pPr>
          </w:p>
        </w:tc>
        <w:tc>
          <w:tcPr>
            <w:tcW w:w="62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8,153</w:t>
            </w:r>
          </w:p>
        </w:tc>
        <w:tc>
          <w:tcPr>
            <w:tcW w:w="0" w:type="dxa"/>
            <w:vAlign w:val="bottom"/>
          </w:tcPr>
          <w:p>
            <w:pPr>
              <w:spacing w:after="0"/>
              <w:rPr>
                <w:sz w:val="1"/>
                <w:szCs w:val="1"/>
                <w:color w:val="auto"/>
              </w:rPr>
            </w:pPr>
          </w:p>
        </w:tc>
      </w:tr>
      <w:tr>
        <w:trPr>
          <w:trHeight w:val="142"/>
        </w:trPr>
        <w:tc>
          <w:tcPr>
            <w:tcW w:w="6740" w:type="dxa"/>
            <w:vAlign w:val="bottom"/>
            <w:shd w:val="clear" w:color="auto" w:fill="CCEEFF"/>
          </w:tcPr>
          <w:p>
            <w:pPr>
              <w:spacing w:after="0" w:line="142" w:lineRule="exact"/>
              <w:rPr>
                <w:sz w:val="20"/>
                <w:szCs w:val="20"/>
                <w:color w:val="auto"/>
              </w:rPr>
            </w:pPr>
            <w:r>
              <w:rPr>
                <w:rFonts w:ascii="Arial" w:cs="Arial" w:eastAsia="Arial" w:hAnsi="Arial"/>
                <w:sz w:val="14"/>
                <w:szCs w:val="14"/>
                <w:b w:val="1"/>
                <w:bCs w:val="1"/>
                <w:color w:val="auto"/>
              </w:rPr>
              <w:t>Net cash provided by operating activities</w:t>
            </w:r>
          </w:p>
        </w:tc>
        <w:tc>
          <w:tcPr>
            <w:tcW w:w="260" w:type="dxa"/>
            <w:vAlign w:val="bottom"/>
            <w:shd w:val="clear" w:color="auto" w:fill="CCEEFF"/>
          </w:tcPr>
          <w:p>
            <w:pPr>
              <w:spacing w:after="0"/>
              <w:rPr>
                <w:sz w:val="12"/>
                <w:szCs w:val="12"/>
                <w:color w:val="auto"/>
              </w:rPr>
            </w:pPr>
          </w:p>
        </w:tc>
        <w:tc>
          <w:tcPr>
            <w:tcW w:w="160" w:type="dxa"/>
            <w:vAlign w:val="bottom"/>
            <w:tcBorders>
              <w:bottom w:val="single" w:sz="8" w:color="auto"/>
            </w:tcBorders>
            <w:shd w:val="clear" w:color="auto" w:fill="CCEEFF"/>
          </w:tcPr>
          <w:p>
            <w:pPr>
              <w:spacing w:after="0"/>
              <w:rPr>
                <w:sz w:val="12"/>
                <w:szCs w:val="12"/>
                <w:color w:val="auto"/>
              </w:rPr>
            </w:pPr>
          </w:p>
        </w:tc>
        <w:tc>
          <w:tcPr>
            <w:tcW w:w="68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89,827</w:t>
            </w:r>
          </w:p>
        </w:tc>
        <w:tc>
          <w:tcPr>
            <w:tcW w:w="200" w:type="dxa"/>
            <w:vAlign w:val="bottom"/>
            <w:shd w:val="clear" w:color="auto" w:fill="CCEEFF"/>
          </w:tcPr>
          <w:p>
            <w:pPr>
              <w:spacing w:after="0"/>
              <w:rPr>
                <w:sz w:val="12"/>
                <w:szCs w:val="12"/>
                <w:color w:val="auto"/>
              </w:rPr>
            </w:pPr>
          </w:p>
        </w:tc>
        <w:tc>
          <w:tcPr>
            <w:tcW w:w="240" w:type="dxa"/>
            <w:vAlign w:val="bottom"/>
            <w:tcBorders>
              <w:bottom w:val="single" w:sz="8" w:color="auto"/>
            </w:tcBorders>
            <w:shd w:val="clear" w:color="auto" w:fill="CCEEFF"/>
          </w:tcPr>
          <w:p>
            <w:pPr>
              <w:spacing w:after="0"/>
              <w:rPr>
                <w:sz w:val="12"/>
                <w:szCs w:val="12"/>
                <w:color w:val="auto"/>
              </w:rPr>
            </w:pPr>
          </w:p>
        </w:tc>
        <w:tc>
          <w:tcPr>
            <w:tcW w:w="62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85,719</w:t>
            </w:r>
          </w:p>
        </w:tc>
        <w:tc>
          <w:tcPr>
            <w:tcW w:w="0" w:type="dxa"/>
            <w:vAlign w:val="bottom"/>
          </w:tcPr>
          <w:p>
            <w:pPr>
              <w:spacing w:after="0"/>
              <w:rPr>
                <w:sz w:val="1"/>
                <w:szCs w:val="1"/>
                <w:color w:val="auto"/>
              </w:rPr>
            </w:pPr>
          </w:p>
        </w:tc>
      </w:tr>
      <w:tr>
        <w:trPr>
          <w:trHeight w:val="142"/>
        </w:trPr>
        <w:tc>
          <w:tcPr>
            <w:tcW w:w="6740" w:type="dxa"/>
            <w:vAlign w:val="bottom"/>
          </w:tcPr>
          <w:p>
            <w:pPr>
              <w:spacing w:after="0" w:line="142" w:lineRule="exact"/>
              <w:rPr>
                <w:sz w:val="20"/>
                <w:szCs w:val="20"/>
                <w:color w:val="auto"/>
              </w:rPr>
            </w:pPr>
            <w:r>
              <w:rPr>
                <w:rFonts w:ascii="Arial" w:cs="Arial" w:eastAsia="Arial" w:hAnsi="Arial"/>
                <w:sz w:val="14"/>
                <w:szCs w:val="14"/>
                <w:b w:val="1"/>
                <w:bCs w:val="1"/>
                <w:color w:val="auto"/>
              </w:rPr>
              <w:t>Cash flows used in investing activities:</w:t>
            </w:r>
          </w:p>
        </w:tc>
        <w:tc>
          <w:tcPr>
            <w:tcW w:w="2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6740" w:type="dxa"/>
            <w:vAlign w:val="bottom"/>
            <w:shd w:val="clear" w:color="auto" w:fill="CCEEFF"/>
          </w:tcPr>
          <w:p>
            <w:pPr>
              <w:ind w:left="100"/>
              <w:spacing w:after="0" w:line="149" w:lineRule="exact"/>
              <w:rPr>
                <w:sz w:val="20"/>
                <w:szCs w:val="20"/>
                <w:color w:val="auto"/>
              </w:rPr>
            </w:pPr>
            <w:r>
              <w:rPr>
                <w:rFonts w:ascii="Arial" w:cs="Arial" w:eastAsia="Arial" w:hAnsi="Arial"/>
                <w:sz w:val="14"/>
                <w:szCs w:val="14"/>
                <w:color w:val="auto"/>
              </w:rPr>
              <w:t>Capital expenditures</w:t>
            </w:r>
          </w:p>
        </w:tc>
        <w:tc>
          <w:tcPr>
            <w:tcW w:w="2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(8,911)</w:t>
            </w:r>
          </w:p>
        </w:tc>
        <w:tc>
          <w:tcPr>
            <w:tcW w:w="20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(6,085)</w:t>
            </w:r>
          </w:p>
        </w:tc>
        <w:tc>
          <w:tcPr>
            <w:tcW w:w="0" w:type="dxa"/>
            <w:vAlign w:val="bottom"/>
          </w:tcPr>
          <w:p>
            <w:pPr>
              <w:spacing w:after="0"/>
              <w:rPr>
                <w:sz w:val="1"/>
                <w:szCs w:val="1"/>
                <w:color w:val="auto"/>
              </w:rPr>
            </w:pPr>
          </w:p>
        </w:tc>
      </w:tr>
      <w:tr>
        <w:trPr>
          <w:trHeight w:val="149"/>
        </w:trPr>
        <w:tc>
          <w:tcPr>
            <w:tcW w:w="6740" w:type="dxa"/>
            <w:vAlign w:val="bottom"/>
          </w:tcPr>
          <w:p>
            <w:pPr>
              <w:ind w:left="100"/>
              <w:spacing w:after="0" w:line="149" w:lineRule="exact"/>
              <w:rPr>
                <w:sz w:val="20"/>
                <w:szCs w:val="20"/>
                <w:color w:val="auto"/>
              </w:rPr>
            </w:pPr>
            <w:r>
              <w:rPr>
                <w:rFonts w:ascii="Arial" w:cs="Arial" w:eastAsia="Arial" w:hAnsi="Arial"/>
                <w:sz w:val="14"/>
                <w:szCs w:val="14"/>
                <w:color w:val="auto"/>
              </w:rPr>
              <w:t>Additions of amortizable content</w:t>
            </w:r>
          </w:p>
        </w:tc>
        <w:tc>
          <w:tcPr>
            <w:tcW w:w="2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color w:val="auto"/>
              </w:rPr>
              <w:t>(90)</w:t>
            </w:r>
          </w:p>
        </w:tc>
        <w:tc>
          <w:tcPr>
            <w:tcW w:w="2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20" w:type="dxa"/>
            <w:vAlign w:val="bottom"/>
          </w:tcPr>
          <w:p>
            <w:pPr>
              <w:jc w:val="right"/>
              <w:spacing w:after="0" w:line="149" w:lineRule="exact"/>
              <w:rPr>
                <w:sz w:val="20"/>
                <w:szCs w:val="20"/>
                <w:color w:val="auto"/>
              </w:rPr>
            </w:pPr>
            <w:r>
              <w:rPr>
                <w:rFonts w:ascii="Arial" w:cs="Arial" w:eastAsia="Arial" w:hAnsi="Arial"/>
                <w:sz w:val="14"/>
                <w:szCs w:val="14"/>
                <w:color w:val="auto"/>
              </w:rPr>
              <w:t>(56)</w:t>
            </w:r>
          </w:p>
        </w:tc>
        <w:tc>
          <w:tcPr>
            <w:tcW w:w="0" w:type="dxa"/>
            <w:vAlign w:val="bottom"/>
          </w:tcPr>
          <w:p>
            <w:pPr>
              <w:spacing w:after="0"/>
              <w:rPr>
                <w:sz w:val="1"/>
                <w:szCs w:val="1"/>
                <w:color w:val="auto"/>
              </w:rPr>
            </w:pPr>
          </w:p>
        </w:tc>
      </w:tr>
      <w:tr>
        <w:trPr>
          <w:trHeight w:val="148"/>
        </w:trPr>
        <w:tc>
          <w:tcPr>
            <w:tcW w:w="6740" w:type="dxa"/>
            <w:vAlign w:val="bottom"/>
            <w:shd w:val="clear" w:color="auto" w:fill="CCEEFF"/>
          </w:tcPr>
          <w:p>
            <w:pPr>
              <w:ind w:left="100"/>
              <w:spacing w:after="0" w:line="149" w:lineRule="exact"/>
              <w:rPr>
                <w:sz w:val="20"/>
                <w:szCs w:val="20"/>
                <w:color w:val="auto"/>
              </w:rPr>
            </w:pPr>
            <w:r>
              <w:rPr>
                <w:rFonts w:ascii="Arial" w:cs="Arial" w:eastAsia="Arial" w:hAnsi="Arial"/>
                <w:sz w:val="14"/>
                <w:szCs w:val="14"/>
                <w:color w:val="auto"/>
              </w:rPr>
              <w:t>Purchases of investments</w:t>
            </w:r>
          </w:p>
        </w:tc>
        <w:tc>
          <w:tcPr>
            <w:tcW w:w="2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(31,337)</w:t>
            </w:r>
          </w:p>
        </w:tc>
        <w:tc>
          <w:tcPr>
            <w:tcW w:w="20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8"/>
        </w:trPr>
        <w:tc>
          <w:tcPr>
            <w:tcW w:w="6740" w:type="dxa"/>
            <w:vAlign w:val="bottom"/>
            <w:tcBorders>
              <w:bottom w:val="single" w:sz="8" w:color="CCEEFF"/>
            </w:tcBorders>
          </w:tcPr>
          <w:p>
            <w:pPr>
              <w:ind w:left="100"/>
              <w:spacing w:after="0" w:line="149" w:lineRule="exact"/>
              <w:rPr>
                <w:sz w:val="20"/>
                <w:szCs w:val="20"/>
                <w:color w:val="auto"/>
              </w:rPr>
            </w:pPr>
            <w:r>
              <w:rPr>
                <w:rFonts w:ascii="Arial" w:cs="Arial" w:eastAsia="Arial" w:hAnsi="Arial"/>
                <w:sz w:val="14"/>
                <w:szCs w:val="14"/>
                <w:color w:val="auto"/>
              </w:rPr>
              <w:t>Proceeds from sale or maturity of investments</w:t>
            </w:r>
          </w:p>
        </w:tc>
        <w:tc>
          <w:tcPr>
            <w:tcW w:w="260" w:type="dxa"/>
            <w:vAlign w:val="bottom"/>
            <w:tcBorders>
              <w:bottom w:val="single" w:sz="8" w:color="CCEEFF"/>
            </w:tcBorders>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68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5,519</w:t>
            </w:r>
          </w:p>
        </w:tc>
        <w:tc>
          <w:tcPr>
            <w:tcW w:w="200" w:type="dxa"/>
            <w:vAlign w:val="bottom"/>
            <w:tcBorders>
              <w:bottom w:val="single" w:sz="8" w:color="CCEEFF"/>
            </w:tcBorders>
          </w:tcPr>
          <w:p>
            <w:pPr>
              <w:spacing w:after="0"/>
              <w:rPr>
                <w:sz w:val="12"/>
                <w:szCs w:val="12"/>
                <w:color w:val="auto"/>
              </w:rPr>
            </w:pPr>
          </w:p>
        </w:tc>
        <w:tc>
          <w:tcPr>
            <w:tcW w:w="240" w:type="dxa"/>
            <w:vAlign w:val="bottom"/>
            <w:tcBorders>
              <w:bottom w:val="single" w:sz="8" w:color="auto"/>
            </w:tcBorders>
          </w:tcPr>
          <w:p>
            <w:pPr>
              <w:spacing w:after="0"/>
              <w:rPr>
                <w:sz w:val="12"/>
                <w:szCs w:val="12"/>
                <w:color w:val="auto"/>
              </w:rPr>
            </w:pPr>
          </w:p>
        </w:tc>
        <w:tc>
          <w:tcPr>
            <w:tcW w:w="62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4,263</w:t>
            </w:r>
          </w:p>
        </w:tc>
        <w:tc>
          <w:tcPr>
            <w:tcW w:w="0" w:type="dxa"/>
            <w:vAlign w:val="bottom"/>
          </w:tcPr>
          <w:p>
            <w:pPr>
              <w:spacing w:after="0"/>
              <w:rPr>
                <w:sz w:val="1"/>
                <w:szCs w:val="1"/>
                <w:color w:val="auto"/>
              </w:rPr>
            </w:pPr>
          </w:p>
        </w:tc>
      </w:tr>
      <w:tr>
        <w:trPr>
          <w:trHeight w:val="142"/>
        </w:trPr>
        <w:tc>
          <w:tcPr>
            <w:tcW w:w="6740" w:type="dxa"/>
            <w:vAlign w:val="bottom"/>
            <w:shd w:val="clear" w:color="auto" w:fill="CCEEFF"/>
          </w:tcPr>
          <w:p>
            <w:pPr>
              <w:spacing w:after="0" w:line="142" w:lineRule="exact"/>
              <w:rPr>
                <w:sz w:val="20"/>
                <w:szCs w:val="20"/>
                <w:color w:val="auto"/>
              </w:rPr>
            </w:pPr>
            <w:r>
              <w:rPr>
                <w:rFonts w:ascii="Arial" w:cs="Arial" w:eastAsia="Arial" w:hAnsi="Arial"/>
                <w:sz w:val="14"/>
                <w:szCs w:val="14"/>
                <w:b w:val="1"/>
                <w:bCs w:val="1"/>
                <w:color w:val="auto"/>
              </w:rPr>
              <w:t>Net cash used in investing activities</w:t>
            </w:r>
          </w:p>
        </w:tc>
        <w:tc>
          <w:tcPr>
            <w:tcW w:w="260" w:type="dxa"/>
            <w:vAlign w:val="bottom"/>
            <w:shd w:val="clear" w:color="auto" w:fill="CCEEFF"/>
          </w:tcPr>
          <w:p>
            <w:pPr>
              <w:spacing w:after="0"/>
              <w:rPr>
                <w:sz w:val="12"/>
                <w:szCs w:val="12"/>
                <w:color w:val="auto"/>
              </w:rPr>
            </w:pPr>
          </w:p>
        </w:tc>
        <w:tc>
          <w:tcPr>
            <w:tcW w:w="160" w:type="dxa"/>
            <w:vAlign w:val="bottom"/>
            <w:tcBorders>
              <w:bottom w:val="single" w:sz="8" w:color="auto"/>
            </w:tcBorders>
            <w:shd w:val="clear" w:color="auto" w:fill="CCEEFF"/>
          </w:tcPr>
          <w:p>
            <w:pPr>
              <w:spacing w:after="0"/>
              <w:rPr>
                <w:sz w:val="12"/>
                <w:szCs w:val="12"/>
                <w:color w:val="auto"/>
              </w:rPr>
            </w:pPr>
          </w:p>
        </w:tc>
        <w:tc>
          <w:tcPr>
            <w:tcW w:w="68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(34,819)</w:t>
            </w:r>
          </w:p>
        </w:tc>
        <w:tc>
          <w:tcPr>
            <w:tcW w:w="200" w:type="dxa"/>
            <w:vAlign w:val="bottom"/>
            <w:shd w:val="clear" w:color="auto" w:fill="CCEEFF"/>
          </w:tcPr>
          <w:p>
            <w:pPr>
              <w:spacing w:after="0"/>
              <w:rPr>
                <w:sz w:val="12"/>
                <w:szCs w:val="12"/>
                <w:color w:val="auto"/>
              </w:rPr>
            </w:pPr>
          </w:p>
        </w:tc>
        <w:tc>
          <w:tcPr>
            <w:tcW w:w="240" w:type="dxa"/>
            <w:vAlign w:val="bottom"/>
            <w:tcBorders>
              <w:bottom w:val="single" w:sz="8" w:color="auto"/>
            </w:tcBorders>
            <w:shd w:val="clear" w:color="auto" w:fill="CCEEFF"/>
          </w:tcPr>
          <w:p>
            <w:pPr>
              <w:spacing w:after="0"/>
              <w:rPr>
                <w:sz w:val="12"/>
                <w:szCs w:val="12"/>
                <w:color w:val="auto"/>
              </w:rPr>
            </w:pPr>
          </w:p>
        </w:tc>
        <w:tc>
          <w:tcPr>
            <w:tcW w:w="62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(1,878)</w:t>
            </w:r>
          </w:p>
        </w:tc>
        <w:tc>
          <w:tcPr>
            <w:tcW w:w="0" w:type="dxa"/>
            <w:vAlign w:val="bottom"/>
          </w:tcPr>
          <w:p>
            <w:pPr>
              <w:spacing w:after="0"/>
              <w:rPr>
                <w:sz w:val="1"/>
                <w:szCs w:val="1"/>
                <w:color w:val="auto"/>
              </w:rPr>
            </w:pPr>
          </w:p>
        </w:tc>
      </w:tr>
      <w:tr>
        <w:trPr>
          <w:trHeight w:val="142"/>
        </w:trPr>
        <w:tc>
          <w:tcPr>
            <w:tcW w:w="6740" w:type="dxa"/>
            <w:vAlign w:val="bottom"/>
          </w:tcPr>
          <w:p>
            <w:pPr>
              <w:spacing w:after="0" w:line="142" w:lineRule="exact"/>
              <w:rPr>
                <w:sz w:val="20"/>
                <w:szCs w:val="20"/>
                <w:color w:val="auto"/>
              </w:rPr>
            </w:pPr>
            <w:r>
              <w:rPr>
                <w:rFonts w:ascii="Arial" w:cs="Arial" w:eastAsia="Arial" w:hAnsi="Arial"/>
                <w:sz w:val="14"/>
                <w:szCs w:val="14"/>
                <w:b w:val="1"/>
                <w:bCs w:val="1"/>
                <w:color w:val="auto"/>
              </w:rPr>
              <w:t>Cash flows used in financing activities:</w:t>
            </w:r>
          </w:p>
        </w:tc>
        <w:tc>
          <w:tcPr>
            <w:tcW w:w="2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6740" w:type="dxa"/>
            <w:vAlign w:val="bottom"/>
            <w:shd w:val="clear" w:color="auto" w:fill="CCEEFF"/>
          </w:tcPr>
          <w:p>
            <w:pPr>
              <w:ind w:left="100"/>
              <w:spacing w:after="0" w:line="149" w:lineRule="exact"/>
              <w:rPr>
                <w:sz w:val="20"/>
                <w:szCs w:val="20"/>
                <w:color w:val="auto"/>
              </w:rPr>
            </w:pPr>
            <w:r>
              <w:rPr>
                <w:rFonts w:ascii="Arial" w:cs="Arial" w:eastAsia="Arial" w:hAnsi="Arial"/>
                <w:sz w:val="14"/>
                <w:szCs w:val="14"/>
                <w:color w:val="auto"/>
              </w:rPr>
              <w:t>Principal payments on notes payable</w:t>
            </w:r>
          </w:p>
        </w:tc>
        <w:tc>
          <w:tcPr>
            <w:tcW w:w="2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(8,286)</w:t>
            </w:r>
          </w:p>
        </w:tc>
        <w:tc>
          <w:tcPr>
            <w:tcW w:w="20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(8,286)</w:t>
            </w:r>
          </w:p>
        </w:tc>
        <w:tc>
          <w:tcPr>
            <w:tcW w:w="0" w:type="dxa"/>
            <w:vAlign w:val="bottom"/>
          </w:tcPr>
          <w:p>
            <w:pPr>
              <w:spacing w:after="0"/>
              <w:rPr>
                <w:sz w:val="1"/>
                <w:szCs w:val="1"/>
                <w:color w:val="auto"/>
              </w:rPr>
            </w:pPr>
          </w:p>
        </w:tc>
      </w:tr>
      <w:tr>
        <w:trPr>
          <w:trHeight w:val="148"/>
        </w:trPr>
        <w:tc>
          <w:tcPr>
            <w:tcW w:w="6740" w:type="dxa"/>
            <w:vAlign w:val="bottom"/>
          </w:tcPr>
          <w:p>
            <w:pPr>
              <w:ind w:left="100"/>
              <w:spacing w:after="0" w:line="149" w:lineRule="exact"/>
              <w:rPr>
                <w:sz w:val="20"/>
                <w:szCs w:val="20"/>
                <w:color w:val="auto"/>
              </w:rPr>
            </w:pPr>
            <w:r>
              <w:rPr>
                <w:rFonts w:ascii="Arial" w:cs="Arial" w:eastAsia="Arial" w:hAnsi="Arial"/>
                <w:sz w:val="14"/>
                <w:szCs w:val="14"/>
                <w:color w:val="auto"/>
              </w:rPr>
              <w:t>Repurchase of common shares including shares withheld in lieu of income taxes</w:t>
            </w:r>
          </w:p>
        </w:tc>
        <w:tc>
          <w:tcPr>
            <w:tcW w:w="2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color w:val="auto"/>
              </w:rPr>
              <w:t>(69,342)</w:t>
            </w:r>
          </w:p>
        </w:tc>
        <w:tc>
          <w:tcPr>
            <w:tcW w:w="2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20" w:type="dxa"/>
            <w:vAlign w:val="bottom"/>
          </w:tcPr>
          <w:p>
            <w:pPr>
              <w:jc w:val="right"/>
              <w:spacing w:after="0" w:line="149" w:lineRule="exact"/>
              <w:rPr>
                <w:sz w:val="20"/>
                <w:szCs w:val="20"/>
                <w:color w:val="auto"/>
              </w:rPr>
            </w:pPr>
            <w:r>
              <w:rPr>
                <w:rFonts w:ascii="Arial" w:cs="Arial" w:eastAsia="Arial" w:hAnsi="Arial"/>
                <w:sz w:val="14"/>
                <w:szCs w:val="14"/>
                <w:color w:val="auto"/>
              </w:rPr>
              <w:t>(65,706)</w:t>
            </w:r>
          </w:p>
        </w:tc>
        <w:tc>
          <w:tcPr>
            <w:tcW w:w="0" w:type="dxa"/>
            <w:vAlign w:val="bottom"/>
          </w:tcPr>
          <w:p>
            <w:pPr>
              <w:spacing w:after="0"/>
              <w:rPr>
                <w:sz w:val="1"/>
                <w:szCs w:val="1"/>
                <w:color w:val="auto"/>
              </w:rPr>
            </w:pPr>
          </w:p>
        </w:tc>
      </w:tr>
      <w:tr>
        <w:trPr>
          <w:trHeight w:val="149"/>
        </w:trPr>
        <w:tc>
          <w:tcPr>
            <w:tcW w:w="6740" w:type="dxa"/>
            <w:vAlign w:val="bottom"/>
            <w:shd w:val="clear" w:color="auto" w:fill="CCEEFF"/>
          </w:tcPr>
          <w:p>
            <w:pPr>
              <w:ind w:left="100"/>
              <w:spacing w:after="0" w:line="149" w:lineRule="exact"/>
              <w:rPr>
                <w:sz w:val="20"/>
                <w:szCs w:val="20"/>
                <w:color w:val="auto"/>
              </w:rPr>
            </w:pPr>
            <w:r>
              <w:rPr>
                <w:rFonts w:ascii="Arial" w:cs="Arial" w:eastAsia="Arial" w:hAnsi="Arial"/>
                <w:sz w:val="14"/>
                <w:szCs w:val="14"/>
                <w:color w:val="auto"/>
              </w:rPr>
              <w:t>Net proceeds from exercise of stock options</w:t>
            </w:r>
          </w:p>
        </w:tc>
        <w:tc>
          <w:tcPr>
            <w:tcW w:w="260" w:type="dxa"/>
            <w:vAlign w:val="bottom"/>
            <w:shd w:val="clear" w:color="auto" w:fill="CCEEFF"/>
          </w:tcPr>
          <w:p>
            <w:pPr>
              <w:spacing w:after="0"/>
              <w:rPr>
                <w:sz w:val="12"/>
                <w:szCs w:val="12"/>
                <w:color w:val="auto"/>
              </w:rPr>
            </w:pPr>
          </w:p>
        </w:tc>
        <w:tc>
          <w:tcPr>
            <w:tcW w:w="160" w:type="dxa"/>
            <w:vAlign w:val="bottom"/>
            <w:tcBorders>
              <w:bottom w:val="single" w:sz="8" w:color="auto"/>
            </w:tcBorders>
            <w:shd w:val="clear" w:color="auto" w:fill="CCEEFF"/>
          </w:tcPr>
          <w:p>
            <w:pPr>
              <w:spacing w:after="0"/>
              <w:rPr>
                <w:sz w:val="12"/>
                <w:szCs w:val="12"/>
                <w:color w:val="auto"/>
              </w:rPr>
            </w:pPr>
          </w:p>
        </w:tc>
        <w:tc>
          <w:tcPr>
            <w:tcW w:w="68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2,680</w:t>
            </w:r>
          </w:p>
        </w:tc>
        <w:tc>
          <w:tcPr>
            <w:tcW w:w="200" w:type="dxa"/>
            <w:vAlign w:val="bottom"/>
            <w:shd w:val="clear" w:color="auto" w:fill="CCEEFF"/>
          </w:tcPr>
          <w:p>
            <w:pPr>
              <w:spacing w:after="0"/>
              <w:rPr>
                <w:sz w:val="12"/>
                <w:szCs w:val="12"/>
                <w:color w:val="auto"/>
              </w:rPr>
            </w:pPr>
          </w:p>
        </w:tc>
        <w:tc>
          <w:tcPr>
            <w:tcW w:w="240" w:type="dxa"/>
            <w:vAlign w:val="bottom"/>
            <w:tcBorders>
              <w:bottom w:val="single" w:sz="8" w:color="auto"/>
            </w:tcBorders>
            <w:shd w:val="clear" w:color="auto" w:fill="CCEEFF"/>
          </w:tcPr>
          <w:p>
            <w:pPr>
              <w:spacing w:after="0"/>
              <w:rPr>
                <w:sz w:val="12"/>
                <w:szCs w:val="12"/>
                <w:color w:val="auto"/>
              </w:rPr>
            </w:pPr>
          </w:p>
        </w:tc>
        <w:tc>
          <w:tcPr>
            <w:tcW w:w="62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72</w:t>
            </w:r>
          </w:p>
        </w:tc>
        <w:tc>
          <w:tcPr>
            <w:tcW w:w="0" w:type="dxa"/>
            <w:vAlign w:val="bottom"/>
          </w:tcPr>
          <w:p>
            <w:pPr>
              <w:spacing w:after="0"/>
              <w:rPr>
                <w:sz w:val="1"/>
                <w:szCs w:val="1"/>
                <w:color w:val="auto"/>
              </w:rPr>
            </w:pPr>
          </w:p>
        </w:tc>
      </w:tr>
      <w:tr>
        <w:trPr>
          <w:trHeight w:val="142"/>
        </w:trPr>
        <w:tc>
          <w:tcPr>
            <w:tcW w:w="6740" w:type="dxa"/>
            <w:vAlign w:val="bottom"/>
            <w:tcBorders>
              <w:bottom w:val="single" w:sz="8" w:color="CCEEFF"/>
            </w:tcBorders>
          </w:tcPr>
          <w:p>
            <w:pPr>
              <w:spacing w:after="0" w:line="142" w:lineRule="exact"/>
              <w:rPr>
                <w:sz w:val="20"/>
                <w:szCs w:val="20"/>
                <w:color w:val="auto"/>
              </w:rPr>
            </w:pPr>
            <w:r>
              <w:rPr>
                <w:rFonts w:ascii="Arial" w:cs="Arial" w:eastAsia="Arial" w:hAnsi="Arial"/>
                <w:sz w:val="14"/>
                <w:szCs w:val="14"/>
                <w:b w:val="1"/>
                <w:bCs w:val="1"/>
                <w:color w:val="auto"/>
              </w:rPr>
              <w:t>Net cash used in financing activities</w:t>
            </w:r>
          </w:p>
        </w:tc>
        <w:tc>
          <w:tcPr>
            <w:tcW w:w="260" w:type="dxa"/>
            <w:vAlign w:val="bottom"/>
            <w:tcBorders>
              <w:bottom w:val="single" w:sz="8" w:color="CCEEFF"/>
            </w:tcBorders>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68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(74,948)</w:t>
            </w:r>
          </w:p>
        </w:tc>
        <w:tc>
          <w:tcPr>
            <w:tcW w:w="200" w:type="dxa"/>
            <w:vAlign w:val="bottom"/>
            <w:tcBorders>
              <w:bottom w:val="single" w:sz="8" w:color="CCEEFF"/>
            </w:tcBorders>
          </w:tcPr>
          <w:p>
            <w:pPr>
              <w:spacing w:after="0"/>
              <w:rPr>
                <w:sz w:val="12"/>
                <w:szCs w:val="12"/>
                <w:color w:val="auto"/>
              </w:rPr>
            </w:pPr>
          </w:p>
        </w:tc>
        <w:tc>
          <w:tcPr>
            <w:tcW w:w="240" w:type="dxa"/>
            <w:vAlign w:val="bottom"/>
            <w:tcBorders>
              <w:bottom w:val="single" w:sz="8" w:color="auto"/>
            </w:tcBorders>
          </w:tcPr>
          <w:p>
            <w:pPr>
              <w:spacing w:after="0"/>
              <w:rPr>
                <w:sz w:val="12"/>
                <w:szCs w:val="12"/>
                <w:color w:val="auto"/>
              </w:rPr>
            </w:pPr>
          </w:p>
        </w:tc>
        <w:tc>
          <w:tcPr>
            <w:tcW w:w="62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(73,920)</w:t>
            </w:r>
          </w:p>
        </w:tc>
        <w:tc>
          <w:tcPr>
            <w:tcW w:w="0" w:type="dxa"/>
            <w:vAlign w:val="bottom"/>
          </w:tcPr>
          <w:p>
            <w:pPr>
              <w:spacing w:after="0"/>
              <w:rPr>
                <w:sz w:val="1"/>
                <w:szCs w:val="1"/>
                <w:color w:val="auto"/>
              </w:rPr>
            </w:pPr>
          </w:p>
        </w:tc>
      </w:tr>
      <w:tr>
        <w:trPr>
          <w:trHeight w:val="142"/>
        </w:trPr>
        <w:tc>
          <w:tcPr>
            <w:tcW w:w="6740" w:type="dxa"/>
            <w:vAlign w:val="bottom"/>
            <w:shd w:val="clear" w:color="auto" w:fill="CCEEFF"/>
          </w:tcPr>
          <w:p>
            <w:pPr>
              <w:spacing w:after="0" w:line="142" w:lineRule="exact"/>
              <w:rPr>
                <w:sz w:val="20"/>
                <w:szCs w:val="20"/>
                <w:color w:val="auto"/>
              </w:rPr>
            </w:pPr>
            <w:r>
              <w:rPr>
                <w:rFonts w:ascii="Arial" w:cs="Arial" w:eastAsia="Arial" w:hAnsi="Arial"/>
                <w:sz w:val="14"/>
                <w:szCs w:val="14"/>
                <w:b w:val="1"/>
                <w:bCs w:val="1"/>
                <w:color w:val="auto"/>
              </w:rPr>
              <w:t>Net increase (decrease) in cash and cash equivalents and restricted cash</w:t>
            </w:r>
          </w:p>
        </w:tc>
        <w:tc>
          <w:tcPr>
            <w:tcW w:w="2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(19,940)</w:t>
            </w:r>
          </w:p>
        </w:tc>
        <w:tc>
          <w:tcPr>
            <w:tcW w:w="20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9,921</w:t>
            </w:r>
          </w:p>
        </w:tc>
        <w:tc>
          <w:tcPr>
            <w:tcW w:w="0" w:type="dxa"/>
            <w:vAlign w:val="bottom"/>
          </w:tcPr>
          <w:p>
            <w:pPr>
              <w:spacing w:after="0"/>
              <w:rPr>
                <w:sz w:val="1"/>
                <w:szCs w:val="1"/>
                <w:color w:val="auto"/>
              </w:rPr>
            </w:pPr>
          </w:p>
        </w:tc>
      </w:tr>
      <w:tr>
        <w:trPr>
          <w:trHeight w:val="148"/>
        </w:trPr>
        <w:tc>
          <w:tcPr>
            <w:tcW w:w="6740" w:type="dxa"/>
            <w:vAlign w:val="bottom"/>
            <w:tcBorders>
              <w:bottom w:val="single" w:sz="8" w:color="CCEEFF"/>
            </w:tcBorders>
          </w:tcPr>
          <w:p>
            <w:pPr>
              <w:spacing w:after="0" w:line="149" w:lineRule="exact"/>
              <w:rPr>
                <w:sz w:val="20"/>
                <w:szCs w:val="20"/>
                <w:color w:val="auto"/>
              </w:rPr>
            </w:pPr>
            <w:r>
              <w:rPr>
                <w:rFonts w:ascii="Arial" w:cs="Arial" w:eastAsia="Arial" w:hAnsi="Arial"/>
                <w:sz w:val="14"/>
                <w:szCs w:val="14"/>
                <w:b w:val="1"/>
                <w:bCs w:val="1"/>
                <w:color w:val="auto"/>
              </w:rPr>
              <w:t>Cash and cash equivalents and restricted cash, beginning of period</w:t>
            </w:r>
          </w:p>
        </w:tc>
        <w:tc>
          <w:tcPr>
            <w:tcW w:w="260" w:type="dxa"/>
            <w:vAlign w:val="bottom"/>
            <w:tcBorders>
              <w:bottom w:val="single" w:sz="8" w:color="CCEEFF"/>
            </w:tcBorders>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68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245,769</w:t>
            </w:r>
          </w:p>
        </w:tc>
        <w:tc>
          <w:tcPr>
            <w:tcW w:w="200" w:type="dxa"/>
            <w:vAlign w:val="bottom"/>
            <w:tcBorders>
              <w:bottom w:val="single" w:sz="8" w:color="CCEEFF"/>
            </w:tcBorders>
          </w:tcPr>
          <w:p>
            <w:pPr>
              <w:spacing w:after="0"/>
              <w:rPr>
                <w:sz w:val="12"/>
                <w:szCs w:val="12"/>
                <w:color w:val="auto"/>
              </w:rPr>
            </w:pPr>
          </w:p>
        </w:tc>
        <w:tc>
          <w:tcPr>
            <w:tcW w:w="240" w:type="dxa"/>
            <w:vAlign w:val="bottom"/>
            <w:tcBorders>
              <w:bottom w:val="single" w:sz="8" w:color="auto"/>
            </w:tcBorders>
          </w:tcPr>
          <w:p>
            <w:pPr>
              <w:spacing w:after="0"/>
              <w:rPr>
                <w:sz w:val="12"/>
                <w:szCs w:val="12"/>
                <w:color w:val="auto"/>
              </w:rPr>
            </w:pPr>
          </w:p>
        </w:tc>
        <w:tc>
          <w:tcPr>
            <w:tcW w:w="62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122,572</w:t>
            </w:r>
          </w:p>
        </w:tc>
        <w:tc>
          <w:tcPr>
            <w:tcW w:w="0" w:type="dxa"/>
            <w:vAlign w:val="bottom"/>
          </w:tcPr>
          <w:p>
            <w:pPr>
              <w:spacing w:after="0"/>
              <w:rPr>
                <w:sz w:val="1"/>
                <w:szCs w:val="1"/>
                <w:color w:val="auto"/>
              </w:rPr>
            </w:pPr>
          </w:p>
        </w:tc>
      </w:tr>
      <w:tr>
        <w:trPr>
          <w:trHeight w:val="142"/>
        </w:trPr>
        <w:tc>
          <w:tcPr>
            <w:tcW w:w="6740" w:type="dxa"/>
            <w:vAlign w:val="bottom"/>
            <w:shd w:val="clear" w:color="auto" w:fill="CCEEFF"/>
          </w:tcPr>
          <w:p>
            <w:pPr>
              <w:spacing w:after="0" w:line="142" w:lineRule="exact"/>
              <w:rPr>
                <w:sz w:val="20"/>
                <w:szCs w:val="20"/>
                <w:color w:val="auto"/>
              </w:rPr>
            </w:pPr>
            <w:r>
              <w:rPr>
                <w:rFonts w:ascii="Arial" w:cs="Arial" w:eastAsia="Arial" w:hAnsi="Arial"/>
                <w:sz w:val="14"/>
                <w:szCs w:val="14"/>
                <w:b w:val="1"/>
                <w:bCs w:val="1"/>
                <w:color w:val="auto"/>
              </w:rPr>
              <w:t>Cash and cash equivalents and restricted cash, end of period</w:t>
            </w:r>
          </w:p>
        </w:tc>
        <w:tc>
          <w:tcPr>
            <w:tcW w:w="260" w:type="dxa"/>
            <w:vAlign w:val="bottom"/>
            <w:shd w:val="clear" w:color="auto" w:fill="CCEEFF"/>
          </w:tcPr>
          <w:p>
            <w:pPr>
              <w:spacing w:after="0"/>
              <w:rPr>
                <w:sz w:val="12"/>
                <w:szCs w:val="12"/>
                <w:color w:val="auto"/>
              </w:rPr>
            </w:pPr>
          </w:p>
        </w:tc>
        <w:tc>
          <w:tcPr>
            <w:tcW w:w="160" w:type="dxa"/>
            <w:vAlign w:val="bottom"/>
            <w:tcBorders>
              <w:bottom w:val="single" w:sz="8" w:color="auto"/>
            </w:tcBorders>
            <w:shd w:val="clear" w:color="auto" w:fill="CCEEFF"/>
          </w:tcPr>
          <w:p>
            <w:pPr>
              <w:jc w:val="right"/>
              <w:ind w:right="49"/>
              <w:spacing w:after="0"/>
              <w:rPr>
                <w:sz w:val="20"/>
                <w:szCs w:val="20"/>
                <w:color w:val="auto"/>
              </w:rPr>
            </w:pPr>
            <w:r>
              <w:rPr>
                <w:rFonts w:ascii="Arial" w:cs="Arial" w:eastAsia="Arial" w:hAnsi="Arial"/>
                <w:sz w:val="10"/>
                <w:szCs w:val="10"/>
                <w:color w:val="auto"/>
                <w:w w:val="71"/>
              </w:rPr>
              <w:t>$</w:t>
            </w:r>
          </w:p>
        </w:tc>
        <w:tc>
          <w:tcPr>
            <w:tcW w:w="68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225,829</w:t>
            </w:r>
          </w:p>
        </w:tc>
        <w:tc>
          <w:tcPr>
            <w:tcW w:w="200" w:type="dxa"/>
            <w:vAlign w:val="bottom"/>
            <w:shd w:val="clear" w:color="auto" w:fill="CCEEFF"/>
          </w:tcPr>
          <w:p>
            <w:pPr>
              <w:spacing w:after="0"/>
              <w:rPr>
                <w:sz w:val="12"/>
                <w:szCs w:val="12"/>
                <w:color w:val="auto"/>
              </w:rPr>
            </w:pPr>
          </w:p>
        </w:tc>
        <w:tc>
          <w:tcPr>
            <w:tcW w:w="240" w:type="dxa"/>
            <w:vAlign w:val="bottom"/>
            <w:tcBorders>
              <w:bottom w:val="single" w:sz="8" w:color="auto"/>
            </w:tcBorders>
            <w:shd w:val="clear" w:color="auto" w:fill="CCEEFF"/>
          </w:tcPr>
          <w:p>
            <w:pPr>
              <w:jc w:val="right"/>
              <w:ind w:right="129"/>
              <w:spacing w:after="0"/>
              <w:rPr>
                <w:sz w:val="20"/>
                <w:szCs w:val="20"/>
                <w:color w:val="auto"/>
              </w:rPr>
            </w:pPr>
            <w:r>
              <w:rPr>
                <w:rFonts w:ascii="Arial" w:cs="Arial" w:eastAsia="Arial" w:hAnsi="Arial"/>
                <w:sz w:val="10"/>
                <w:szCs w:val="10"/>
                <w:color w:val="auto"/>
                <w:w w:val="71"/>
              </w:rPr>
              <w:t>$</w:t>
            </w:r>
          </w:p>
        </w:tc>
        <w:tc>
          <w:tcPr>
            <w:tcW w:w="62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132,493</w:t>
            </w:r>
          </w:p>
        </w:tc>
        <w:tc>
          <w:tcPr>
            <w:tcW w:w="0" w:type="dxa"/>
            <w:vAlign w:val="bottom"/>
          </w:tcPr>
          <w:p>
            <w:pPr>
              <w:spacing w:after="0"/>
              <w:rPr>
                <w:sz w:val="1"/>
                <w:szCs w:val="1"/>
                <w:color w:val="auto"/>
              </w:rPr>
            </w:pPr>
          </w:p>
        </w:tc>
      </w:tr>
      <w:tr>
        <w:trPr>
          <w:trHeight w:val="142"/>
        </w:trPr>
        <w:tc>
          <w:tcPr>
            <w:tcW w:w="6740" w:type="dxa"/>
            <w:vAlign w:val="bottom"/>
          </w:tcPr>
          <w:p>
            <w:pPr>
              <w:spacing w:after="0" w:line="142" w:lineRule="exact"/>
              <w:rPr>
                <w:sz w:val="20"/>
                <w:szCs w:val="20"/>
                <w:color w:val="auto"/>
              </w:rPr>
            </w:pPr>
            <w:r>
              <w:rPr>
                <w:rFonts w:ascii="Arial" w:cs="Arial" w:eastAsia="Arial" w:hAnsi="Arial"/>
                <w:sz w:val="14"/>
                <w:szCs w:val="14"/>
                <w:b w:val="1"/>
                <w:bCs w:val="1"/>
                <w:color w:val="auto"/>
              </w:rPr>
              <w:t>Supplemental disclosure of cash flow information</w:t>
            </w:r>
          </w:p>
        </w:tc>
        <w:tc>
          <w:tcPr>
            <w:tcW w:w="2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6740" w:type="dxa"/>
            <w:vAlign w:val="bottom"/>
            <w:shd w:val="clear" w:color="auto" w:fill="CCEEFF"/>
          </w:tcPr>
          <w:p>
            <w:pPr>
              <w:ind w:left="100"/>
              <w:spacing w:after="0" w:line="149" w:lineRule="exact"/>
              <w:rPr>
                <w:sz w:val="20"/>
                <w:szCs w:val="20"/>
                <w:color w:val="auto"/>
              </w:rPr>
            </w:pPr>
            <w:r>
              <w:rPr>
                <w:rFonts w:ascii="Arial" w:cs="Arial" w:eastAsia="Arial" w:hAnsi="Arial"/>
                <w:sz w:val="14"/>
                <w:szCs w:val="14"/>
                <w:color w:val="auto"/>
              </w:rPr>
              <w:t>Cash paid for interest</w:t>
            </w:r>
          </w:p>
        </w:tc>
        <w:tc>
          <w:tcPr>
            <w:tcW w:w="420" w:type="dxa"/>
            <w:vAlign w:val="bottom"/>
            <w:gridSpan w:val="2"/>
            <w:shd w:val="clear" w:color="auto" w:fill="CCEEFF"/>
          </w:tcPr>
          <w:p>
            <w:pPr>
              <w:jc w:val="right"/>
              <w:ind w:right="49"/>
              <w:spacing w:after="0" w:line="149" w:lineRule="exact"/>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895</w:t>
            </w:r>
          </w:p>
        </w:tc>
        <w:tc>
          <w:tcPr>
            <w:tcW w:w="440" w:type="dxa"/>
            <w:vAlign w:val="bottom"/>
            <w:gridSpan w:val="2"/>
            <w:shd w:val="clear" w:color="auto" w:fill="CCEEFF"/>
          </w:tcPr>
          <w:p>
            <w:pPr>
              <w:jc w:val="right"/>
              <w:ind w:right="129"/>
              <w:spacing w:after="0" w:line="149" w:lineRule="exact"/>
              <w:rPr>
                <w:sz w:val="20"/>
                <w:szCs w:val="20"/>
                <w:color w:val="auto"/>
              </w:rPr>
            </w:pPr>
            <w:r>
              <w:rPr>
                <w:rFonts w:ascii="Arial" w:cs="Arial" w:eastAsia="Arial" w:hAnsi="Arial"/>
                <w:sz w:val="14"/>
                <w:szCs w:val="14"/>
                <w:color w:val="auto"/>
              </w:rPr>
              <w:t>$</w:t>
            </w: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1,546</w:t>
            </w:r>
          </w:p>
        </w:tc>
        <w:tc>
          <w:tcPr>
            <w:tcW w:w="0" w:type="dxa"/>
            <w:vAlign w:val="bottom"/>
          </w:tcPr>
          <w:p>
            <w:pPr>
              <w:spacing w:after="0"/>
              <w:rPr>
                <w:sz w:val="1"/>
                <w:szCs w:val="1"/>
                <w:color w:val="auto"/>
              </w:rPr>
            </w:pPr>
          </w:p>
        </w:tc>
      </w:tr>
      <w:tr>
        <w:trPr>
          <w:trHeight w:val="149"/>
        </w:trPr>
        <w:tc>
          <w:tcPr>
            <w:tcW w:w="6740" w:type="dxa"/>
            <w:vAlign w:val="bottom"/>
          </w:tcPr>
          <w:p>
            <w:pPr>
              <w:ind w:left="100"/>
              <w:spacing w:after="0" w:line="149" w:lineRule="exact"/>
              <w:rPr>
                <w:sz w:val="20"/>
                <w:szCs w:val="20"/>
                <w:color w:val="auto"/>
              </w:rPr>
            </w:pPr>
            <w:r>
              <w:rPr>
                <w:rFonts w:ascii="Arial" w:cs="Arial" w:eastAsia="Arial" w:hAnsi="Arial"/>
                <w:sz w:val="14"/>
                <w:szCs w:val="14"/>
                <w:color w:val="auto"/>
              </w:rPr>
              <w:t>Cash paid for income taxes</w:t>
            </w:r>
          </w:p>
        </w:tc>
        <w:tc>
          <w:tcPr>
            <w:tcW w:w="420" w:type="dxa"/>
            <w:vAlign w:val="bottom"/>
            <w:gridSpan w:val="2"/>
          </w:tcPr>
          <w:p>
            <w:pPr>
              <w:jc w:val="right"/>
              <w:ind w:right="49"/>
              <w:spacing w:after="0" w:line="149" w:lineRule="exact"/>
              <w:rPr>
                <w:sz w:val="20"/>
                <w:szCs w:val="20"/>
                <w:color w:val="auto"/>
              </w:rPr>
            </w:pPr>
            <w:r>
              <w:rPr>
                <w:rFonts w:ascii="Arial" w:cs="Arial" w:eastAsia="Arial" w:hAnsi="Arial"/>
                <w:sz w:val="14"/>
                <w:szCs w:val="14"/>
                <w:color w:val="auto"/>
              </w:rPr>
              <w:t>$</w:t>
            </w:r>
          </w:p>
        </w:tc>
        <w:tc>
          <w:tcPr>
            <w:tcW w:w="680" w:type="dxa"/>
            <w:vAlign w:val="bottom"/>
          </w:tcPr>
          <w:p>
            <w:pPr>
              <w:jc w:val="right"/>
              <w:spacing w:after="0" w:line="149" w:lineRule="exact"/>
              <w:rPr>
                <w:sz w:val="20"/>
                <w:szCs w:val="20"/>
                <w:color w:val="auto"/>
              </w:rPr>
            </w:pPr>
            <w:r>
              <w:rPr>
                <w:rFonts w:ascii="Arial" w:cs="Arial" w:eastAsia="Arial" w:hAnsi="Arial"/>
                <w:sz w:val="14"/>
                <w:szCs w:val="14"/>
                <w:color w:val="auto"/>
              </w:rPr>
              <w:t>230</w:t>
            </w:r>
          </w:p>
        </w:tc>
        <w:tc>
          <w:tcPr>
            <w:tcW w:w="440" w:type="dxa"/>
            <w:vAlign w:val="bottom"/>
            <w:gridSpan w:val="2"/>
          </w:tcPr>
          <w:p>
            <w:pPr>
              <w:jc w:val="right"/>
              <w:ind w:right="129"/>
              <w:spacing w:after="0" w:line="149" w:lineRule="exact"/>
              <w:rPr>
                <w:sz w:val="20"/>
                <w:szCs w:val="20"/>
                <w:color w:val="auto"/>
              </w:rPr>
            </w:pPr>
            <w:r>
              <w:rPr>
                <w:rFonts w:ascii="Arial" w:cs="Arial" w:eastAsia="Arial" w:hAnsi="Arial"/>
                <w:sz w:val="14"/>
                <w:szCs w:val="14"/>
                <w:color w:val="auto"/>
              </w:rPr>
              <w:t>$</w:t>
            </w:r>
          </w:p>
        </w:tc>
        <w:tc>
          <w:tcPr>
            <w:tcW w:w="620" w:type="dxa"/>
            <w:vAlign w:val="bottom"/>
          </w:tcPr>
          <w:p>
            <w:pPr>
              <w:jc w:val="right"/>
              <w:spacing w:after="0" w:line="149" w:lineRule="exact"/>
              <w:rPr>
                <w:sz w:val="20"/>
                <w:szCs w:val="20"/>
                <w:color w:val="auto"/>
              </w:rPr>
            </w:pPr>
            <w:r>
              <w:rPr>
                <w:rFonts w:ascii="Arial" w:cs="Arial" w:eastAsia="Arial" w:hAnsi="Arial"/>
                <w:sz w:val="14"/>
                <w:szCs w:val="14"/>
                <w:color w:val="auto"/>
              </w:rPr>
              <w:t>250</w:t>
            </w:r>
          </w:p>
        </w:tc>
        <w:tc>
          <w:tcPr>
            <w:tcW w:w="0" w:type="dxa"/>
            <w:vAlign w:val="bottom"/>
          </w:tcPr>
          <w:p>
            <w:pPr>
              <w:spacing w:after="0"/>
              <w:rPr>
                <w:sz w:val="1"/>
                <w:szCs w:val="1"/>
                <w:color w:val="auto"/>
              </w:rPr>
            </w:pPr>
          </w:p>
        </w:tc>
      </w:tr>
      <w:tr>
        <w:trPr>
          <w:trHeight w:val="148"/>
        </w:trPr>
        <w:tc>
          <w:tcPr>
            <w:tcW w:w="674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Supplemental disclosure of non-cash investing and financing activities</w:t>
            </w:r>
          </w:p>
        </w:tc>
        <w:tc>
          <w:tcPr>
            <w:tcW w:w="2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6740" w:type="dxa"/>
            <w:vAlign w:val="bottom"/>
          </w:tcPr>
          <w:p>
            <w:pPr>
              <w:ind w:left="100"/>
              <w:spacing w:after="0" w:line="149" w:lineRule="exact"/>
              <w:rPr>
                <w:sz w:val="20"/>
                <w:szCs w:val="20"/>
                <w:color w:val="auto"/>
              </w:rPr>
            </w:pPr>
            <w:r>
              <w:rPr>
                <w:rFonts w:ascii="Arial" w:cs="Arial" w:eastAsia="Arial" w:hAnsi="Arial"/>
                <w:sz w:val="14"/>
                <w:szCs w:val="14"/>
                <w:color w:val="auto"/>
              </w:rPr>
              <w:t>Purchases of property and equipment included in accounts payable</w:t>
            </w:r>
          </w:p>
        </w:tc>
        <w:tc>
          <w:tcPr>
            <w:tcW w:w="420" w:type="dxa"/>
            <w:vAlign w:val="bottom"/>
            <w:gridSpan w:val="2"/>
          </w:tcPr>
          <w:p>
            <w:pPr>
              <w:jc w:val="right"/>
              <w:ind w:right="49"/>
              <w:spacing w:after="0" w:line="149" w:lineRule="exact"/>
              <w:rPr>
                <w:sz w:val="20"/>
                <w:szCs w:val="20"/>
                <w:color w:val="auto"/>
              </w:rPr>
            </w:pPr>
            <w:r>
              <w:rPr>
                <w:rFonts w:ascii="Arial" w:cs="Arial" w:eastAsia="Arial" w:hAnsi="Arial"/>
                <w:sz w:val="14"/>
                <w:szCs w:val="14"/>
                <w:color w:val="auto"/>
              </w:rPr>
              <w:t>$</w:t>
            </w:r>
          </w:p>
        </w:tc>
        <w:tc>
          <w:tcPr>
            <w:tcW w:w="680" w:type="dxa"/>
            <w:vAlign w:val="bottom"/>
          </w:tcPr>
          <w:p>
            <w:pPr>
              <w:jc w:val="right"/>
              <w:spacing w:after="0" w:line="149" w:lineRule="exact"/>
              <w:rPr>
                <w:sz w:val="20"/>
                <w:szCs w:val="20"/>
                <w:color w:val="auto"/>
              </w:rPr>
            </w:pPr>
            <w:r>
              <w:rPr>
                <w:rFonts w:ascii="Arial" w:cs="Arial" w:eastAsia="Arial" w:hAnsi="Arial"/>
                <w:sz w:val="14"/>
                <w:szCs w:val="14"/>
                <w:color w:val="auto"/>
              </w:rPr>
              <w:t>876</w:t>
            </w:r>
          </w:p>
        </w:tc>
        <w:tc>
          <w:tcPr>
            <w:tcW w:w="440" w:type="dxa"/>
            <w:vAlign w:val="bottom"/>
            <w:gridSpan w:val="2"/>
          </w:tcPr>
          <w:p>
            <w:pPr>
              <w:jc w:val="right"/>
              <w:ind w:right="129"/>
              <w:spacing w:after="0" w:line="149" w:lineRule="exact"/>
              <w:rPr>
                <w:sz w:val="20"/>
                <w:szCs w:val="20"/>
                <w:color w:val="auto"/>
              </w:rPr>
            </w:pPr>
            <w:r>
              <w:rPr>
                <w:rFonts w:ascii="Arial" w:cs="Arial" w:eastAsia="Arial" w:hAnsi="Arial"/>
                <w:sz w:val="14"/>
                <w:szCs w:val="14"/>
                <w:color w:val="auto"/>
              </w:rPr>
              <w:t>$</w:t>
            </w:r>
          </w:p>
        </w:tc>
        <w:tc>
          <w:tcPr>
            <w:tcW w:w="620" w:type="dxa"/>
            <w:vAlign w:val="bottom"/>
          </w:tcPr>
          <w:p>
            <w:pPr>
              <w:jc w:val="right"/>
              <w:spacing w:after="0" w:line="149" w:lineRule="exact"/>
              <w:rPr>
                <w:sz w:val="20"/>
                <w:szCs w:val="20"/>
                <w:color w:val="auto"/>
              </w:rPr>
            </w:pPr>
            <w:r>
              <w:rPr>
                <w:rFonts w:ascii="Arial" w:cs="Arial" w:eastAsia="Arial" w:hAnsi="Arial"/>
                <w:sz w:val="14"/>
                <w:szCs w:val="14"/>
                <w:color w:val="auto"/>
              </w:rPr>
              <w:t>899</w:t>
            </w:r>
          </w:p>
        </w:tc>
        <w:tc>
          <w:tcPr>
            <w:tcW w:w="0" w:type="dxa"/>
            <w:vAlign w:val="bottom"/>
          </w:tcPr>
          <w:p>
            <w:pPr>
              <w:spacing w:after="0"/>
              <w:rPr>
                <w:sz w:val="1"/>
                <w:szCs w:val="1"/>
                <w:color w:val="auto"/>
              </w:rPr>
            </w:pPr>
          </w:p>
        </w:tc>
      </w:tr>
      <w:tr>
        <w:trPr>
          <w:trHeight w:val="149"/>
        </w:trPr>
        <w:tc>
          <w:tcPr>
            <w:tcW w:w="6740" w:type="dxa"/>
            <w:vAlign w:val="bottom"/>
            <w:shd w:val="clear" w:color="auto" w:fill="CCEEFF"/>
          </w:tcPr>
          <w:p>
            <w:pPr>
              <w:ind w:left="100"/>
              <w:spacing w:after="0" w:line="149" w:lineRule="exact"/>
              <w:rPr>
                <w:sz w:val="20"/>
                <w:szCs w:val="20"/>
                <w:color w:val="auto"/>
              </w:rPr>
            </w:pPr>
            <w:r>
              <w:rPr>
                <w:rFonts w:ascii="Arial" w:cs="Arial" w:eastAsia="Arial" w:hAnsi="Arial"/>
                <w:sz w:val="14"/>
                <w:szCs w:val="14"/>
                <w:color w:val="auto"/>
              </w:rPr>
              <w:t>Allowance for credit losses of $5,000, net of taxes of $1,168 from adoption of ASU 2016-13</w:t>
            </w:r>
          </w:p>
        </w:tc>
        <w:tc>
          <w:tcPr>
            <w:tcW w:w="420" w:type="dxa"/>
            <w:vAlign w:val="bottom"/>
            <w:gridSpan w:val="2"/>
            <w:shd w:val="clear" w:color="auto" w:fill="CCEEFF"/>
          </w:tcPr>
          <w:p>
            <w:pPr>
              <w:jc w:val="right"/>
              <w:ind w:right="49"/>
              <w:spacing w:after="0" w:line="149" w:lineRule="exact"/>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440" w:type="dxa"/>
            <w:vAlign w:val="bottom"/>
            <w:gridSpan w:val="2"/>
            <w:shd w:val="clear" w:color="auto" w:fill="CCEEFF"/>
          </w:tcPr>
          <w:p>
            <w:pPr>
              <w:jc w:val="right"/>
              <w:ind w:right="129"/>
              <w:spacing w:after="0" w:line="149" w:lineRule="exact"/>
              <w:rPr>
                <w:sz w:val="20"/>
                <w:szCs w:val="20"/>
                <w:color w:val="auto"/>
              </w:rPr>
            </w:pPr>
            <w:r>
              <w:rPr>
                <w:rFonts w:ascii="Arial" w:cs="Arial" w:eastAsia="Arial" w:hAnsi="Arial"/>
                <w:sz w:val="14"/>
                <w:szCs w:val="14"/>
                <w:color w:val="auto"/>
              </w:rPr>
              <w:t>$</w:t>
            </w: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3,832</w:t>
            </w:r>
          </w:p>
        </w:tc>
        <w:tc>
          <w:tcPr>
            <w:tcW w:w="0" w:type="dxa"/>
            <w:vAlign w:val="bottom"/>
          </w:tcPr>
          <w:p>
            <w:pPr>
              <w:spacing w:after="0"/>
              <w:rPr>
                <w:sz w:val="1"/>
                <w:szCs w:val="1"/>
                <w:color w:val="auto"/>
              </w:rPr>
            </w:pPr>
          </w:p>
        </w:tc>
      </w:tr>
      <w:tr>
        <w:trPr>
          <w:trHeight w:val="182"/>
        </w:trPr>
        <w:tc>
          <w:tcPr>
            <w:tcW w:w="6740" w:type="dxa"/>
            <w:vAlign w:val="bottom"/>
          </w:tcPr>
          <w:p>
            <w:pPr>
              <w:ind w:left="100"/>
              <w:spacing w:after="0"/>
              <w:rPr>
                <w:sz w:val="20"/>
                <w:szCs w:val="20"/>
                <w:color w:val="auto"/>
              </w:rPr>
            </w:pPr>
            <w:r>
              <w:rPr>
                <w:rFonts w:ascii="Arial" w:cs="Arial" w:eastAsia="Arial" w:hAnsi="Arial"/>
                <w:sz w:val="14"/>
                <w:szCs w:val="14"/>
                <w:color w:val="auto"/>
              </w:rPr>
              <w:t>ROU Asset and Liability recognition</w:t>
            </w:r>
          </w:p>
        </w:tc>
        <w:tc>
          <w:tcPr>
            <w:tcW w:w="420" w:type="dxa"/>
            <w:vAlign w:val="bottom"/>
            <w:gridSpan w:val="2"/>
          </w:tcPr>
          <w:p>
            <w:pPr>
              <w:jc w:val="right"/>
              <w:ind w:right="49"/>
              <w:spacing w:after="0"/>
              <w:rPr>
                <w:sz w:val="20"/>
                <w:szCs w:val="20"/>
                <w:color w:val="auto"/>
              </w:rPr>
            </w:pPr>
            <w:r>
              <w:rPr>
                <w:rFonts w:ascii="Arial" w:cs="Arial" w:eastAsia="Arial" w:hAnsi="Arial"/>
                <w:sz w:val="14"/>
                <w:szCs w:val="14"/>
                <w:color w:val="auto"/>
              </w:rPr>
              <w:t>$</w:t>
            </w:r>
          </w:p>
        </w:tc>
        <w:tc>
          <w:tcPr>
            <w:tcW w:w="680" w:type="dxa"/>
            <w:vAlign w:val="bottom"/>
          </w:tcPr>
          <w:p>
            <w:pPr>
              <w:jc w:val="right"/>
              <w:spacing w:after="0"/>
              <w:rPr>
                <w:sz w:val="20"/>
                <w:szCs w:val="20"/>
                <w:color w:val="auto"/>
              </w:rPr>
            </w:pPr>
            <w:r>
              <w:rPr>
                <w:rFonts w:ascii="Arial" w:cs="Arial" w:eastAsia="Arial" w:hAnsi="Arial"/>
                <w:sz w:val="14"/>
                <w:szCs w:val="14"/>
                <w:color w:val="auto"/>
              </w:rPr>
              <w:t>1,586</w:t>
            </w:r>
          </w:p>
        </w:tc>
        <w:tc>
          <w:tcPr>
            <w:tcW w:w="440" w:type="dxa"/>
            <w:vAlign w:val="bottom"/>
            <w:gridSpan w:val="2"/>
          </w:tcPr>
          <w:p>
            <w:pPr>
              <w:jc w:val="right"/>
              <w:ind w:right="129"/>
              <w:spacing w:after="0"/>
              <w:rPr>
                <w:sz w:val="20"/>
                <w:szCs w:val="20"/>
                <w:color w:val="auto"/>
              </w:rPr>
            </w:pPr>
            <w:r>
              <w:rPr>
                <w:rFonts w:ascii="Arial" w:cs="Arial" w:eastAsia="Arial" w:hAnsi="Arial"/>
                <w:sz w:val="14"/>
                <w:szCs w:val="14"/>
                <w:color w:val="auto"/>
              </w:rPr>
              <w:t>$</w:t>
            </w:r>
          </w:p>
        </w:tc>
        <w:tc>
          <w:tcPr>
            <w:tcW w:w="620" w:type="dxa"/>
            <w:vAlign w:val="bottom"/>
          </w:tcPr>
          <w:p>
            <w:pPr>
              <w:jc w:val="right"/>
              <w:spacing w:after="0"/>
              <w:rPr>
                <w:sz w:val="20"/>
                <w:szCs w:val="20"/>
                <w:color w:val="auto"/>
              </w:rPr>
            </w:pPr>
            <w:r>
              <w:rPr>
                <w:rFonts w:ascii="Arial" w:cs="Arial" w:eastAsia="Arial" w:hAnsi="Arial"/>
                <w:sz w:val="14"/>
                <w:szCs w:val="14"/>
                <w:color w:val="auto"/>
              </w:rPr>
              <w:t>6,775</w:t>
            </w:r>
          </w:p>
        </w:tc>
        <w:tc>
          <w:tcPr>
            <w:tcW w:w="0" w:type="dxa"/>
            <w:vAlign w:val="bottom"/>
          </w:tcPr>
          <w:p>
            <w:pPr>
              <w:spacing w:after="0"/>
              <w:rPr>
                <w:sz w:val="1"/>
                <w:szCs w:val="1"/>
                <w:color w:val="auto"/>
              </w:rPr>
            </w:pPr>
          </w:p>
        </w:tc>
      </w:tr>
    </w:tbl>
    <w:p>
      <w:pPr>
        <w:spacing w:after="0" w:line="100"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The accompanying notes are an integral part of these consolidated financial statements.</w:t>
      </w:r>
    </w:p>
    <w:p>
      <w:pPr>
        <w:spacing w:after="0" w:line="200" w:lineRule="exact"/>
        <w:rPr>
          <w:sz w:val="20"/>
          <w:szCs w:val="20"/>
          <w:color w:val="auto"/>
        </w:rPr>
      </w:pPr>
    </w:p>
    <w:p>
      <w:pPr>
        <w:spacing w:after="0" w:line="30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540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7" w:name="page8"/>
    <w:bookmarkEnd w:id="7"/>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(In thousands, except per share data)</w:t>
      </w:r>
    </w:p>
    <w:p>
      <w:pPr>
        <w:spacing w:after="0" w:line="207"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1. Nature of Business</w:t>
      </w:r>
    </w:p>
    <w:p>
      <w:pPr>
        <w:spacing w:after="0" w:line="229" w:lineRule="exact"/>
        <w:rPr>
          <w:sz w:val="20"/>
          <w:szCs w:val="20"/>
          <w:color w:val="auto"/>
        </w:rPr>
      </w:pPr>
    </w:p>
    <w:p>
      <w:pPr>
        <w:ind w:left="60" w:right="199" w:firstLine="648"/>
        <w:spacing w:after="0" w:line="254" w:lineRule="auto"/>
        <w:rPr>
          <w:sz w:val="20"/>
          <w:szCs w:val="20"/>
          <w:color w:val="auto"/>
        </w:rPr>
      </w:pPr>
      <w:r>
        <w:rPr>
          <w:rFonts w:ascii="Arial" w:cs="Arial" w:eastAsia="Arial" w:hAnsi="Arial"/>
          <w:sz w:val="18"/>
          <w:szCs w:val="18"/>
          <w:color w:val="auto"/>
        </w:rPr>
        <w:t>Grand Canyon Education, Inc. (together with its subsidiaries, the “Company” or “GCE”) is a publicly traded education services company dedicated to serving colleges and universities. GCE has developed significant technological solutions, infrastructure and operational processes to provide services to these institutions on a large scale. GCE’s most significant university partner is Grand Canyon University (“GCU”), an Arizona non-profit corporation, a comprehensive regionally accredited university that offers graduate and undergraduate degree programs, emphases and certificates across nine colleges both online, on ground at its campus in Phoenix, Arizona and at two off-campus classroom and laboratory sites.</w:t>
      </w:r>
    </w:p>
    <w:p>
      <w:pPr>
        <w:spacing w:after="0" w:line="195" w:lineRule="exact"/>
        <w:rPr>
          <w:sz w:val="20"/>
          <w:szCs w:val="20"/>
          <w:color w:val="auto"/>
        </w:rPr>
      </w:pPr>
    </w:p>
    <w:p>
      <w:pPr>
        <w:ind w:left="700"/>
        <w:spacing w:after="0"/>
        <w:rPr>
          <w:sz w:val="20"/>
          <w:szCs w:val="20"/>
          <w:color w:val="auto"/>
        </w:rPr>
      </w:pPr>
      <w:r>
        <w:rPr>
          <w:rFonts w:ascii="Arial" w:cs="Arial" w:eastAsia="Arial" w:hAnsi="Arial"/>
          <w:sz w:val="17"/>
          <w:szCs w:val="17"/>
          <w:color w:val="auto"/>
        </w:rPr>
        <w:t>In January 2019, GCE began providing education services to numerous university partners across the United</w:t>
      </w:r>
    </w:p>
    <w:p>
      <w:pPr>
        <w:spacing w:after="0" w:line="35" w:lineRule="exact"/>
        <w:rPr>
          <w:sz w:val="20"/>
          <w:szCs w:val="20"/>
          <w:color w:val="auto"/>
        </w:rPr>
      </w:pPr>
    </w:p>
    <w:p>
      <w:pPr>
        <w:ind w:left="60"/>
        <w:spacing w:after="0"/>
        <w:rPr>
          <w:sz w:val="20"/>
          <w:szCs w:val="20"/>
          <w:color w:val="auto"/>
        </w:rPr>
      </w:pPr>
      <w:r>
        <w:rPr>
          <w:rFonts w:ascii="Arial" w:cs="Arial" w:eastAsia="Arial" w:hAnsi="Arial"/>
          <w:sz w:val="17"/>
          <w:szCs w:val="17"/>
          <w:color w:val="auto"/>
        </w:rPr>
        <w:t>States, through our wholly owned subsidiary, Orbis Education, which we acquired, by merger on January 22, 2019 for</w:t>
      </w:r>
    </w:p>
    <w:p>
      <w:pPr>
        <w:spacing w:after="0" w:line="21" w:lineRule="exact"/>
        <w:rPr>
          <w:sz w:val="20"/>
          <w:szCs w:val="20"/>
          <w:color w:val="auto"/>
        </w:rPr>
      </w:pPr>
    </w:p>
    <w:p>
      <w:pPr>
        <w:ind w:left="60"/>
        <w:spacing w:after="0"/>
        <w:rPr>
          <w:sz w:val="20"/>
          <w:szCs w:val="20"/>
          <w:color w:val="auto"/>
        </w:rPr>
      </w:pPr>
      <w:r>
        <w:rPr>
          <w:rFonts w:ascii="Arial" w:cs="Arial" w:eastAsia="Arial" w:hAnsi="Arial"/>
          <w:sz w:val="16"/>
          <w:szCs w:val="16"/>
          <w:color w:val="auto"/>
        </w:rPr>
        <w:t>$361,184, net of cash acquired (the “Acquisition”).  In the healthcare field, GCE, together with Orbis Education, works in</w:t>
      </w:r>
    </w:p>
    <w:p>
      <w:pPr>
        <w:spacing w:after="0" w:line="32" w:lineRule="exact"/>
        <w:rPr>
          <w:sz w:val="20"/>
          <w:szCs w:val="20"/>
          <w:color w:val="auto"/>
        </w:rPr>
      </w:pPr>
    </w:p>
    <w:p>
      <w:pPr>
        <w:ind w:left="60"/>
        <w:spacing w:after="0"/>
        <w:rPr>
          <w:sz w:val="20"/>
          <w:szCs w:val="20"/>
          <w:color w:val="auto"/>
        </w:rPr>
      </w:pPr>
      <w:r>
        <w:rPr>
          <w:rFonts w:ascii="Arial" w:cs="Arial" w:eastAsia="Arial" w:hAnsi="Arial"/>
          <w:sz w:val="16"/>
          <w:szCs w:val="16"/>
          <w:color w:val="auto"/>
        </w:rPr>
        <w:t>partnership with a growing number of top universities and healthcare networks across the country, offering healthcare-</w:t>
      </w:r>
    </w:p>
    <w:p>
      <w:pPr>
        <w:spacing w:after="0" w:line="32" w:lineRule="exact"/>
        <w:rPr>
          <w:sz w:val="20"/>
          <w:szCs w:val="20"/>
          <w:color w:val="auto"/>
        </w:rPr>
      </w:pPr>
    </w:p>
    <w:p>
      <w:pPr>
        <w:ind w:left="60"/>
        <w:spacing w:after="0"/>
        <w:rPr>
          <w:sz w:val="20"/>
          <w:szCs w:val="20"/>
          <w:color w:val="auto"/>
        </w:rPr>
      </w:pPr>
      <w:r>
        <w:rPr>
          <w:rFonts w:ascii="Arial" w:cs="Arial" w:eastAsia="Arial" w:hAnsi="Arial"/>
          <w:sz w:val="16"/>
          <w:szCs w:val="16"/>
          <w:color w:val="auto"/>
        </w:rPr>
        <w:t>related academic programs at off-campus classroom and laboratory sites located near healthcare providers and developing</w:t>
      </w:r>
    </w:p>
    <w:p>
      <w:pPr>
        <w:spacing w:after="0" w:line="32" w:lineRule="exact"/>
        <w:rPr>
          <w:sz w:val="20"/>
          <w:szCs w:val="20"/>
          <w:color w:val="auto"/>
        </w:rPr>
      </w:pPr>
    </w:p>
    <w:p>
      <w:pPr>
        <w:ind w:left="60"/>
        <w:spacing w:after="0"/>
        <w:rPr>
          <w:sz w:val="20"/>
          <w:szCs w:val="20"/>
          <w:color w:val="auto"/>
        </w:rPr>
      </w:pPr>
      <w:r>
        <w:rPr>
          <w:rFonts w:ascii="Arial" w:cs="Arial" w:eastAsia="Arial" w:hAnsi="Arial"/>
          <w:sz w:val="17"/>
          <w:szCs w:val="17"/>
          <w:color w:val="auto"/>
        </w:rPr>
        <w:t>high-quality, career-ready graduates who enter the workforce ready to meet the demands of the healthcare industry.</w:t>
      </w:r>
    </w:p>
    <w:p>
      <w:pPr>
        <w:spacing w:after="0" w:line="222" w:lineRule="exact"/>
        <w:rPr>
          <w:sz w:val="20"/>
          <w:szCs w:val="20"/>
          <w:color w:val="auto"/>
        </w:rPr>
      </w:pPr>
    </w:p>
    <w:p>
      <w:pPr>
        <w:ind w:left="700"/>
        <w:spacing w:after="0"/>
        <w:rPr>
          <w:sz w:val="20"/>
          <w:szCs w:val="20"/>
          <w:color w:val="auto"/>
        </w:rPr>
      </w:pPr>
      <w:r>
        <w:rPr>
          <w:rFonts w:ascii="Arial" w:cs="Arial" w:eastAsia="Arial" w:hAnsi="Arial"/>
          <w:sz w:val="17"/>
          <w:szCs w:val="17"/>
          <w:color w:val="auto"/>
        </w:rPr>
        <w:t>As of March 31, 2021, GCE provides education services to 26 university partners across the United States.</w:t>
      </w:r>
    </w:p>
    <w:p>
      <w:pPr>
        <w:spacing w:after="0" w:line="233"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2. Summary of Significant Accounting Policies</w:t>
      </w:r>
    </w:p>
    <w:p>
      <w:pPr>
        <w:spacing w:after="0" w:line="229"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Principles of Consolidation</w:t>
      </w:r>
    </w:p>
    <w:p>
      <w:pPr>
        <w:spacing w:after="0" w:line="225" w:lineRule="exact"/>
        <w:rPr>
          <w:sz w:val="20"/>
          <w:szCs w:val="20"/>
          <w:color w:val="auto"/>
        </w:rPr>
      </w:pPr>
    </w:p>
    <w:p>
      <w:pPr>
        <w:ind w:left="700"/>
        <w:spacing w:after="0"/>
        <w:rPr>
          <w:sz w:val="20"/>
          <w:szCs w:val="20"/>
          <w:color w:val="auto"/>
        </w:rPr>
      </w:pPr>
      <w:r>
        <w:rPr>
          <w:rFonts w:ascii="Arial" w:cs="Arial" w:eastAsia="Arial" w:hAnsi="Arial"/>
          <w:sz w:val="16"/>
          <w:szCs w:val="16"/>
          <w:color w:val="auto"/>
        </w:rPr>
        <w:t>The consolidated financial statements include the accounts of the Company and its wholly-owned subsidiaries.</w:t>
      </w:r>
    </w:p>
    <w:p>
      <w:pPr>
        <w:spacing w:after="0" w:line="46" w:lineRule="exact"/>
        <w:rPr>
          <w:sz w:val="20"/>
          <w:szCs w:val="20"/>
          <w:color w:val="auto"/>
        </w:rPr>
      </w:pPr>
    </w:p>
    <w:p>
      <w:pPr>
        <w:ind w:left="60"/>
        <w:spacing w:after="0"/>
        <w:rPr>
          <w:sz w:val="20"/>
          <w:szCs w:val="20"/>
          <w:color w:val="auto"/>
        </w:rPr>
      </w:pPr>
      <w:r>
        <w:rPr>
          <w:rFonts w:ascii="Arial" w:cs="Arial" w:eastAsia="Arial" w:hAnsi="Arial"/>
          <w:sz w:val="18"/>
          <w:szCs w:val="18"/>
          <w:color w:val="auto"/>
        </w:rPr>
        <w:t>Intercompany transactions have been eliminated in consolidation.</w:t>
      </w:r>
    </w:p>
    <w:p>
      <w:pPr>
        <w:spacing w:after="0" w:line="211"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Unaudited Interim Financial Information</w:t>
      </w:r>
    </w:p>
    <w:p>
      <w:pPr>
        <w:spacing w:after="0" w:line="225" w:lineRule="exact"/>
        <w:rPr>
          <w:sz w:val="20"/>
          <w:szCs w:val="20"/>
          <w:color w:val="auto"/>
        </w:rPr>
      </w:pPr>
    </w:p>
    <w:p>
      <w:pPr>
        <w:ind w:left="700"/>
        <w:spacing w:after="0"/>
        <w:rPr>
          <w:sz w:val="20"/>
          <w:szCs w:val="20"/>
          <w:color w:val="auto"/>
        </w:rPr>
      </w:pPr>
      <w:r>
        <w:rPr>
          <w:rFonts w:ascii="Arial" w:cs="Arial" w:eastAsia="Arial" w:hAnsi="Arial"/>
          <w:sz w:val="16"/>
          <w:szCs w:val="16"/>
          <w:color w:val="auto"/>
        </w:rPr>
        <w:t>The accompanying unaudited interim consolidated financial statements of the Company have been prepared in</w:t>
      </w:r>
    </w:p>
    <w:p>
      <w:pPr>
        <w:spacing w:after="0" w:line="46" w:lineRule="exact"/>
        <w:rPr>
          <w:sz w:val="20"/>
          <w:szCs w:val="20"/>
          <w:color w:val="auto"/>
        </w:rPr>
      </w:pPr>
    </w:p>
    <w:p>
      <w:pPr>
        <w:ind w:left="60"/>
        <w:spacing w:after="0"/>
        <w:rPr>
          <w:sz w:val="20"/>
          <w:szCs w:val="20"/>
          <w:color w:val="auto"/>
        </w:rPr>
      </w:pPr>
      <w:r>
        <w:rPr>
          <w:rFonts w:ascii="Arial" w:cs="Arial" w:eastAsia="Arial" w:hAnsi="Arial"/>
          <w:sz w:val="16"/>
          <w:szCs w:val="16"/>
          <w:color w:val="auto"/>
        </w:rPr>
        <w:t>accordance with U.S. generally accepted accounting principles and pursuant to the rules and regulations of the United</w:t>
      </w:r>
    </w:p>
    <w:p>
      <w:pPr>
        <w:spacing w:after="0" w:line="32" w:lineRule="exact"/>
        <w:rPr>
          <w:sz w:val="20"/>
          <w:szCs w:val="20"/>
          <w:color w:val="auto"/>
        </w:rPr>
      </w:pPr>
    </w:p>
    <w:p>
      <w:pPr>
        <w:ind w:left="60"/>
        <w:spacing w:after="0"/>
        <w:rPr>
          <w:sz w:val="20"/>
          <w:szCs w:val="20"/>
          <w:color w:val="auto"/>
        </w:rPr>
      </w:pPr>
      <w:r>
        <w:rPr>
          <w:rFonts w:ascii="Arial" w:cs="Arial" w:eastAsia="Arial" w:hAnsi="Arial"/>
          <w:sz w:val="16"/>
          <w:szCs w:val="16"/>
          <w:color w:val="auto"/>
        </w:rPr>
        <w:t>States Securities and Exchange Commission and the instructions to Form 10-Q and Article 10, consistent in all material</w:t>
      </w:r>
    </w:p>
    <w:p>
      <w:pPr>
        <w:spacing w:after="0" w:line="32" w:lineRule="exact"/>
        <w:rPr>
          <w:sz w:val="20"/>
          <w:szCs w:val="20"/>
          <w:color w:val="auto"/>
        </w:rPr>
      </w:pPr>
    </w:p>
    <w:p>
      <w:pPr>
        <w:ind w:left="60"/>
        <w:spacing w:after="0"/>
        <w:rPr>
          <w:sz w:val="20"/>
          <w:szCs w:val="20"/>
          <w:color w:val="auto"/>
        </w:rPr>
      </w:pPr>
      <w:r>
        <w:rPr>
          <w:rFonts w:ascii="Arial" w:cs="Arial" w:eastAsia="Arial" w:hAnsi="Arial"/>
          <w:sz w:val="16"/>
          <w:szCs w:val="16"/>
          <w:color w:val="auto"/>
        </w:rPr>
        <w:t>respects with those applied in its financial statements included in its Annual Report on Form 10-K for the fiscal year ended</w:t>
      </w:r>
    </w:p>
    <w:p>
      <w:pPr>
        <w:spacing w:after="0" w:line="32" w:lineRule="exact"/>
        <w:rPr>
          <w:sz w:val="20"/>
          <w:szCs w:val="20"/>
          <w:color w:val="auto"/>
        </w:rPr>
      </w:pPr>
    </w:p>
    <w:p>
      <w:pPr>
        <w:ind w:left="60"/>
        <w:spacing w:after="0"/>
        <w:rPr>
          <w:sz w:val="20"/>
          <w:szCs w:val="20"/>
          <w:color w:val="auto"/>
        </w:rPr>
      </w:pPr>
      <w:r>
        <w:rPr>
          <w:rFonts w:ascii="Arial" w:cs="Arial" w:eastAsia="Arial" w:hAnsi="Arial"/>
          <w:sz w:val="17"/>
          <w:szCs w:val="17"/>
          <w:color w:val="auto"/>
        </w:rPr>
        <w:t>December 31, 2020. They do not include all of the information and footnotes required by U.S. generally accepted</w:t>
      </w:r>
    </w:p>
    <w:p>
      <w:pPr>
        <w:spacing w:after="0" w:line="21" w:lineRule="exact"/>
        <w:rPr>
          <w:sz w:val="20"/>
          <w:szCs w:val="20"/>
          <w:color w:val="auto"/>
        </w:rPr>
      </w:pPr>
    </w:p>
    <w:p>
      <w:pPr>
        <w:ind w:left="60"/>
        <w:spacing w:after="0"/>
        <w:rPr>
          <w:sz w:val="20"/>
          <w:szCs w:val="20"/>
          <w:color w:val="auto"/>
        </w:rPr>
      </w:pPr>
      <w:r>
        <w:rPr>
          <w:rFonts w:ascii="Arial" w:cs="Arial" w:eastAsia="Arial" w:hAnsi="Arial"/>
          <w:sz w:val="17"/>
          <w:szCs w:val="17"/>
          <w:color w:val="auto"/>
        </w:rPr>
        <w:t>accounting principles for complete financial statements. Such interim financial information is unaudited but reflects all</w:t>
      </w:r>
    </w:p>
    <w:p>
      <w:pPr>
        <w:spacing w:after="0" w:line="21" w:lineRule="exact"/>
        <w:rPr>
          <w:sz w:val="20"/>
          <w:szCs w:val="20"/>
          <w:color w:val="auto"/>
        </w:rPr>
      </w:pPr>
    </w:p>
    <w:p>
      <w:pPr>
        <w:ind w:left="60"/>
        <w:spacing w:after="0"/>
        <w:rPr>
          <w:sz w:val="20"/>
          <w:szCs w:val="20"/>
          <w:color w:val="auto"/>
        </w:rPr>
      </w:pPr>
      <w:r>
        <w:rPr>
          <w:rFonts w:ascii="Arial" w:cs="Arial" w:eastAsia="Arial" w:hAnsi="Arial"/>
          <w:sz w:val="16"/>
          <w:szCs w:val="16"/>
          <w:color w:val="auto"/>
        </w:rPr>
        <w:t>adjustments that in the opinion of management are necessary for the fair presentation of the interim periods presented.</w:t>
      </w:r>
    </w:p>
    <w:p>
      <w:pPr>
        <w:spacing w:after="0" w:line="32" w:lineRule="exact"/>
        <w:rPr>
          <w:sz w:val="20"/>
          <w:szCs w:val="20"/>
          <w:color w:val="auto"/>
        </w:rPr>
      </w:pPr>
    </w:p>
    <w:p>
      <w:pPr>
        <w:ind w:left="60"/>
        <w:spacing w:after="0"/>
        <w:rPr>
          <w:sz w:val="20"/>
          <w:szCs w:val="20"/>
          <w:color w:val="auto"/>
        </w:rPr>
      </w:pPr>
      <w:r>
        <w:rPr>
          <w:rFonts w:ascii="Arial" w:cs="Arial" w:eastAsia="Arial" w:hAnsi="Arial"/>
          <w:sz w:val="16"/>
          <w:szCs w:val="16"/>
          <w:color w:val="auto"/>
        </w:rPr>
        <w:t>Interim results are not necessarily indicative of results for a full year. These consolidated financial statements should be</w:t>
      </w:r>
    </w:p>
    <w:p>
      <w:pPr>
        <w:spacing w:after="0" w:line="32" w:lineRule="exact"/>
        <w:rPr>
          <w:sz w:val="20"/>
          <w:szCs w:val="20"/>
          <w:color w:val="auto"/>
        </w:rPr>
      </w:pPr>
    </w:p>
    <w:p>
      <w:pPr>
        <w:ind w:left="60"/>
        <w:spacing w:after="0"/>
        <w:rPr>
          <w:sz w:val="20"/>
          <w:szCs w:val="20"/>
          <w:color w:val="auto"/>
        </w:rPr>
      </w:pPr>
      <w:r>
        <w:rPr>
          <w:rFonts w:ascii="Arial" w:cs="Arial" w:eastAsia="Arial" w:hAnsi="Arial"/>
          <w:sz w:val="17"/>
          <w:szCs w:val="17"/>
          <w:color w:val="auto"/>
        </w:rPr>
        <w:t>read in conjunction with the Company’s audited financial statements and footnotes included in its Annual Report on</w:t>
      </w:r>
    </w:p>
    <w:p>
      <w:pPr>
        <w:spacing w:after="0" w:line="21" w:lineRule="exact"/>
        <w:rPr>
          <w:sz w:val="20"/>
          <w:szCs w:val="20"/>
          <w:color w:val="auto"/>
        </w:rPr>
      </w:pPr>
    </w:p>
    <w:p>
      <w:pPr>
        <w:ind w:left="60"/>
        <w:spacing w:after="0"/>
        <w:rPr>
          <w:sz w:val="20"/>
          <w:szCs w:val="20"/>
          <w:color w:val="auto"/>
        </w:rPr>
      </w:pPr>
      <w:r>
        <w:rPr>
          <w:rFonts w:ascii="Arial" w:cs="Arial" w:eastAsia="Arial" w:hAnsi="Arial"/>
          <w:sz w:val="16"/>
          <w:szCs w:val="16"/>
          <w:color w:val="auto"/>
        </w:rPr>
        <w:t>Form 10-K for the fiscal year ended December 31, 2020 from which the December 31, 2020 balance sheet information was</w:t>
      </w:r>
    </w:p>
    <w:p>
      <w:pPr>
        <w:spacing w:after="0" w:line="32" w:lineRule="exact"/>
        <w:rPr>
          <w:sz w:val="20"/>
          <w:szCs w:val="20"/>
          <w:color w:val="auto"/>
        </w:rPr>
      </w:pPr>
    </w:p>
    <w:p>
      <w:pPr>
        <w:ind w:left="60"/>
        <w:spacing w:after="0"/>
        <w:rPr>
          <w:sz w:val="20"/>
          <w:szCs w:val="20"/>
          <w:color w:val="auto"/>
        </w:rPr>
      </w:pPr>
      <w:r>
        <w:rPr>
          <w:rFonts w:ascii="Arial" w:cs="Arial" w:eastAsia="Arial" w:hAnsi="Arial"/>
          <w:sz w:val="18"/>
          <w:szCs w:val="18"/>
          <w:color w:val="auto"/>
        </w:rPr>
        <w:t>derived.</w:t>
      </w:r>
    </w:p>
    <w:p>
      <w:pPr>
        <w:spacing w:after="0" w:line="211"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Investments</w:t>
      </w:r>
    </w:p>
    <w:p>
      <w:pPr>
        <w:spacing w:after="0" w:line="225" w:lineRule="exact"/>
        <w:rPr>
          <w:sz w:val="20"/>
          <w:szCs w:val="20"/>
          <w:color w:val="auto"/>
        </w:rPr>
      </w:pPr>
    </w:p>
    <w:p>
      <w:pPr>
        <w:ind w:left="60" w:right="199" w:firstLine="648"/>
        <w:spacing w:after="0" w:line="291" w:lineRule="auto"/>
        <w:rPr>
          <w:sz w:val="20"/>
          <w:szCs w:val="20"/>
          <w:color w:val="auto"/>
        </w:rPr>
      </w:pPr>
      <w:r>
        <w:rPr>
          <w:rFonts w:ascii="Arial" w:cs="Arial" w:eastAsia="Arial" w:hAnsi="Arial"/>
          <w:sz w:val="16"/>
          <w:szCs w:val="16"/>
          <w:color w:val="auto"/>
        </w:rPr>
        <w:t>At March 31, 2021 and December 31, 2020, the Company considers its investments in corporate bonds, commercial paper, municipal securities, asset backed securities, municipal bonds, and collateralized mortgage obligations either as trading securities or available-for-sale securities based on the Company’s intent for the respective security. Trading securities are carried at fair value determined using Level 1 and Level 2 of the hierarchy of valuation inputs, with the use of quoted market prices and inputs other than quoted prices that are observable for the assets. Available-for-sale securities are carried at fair value, determined using Level 2 of the hierarchy of valuation inputs, with the use of inputs other than quoted prices that are observable for the assets, with unrealized gains and losses, net of tax,</w:t>
      </w:r>
    </w:p>
    <w:p>
      <w:pPr>
        <w:spacing w:after="0" w:line="38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171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5657850" cy="1714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8" w:name="page9"/>
    <w:bookmarkEnd w:id="8"/>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 except per share data)</w:t>
      </w:r>
    </w:p>
    <w:p>
      <w:pPr>
        <w:spacing w:after="0" w:line="211" w:lineRule="exact"/>
        <w:rPr>
          <w:sz w:val="20"/>
          <w:szCs w:val="20"/>
          <w:color w:val="auto"/>
        </w:rPr>
      </w:pPr>
    </w:p>
    <w:p>
      <w:pPr>
        <w:ind w:left="60" w:right="279"/>
        <w:spacing w:after="0" w:line="263" w:lineRule="auto"/>
        <w:rPr>
          <w:sz w:val="20"/>
          <w:szCs w:val="20"/>
          <w:color w:val="auto"/>
        </w:rPr>
      </w:pPr>
      <w:r>
        <w:rPr>
          <w:rFonts w:ascii="Arial" w:cs="Arial" w:eastAsia="Arial" w:hAnsi="Arial"/>
          <w:sz w:val="18"/>
          <w:szCs w:val="18"/>
          <w:color w:val="auto"/>
        </w:rPr>
        <w:t>reported as a separate component of other comprehensive income. Unrealized losses considered to be other-than-temporary are recognized currently in earnings. Amortization of premiums, accretion of discounts, interest and dividend income and realized gains and losses are included in interest and other income.</w:t>
      </w:r>
    </w:p>
    <w:p>
      <w:pPr>
        <w:spacing w:after="0" w:line="184"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Arrangements with GCU</w:t>
      </w:r>
    </w:p>
    <w:p>
      <w:pPr>
        <w:spacing w:after="0" w:line="225" w:lineRule="exact"/>
        <w:rPr>
          <w:sz w:val="20"/>
          <w:szCs w:val="20"/>
          <w:color w:val="auto"/>
        </w:rPr>
      </w:pPr>
    </w:p>
    <w:p>
      <w:pPr>
        <w:ind w:left="60" w:right="79" w:firstLine="648"/>
        <w:spacing w:after="0" w:line="268" w:lineRule="auto"/>
        <w:rPr>
          <w:sz w:val="20"/>
          <w:szCs w:val="20"/>
          <w:color w:val="auto"/>
        </w:rPr>
      </w:pPr>
      <w:r>
        <w:rPr>
          <w:rFonts w:ascii="Arial" w:cs="Arial" w:eastAsia="Arial" w:hAnsi="Arial"/>
          <w:sz w:val="17"/>
          <w:szCs w:val="17"/>
          <w:color w:val="auto"/>
        </w:rPr>
        <w:t>On July 1, 2018, the Company consummated an Asset Purchase Agreement (the “Asset Purchase Agreement”) with GCU. In conjunction with the Asset Purchase Agreement, we received a secured note from GCU as consideration for the transferred assets (the “Transferred Assets”) in the initial principal amount of $870,097 (the “Secured Note”). The Secured Note contains customary commercial credit terms, including affirmative and negative covenants applicable to GCU, and provides that the Secured Note bears interest at an annual rate of 6.0%, has a maturity date of June 30, 2025, and is secured by all of the assets of GCU. The Secured Note provides for GCU to make interest only payments during the term, with all principal and accrued and unpaid interest due at maturity and also provides that we may loan additional amounts to GCU to fund approved capital expenditures during the first three years of the term. As of March 31, 2021, the Company had loaned $99,815 to GCU, net of repayments. In connection with the closing of the Asset Purchase Agreement, the Company and GCU entered into a long-term master services agreement pursuant to which the Company provides identified technology and academic services, counseling services and support, marketing and communication services, and several back-office services to GCU in return for 60% of GCU’s tuition and fee revenue. Except for identified liabilities assumed by GCU, GCE retained responsibility for all liabilities of the business arising from pre-closing operations.</w:t>
      </w:r>
    </w:p>
    <w:p>
      <w:pPr>
        <w:spacing w:after="0" w:line="184"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Internally Developed Software</w:t>
      </w:r>
    </w:p>
    <w:p>
      <w:pPr>
        <w:spacing w:after="0" w:line="225" w:lineRule="exact"/>
        <w:rPr>
          <w:sz w:val="20"/>
          <w:szCs w:val="20"/>
          <w:color w:val="auto"/>
        </w:rPr>
      </w:pPr>
    </w:p>
    <w:p>
      <w:pPr>
        <w:ind w:left="60" w:right="139" w:firstLine="648"/>
        <w:spacing w:after="0" w:line="289" w:lineRule="auto"/>
        <w:rPr>
          <w:sz w:val="20"/>
          <w:szCs w:val="20"/>
          <w:color w:val="auto"/>
        </w:rPr>
      </w:pPr>
      <w:r>
        <w:rPr>
          <w:rFonts w:ascii="Arial" w:cs="Arial" w:eastAsia="Arial" w:hAnsi="Arial"/>
          <w:sz w:val="16"/>
          <w:szCs w:val="16"/>
          <w:color w:val="auto"/>
        </w:rPr>
        <w:t>The Company capitalizes certain costs related to internal-use software, primarily consisting of direct labor associated with creating the software. Software development projects generally include three stages: the preliminary project stage (all costs are expensed as incurred), the application development stage (certain costs are capitalized and certain costs are expensed as incurred) and the post-implementation or operation stage (all costs are expensed as incurred). Costs capitalized in the application development stage include costs of design, coding, integration, and testing of the software developed. Capitalization of costs requires judgment in determining when a project has reached the application development stage and the period over which we expect to benefit from the use of that software. Once the software is placed in service, these costs are amortized straight-line over the estimated useful life of the software, which is generally three years. These assets are a component of our property and equipment, net in our consolidated balance sheets.</w:t>
      </w:r>
    </w:p>
    <w:p>
      <w:pPr>
        <w:spacing w:after="0" w:line="166"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Capitalized Content Development</w:t>
      </w:r>
    </w:p>
    <w:p>
      <w:pPr>
        <w:spacing w:after="0" w:line="225" w:lineRule="exact"/>
        <w:rPr>
          <w:sz w:val="20"/>
          <w:szCs w:val="20"/>
          <w:color w:val="auto"/>
        </w:rPr>
      </w:pPr>
    </w:p>
    <w:p>
      <w:pPr>
        <w:ind w:left="60" w:right="119" w:firstLine="648"/>
        <w:spacing w:after="0" w:line="293" w:lineRule="auto"/>
        <w:rPr>
          <w:sz w:val="20"/>
          <w:szCs w:val="20"/>
          <w:color w:val="auto"/>
        </w:rPr>
      </w:pPr>
      <w:r>
        <w:rPr>
          <w:rFonts w:ascii="Arial" w:cs="Arial" w:eastAsia="Arial" w:hAnsi="Arial"/>
          <w:sz w:val="16"/>
          <w:szCs w:val="16"/>
          <w:color w:val="auto"/>
        </w:rPr>
        <w:t>The Company capitalizes certain costs to fulfill a contract related to the development and digital creation of content on a course-by-course basis for each university partner, many times in conjunction with faculty and subject matter experts. The Company is responsible for the conversion of instructional materials to an on-line format, including outlines, quizzes, lectures, and articles in accordance with the educational guidelines provided to us by our university partners, prior to the respective course commencing. We also capitalize the creation of learning objects which are digital assets such as online demonstrations, simulations, and case studies used to obtain learning objectives.</w:t>
      </w:r>
    </w:p>
    <w:p>
      <w:pPr>
        <w:spacing w:after="0" w:line="164" w:lineRule="exact"/>
        <w:rPr>
          <w:sz w:val="20"/>
          <w:szCs w:val="20"/>
          <w:color w:val="auto"/>
        </w:rPr>
      </w:pPr>
    </w:p>
    <w:p>
      <w:pPr>
        <w:ind w:left="60" w:right="99" w:firstLine="648"/>
        <w:spacing w:after="0" w:line="272" w:lineRule="auto"/>
        <w:rPr>
          <w:sz w:val="20"/>
          <w:szCs w:val="20"/>
          <w:color w:val="auto"/>
        </w:rPr>
      </w:pPr>
      <w:r>
        <w:rPr>
          <w:rFonts w:ascii="Arial" w:cs="Arial" w:eastAsia="Arial" w:hAnsi="Arial"/>
          <w:sz w:val="17"/>
          <w:szCs w:val="17"/>
          <w:color w:val="auto"/>
        </w:rPr>
        <w:t>Costs that are capitalized include payroll and payroll-related costs for employees who are directly associated and spend time producing content and payments to faculty and subject matter experts involved in the process. The Company starts capitalizing content costs when it begins to develop or to convert a particular course, resources have been assigned and a timeline has been set. The content asset is placed in service when all work is complete and the curriculum could be used for instruction. Capitalized content development assets are included in other assets in our consolidated balance sheets. The Company has concluded that the most appropriate method to amortize the deferred content assets is on a straight-line basis over the estimated life of the course, which is generally four years which</w:t>
      </w:r>
    </w:p>
    <w:p>
      <w:pPr>
        <w:spacing w:after="0" w:line="39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171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5657850" cy="1714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9" w:name="page10"/>
    <w:bookmarkEnd w:id="9"/>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(In thousands, except per share data)</w:t>
      </w:r>
    </w:p>
    <w:p>
      <w:pPr>
        <w:spacing w:after="0" w:line="211" w:lineRule="exact"/>
        <w:rPr>
          <w:sz w:val="20"/>
          <w:szCs w:val="20"/>
          <w:color w:val="auto"/>
        </w:rPr>
      </w:pPr>
    </w:p>
    <w:p>
      <w:pPr>
        <w:ind w:left="60" w:right="339"/>
        <w:spacing w:after="0" w:line="259" w:lineRule="auto"/>
        <w:rPr>
          <w:sz w:val="20"/>
          <w:szCs w:val="20"/>
          <w:color w:val="auto"/>
        </w:rPr>
      </w:pPr>
      <w:r>
        <w:rPr>
          <w:rFonts w:ascii="Arial" w:cs="Arial" w:eastAsia="Arial" w:hAnsi="Arial"/>
          <w:sz w:val="18"/>
          <w:szCs w:val="18"/>
          <w:color w:val="auto"/>
        </w:rPr>
        <w:t>corresponds with course’s review and major revision cycle. As of March 31, 2021 and December 31, 2020, $1,166 and $1,198, respectively, net of amortization, of deferred content assets are included in other assets, long-term in the Company’s consolidated balance sheets and amortization is included in technical and academic services where the costs originated.</w:t>
      </w:r>
    </w:p>
    <w:p>
      <w:pPr>
        <w:spacing w:after="0" w:line="187"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Leases</w:t>
      </w:r>
    </w:p>
    <w:p>
      <w:pPr>
        <w:spacing w:after="0" w:line="225" w:lineRule="exact"/>
        <w:rPr>
          <w:sz w:val="20"/>
          <w:szCs w:val="20"/>
          <w:color w:val="auto"/>
        </w:rPr>
      </w:pPr>
    </w:p>
    <w:p>
      <w:pPr>
        <w:ind w:left="60" w:right="139" w:firstLine="648"/>
        <w:spacing w:after="0" w:line="288" w:lineRule="auto"/>
        <w:rPr>
          <w:sz w:val="20"/>
          <w:szCs w:val="20"/>
          <w:color w:val="auto"/>
        </w:rPr>
      </w:pPr>
      <w:r>
        <w:rPr>
          <w:rFonts w:ascii="Arial" w:cs="Arial" w:eastAsia="Arial" w:hAnsi="Arial"/>
          <w:sz w:val="16"/>
          <w:szCs w:val="16"/>
          <w:color w:val="auto"/>
        </w:rPr>
        <w:t>The Company determines if an arrangement is a lease at inception and evaluates the lease agreement to determine whether the lease is a finance or operating lease. Right-of-use (“ROU”) assets and lease liabilities are recognized at commencement date based on the present value of lease payments over the lease term. The Company uses its incremental borrowing rate based on the information available at the commencement to determine the present value of lease payments over the lease term. At lease inception, the Company determines the lease term by assuming no exercises of renewal options, due to the Company’s constantly changing geographical needs for its university partners. Leases with an initial term of 12 months or less are not recorded in the consolidated balance sheets and are recognized as lease expense on a straight-line basis over the lease term. The Company has lease agreements with lease and non-lease components, and the non-lease components are accounted for separately and not included in our ROU assets and lease liabilities. Leases primarily consist of off-campus classroom and laboratory site locations and office space.</w:t>
      </w:r>
    </w:p>
    <w:p>
      <w:pPr>
        <w:spacing w:after="0" w:line="168"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Business Combinations</w:t>
      </w:r>
    </w:p>
    <w:p>
      <w:pPr>
        <w:spacing w:after="0" w:line="225" w:lineRule="exact"/>
        <w:rPr>
          <w:sz w:val="20"/>
          <w:szCs w:val="20"/>
          <w:color w:val="auto"/>
        </w:rPr>
      </w:pPr>
    </w:p>
    <w:p>
      <w:pPr>
        <w:ind w:left="60" w:right="119" w:firstLine="648"/>
        <w:spacing w:after="0" w:line="290" w:lineRule="auto"/>
        <w:rPr>
          <w:sz w:val="20"/>
          <w:szCs w:val="20"/>
          <w:color w:val="auto"/>
        </w:rPr>
      </w:pPr>
      <w:r>
        <w:rPr>
          <w:rFonts w:ascii="Arial" w:cs="Arial" w:eastAsia="Arial" w:hAnsi="Arial"/>
          <w:sz w:val="16"/>
          <w:szCs w:val="16"/>
          <w:color w:val="auto"/>
        </w:rPr>
        <w:t>The purchase price of an acquisition is allocated to the assets acquired, including tangible and intangible assets, and liabilities assumed, based on their respective fair values at the acquisition date. The excess of the fair value of the purchase price over the fair values of these identifiable assets and liabilities is recorded as goodwill. Transaction costs associated with business combinations are expensed as incurred and are recorded in the loss on transaction in the consolidated financial statements. The determination of the fair value and useful lives of the intangible assets acquired involves certain judgments and estimates. These judgements can include, but are not limited to, the cash flows that an asset is expected to generate in the future and the appropriate weighted average cost of capital. The net assets and result of operations of an acquired entity are included in the Company’s consolidated financial statements from the acquisition date.</w:t>
      </w:r>
    </w:p>
    <w:p>
      <w:pPr>
        <w:spacing w:after="0" w:line="165"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Goodwill and Amortizable Intangible Assets</w:t>
      </w:r>
    </w:p>
    <w:p>
      <w:pPr>
        <w:spacing w:after="0" w:line="225" w:lineRule="exact"/>
        <w:rPr>
          <w:sz w:val="20"/>
          <w:szCs w:val="20"/>
          <w:color w:val="auto"/>
        </w:rPr>
      </w:pPr>
    </w:p>
    <w:p>
      <w:pPr>
        <w:ind w:left="60" w:right="119" w:firstLine="648"/>
        <w:spacing w:after="0" w:line="289" w:lineRule="auto"/>
        <w:rPr>
          <w:sz w:val="20"/>
          <w:szCs w:val="20"/>
          <w:color w:val="auto"/>
        </w:rPr>
      </w:pPr>
      <w:r>
        <w:rPr>
          <w:rFonts w:ascii="Arial" w:cs="Arial" w:eastAsia="Arial" w:hAnsi="Arial"/>
          <w:sz w:val="16"/>
          <w:szCs w:val="16"/>
          <w:color w:val="auto"/>
        </w:rPr>
        <w:t>Goodwill represents the excess of the purchase price of an acquired business over the amount assigned to the tangible and intangible assets acquired and liabilities assumed. Goodwill is assessed at least annually for impairment during the fourth quarter, or more frequently if circumstances indicate potential impairment. Goodwill is allocated to our reporting unit at the education services segment, which is the same as the entity as a whole (entity level reporting unit). The Company has concluded there is one operating segment and one reporting unit for goodwill impairment consideration. The Financial Accounting Standards Board (“FASB”) has issued guidance that permits an entity to first assess qualitative factors to determine whether it is necessary to perform the two-step quantitative goodwill impairment test. The Company reviews goodwill at least annually or more frequently if an event occurs or circumstances change that would more likely than not reduce the fair value of the reporting unit below its carrying amount.</w:t>
      </w:r>
    </w:p>
    <w:p>
      <w:pPr>
        <w:spacing w:after="0" w:line="166" w:lineRule="exact"/>
        <w:rPr>
          <w:sz w:val="20"/>
          <w:szCs w:val="20"/>
          <w:color w:val="auto"/>
        </w:rPr>
      </w:pPr>
    </w:p>
    <w:p>
      <w:pPr>
        <w:ind w:left="60" w:right="159" w:firstLine="648"/>
        <w:spacing w:after="0" w:line="291" w:lineRule="auto"/>
        <w:rPr>
          <w:sz w:val="20"/>
          <w:szCs w:val="20"/>
          <w:color w:val="auto"/>
        </w:rPr>
      </w:pPr>
      <w:r>
        <w:rPr>
          <w:rFonts w:ascii="Arial" w:cs="Arial" w:eastAsia="Arial" w:hAnsi="Arial"/>
          <w:sz w:val="16"/>
          <w:szCs w:val="16"/>
          <w:color w:val="auto"/>
        </w:rPr>
        <w:t>Finite-lived intangible assets that are acquired in a business combination are recorded at fair value on their acquisition dates and are amortized on a straight-line basis over the estimated useful life of the intangible asset. Finite-lived intangible assets consist of university partner relationships and trade names. The Company reviews its finite-lived intangible assets for impairment whenever events or changes in circumstances indicate that the carrying amount of an intangible asset may not be recoverable. There were no indicators that the carrying amount of the finite-lived intangible assets were impaired. Recoverability of assets to be held and used is measured by a comparison of the carrying amount of an asset to undiscounted future net cash flows expected to be generated by the assets. If such intangible assets are not</w:t>
      </w:r>
    </w:p>
    <w:p>
      <w:pPr>
        <w:spacing w:after="0" w:line="38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171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5657850" cy="1714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10" w:name="page11"/>
    <w:bookmarkEnd w:id="10"/>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 except per share data)</w:t>
      </w:r>
    </w:p>
    <w:p>
      <w:pPr>
        <w:spacing w:after="0" w:line="211" w:lineRule="exact"/>
        <w:rPr>
          <w:sz w:val="20"/>
          <w:szCs w:val="20"/>
          <w:color w:val="auto"/>
        </w:rPr>
      </w:pPr>
    </w:p>
    <w:p>
      <w:pPr>
        <w:ind w:left="60" w:right="499"/>
        <w:spacing w:after="0" w:line="277" w:lineRule="auto"/>
        <w:rPr>
          <w:sz w:val="20"/>
          <w:szCs w:val="20"/>
          <w:color w:val="auto"/>
        </w:rPr>
      </w:pPr>
      <w:r>
        <w:rPr>
          <w:rFonts w:ascii="Arial" w:cs="Arial" w:eastAsia="Arial" w:hAnsi="Arial"/>
          <w:sz w:val="18"/>
          <w:szCs w:val="18"/>
          <w:color w:val="auto"/>
        </w:rPr>
        <w:t>recoverable, a potential impairment loss is recognized to the extent the carrying amounts of the assets exceeds the fair value of the assets.</w:t>
      </w:r>
    </w:p>
    <w:p>
      <w:pPr>
        <w:spacing w:after="0" w:line="170"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Acquisition</w:t>
      </w:r>
    </w:p>
    <w:p>
      <w:pPr>
        <w:spacing w:after="0" w:line="225" w:lineRule="exact"/>
        <w:rPr>
          <w:sz w:val="20"/>
          <w:szCs w:val="20"/>
          <w:color w:val="auto"/>
        </w:rPr>
      </w:pPr>
    </w:p>
    <w:p>
      <w:pPr>
        <w:ind w:left="60" w:right="79" w:firstLine="648"/>
        <w:spacing w:after="0" w:line="289" w:lineRule="auto"/>
        <w:rPr>
          <w:sz w:val="20"/>
          <w:szCs w:val="20"/>
          <w:color w:val="auto"/>
        </w:rPr>
      </w:pPr>
      <w:r>
        <w:rPr>
          <w:rFonts w:ascii="Arial" w:cs="Arial" w:eastAsia="Arial" w:hAnsi="Arial"/>
          <w:sz w:val="16"/>
          <w:szCs w:val="16"/>
          <w:color w:val="auto"/>
        </w:rPr>
        <w:t>On January 22, 2019, GCE acquired Orbis Education for $361,184 (inclusive of closing date adjustments and net of cash acquired). The Acquisition was accounted for in accordance with the acquisition method of accounting. Under this method the cost of the target is allocated to the identifiable assets acquired and liabilities assumed based on their estimated fair values at the date of acquisition. The estimated fair values of current assets and liabilities were based upon their historical costs on the date of acquisition due to their short-term nature. The majority of property and equipment were also estimated based upon historical costs as they approximated fair value. Identified intangible assets of $210,280 consisted primarily of university partner relationships that were valued at $210,000. The fair value of university partner relationships was determined using the multiple-period excess earnings method. The fair value of the assets acquired, less the liabilities assumed, exceeded the purchase price by $157,825 which was recorded as goodwill.</w:t>
      </w:r>
    </w:p>
    <w:p>
      <w:pPr>
        <w:spacing w:after="0" w:line="166"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Share-Based Compensation</w:t>
      </w:r>
    </w:p>
    <w:p>
      <w:pPr>
        <w:spacing w:after="0" w:line="225" w:lineRule="exact"/>
        <w:rPr>
          <w:sz w:val="20"/>
          <w:szCs w:val="20"/>
          <w:color w:val="auto"/>
        </w:rPr>
      </w:pPr>
    </w:p>
    <w:p>
      <w:pPr>
        <w:ind w:left="60" w:right="199" w:firstLine="648"/>
        <w:spacing w:after="0" w:line="257" w:lineRule="auto"/>
        <w:rPr>
          <w:sz w:val="20"/>
          <w:szCs w:val="20"/>
          <w:color w:val="auto"/>
        </w:rPr>
      </w:pPr>
      <w:r>
        <w:rPr>
          <w:rFonts w:ascii="Arial" w:cs="Arial" w:eastAsia="Arial" w:hAnsi="Arial"/>
          <w:sz w:val="18"/>
          <w:szCs w:val="18"/>
          <w:color w:val="auto"/>
        </w:rPr>
        <w:t>The Company measures and recognizes compensation expense for share-based payment awards made to employees and directors. The fair value of the Company’s restricted stock awards is based on the market price of its common stock on the date of grant. Stock-based compensation expense related to restricted stock grants is expensed over the vesting period using the straight-line method for Company employees and the Company’s board of directors. The Company recognizes forfeitures as they occur.</w:t>
      </w:r>
    </w:p>
    <w:p>
      <w:pPr>
        <w:spacing w:after="0" w:line="188"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Fair Value of Financial Instruments</w:t>
      </w:r>
    </w:p>
    <w:p>
      <w:pPr>
        <w:spacing w:after="0" w:line="225" w:lineRule="exact"/>
        <w:rPr>
          <w:sz w:val="20"/>
          <w:szCs w:val="20"/>
          <w:color w:val="auto"/>
        </w:rPr>
      </w:pPr>
    </w:p>
    <w:p>
      <w:pPr>
        <w:ind w:left="60" w:right="119" w:firstLine="648"/>
        <w:spacing w:after="0" w:line="255" w:lineRule="auto"/>
        <w:rPr>
          <w:sz w:val="20"/>
          <w:szCs w:val="20"/>
          <w:color w:val="auto"/>
        </w:rPr>
      </w:pPr>
      <w:r>
        <w:rPr>
          <w:rFonts w:ascii="Arial" w:cs="Arial" w:eastAsia="Arial" w:hAnsi="Arial"/>
          <w:sz w:val="18"/>
          <w:szCs w:val="18"/>
          <w:color w:val="auto"/>
        </w:rPr>
        <w:t>The carrying value of cash and cash equivalents, accounts receivable, accounts payable, accrued compensation and benefits and accrued liabilities expenses approximate their fair value based on the liquidity or the short-term maturities of these instruments. As of March 31, 2021 and December 31, 2020 the fair value of the Company’s Secured Note was $1,045,591 and $1,049,458, respectively. As of March 31, 2021 and December 31, 2020 the carrying value of Secured Note receivable for both periods was $964,912. The carrying value of notes payable approximates fair value as it is based on variable rate index.</w:t>
      </w:r>
    </w:p>
    <w:p>
      <w:pPr>
        <w:spacing w:after="0" w:line="192" w:lineRule="exact"/>
        <w:rPr>
          <w:sz w:val="20"/>
          <w:szCs w:val="20"/>
          <w:color w:val="auto"/>
        </w:rPr>
      </w:pPr>
    </w:p>
    <w:p>
      <w:pPr>
        <w:jc w:val="both"/>
        <w:ind w:left="60" w:right="59" w:firstLine="648"/>
        <w:spacing w:after="0" w:line="259" w:lineRule="auto"/>
        <w:rPr>
          <w:sz w:val="20"/>
          <w:szCs w:val="20"/>
          <w:color w:val="auto"/>
        </w:rPr>
      </w:pPr>
      <w:r>
        <w:rPr>
          <w:rFonts w:ascii="Arial" w:cs="Arial" w:eastAsia="Arial" w:hAnsi="Arial"/>
          <w:sz w:val="18"/>
          <w:szCs w:val="18"/>
          <w:color w:val="auto"/>
        </w:rPr>
        <w:t>The fair value of investments was determined using Level 1 and Level 2 of the hierarchy of valuation inputs, with the use of inputs other than quoted prices that are observable for the assets. The unit of account used for valuation is the individual underlying security. The basis for fair value measurements for each level is described below, with Level 1 having the highest priority.</w:t>
      </w:r>
    </w:p>
    <w:p>
      <w:pPr>
        <w:spacing w:after="0" w:line="187" w:lineRule="exact"/>
        <w:rPr>
          <w:sz w:val="20"/>
          <w:szCs w:val="20"/>
          <w:color w:val="auto"/>
        </w:rPr>
      </w:pPr>
    </w:p>
    <w:p>
      <w:pPr>
        <w:ind w:left="700"/>
        <w:spacing w:after="0"/>
        <w:rPr>
          <w:sz w:val="20"/>
          <w:szCs w:val="20"/>
          <w:color w:val="auto"/>
        </w:rPr>
      </w:pPr>
      <w:r>
        <w:rPr>
          <w:rFonts w:ascii="Arial" w:cs="Arial" w:eastAsia="Arial" w:hAnsi="Arial"/>
          <w:sz w:val="18"/>
          <w:szCs w:val="18"/>
          <w:color w:val="auto"/>
        </w:rPr>
        <w:t>-Level 1 – inputs are quoted prices (unadjusted) in active markets for identical assets or liabilities.</w:t>
      </w:r>
    </w:p>
    <w:p>
      <w:pPr>
        <w:spacing w:after="0" w:line="293" w:lineRule="exact"/>
        <w:rPr>
          <w:sz w:val="20"/>
          <w:szCs w:val="20"/>
          <w:color w:val="auto"/>
        </w:rPr>
      </w:pPr>
    </w:p>
    <w:p>
      <w:pPr>
        <w:jc w:val="both"/>
        <w:ind w:left="700" w:right="59"/>
        <w:spacing w:after="0" w:line="263" w:lineRule="auto"/>
        <w:rPr>
          <w:sz w:val="20"/>
          <w:szCs w:val="20"/>
          <w:color w:val="auto"/>
        </w:rPr>
      </w:pPr>
      <w:r>
        <w:rPr>
          <w:rFonts w:ascii="Arial" w:cs="Arial" w:eastAsia="Arial" w:hAnsi="Arial"/>
          <w:sz w:val="18"/>
          <w:szCs w:val="18"/>
          <w:color w:val="auto"/>
        </w:rPr>
        <w:t>-Level 2 – inputs are quoted prices for similar instruments in active markets; quoted prices for identical or similar instruments in non-active markets; and model-derived valuations whose inputs are observable or whose significant valuation drivers are observable.</w:t>
      </w:r>
    </w:p>
    <w:p>
      <w:pPr>
        <w:spacing w:after="0" w:line="400" w:lineRule="exact"/>
        <w:rPr>
          <w:sz w:val="20"/>
          <w:szCs w:val="20"/>
          <w:color w:val="auto"/>
        </w:rPr>
      </w:pPr>
    </w:p>
    <w:p>
      <w:pPr>
        <w:ind w:left="60" w:right="319" w:firstLine="648"/>
        <w:spacing w:after="0" w:line="277" w:lineRule="auto"/>
        <w:rPr>
          <w:sz w:val="20"/>
          <w:szCs w:val="20"/>
          <w:color w:val="auto"/>
        </w:rPr>
      </w:pPr>
      <w:r>
        <w:rPr>
          <w:rFonts w:ascii="Arial" w:cs="Arial" w:eastAsia="Arial" w:hAnsi="Arial"/>
          <w:sz w:val="18"/>
          <w:szCs w:val="18"/>
          <w:color w:val="auto"/>
        </w:rPr>
        <w:t>Investments are comprised of corporate bonds, commercial paper, municipal securities, asset backed securities, municipal bonds, and collateralized mortgage obligations.</w:t>
      </w:r>
    </w:p>
    <w:p>
      <w:pPr>
        <w:spacing w:after="0" w:line="3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171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5657850" cy="1714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11" w:name="page12"/>
    <w:bookmarkEnd w:id="11"/>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 except per share data)</w:t>
      </w:r>
    </w:p>
    <w:p>
      <w:pPr>
        <w:spacing w:after="0" w:line="211"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Revenue Recognition</w:t>
      </w:r>
    </w:p>
    <w:p>
      <w:pPr>
        <w:spacing w:after="0" w:line="225" w:lineRule="exact"/>
        <w:rPr>
          <w:sz w:val="20"/>
          <w:szCs w:val="20"/>
          <w:color w:val="auto"/>
        </w:rPr>
      </w:pPr>
    </w:p>
    <w:p>
      <w:pPr>
        <w:jc w:val="both"/>
        <w:ind w:left="60" w:right="459" w:firstLine="648"/>
        <w:spacing w:after="0" w:line="259" w:lineRule="auto"/>
        <w:rPr>
          <w:sz w:val="20"/>
          <w:szCs w:val="20"/>
          <w:color w:val="auto"/>
        </w:rPr>
      </w:pPr>
      <w:r>
        <w:rPr>
          <w:rFonts w:ascii="Arial" w:cs="Arial" w:eastAsia="Arial" w:hAnsi="Arial"/>
          <w:sz w:val="18"/>
          <w:szCs w:val="18"/>
          <w:color w:val="auto"/>
        </w:rPr>
        <w:t>The Company generates all of its revenue through services agreements with its university partners (“Services Agreements”), pursuant to which the Company provides integrated technology and academic services, marketing and communication services, and back office services to its university partners in return for a percentage of tuition and fee revenue.</w:t>
      </w:r>
    </w:p>
    <w:p>
      <w:pPr>
        <w:spacing w:after="0" w:line="187" w:lineRule="exact"/>
        <w:rPr>
          <w:sz w:val="20"/>
          <w:szCs w:val="20"/>
          <w:color w:val="auto"/>
        </w:rPr>
      </w:pPr>
    </w:p>
    <w:p>
      <w:pPr>
        <w:ind w:left="60" w:right="99" w:firstLine="648"/>
        <w:spacing w:after="0" w:line="267" w:lineRule="auto"/>
        <w:rPr>
          <w:sz w:val="20"/>
          <w:szCs w:val="20"/>
          <w:color w:val="auto"/>
        </w:rPr>
      </w:pPr>
      <w:r>
        <w:rPr>
          <w:rFonts w:ascii="Arial" w:cs="Arial" w:eastAsia="Arial" w:hAnsi="Arial"/>
          <w:sz w:val="17"/>
          <w:szCs w:val="17"/>
          <w:color w:val="auto"/>
        </w:rPr>
        <w:t>The Company’s Services Agreements have initial terms ranging from 7-15 years, subject to renewal options, although certain agreements may give the university partners the right to terminate early if certain conditions are met. The Company’s Services Agreements have a single performance obligation, as the promises to provide the identified services are not distinct within the context of these agreements. The single performance obligation is delivered as our partners receive and consume benefits, which occurs ratably over a series of distinct service periods (daily or semester). Service revenue is recognized over time using the output method of measuring progress towards complete satisfaction of the single performance obligation. The output method provides a faithful depiction of the performance toward complete satisfaction of the performance obligation and can be tied to the time elapsed which is consumed evenly over the service period and is a direct measurement of the value provided to our partners. The service fees received from our partners over the term of the agreement are variable in nature in that they are dependent upon the number of students attending the university partner’s program and revenues generated from those students during the service period. Due to the variable nature of the consideration over the life of the service arrangement, the Company considered forming an expectation of the variable consideration to be received over the service life of this one performance obligation. However, since the performance obligation represents a series of distinct services, the Company recognizes the variable consideration that becomes known and billable because these fees relate to the distinct service period in which the fees are earned. The Company meets the criteria in the standard and exercises the practical expedient to not disclose the aggregate amount of the transaction price allocated to the single performance obligation that is unsatisfied as of the end of the reporting period. The Company does not disclose the value of unsatisfied performance obligations because the directly allocable variable consideration is allocated entirely to a wholly unsatisfied promise to transfer a service that forms part of a single performance obligation. The service fees are calculated and settled per the terms of the Services Agreements and result in a settlement duration of less than one year for all partners. There are no refunds or return rights under the Services Agreements.</w:t>
      </w:r>
    </w:p>
    <w:p>
      <w:pPr>
        <w:spacing w:after="0" w:line="184" w:lineRule="exact"/>
        <w:rPr>
          <w:sz w:val="20"/>
          <w:szCs w:val="20"/>
          <w:color w:val="auto"/>
        </w:rPr>
      </w:pPr>
    </w:p>
    <w:p>
      <w:pPr>
        <w:ind w:left="60" w:right="59" w:firstLine="648"/>
        <w:spacing w:after="0" w:line="291" w:lineRule="auto"/>
        <w:rPr>
          <w:sz w:val="20"/>
          <w:szCs w:val="20"/>
          <w:color w:val="auto"/>
        </w:rPr>
      </w:pPr>
      <w:r>
        <w:rPr>
          <w:rFonts w:ascii="Arial" w:cs="Arial" w:eastAsia="Arial" w:hAnsi="Arial"/>
          <w:sz w:val="16"/>
          <w:szCs w:val="16"/>
          <w:color w:val="auto"/>
        </w:rPr>
        <w:t>The Company’s receivables represent unconditional rights to consideration from our Services Agreements with our university partners. Accounts receivable, net is stated at amortized cost, net of any allowance for credit losses and contains billed and unbilled revenue. The Company evaluates the need for an allowance for credit losses using relevant available information about expected credit losses, including information about historical credit losses, past events, current conditions, and other factors which may affect the collectability of receivables. There have been no amounts written off and no allowance for credit losses established as of March 31, 2021 given historical collection experience. The Company will continue to review and revise its allowance methodology based on its collection experience with its partners.</w:t>
      </w:r>
    </w:p>
    <w:p>
      <w:pPr>
        <w:spacing w:after="0" w:line="166" w:lineRule="exact"/>
        <w:rPr>
          <w:sz w:val="20"/>
          <w:szCs w:val="20"/>
          <w:color w:val="auto"/>
        </w:rPr>
      </w:pPr>
    </w:p>
    <w:p>
      <w:pPr>
        <w:ind w:left="60" w:right="79" w:firstLine="648"/>
        <w:spacing w:after="0" w:line="271" w:lineRule="auto"/>
        <w:rPr>
          <w:sz w:val="20"/>
          <w:szCs w:val="20"/>
          <w:color w:val="auto"/>
        </w:rPr>
      </w:pPr>
      <w:r>
        <w:rPr>
          <w:rFonts w:ascii="Arial" w:cs="Arial" w:eastAsia="Arial" w:hAnsi="Arial"/>
          <w:sz w:val="17"/>
          <w:szCs w:val="17"/>
          <w:color w:val="auto"/>
        </w:rPr>
        <w:t>For our partners with unbilled revenue, revenue recognition occurs in advance of billings. Billings for some university partners do not occur until after the service period has commenced and final enrollment information is available. Our unbilled revenue of $10,132 and $294 as of March 31, 2021 and December 31, 2020, respectively, are included in accounts receivable in our consolidated balance sheets. Deferred revenue represents the excess of amounts received as compared to amounts recognized in revenue on our consolidated statements of income as of the end of the reporting period, and such amounts are reflected as a current liability on our consolidated balance sheets. We generally receive payments for our services billed within 30 days of invoice. These payments are recorded as deferred revenue until the services are delivered and revenue is recognized.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171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5657850" cy="1714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12" w:name="page13"/>
    <w:bookmarkEnd w:id="12"/>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 except per share data)</w:t>
      </w:r>
    </w:p>
    <w:p>
      <w:pPr>
        <w:spacing w:after="0" w:line="211"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Allowance for Credit Losses</w:t>
      </w:r>
    </w:p>
    <w:p>
      <w:pPr>
        <w:spacing w:after="0" w:line="225" w:lineRule="exact"/>
        <w:rPr>
          <w:sz w:val="20"/>
          <w:szCs w:val="20"/>
          <w:color w:val="auto"/>
        </w:rPr>
      </w:pPr>
    </w:p>
    <w:p>
      <w:pPr>
        <w:ind w:left="60" w:right="99" w:firstLine="648"/>
        <w:spacing w:after="0" w:line="268" w:lineRule="auto"/>
        <w:rPr>
          <w:sz w:val="20"/>
          <w:szCs w:val="20"/>
          <w:color w:val="auto"/>
        </w:rPr>
      </w:pPr>
      <w:r>
        <w:rPr>
          <w:rFonts w:ascii="Arial" w:cs="Arial" w:eastAsia="Arial" w:hAnsi="Arial"/>
          <w:sz w:val="17"/>
          <w:szCs w:val="17"/>
          <w:color w:val="auto"/>
        </w:rPr>
        <w:t xml:space="preserve">The Company records its accounts receivable and Secured Note receivable at the net amount expected to be collected. Our accounts receivable are derived through education services provided to university partners. Our Secured Note receivable was derived through the sale of university related assets to our most significant university partner, GCU. The Company maintains an allowance for credit losses resulting from our university partners not making payments. The Company determines the adequacy of the allowance by periodically evaluating each university partners balance, considering their financial condition and credit history, and considering current and forecasted economic conditions. Since our transition to an education services company on July 1, 2018, and continued growth to 26 university partners, the Company has no credit losses with any of our university partners. In the first quarter of 2020, the Company adopted ASU 2016-13, </w:t>
      </w:r>
      <w:r>
        <w:rPr>
          <w:rFonts w:ascii="Arial" w:cs="Arial" w:eastAsia="Arial" w:hAnsi="Arial"/>
          <w:sz w:val="17"/>
          <w:szCs w:val="17"/>
          <w:i w:val="1"/>
          <w:iCs w:val="1"/>
          <w:color w:val="auto"/>
        </w:rPr>
        <w:t>Financial Instruments – Credit Losses: Measurement of Credit Losses on Financial Instruments</w:t>
      </w:r>
      <w:r>
        <w:rPr>
          <w:rFonts w:ascii="Arial" w:cs="Arial" w:eastAsia="Arial" w:hAnsi="Arial"/>
          <w:sz w:val="17"/>
          <w:szCs w:val="17"/>
          <w:color w:val="auto"/>
        </w:rPr>
        <w:t xml:space="preserve"> using a modified retrospective approach. This model requires consideration of a broader range of reasonable and supportable information and requires the Company to estimate expected credit losses including a measure of the expected risk of credit loss even if that risk is remote over the lifetime of the asset. Upon adoption, the Company recorded a reserve of $5,000 on its long-term Secured Note receivable. The cumulative effect for the Company upon adoption of this new standard was $3,832, net of taxes of $1,168. Bad debt expense is recorded as a technology and academic services expense in the consolidated income statements. The Company will continue to actively monitor the impact of the COVID-19 pandemic on expected credit losses.</w:t>
      </w:r>
    </w:p>
    <w:p>
      <w:pPr>
        <w:spacing w:after="0" w:line="180"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Technology and Academic Services</w:t>
      </w:r>
    </w:p>
    <w:p>
      <w:pPr>
        <w:spacing w:after="0" w:line="225" w:lineRule="exact"/>
        <w:rPr>
          <w:sz w:val="20"/>
          <w:szCs w:val="20"/>
          <w:color w:val="auto"/>
        </w:rPr>
      </w:pPr>
    </w:p>
    <w:p>
      <w:pPr>
        <w:ind w:left="60" w:right="99" w:firstLine="648"/>
        <w:spacing w:after="0" w:line="253" w:lineRule="auto"/>
        <w:rPr>
          <w:sz w:val="20"/>
          <w:szCs w:val="20"/>
          <w:color w:val="auto"/>
        </w:rPr>
      </w:pPr>
      <w:r>
        <w:rPr>
          <w:rFonts w:ascii="Arial" w:cs="Arial" w:eastAsia="Arial" w:hAnsi="Arial"/>
          <w:sz w:val="18"/>
          <w:szCs w:val="18"/>
          <w:color w:val="auto"/>
        </w:rPr>
        <w:t>Technology and academic services consist primarily of costs related to ongoing maintenance of educational infrastructure, including online course delivery and management, student records, assessment, customer relations management and other internal administrative systems. This also includes costs to provide support for content development, faculty training, development and other faculty support, technology support, rent and occupancy costs for university partners’ off-campus locations, and assistance with state compliance. This expense category includes salaries, benefits and share-based compensation, information technology costs, amortization of content development costs and other costs associated with these support services. This category also includes an allocation of depreciation, amortization, and occupancy costs attributable to the provision of certain services, primarily at the Company’s Phoenix, Arizona and Indianapolis, Indiana locations.</w:t>
      </w:r>
    </w:p>
    <w:p>
      <w:pPr>
        <w:spacing w:after="0" w:line="196"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Counseling Services and Support</w:t>
      </w:r>
    </w:p>
    <w:p>
      <w:pPr>
        <w:spacing w:after="0" w:line="225" w:lineRule="exact"/>
        <w:rPr>
          <w:sz w:val="20"/>
          <w:szCs w:val="20"/>
          <w:color w:val="auto"/>
        </w:rPr>
      </w:pPr>
    </w:p>
    <w:p>
      <w:pPr>
        <w:ind w:left="60" w:right="59" w:firstLine="648"/>
        <w:spacing w:after="0" w:line="296" w:lineRule="auto"/>
        <w:rPr>
          <w:sz w:val="20"/>
          <w:szCs w:val="20"/>
          <w:color w:val="auto"/>
        </w:rPr>
      </w:pPr>
      <w:r>
        <w:rPr>
          <w:rFonts w:ascii="Arial" w:cs="Arial" w:eastAsia="Arial" w:hAnsi="Arial"/>
          <w:sz w:val="16"/>
          <w:szCs w:val="16"/>
          <w:color w:val="auto"/>
        </w:rPr>
        <w:t>Counseling services and support consist primarily of costs including team-based counseling and other support to prospective and current students as well as financial aid processing. This expense category includes salaries, benefits and share-based compensation, and other costs such as dues, fees and subscriptions and travel costs. This category also includes an allocation of depreciation, amortization, lease expense, and occupancy costs attributable to the provision of certain services, primarily at the Company’s Phoenix, Arizona and Indianapolis, Indiana locations.</w:t>
      </w:r>
    </w:p>
    <w:p>
      <w:pPr>
        <w:spacing w:after="0" w:line="161"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Marketing and Communication</w:t>
      </w:r>
    </w:p>
    <w:p>
      <w:pPr>
        <w:spacing w:after="0" w:line="225" w:lineRule="exact"/>
        <w:rPr>
          <w:sz w:val="20"/>
          <w:szCs w:val="20"/>
          <w:color w:val="auto"/>
        </w:rPr>
      </w:pPr>
    </w:p>
    <w:p>
      <w:pPr>
        <w:ind w:left="60" w:right="79" w:firstLine="648"/>
        <w:spacing w:after="0" w:line="272" w:lineRule="auto"/>
        <w:rPr>
          <w:sz w:val="20"/>
          <w:szCs w:val="20"/>
          <w:color w:val="auto"/>
        </w:rPr>
      </w:pPr>
      <w:r>
        <w:rPr>
          <w:rFonts w:ascii="Arial" w:cs="Arial" w:eastAsia="Arial" w:hAnsi="Arial"/>
          <w:sz w:val="17"/>
          <w:szCs w:val="17"/>
          <w:color w:val="auto"/>
        </w:rPr>
        <w:t>Marketing and communication includes lead acquisition, digital communication strategies, brand identity advertising, media planning and strategy, video, data science and analysis, marketing to potential students and other promotional and communication services. This expense category includes salaries, benefits and share-based compensation for marketing and communication personnel, brand advertising, marketing leads and other promotional and communication expenses. This category also includes an allocation of depreciation, amortization, lease expense, and occupancy costs attributable to the provision of certain services, primarily at the Company’s Phoenix, Arizona and Indianapolis, Indiana locations. Advertising costs are expensed as incurred.</w:t>
      </w:r>
    </w:p>
    <w:p>
      <w:pPr>
        <w:spacing w:after="0" w:line="39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171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5657850" cy="1714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13" w:name="page14"/>
    <w:bookmarkEnd w:id="13"/>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(In thousands, except per share data)</w:t>
      </w:r>
    </w:p>
    <w:p>
      <w:pPr>
        <w:spacing w:after="0" w:line="211"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General and Administrative</w:t>
      </w:r>
    </w:p>
    <w:p>
      <w:pPr>
        <w:spacing w:after="0" w:line="225" w:lineRule="exact"/>
        <w:rPr>
          <w:sz w:val="20"/>
          <w:szCs w:val="20"/>
          <w:color w:val="auto"/>
        </w:rPr>
      </w:pPr>
    </w:p>
    <w:p>
      <w:pPr>
        <w:ind w:left="60" w:right="259" w:firstLine="648"/>
        <w:spacing w:after="0" w:line="301" w:lineRule="auto"/>
        <w:rPr>
          <w:sz w:val="20"/>
          <w:szCs w:val="20"/>
          <w:color w:val="auto"/>
        </w:rPr>
      </w:pPr>
      <w:r>
        <w:rPr>
          <w:rFonts w:ascii="Arial" w:cs="Arial" w:eastAsia="Arial" w:hAnsi="Arial"/>
          <w:sz w:val="16"/>
          <w:szCs w:val="16"/>
          <w:color w:val="auto"/>
        </w:rPr>
        <w:t>General and administrative expenses include salaries, benefits and share-based compensation of employees engaged in corporate management, finance, human resources, compliance, and other corporate functions. This category also includes an allocation of depreciation, amortization, lease expense, and occupancy costs attributable to the provision of these services, primarily at the Company’s Phoenix, Arizona and Indianapolis, Indiana locations.</w:t>
      </w:r>
    </w:p>
    <w:p>
      <w:pPr>
        <w:spacing w:after="0" w:line="157"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Commitments and Contingencies</w:t>
      </w:r>
    </w:p>
    <w:p>
      <w:pPr>
        <w:spacing w:after="0" w:line="225" w:lineRule="exact"/>
        <w:rPr>
          <w:sz w:val="20"/>
          <w:szCs w:val="20"/>
          <w:color w:val="auto"/>
        </w:rPr>
      </w:pPr>
    </w:p>
    <w:p>
      <w:pPr>
        <w:ind w:left="60" w:right="179" w:firstLine="648"/>
        <w:spacing w:after="0" w:line="271" w:lineRule="auto"/>
        <w:rPr>
          <w:sz w:val="20"/>
          <w:szCs w:val="20"/>
          <w:color w:val="auto"/>
        </w:rPr>
      </w:pPr>
      <w:r>
        <w:rPr>
          <w:rFonts w:ascii="Arial" w:cs="Arial" w:eastAsia="Arial" w:hAnsi="Arial"/>
          <w:sz w:val="17"/>
          <w:szCs w:val="17"/>
          <w:color w:val="auto"/>
        </w:rPr>
        <w:t>The Company accrues for contingent obligations when it is probable that a liability has been incurred and the amount is reasonably estimable. When the Company becomes aware of a claim or potential claim, the likelihood of any loss exposure is assessed. If it is probable that a loss will result and the amount of the loss is estimable, the Company records a liability for the estimated loss. If the loss is not probable or the amount of the potential loss is not estimable, the Company will disclose the claim if the likelihood of a potential loss is reasonably possible and the amount of the potential loss could be material. Estimates that are particularly sensitive to future changes include tax, legal, and other regulatory matters, which are subject to change as events evolve, and as additional information becomes available during the administrative and litigation process. The Company expenses legal fees as incurred.</w:t>
      </w:r>
    </w:p>
    <w:p>
      <w:pPr>
        <w:spacing w:after="0" w:line="178"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Concentration of Credit Risk</w:t>
      </w:r>
    </w:p>
    <w:p>
      <w:pPr>
        <w:spacing w:after="0" w:line="225" w:lineRule="exact"/>
        <w:rPr>
          <w:sz w:val="20"/>
          <w:szCs w:val="20"/>
          <w:color w:val="auto"/>
        </w:rPr>
      </w:pPr>
    </w:p>
    <w:p>
      <w:pPr>
        <w:ind w:left="60" w:right="79" w:firstLine="648"/>
        <w:spacing w:after="0" w:line="285" w:lineRule="auto"/>
        <w:rPr>
          <w:sz w:val="20"/>
          <w:szCs w:val="20"/>
          <w:color w:val="auto"/>
        </w:rPr>
      </w:pPr>
      <w:r>
        <w:rPr>
          <w:rFonts w:ascii="Arial" w:cs="Arial" w:eastAsia="Arial" w:hAnsi="Arial"/>
          <w:sz w:val="16"/>
          <w:szCs w:val="16"/>
          <w:color w:val="auto"/>
        </w:rPr>
        <w:t>The Company believes the credit risk related to cash equivalents and investments is limited due to its adherence to an investment policy that requires investments to have a minimum BBB rating, depending on the type of security, by one major rating agency at the time of purchase. All of the Company’s cash equivalents and investments as of March 31, 2021 and December 31, 2020 consist of investments rated BBB or higher by at least one rating agency. Additionally, the Company utilizes more than one financial institution to conduct initial and ongoing credit analysis on its investment portfolio to monitor and lower the potential impact of market risk associated with its cash equivalents and investment portfolio. The Company is also subject to credit risk for its accounts receivable balance and its Secured Note. The Company has not experienced any losses on receivables since July 1, 2018, the date the Company transitioned to an educational service provider. To manage accounts receivable risk, the Company maintains an allowance for doubtful accounts, if needed. The Company monitors the credit risk exposure of the counterparty of the Secured Note to determine whether an adjustment to allowance for credit loss is necessary. A significant deterioration in the financial viability of our counterparty and corresponding decline in the fair value of the collateralized assets could impact the collectability risk of the Secured Note. Our dependence on our most significant university partner, which is also the counterparty to the Secured Note, with 87.4% and 87.9% of total service revenue for the three-month periods ended March 31, 2021 and 2020, respectively, subjects us to the risk that declines in our customer’s operations would result in a sustained reduction in service revenue and interest income on the Secured Note for the Company.</w:t>
      </w:r>
    </w:p>
    <w:p>
      <w:pPr>
        <w:spacing w:after="0" w:line="176"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Use of Estimates</w:t>
      </w:r>
    </w:p>
    <w:p>
      <w:pPr>
        <w:spacing w:after="0" w:line="225" w:lineRule="exact"/>
        <w:rPr>
          <w:sz w:val="20"/>
          <w:szCs w:val="20"/>
          <w:color w:val="auto"/>
        </w:rPr>
      </w:pPr>
    </w:p>
    <w:p>
      <w:pPr>
        <w:ind w:left="60" w:right="359" w:firstLine="648"/>
        <w:spacing w:after="0" w:line="286" w:lineRule="auto"/>
        <w:rPr>
          <w:sz w:val="20"/>
          <w:szCs w:val="20"/>
          <w:color w:val="auto"/>
        </w:rPr>
      </w:pPr>
      <w:r>
        <w:rPr>
          <w:rFonts w:ascii="Arial" w:cs="Arial" w:eastAsia="Arial" w:hAnsi="Arial"/>
          <w:sz w:val="17"/>
          <w:szCs w:val="17"/>
          <w:color w:val="auto"/>
        </w:rPr>
        <w:t>The preparation of consolidated financial statements in conformity with U.S. generally accepted accounting principles requires management to make estimates and assumptions that affect the reported amounts in the consolidated financial statements and accompanying notes. Actual results could differ from those estimates.</w:t>
      </w:r>
    </w:p>
    <w:p>
      <w:pPr>
        <w:spacing w:after="0" w:line="165"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Segment Information</w:t>
      </w:r>
    </w:p>
    <w:p>
      <w:pPr>
        <w:spacing w:after="0" w:line="225" w:lineRule="exact"/>
        <w:rPr>
          <w:sz w:val="20"/>
          <w:szCs w:val="20"/>
          <w:color w:val="auto"/>
        </w:rPr>
      </w:pPr>
    </w:p>
    <w:p>
      <w:pPr>
        <w:ind w:left="60" w:right="159" w:firstLine="648"/>
        <w:spacing w:after="0" w:line="259" w:lineRule="auto"/>
        <w:rPr>
          <w:sz w:val="20"/>
          <w:szCs w:val="20"/>
          <w:color w:val="auto"/>
        </w:rPr>
      </w:pPr>
      <w:r>
        <w:rPr>
          <w:rFonts w:ascii="Arial" w:cs="Arial" w:eastAsia="Arial" w:hAnsi="Arial"/>
          <w:sz w:val="18"/>
          <w:szCs w:val="18"/>
          <w:color w:val="auto"/>
        </w:rPr>
        <w:t>The Company operates as a single education services company using a core infrastructure that serves the curriculum and educational delivery needs of its university partners. The Company’s Chief Executive Officer manages the Company’s operations as a whole and no expense or operating income information is generated or evaluated on any component level.</w:t>
      </w:r>
    </w:p>
    <w:p>
      <w:pPr>
        <w:spacing w:after="0" w:line="200" w:lineRule="exact"/>
        <w:rPr>
          <w:sz w:val="20"/>
          <w:szCs w:val="20"/>
          <w:color w:val="auto"/>
        </w:rPr>
      </w:pPr>
    </w:p>
    <w:p>
      <w:pPr>
        <w:spacing w:after="0" w:line="2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171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5657850" cy="1714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14" w:name="page15"/>
    <w:bookmarkEnd w:id="14"/>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 except per share data)</w:t>
      </w:r>
    </w:p>
    <w:p>
      <w:pPr>
        <w:spacing w:after="0" w:line="211"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Accounting Pronouncements Adopted in 2021</w:t>
      </w:r>
    </w:p>
    <w:p>
      <w:pPr>
        <w:spacing w:after="0" w:line="225" w:lineRule="exact"/>
        <w:rPr>
          <w:sz w:val="20"/>
          <w:szCs w:val="20"/>
          <w:color w:val="auto"/>
        </w:rPr>
      </w:pPr>
    </w:p>
    <w:p>
      <w:pPr>
        <w:ind w:left="60" w:right="79" w:firstLine="648"/>
        <w:spacing w:after="0" w:line="253" w:lineRule="auto"/>
        <w:rPr>
          <w:sz w:val="20"/>
          <w:szCs w:val="20"/>
          <w:color w:val="auto"/>
        </w:rPr>
      </w:pPr>
      <w:r>
        <w:rPr>
          <w:rFonts w:ascii="Arial" w:cs="Arial" w:eastAsia="Arial" w:hAnsi="Arial"/>
          <w:sz w:val="18"/>
          <w:szCs w:val="18"/>
          <w:color w:val="auto"/>
        </w:rPr>
        <w:t xml:space="preserve">In December 2019, the FASB issued ASU No. 2019-12, </w:t>
      </w:r>
      <w:r>
        <w:rPr>
          <w:rFonts w:ascii="Arial" w:cs="Arial" w:eastAsia="Arial" w:hAnsi="Arial"/>
          <w:sz w:val="18"/>
          <w:szCs w:val="18"/>
          <w:i w:val="1"/>
          <w:iCs w:val="1"/>
          <w:color w:val="auto"/>
        </w:rPr>
        <w:t>Income Taxes (Topic 740): Simplifying the Accounting for</w:t>
      </w:r>
      <w:r>
        <w:rPr>
          <w:rFonts w:ascii="Arial" w:cs="Arial" w:eastAsia="Arial" w:hAnsi="Arial"/>
          <w:sz w:val="18"/>
          <w:szCs w:val="18"/>
          <w:color w:val="auto"/>
        </w:rPr>
        <w:t xml:space="preserve"> </w:t>
      </w:r>
      <w:r>
        <w:rPr>
          <w:rFonts w:ascii="Arial" w:cs="Arial" w:eastAsia="Arial" w:hAnsi="Arial"/>
          <w:sz w:val="18"/>
          <w:szCs w:val="18"/>
          <w:i w:val="1"/>
          <w:iCs w:val="1"/>
          <w:color w:val="auto"/>
        </w:rPr>
        <w:t>Income Taxes</w:t>
      </w:r>
      <w:r>
        <w:rPr>
          <w:rFonts w:ascii="Arial" w:cs="Arial" w:eastAsia="Arial" w:hAnsi="Arial"/>
          <w:sz w:val="18"/>
          <w:szCs w:val="18"/>
          <w:color w:val="auto"/>
        </w:rPr>
        <w:t>. This ASU is intended to simplify various aspects related to accounting for income taxes by removing</w:t>
      </w:r>
      <w:r>
        <w:rPr>
          <w:rFonts w:ascii="Arial" w:cs="Arial" w:eastAsia="Arial" w:hAnsi="Arial"/>
          <w:sz w:val="18"/>
          <w:szCs w:val="18"/>
          <w:i w:val="1"/>
          <w:iCs w:val="1"/>
          <w:color w:val="auto"/>
        </w:rPr>
        <w:t xml:space="preserve"> </w:t>
      </w:r>
      <w:r>
        <w:rPr>
          <w:rFonts w:ascii="Arial" w:cs="Arial" w:eastAsia="Arial" w:hAnsi="Arial"/>
          <w:sz w:val="18"/>
          <w:szCs w:val="18"/>
          <w:color w:val="auto"/>
        </w:rPr>
        <w:t>certain exceptions to the general principles in Topic 740 and clarifying certain aspects of the current guidance to promote consistency among reporting entities. ASU 2019-12 is effective for annual periods beginning after December 15, 2020 and interim periods within those annual periods, with early adoption permitted. Accordingly, the standard was adopted by the Company as of January 1, 2021. Most amendments within this ASU are required to be applied on a prospective basis, while certain amendments must be applied on a retrospective or modified retrospective basis. The adoption of this guidance did not have a material impact on the Company’s financial condition, results of operations or statements of cash flows.</w:t>
      </w:r>
    </w:p>
    <w:p>
      <w:pPr>
        <w:spacing w:after="0" w:line="196"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Recent Accounting Pronouncements</w:t>
      </w:r>
    </w:p>
    <w:p>
      <w:pPr>
        <w:spacing w:after="0" w:line="225" w:lineRule="exact"/>
        <w:rPr>
          <w:sz w:val="20"/>
          <w:szCs w:val="20"/>
          <w:color w:val="auto"/>
        </w:rPr>
      </w:pPr>
    </w:p>
    <w:p>
      <w:pPr>
        <w:ind w:left="60" w:right="59" w:firstLine="648"/>
        <w:spacing w:after="0" w:line="253" w:lineRule="auto"/>
        <w:rPr>
          <w:sz w:val="20"/>
          <w:szCs w:val="20"/>
          <w:color w:val="auto"/>
        </w:rPr>
      </w:pPr>
      <w:r>
        <w:rPr>
          <w:rFonts w:ascii="Arial" w:cs="Arial" w:eastAsia="Arial" w:hAnsi="Arial"/>
          <w:sz w:val="18"/>
          <w:szCs w:val="18"/>
          <w:color w:val="auto"/>
        </w:rPr>
        <w:t xml:space="preserve">In March 2020, the FASB issued ASU No. 2020-04, Reference Rate Reform (Topic 848): </w:t>
      </w:r>
      <w:r>
        <w:rPr>
          <w:rFonts w:ascii="Arial" w:cs="Arial" w:eastAsia="Arial" w:hAnsi="Arial"/>
          <w:sz w:val="18"/>
          <w:szCs w:val="18"/>
          <w:i w:val="1"/>
          <w:iCs w:val="1"/>
          <w:color w:val="auto"/>
        </w:rPr>
        <w:t>Facilitation of the</w:t>
      </w:r>
      <w:r>
        <w:rPr>
          <w:rFonts w:ascii="Arial" w:cs="Arial" w:eastAsia="Arial" w:hAnsi="Arial"/>
          <w:sz w:val="18"/>
          <w:szCs w:val="18"/>
          <w:color w:val="auto"/>
        </w:rPr>
        <w:t xml:space="preserve"> </w:t>
      </w:r>
      <w:r>
        <w:rPr>
          <w:rFonts w:ascii="Arial" w:cs="Arial" w:eastAsia="Arial" w:hAnsi="Arial"/>
          <w:sz w:val="18"/>
          <w:szCs w:val="18"/>
          <w:i w:val="1"/>
          <w:iCs w:val="1"/>
          <w:color w:val="auto"/>
        </w:rPr>
        <w:t>Effects of Reference Rate Reform on Financial Reporting</w:t>
      </w:r>
      <w:r>
        <w:rPr>
          <w:rFonts w:ascii="Arial" w:cs="Arial" w:eastAsia="Arial" w:hAnsi="Arial"/>
          <w:sz w:val="18"/>
          <w:szCs w:val="18"/>
          <w:color w:val="auto"/>
        </w:rPr>
        <w:t>. The amendments in this update provide optional guidance for a</w:t>
      </w:r>
      <w:r>
        <w:rPr>
          <w:rFonts w:ascii="Arial" w:cs="Arial" w:eastAsia="Arial" w:hAnsi="Arial"/>
          <w:sz w:val="18"/>
          <w:szCs w:val="18"/>
          <w:i w:val="1"/>
          <w:iCs w:val="1"/>
          <w:color w:val="auto"/>
        </w:rPr>
        <w:t xml:space="preserve"> </w:t>
      </w:r>
      <w:r>
        <w:rPr>
          <w:rFonts w:ascii="Arial" w:cs="Arial" w:eastAsia="Arial" w:hAnsi="Arial"/>
          <w:sz w:val="18"/>
          <w:szCs w:val="18"/>
          <w:color w:val="auto"/>
        </w:rPr>
        <w:t>limited period of time to ease the potential burden in accounting for (or recognizing the effect of) reference rate reform on financial reporting. It provides optional expedients and exceptions for applying generally accepted accounting principles to contracts, hedging relationships, and other transactions affected by reference rate reform if certain criteria are met. The amendments in this update are effective for all entities as of March 12, 2020 through December 31, 2022. The Company plans to elect the optional expedient for its credit facility by prospectively adjusting the effective interest rate if the cessation of the London Interbank Offered Rate (LIBOR) occurs. The Company does not believe the adoption of the reference rate reform will have a material impact on the Company’s financial condition, results of operations or statements of cash flows.</w:t>
      </w:r>
    </w:p>
    <w:p>
      <w:pPr>
        <w:spacing w:after="0" w:line="194" w:lineRule="exact"/>
        <w:rPr>
          <w:sz w:val="20"/>
          <w:szCs w:val="20"/>
          <w:color w:val="auto"/>
        </w:rPr>
      </w:pPr>
    </w:p>
    <w:p>
      <w:pPr>
        <w:ind w:left="60" w:right="379" w:firstLine="648"/>
        <w:spacing w:after="0" w:line="277" w:lineRule="auto"/>
        <w:rPr>
          <w:sz w:val="20"/>
          <w:szCs w:val="20"/>
          <w:color w:val="auto"/>
        </w:rPr>
      </w:pPr>
      <w:r>
        <w:rPr>
          <w:rFonts w:ascii="Arial" w:cs="Arial" w:eastAsia="Arial" w:hAnsi="Arial"/>
          <w:sz w:val="18"/>
          <w:szCs w:val="18"/>
          <w:color w:val="auto"/>
        </w:rPr>
        <w:t>The Company has determined that no other recent accounting pronouncements apply to its operations or could otherwise have a material impact on its consolidated financial statements.</w:t>
      </w:r>
    </w:p>
    <w:p>
      <w:pPr>
        <w:spacing w:after="0" w:line="166"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3. Investments</w:t>
      </w:r>
    </w:p>
    <w:p>
      <w:pPr>
        <w:spacing w:after="0" w:line="229" w:lineRule="exact"/>
        <w:rPr>
          <w:sz w:val="20"/>
          <w:szCs w:val="20"/>
          <w:color w:val="auto"/>
        </w:rPr>
      </w:pPr>
    </w:p>
    <w:p>
      <w:pPr>
        <w:ind w:left="60" w:right="259" w:firstLine="648"/>
        <w:spacing w:after="0" w:line="259" w:lineRule="auto"/>
        <w:rPr>
          <w:sz w:val="20"/>
          <w:szCs w:val="20"/>
          <w:color w:val="auto"/>
        </w:rPr>
      </w:pPr>
      <w:r>
        <w:rPr>
          <w:rFonts w:ascii="Arial" w:cs="Arial" w:eastAsia="Arial" w:hAnsi="Arial"/>
          <w:sz w:val="18"/>
          <w:szCs w:val="18"/>
          <w:color w:val="auto"/>
        </w:rPr>
        <w:t>At March 31, 2021 and December 31, 2020, the Company had investments of $8,015 and $10,840, respectively, classified as trading. The trading investments are held in municipal and corporate securities as of March 31, 2021 and December 31, 2020 and are due in one year or less as of March 31, 2021. The cash flows of municipal securities are backed by the issuing municipality’s credit-worthiness.</w:t>
      </w:r>
    </w:p>
    <w:p>
      <w:pPr>
        <w:spacing w:after="0" w:line="187" w:lineRule="exact"/>
        <w:rPr>
          <w:sz w:val="20"/>
          <w:szCs w:val="20"/>
          <w:color w:val="auto"/>
        </w:rPr>
      </w:pPr>
    </w:p>
    <w:p>
      <w:pPr>
        <w:ind w:left="700"/>
        <w:spacing w:after="0"/>
        <w:rPr>
          <w:sz w:val="20"/>
          <w:szCs w:val="20"/>
          <w:color w:val="auto"/>
        </w:rPr>
      </w:pPr>
      <w:r>
        <w:rPr>
          <w:rFonts w:ascii="Arial" w:cs="Arial" w:eastAsia="Arial" w:hAnsi="Arial"/>
          <w:sz w:val="17"/>
          <w:szCs w:val="17"/>
          <w:color w:val="auto"/>
        </w:rPr>
        <w:t>At March 31, 2021, the Company had available-for-sale investments of $28,428, comprised of the following:</w:t>
      </w:r>
    </w:p>
    <w:p>
      <w:pPr>
        <w:spacing w:after="0" w:line="242" w:lineRule="exact"/>
        <w:rPr>
          <w:sz w:val="20"/>
          <w:szCs w:val="20"/>
          <w:color w:val="auto"/>
        </w:rPr>
      </w:pPr>
    </w:p>
    <w:tbl>
      <w:tblPr>
        <w:tblLayout w:type="fixed"/>
        <w:tblInd w:w="40" w:type="dxa"/>
        <w:tblCellMar>
          <w:top w:w="0" w:type="dxa"/>
          <w:left w:w="0" w:type="dxa"/>
          <w:bottom w:w="0" w:type="dxa"/>
          <w:right w:w="0" w:type="dxa"/>
        </w:tblCellMar>
      </w:tblPr>
      <w:tr>
        <w:trPr>
          <w:trHeight w:val="171"/>
        </w:trPr>
        <w:tc>
          <w:tcPr>
            <w:tcW w:w="432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82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2280" w:type="dxa"/>
            <w:vAlign w:val="bottom"/>
            <w:tcBorders>
              <w:bottom w:val="single" w:sz="8" w:color="auto"/>
            </w:tcBorders>
            <w:gridSpan w:val="5"/>
          </w:tcPr>
          <w:p>
            <w:pPr>
              <w:ind w:left="340"/>
              <w:spacing w:after="0"/>
              <w:rPr>
                <w:sz w:val="20"/>
                <w:szCs w:val="20"/>
                <w:color w:val="auto"/>
              </w:rPr>
            </w:pPr>
            <w:r>
              <w:rPr>
                <w:rFonts w:ascii="Arial" w:cs="Arial" w:eastAsia="Arial" w:hAnsi="Arial"/>
                <w:sz w:val="14"/>
                <w:szCs w:val="14"/>
                <w:b w:val="1"/>
                <w:bCs w:val="1"/>
                <w:color w:val="auto"/>
              </w:rPr>
              <w:t>As of March 31, 2021</w:t>
            </w:r>
          </w:p>
        </w:tc>
        <w:tc>
          <w:tcPr>
            <w:tcW w:w="14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43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40" w:type="dxa"/>
            <w:vAlign w:val="bottom"/>
            <w:gridSpan w:val="2"/>
            <w:vMerge w:val="restart"/>
          </w:tcPr>
          <w:p>
            <w:pPr>
              <w:jc w:val="center"/>
              <w:ind w:right="360"/>
              <w:spacing w:after="0"/>
              <w:rPr>
                <w:sz w:val="20"/>
                <w:szCs w:val="20"/>
                <w:color w:val="auto"/>
              </w:rPr>
            </w:pPr>
            <w:r>
              <w:rPr>
                <w:rFonts w:ascii="Arial" w:cs="Arial" w:eastAsia="Arial" w:hAnsi="Arial"/>
                <w:sz w:val="14"/>
                <w:szCs w:val="14"/>
                <w:b w:val="1"/>
                <w:bCs w:val="1"/>
                <w:color w:val="auto"/>
                <w:w w:val="93"/>
              </w:rPr>
              <w:t>Adjusted</w:t>
            </w:r>
          </w:p>
        </w:tc>
        <w:tc>
          <w:tcPr>
            <w:tcW w:w="120" w:type="dxa"/>
            <w:vAlign w:val="bottom"/>
          </w:tcPr>
          <w:p>
            <w:pPr>
              <w:spacing w:after="0"/>
              <w:rPr>
                <w:sz w:val="10"/>
                <w:szCs w:val="10"/>
                <w:color w:val="auto"/>
              </w:rPr>
            </w:pPr>
          </w:p>
        </w:tc>
        <w:tc>
          <w:tcPr>
            <w:tcW w:w="1080" w:type="dxa"/>
            <w:vAlign w:val="bottom"/>
            <w:gridSpan w:val="2"/>
          </w:tcPr>
          <w:p>
            <w:pPr>
              <w:jc w:val="center"/>
              <w:ind w:right="320"/>
              <w:spacing w:after="0" w:line="119" w:lineRule="exact"/>
              <w:rPr>
                <w:sz w:val="20"/>
                <w:szCs w:val="20"/>
                <w:color w:val="auto"/>
              </w:rPr>
            </w:pPr>
            <w:r>
              <w:rPr>
                <w:rFonts w:ascii="Arial" w:cs="Arial" w:eastAsia="Arial" w:hAnsi="Arial"/>
                <w:sz w:val="13"/>
                <w:szCs w:val="13"/>
                <w:b w:val="1"/>
                <w:bCs w:val="1"/>
                <w:color w:val="auto"/>
                <w:w w:val="95"/>
              </w:rPr>
              <w:t>Gross</w:t>
            </w:r>
          </w:p>
        </w:tc>
        <w:tc>
          <w:tcPr>
            <w:tcW w:w="140" w:type="dxa"/>
            <w:vAlign w:val="bottom"/>
          </w:tcPr>
          <w:p>
            <w:pPr>
              <w:spacing w:after="0"/>
              <w:rPr>
                <w:sz w:val="10"/>
                <w:szCs w:val="10"/>
                <w:color w:val="auto"/>
              </w:rPr>
            </w:pPr>
          </w:p>
        </w:tc>
        <w:tc>
          <w:tcPr>
            <w:tcW w:w="1060" w:type="dxa"/>
            <w:vAlign w:val="bottom"/>
            <w:gridSpan w:val="2"/>
          </w:tcPr>
          <w:p>
            <w:pPr>
              <w:jc w:val="center"/>
              <w:ind w:right="340"/>
              <w:spacing w:after="0" w:line="119" w:lineRule="exact"/>
              <w:rPr>
                <w:sz w:val="20"/>
                <w:szCs w:val="20"/>
                <w:color w:val="auto"/>
              </w:rPr>
            </w:pPr>
            <w:r>
              <w:rPr>
                <w:rFonts w:ascii="Arial" w:cs="Arial" w:eastAsia="Arial" w:hAnsi="Arial"/>
                <w:sz w:val="13"/>
                <w:szCs w:val="13"/>
                <w:b w:val="1"/>
                <w:bCs w:val="1"/>
                <w:color w:val="auto"/>
                <w:w w:val="95"/>
              </w:rPr>
              <w:t>Gross</w:t>
            </w:r>
          </w:p>
        </w:tc>
        <w:tc>
          <w:tcPr>
            <w:tcW w:w="140" w:type="dxa"/>
            <w:vAlign w:val="bottom"/>
          </w:tcPr>
          <w:p>
            <w:pPr>
              <w:spacing w:after="0"/>
              <w:rPr>
                <w:sz w:val="10"/>
                <w:szCs w:val="10"/>
                <w:color w:val="auto"/>
              </w:rPr>
            </w:pPr>
          </w:p>
        </w:tc>
        <w:tc>
          <w:tcPr>
            <w:tcW w:w="860" w:type="dxa"/>
            <w:vAlign w:val="bottom"/>
          </w:tcPr>
          <w:p>
            <w:pPr>
              <w:jc w:val="center"/>
              <w:ind w:right="37"/>
              <w:spacing w:after="0" w:line="119" w:lineRule="exact"/>
              <w:rPr>
                <w:sz w:val="20"/>
                <w:szCs w:val="20"/>
                <w:color w:val="auto"/>
              </w:rPr>
            </w:pPr>
            <w:r>
              <w:rPr>
                <w:rFonts w:ascii="Arial" w:cs="Arial" w:eastAsia="Arial" w:hAnsi="Arial"/>
                <w:sz w:val="13"/>
                <w:szCs w:val="13"/>
                <w:b w:val="1"/>
                <w:bCs w:val="1"/>
                <w:color w:val="auto"/>
                <w:w w:val="99"/>
              </w:rPr>
              <w:t>Estimated</w:t>
            </w:r>
          </w:p>
        </w:tc>
        <w:tc>
          <w:tcPr>
            <w:tcW w:w="0" w:type="dxa"/>
            <w:vAlign w:val="bottom"/>
          </w:tcPr>
          <w:p>
            <w:pPr>
              <w:spacing w:after="0"/>
              <w:rPr>
                <w:sz w:val="1"/>
                <w:szCs w:val="1"/>
                <w:color w:val="auto"/>
              </w:rPr>
            </w:pPr>
          </w:p>
        </w:tc>
      </w:tr>
      <w:tr>
        <w:trPr>
          <w:trHeight w:val="148"/>
        </w:trPr>
        <w:tc>
          <w:tcPr>
            <w:tcW w:w="43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4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108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95"/>
              </w:rPr>
              <w:t>Unrealized</w:t>
            </w:r>
          </w:p>
        </w:tc>
        <w:tc>
          <w:tcPr>
            <w:tcW w:w="140" w:type="dxa"/>
            <w:vAlign w:val="bottom"/>
          </w:tcPr>
          <w:p>
            <w:pPr>
              <w:spacing w:after="0"/>
              <w:rPr>
                <w:sz w:val="12"/>
                <w:szCs w:val="12"/>
                <w:color w:val="auto"/>
              </w:rPr>
            </w:pPr>
          </w:p>
        </w:tc>
        <w:tc>
          <w:tcPr>
            <w:tcW w:w="106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95"/>
              </w:rPr>
              <w:t>Unrealized</w:t>
            </w:r>
          </w:p>
        </w:tc>
        <w:tc>
          <w:tcPr>
            <w:tcW w:w="140" w:type="dxa"/>
            <w:vAlign w:val="bottom"/>
          </w:tcPr>
          <w:p>
            <w:pPr>
              <w:spacing w:after="0"/>
              <w:rPr>
                <w:sz w:val="12"/>
                <w:szCs w:val="12"/>
                <w:color w:val="auto"/>
              </w:rPr>
            </w:pPr>
          </w:p>
        </w:tc>
        <w:tc>
          <w:tcPr>
            <w:tcW w:w="860" w:type="dxa"/>
            <w:vAlign w:val="bottom"/>
          </w:tcPr>
          <w:p>
            <w:pPr>
              <w:jc w:val="center"/>
              <w:ind w:right="37"/>
              <w:spacing w:after="0" w:line="149" w:lineRule="exact"/>
              <w:rPr>
                <w:sz w:val="20"/>
                <w:szCs w:val="20"/>
                <w:color w:val="auto"/>
              </w:rPr>
            </w:pPr>
            <w:r>
              <w:rPr>
                <w:rFonts w:ascii="Arial" w:cs="Arial" w:eastAsia="Arial" w:hAnsi="Arial"/>
                <w:sz w:val="14"/>
                <w:szCs w:val="14"/>
                <w:b w:val="1"/>
                <w:bCs w:val="1"/>
                <w:color w:val="auto"/>
              </w:rPr>
              <w:t>Fair</w:t>
            </w:r>
          </w:p>
        </w:tc>
        <w:tc>
          <w:tcPr>
            <w:tcW w:w="0" w:type="dxa"/>
            <w:vAlign w:val="bottom"/>
          </w:tcPr>
          <w:p>
            <w:pPr>
              <w:spacing w:after="0"/>
              <w:rPr>
                <w:sz w:val="1"/>
                <w:szCs w:val="1"/>
                <w:color w:val="auto"/>
              </w:rPr>
            </w:pPr>
          </w:p>
        </w:tc>
      </w:tr>
      <w:tr>
        <w:trPr>
          <w:trHeight w:val="171"/>
        </w:trPr>
        <w:tc>
          <w:tcPr>
            <w:tcW w:w="43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4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w w:val="89"/>
              </w:rPr>
              <w:t>Cost</w:t>
            </w:r>
          </w:p>
        </w:tc>
        <w:tc>
          <w:tcPr>
            <w:tcW w:w="120" w:type="dxa"/>
            <w:vAlign w:val="bottom"/>
          </w:tcPr>
          <w:p>
            <w:pPr>
              <w:spacing w:after="0"/>
              <w:rPr>
                <w:sz w:val="14"/>
                <w:szCs w:val="14"/>
                <w:color w:val="auto"/>
              </w:rPr>
            </w:pPr>
          </w:p>
        </w:tc>
        <w:tc>
          <w:tcPr>
            <w:tcW w:w="108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92"/>
              </w:rPr>
              <w:t>Gains</w:t>
            </w:r>
          </w:p>
        </w:tc>
        <w:tc>
          <w:tcPr>
            <w:tcW w:w="140" w:type="dxa"/>
            <w:vAlign w:val="bottom"/>
          </w:tcPr>
          <w:p>
            <w:pPr>
              <w:spacing w:after="0"/>
              <w:rPr>
                <w:sz w:val="14"/>
                <w:szCs w:val="14"/>
                <w:color w:val="auto"/>
              </w:rPr>
            </w:pPr>
          </w:p>
        </w:tc>
        <w:tc>
          <w:tcPr>
            <w:tcW w:w="106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83"/>
              </w:rPr>
              <w:t>(Losses)</w:t>
            </w:r>
          </w:p>
        </w:tc>
        <w:tc>
          <w:tcPr>
            <w:tcW w:w="140" w:type="dxa"/>
            <w:vAlign w:val="bottom"/>
          </w:tcPr>
          <w:p>
            <w:pPr>
              <w:spacing w:after="0"/>
              <w:rPr>
                <w:sz w:val="14"/>
                <w:szCs w:val="14"/>
                <w:color w:val="auto"/>
              </w:rPr>
            </w:pPr>
          </w:p>
        </w:tc>
        <w:tc>
          <w:tcPr>
            <w:tcW w:w="860" w:type="dxa"/>
            <w:vAlign w:val="bottom"/>
          </w:tcPr>
          <w:p>
            <w:pPr>
              <w:jc w:val="center"/>
              <w:ind w:right="37"/>
              <w:spacing w:after="0"/>
              <w:rPr>
                <w:sz w:val="20"/>
                <w:szCs w:val="20"/>
                <w:color w:val="auto"/>
              </w:rPr>
            </w:pPr>
            <w:r>
              <w:rPr>
                <w:rFonts w:ascii="Arial" w:cs="Arial" w:eastAsia="Arial" w:hAnsi="Arial"/>
                <w:sz w:val="14"/>
                <w:szCs w:val="14"/>
                <w:b w:val="1"/>
                <w:bCs w:val="1"/>
                <w:color w:val="auto"/>
                <w:w w:val="90"/>
              </w:rPr>
              <w:t>Value</w:t>
            </w:r>
          </w:p>
        </w:tc>
        <w:tc>
          <w:tcPr>
            <w:tcW w:w="0" w:type="dxa"/>
            <w:vAlign w:val="bottom"/>
          </w:tcPr>
          <w:p>
            <w:pPr>
              <w:spacing w:after="0"/>
              <w:rPr>
                <w:sz w:val="1"/>
                <w:szCs w:val="1"/>
                <w:color w:val="auto"/>
              </w:rPr>
            </w:pPr>
          </w:p>
        </w:tc>
      </w:tr>
      <w:tr>
        <w:trPr>
          <w:trHeight w:val="210"/>
        </w:trPr>
        <w:tc>
          <w:tcPr>
            <w:tcW w:w="432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Corporate bonds</w:t>
            </w: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19,228</w:t>
            </w:r>
          </w:p>
        </w:tc>
        <w:tc>
          <w:tcPr>
            <w:tcW w:w="22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w:t>
            </w:r>
          </w:p>
        </w:tc>
        <w:tc>
          <w:tcPr>
            <w:tcW w:w="22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(158)</w:t>
            </w:r>
          </w:p>
        </w:tc>
        <w:tc>
          <w:tcPr>
            <w:tcW w:w="20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19,079</w:t>
            </w:r>
          </w:p>
        </w:tc>
        <w:tc>
          <w:tcPr>
            <w:tcW w:w="0" w:type="dxa"/>
            <w:vAlign w:val="bottom"/>
          </w:tcPr>
          <w:p>
            <w:pPr>
              <w:spacing w:after="0"/>
              <w:rPr>
                <w:sz w:val="1"/>
                <w:szCs w:val="1"/>
                <w:color w:val="auto"/>
              </w:rPr>
            </w:pPr>
          </w:p>
        </w:tc>
      </w:tr>
      <w:tr>
        <w:trPr>
          <w:trHeight w:val="216"/>
        </w:trPr>
        <w:tc>
          <w:tcPr>
            <w:tcW w:w="4320" w:type="dxa"/>
            <w:vAlign w:val="bottom"/>
          </w:tcPr>
          <w:p>
            <w:pPr>
              <w:ind w:left="20"/>
              <w:spacing w:after="0"/>
              <w:rPr>
                <w:sz w:val="20"/>
                <w:szCs w:val="20"/>
                <w:color w:val="auto"/>
              </w:rPr>
            </w:pPr>
            <w:r>
              <w:rPr>
                <w:rFonts w:ascii="Arial" w:cs="Arial" w:eastAsia="Arial" w:hAnsi="Arial"/>
                <w:sz w:val="18"/>
                <w:szCs w:val="18"/>
                <w:color w:val="auto"/>
              </w:rPr>
              <w:t>Commercial paper</w:t>
            </w:r>
          </w:p>
        </w:tc>
        <w:tc>
          <w:tcPr>
            <w:tcW w:w="14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5,991</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8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060" w:type="dxa"/>
            <w:vAlign w:val="bottom"/>
            <w:gridSpan w:val="2"/>
          </w:tcPr>
          <w:p>
            <w:pPr>
              <w:jc w:val="right"/>
              <w:ind w:right="200"/>
              <w:spacing w:after="0"/>
              <w:rPr>
                <w:sz w:val="20"/>
                <w:szCs w:val="20"/>
                <w:color w:val="auto"/>
              </w:rPr>
            </w:pPr>
            <w:r>
              <w:rPr>
                <w:rFonts w:ascii="Arial" w:cs="Arial" w:eastAsia="Arial" w:hAnsi="Arial"/>
                <w:sz w:val="18"/>
                <w:szCs w:val="18"/>
                <w:color w:val="auto"/>
              </w:rPr>
              <w:t>(3)</w:t>
            </w:r>
          </w:p>
        </w:tc>
        <w:tc>
          <w:tcPr>
            <w:tcW w:w="14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5,988</w:t>
            </w:r>
          </w:p>
        </w:tc>
        <w:tc>
          <w:tcPr>
            <w:tcW w:w="0" w:type="dxa"/>
            <w:vAlign w:val="bottom"/>
          </w:tcPr>
          <w:p>
            <w:pPr>
              <w:spacing w:after="0"/>
              <w:rPr>
                <w:sz w:val="1"/>
                <w:szCs w:val="1"/>
                <w:color w:val="auto"/>
              </w:rPr>
            </w:pPr>
          </w:p>
        </w:tc>
      </w:tr>
      <w:tr>
        <w:trPr>
          <w:trHeight w:val="216"/>
        </w:trPr>
        <w:tc>
          <w:tcPr>
            <w:tcW w:w="4320" w:type="dxa"/>
            <w:vAlign w:val="bottom"/>
            <w:shd w:val="clear" w:color="auto" w:fill="CCEEFF"/>
          </w:tcPr>
          <w:p>
            <w:pPr>
              <w:ind w:left="20"/>
              <w:spacing w:after="0"/>
              <w:rPr>
                <w:sz w:val="20"/>
                <w:szCs w:val="20"/>
                <w:color w:val="auto"/>
              </w:rPr>
            </w:pPr>
            <w:r>
              <w:rPr>
                <w:rFonts w:ascii="Arial" w:cs="Arial" w:eastAsia="Arial" w:hAnsi="Arial"/>
                <w:sz w:val="18"/>
                <w:szCs w:val="18"/>
                <w:color w:val="auto"/>
              </w:rPr>
              <w:t>Municipal securities</w:t>
            </w:r>
          </w:p>
        </w:tc>
        <w:tc>
          <w:tcPr>
            <w:tcW w:w="14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1,433</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w:t>
            </w:r>
          </w:p>
        </w:tc>
        <w:tc>
          <w:tcPr>
            <w:tcW w:w="14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1,432</w:t>
            </w:r>
          </w:p>
        </w:tc>
        <w:tc>
          <w:tcPr>
            <w:tcW w:w="0" w:type="dxa"/>
            <w:vAlign w:val="bottom"/>
          </w:tcPr>
          <w:p>
            <w:pPr>
              <w:spacing w:after="0"/>
              <w:rPr>
                <w:sz w:val="1"/>
                <w:szCs w:val="1"/>
                <w:color w:val="auto"/>
              </w:rPr>
            </w:pPr>
          </w:p>
        </w:tc>
      </w:tr>
      <w:tr>
        <w:trPr>
          <w:trHeight w:val="216"/>
        </w:trPr>
        <w:tc>
          <w:tcPr>
            <w:tcW w:w="4320" w:type="dxa"/>
            <w:vAlign w:val="bottom"/>
          </w:tcPr>
          <w:p>
            <w:pPr>
              <w:ind w:left="20"/>
              <w:spacing w:after="0"/>
              <w:rPr>
                <w:sz w:val="20"/>
                <w:szCs w:val="20"/>
                <w:color w:val="auto"/>
              </w:rPr>
            </w:pPr>
            <w:r>
              <w:rPr>
                <w:rFonts w:ascii="Arial" w:cs="Arial" w:eastAsia="Arial" w:hAnsi="Arial"/>
                <w:sz w:val="18"/>
                <w:szCs w:val="18"/>
                <w:color w:val="auto"/>
              </w:rPr>
              <w:t>Asset backed securities</w:t>
            </w:r>
          </w:p>
        </w:tc>
        <w:tc>
          <w:tcPr>
            <w:tcW w:w="14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1,931</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60" w:type="dxa"/>
            <w:vAlign w:val="bottom"/>
            <w:gridSpan w:val="2"/>
          </w:tcPr>
          <w:p>
            <w:pPr>
              <w:jc w:val="right"/>
              <w:ind w:right="200"/>
              <w:spacing w:after="0"/>
              <w:rPr>
                <w:sz w:val="20"/>
                <w:szCs w:val="20"/>
                <w:color w:val="auto"/>
              </w:rPr>
            </w:pPr>
            <w:r>
              <w:rPr>
                <w:rFonts w:ascii="Arial" w:cs="Arial" w:eastAsia="Arial" w:hAnsi="Arial"/>
                <w:sz w:val="18"/>
                <w:szCs w:val="18"/>
                <w:color w:val="auto"/>
              </w:rPr>
              <w:t>(2)</w:t>
            </w:r>
          </w:p>
        </w:tc>
        <w:tc>
          <w:tcPr>
            <w:tcW w:w="14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1,929</w:t>
            </w:r>
          </w:p>
        </w:tc>
        <w:tc>
          <w:tcPr>
            <w:tcW w:w="0" w:type="dxa"/>
            <w:vAlign w:val="bottom"/>
          </w:tcPr>
          <w:p>
            <w:pPr>
              <w:spacing w:after="0"/>
              <w:rPr>
                <w:sz w:val="1"/>
                <w:szCs w:val="1"/>
                <w:color w:val="auto"/>
              </w:rPr>
            </w:pPr>
          </w:p>
        </w:tc>
      </w:tr>
      <w:tr>
        <w:trPr>
          <w:trHeight w:val="209"/>
        </w:trPr>
        <w:tc>
          <w:tcPr>
            <w:tcW w:w="432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Total investments</w:t>
            </w: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28,583</w:t>
            </w:r>
          </w:p>
        </w:tc>
        <w:tc>
          <w:tcPr>
            <w:tcW w:w="220" w:type="dxa"/>
            <w:vAlign w:val="bottom"/>
            <w:tcBorders>
              <w:top w:val="single" w:sz="8" w:color="CCEEFF"/>
              <w:bottom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w:t>
            </w:r>
          </w:p>
        </w:tc>
        <w:tc>
          <w:tcPr>
            <w:tcW w:w="220" w:type="dxa"/>
            <w:vAlign w:val="bottom"/>
            <w:tcBorders>
              <w:top w:val="single" w:sz="8" w:color="CCEEFF"/>
              <w:bottom w:val="single" w:sz="8" w:color="CCEEFF"/>
            </w:tcBorders>
            <w:shd w:val="clear" w:color="auto" w:fill="CCEEFF"/>
          </w:tcPr>
          <w:p>
            <w:pPr>
              <w:spacing w:after="0"/>
              <w:rPr>
                <w:sz w:val="18"/>
                <w:szCs w:val="18"/>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(164)</w:t>
            </w:r>
          </w:p>
        </w:tc>
        <w:tc>
          <w:tcPr>
            <w:tcW w:w="200" w:type="dxa"/>
            <w:vAlign w:val="bottom"/>
            <w:tcBorders>
              <w:top w:val="single" w:sz="8" w:color="CCEEFF"/>
              <w:bottom w:val="single" w:sz="8" w:color="CCEEFF"/>
            </w:tcBorders>
            <w:shd w:val="clear" w:color="auto" w:fill="CCEEFF"/>
          </w:tcPr>
          <w:p>
            <w:pPr>
              <w:spacing w:after="0"/>
              <w:rPr>
                <w:sz w:val="18"/>
                <w:szCs w:val="18"/>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28,428</w:t>
            </w:r>
          </w:p>
        </w:tc>
        <w:tc>
          <w:tcPr>
            <w:tcW w:w="0" w:type="dxa"/>
            <w:vAlign w:val="bottom"/>
          </w:tcPr>
          <w:p>
            <w:pPr>
              <w:spacing w:after="0"/>
              <w:rPr>
                <w:sz w:val="1"/>
                <w:szCs w:val="1"/>
                <w:color w:val="auto"/>
              </w:rPr>
            </w:pPr>
          </w:p>
        </w:tc>
      </w:tr>
      <w:tr>
        <w:trPr>
          <w:trHeight w:val="20"/>
        </w:trPr>
        <w:tc>
          <w:tcPr>
            <w:tcW w:w="43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ind w:left="60" w:right="479" w:firstLine="648"/>
        <w:spacing w:after="0" w:line="342" w:lineRule="auto"/>
        <w:rPr>
          <w:sz w:val="20"/>
          <w:szCs w:val="20"/>
          <w:color w:val="auto"/>
        </w:rPr>
      </w:pPr>
      <w:r>
        <w:rPr>
          <w:rFonts w:ascii="Arial" w:cs="Arial" w:eastAsia="Arial" w:hAnsi="Arial"/>
          <w:sz w:val="16"/>
          <w:szCs w:val="16"/>
          <w:color w:val="auto"/>
        </w:rPr>
        <w:t>For the three months ended March 31, 2021, the net unrealized gains or (losses) were $120, net of taxes. Available-for-sale debt securities are carried at fair value on the consolidated balance sheets. The Company estimates</w:t>
      </w:r>
    </w:p>
    <w:p>
      <w:pPr>
        <w:spacing w:after="0" w:line="34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171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5657850" cy="1714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15" w:name="page16"/>
    <w:bookmarkEnd w:id="15"/>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(In thousands, except per share data)</w:t>
      </w:r>
    </w:p>
    <w:p>
      <w:pPr>
        <w:spacing w:after="0" w:line="211" w:lineRule="exact"/>
        <w:rPr>
          <w:sz w:val="20"/>
          <w:szCs w:val="20"/>
          <w:color w:val="auto"/>
        </w:rPr>
      </w:pPr>
    </w:p>
    <w:p>
      <w:pPr>
        <w:ind w:left="60" w:right="99"/>
        <w:spacing w:after="0" w:line="257" w:lineRule="auto"/>
        <w:rPr>
          <w:sz w:val="20"/>
          <w:szCs w:val="20"/>
          <w:color w:val="auto"/>
        </w:rPr>
      </w:pPr>
      <w:r>
        <w:rPr>
          <w:rFonts w:ascii="Arial" w:cs="Arial" w:eastAsia="Arial" w:hAnsi="Arial"/>
          <w:sz w:val="18"/>
          <w:szCs w:val="18"/>
          <w:color w:val="auto"/>
        </w:rPr>
        <w:t>the lifetime expected credit losses for all available-for sale debt securities in an unrealized loss position. If our assessment indicates that an expected credit loss exists, we determine the portion of the unrealized loss attributable to credit deterioration and record a reserve for the expected credit loss in the allowance for credit losses in technology and academic services in our consolidated income statements. As of March 31, 2021, there were no credit losses for our available-for-sale debt securities.</w:t>
      </w:r>
    </w:p>
    <w:p>
      <w:pPr>
        <w:spacing w:after="0" w:line="215" w:lineRule="exact"/>
        <w:rPr>
          <w:sz w:val="20"/>
          <w:szCs w:val="20"/>
          <w:color w:val="auto"/>
        </w:rPr>
      </w:pPr>
    </w:p>
    <w:tbl>
      <w:tblPr>
        <w:tblLayout w:type="fixed"/>
        <w:tblInd w:w="40" w:type="dxa"/>
        <w:tblCellMar>
          <w:top w:w="0" w:type="dxa"/>
          <w:left w:w="0" w:type="dxa"/>
          <w:bottom w:w="0" w:type="dxa"/>
          <w:right w:w="0" w:type="dxa"/>
        </w:tblCellMar>
      </w:tblPr>
      <w:tr>
        <w:trPr>
          <w:trHeight w:val="230"/>
        </w:trPr>
        <w:tc>
          <w:tcPr>
            <w:tcW w:w="7240" w:type="dxa"/>
            <w:vAlign w:val="bottom"/>
          </w:tcPr>
          <w:p>
            <w:pPr>
              <w:ind w:left="20"/>
              <w:spacing w:after="0"/>
              <w:rPr>
                <w:sz w:val="20"/>
                <w:szCs w:val="20"/>
                <w:color w:val="auto"/>
              </w:rPr>
            </w:pPr>
            <w:r>
              <w:rPr>
                <w:rFonts w:ascii="Arial" w:cs="Arial" w:eastAsia="Arial" w:hAnsi="Arial"/>
                <w:sz w:val="18"/>
                <w:szCs w:val="18"/>
                <w:color w:val="auto"/>
              </w:rPr>
              <w:t>Available-for-sale securities maturing as of December 31:</w:t>
            </w:r>
          </w:p>
        </w:tc>
        <w:tc>
          <w:tcPr>
            <w:tcW w:w="1660" w:type="dxa"/>
            <w:vAlign w:val="bottom"/>
          </w:tcPr>
          <w:p>
            <w:pPr>
              <w:spacing w:after="0"/>
              <w:rPr>
                <w:sz w:val="20"/>
                <w:szCs w:val="20"/>
                <w:color w:val="auto"/>
              </w:rPr>
            </w:pPr>
          </w:p>
        </w:tc>
      </w:tr>
      <w:tr>
        <w:trPr>
          <w:trHeight w:val="216"/>
        </w:trPr>
        <w:tc>
          <w:tcPr>
            <w:tcW w:w="7240" w:type="dxa"/>
            <w:vAlign w:val="bottom"/>
            <w:shd w:val="clear" w:color="auto" w:fill="CCEEFF"/>
          </w:tcPr>
          <w:p>
            <w:pPr>
              <w:ind w:left="20"/>
              <w:spacing w:after="0"/>
              <w:rPr>
                <w:sz w:val="20"/>
                <w:szCs w:val="20"/>
                <w:color w:val="auto"/>
              </w:rPr>
            </w:pPr>
            <w:r>
              <w:rPr>
                <w:rFonts w:ascii="Arial" w:cs="Arial" w:eastAsia="Arial" w:hAnsi="Arial"/>
                <w:sz w:val="18"/>
                <w:szCs w:val="18"/>
                <w:color w:val="auto"/>
              </w:rPr>
              <w:t>2021 (Remainder of year)</w:t>
            </w:r>
          </w:p>
        </w:tc>
        <w:tc>
          <w:tcPr>
            <w:tcW w:w="1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9,153</w:t>
            </w:r>
          </w:p>
        </w:tc>
      </w:tr>
      <w:tr>
        <w:trPr>
          <w:trHeight w:val="216"/>
        </w:trPr>
        <w:tc>
          <w:tcPr>
            <w:tcW w:w="7240" w:type="dxa"/>
            <w:vAlign w:val="bottom"/>
          </w:tcPr>
          <w:p>
            <w:pPr>
              <w:ind w:left="20"/>
              <w:spacing w:after="0"/>
              <w:rPr>
                <w:sz w:val="20"/>
                <w:szCs w:val="20"/>
                <w:color w:val="auto"/>
              </w:rPr>
            </w:pPr>
            <w:r>
              <w:rPr>
                <w:rFonts w:ascii="Arial" w:cs="Arial" w:eastAsia="Arial" w:hAnsi="Arial"/>
                <w:sz w:val="18"/>
                <w:szCs w:val="18"/>
                <w:color w:val="auto"/>
              </w:rPr>
              <w:t>2022</w:t>
            </w:r>
          </w:p>
        </w:tc>
        <w:tc>
          <w:tcPr>
            <w:tcW w:w="1660" w:type="dxa"/>
            <w:vAlign w:val="bottom"/>
          </w:tcPr>
          <w:p>
            <w:pPr>
              <w:jc w:val="right"/>
              <w:spacing w:after="0"/>
              <w:rPr>
                <w:sz w:val="20"/>
                <w:szCs w:val="20"/>
                <w:color w:val="auto"/>
              </w:rPr>
            </w:pPr>
            <w:r>
              <w:rPr>
                <w:rFonts w:ascii="Arial" w:cs="Arial" w:eastAsia="Arial" w:hAnsi="Arial"/>
                <w:sz w:val="18"/>
                <w:szCs w:val="18"/>
                <w:color w:val="auto"/>
              </w:rPr>
              <w:t>2,302</w:t>
            </w:r>
          </w:p>
        </w:tc>
      </w:tr>
      <w:tr>
        <w:trPr>
          <w:trHeight w:val="216"/>
        </w:trPr>
        <w:tc>
          <w:tcPr>
            <w:tcW w:w="7240" w:type="dxa"/>
            <w:vAlign w:val="bottom"/>
            <w:shd w:val="clear" w:color="auto" w:fill="CCEEFF"/>
          </w:tcPr>
          <w:p>
            <w:pPr>
              <w:ind w:left="20"/>
              <w:spacing w:after="0"/>
              <w:rPr>
                <w:sz w:val="20"/>
                <w:szCs w:val="20"/>
                <w:color w:val="auto"/>
              </w:rPr>
            </w:pPr>
            <w:r>
              <w:rPr>
                <w:rFonts w:ascii="Arial" w:cs="Arial" w:eastAsia="Arial" w:hAnsi="Arial"/>
                <w:sz w:val="18"/>
                <w:szCs w:val="18"/>
                <w:color w:val="auto"/>
              </w:rPr>
              <w:t>2023</w:t>
            </w:r>
          </w:p>
        </w:tc>
        <w:tc>
          <w:tcPr>
            <w:tcW w:w="1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4,041</w:t>
            </w:r>
          </w:p>
        </w:tc>
      </w:tr>
      <w:tr>
        <w:trPr>
          <w:trHeight w:val="216"/>
        </w:trPr>
        <w:tc>
          <w:tcPr>
            <w:tcW w:w="7240" w:type="dxa"/>
            <w:vAlign w:val="bottom"/>
          </w:tcPr>
          <w:p>
            <w:pPr>
              <w:ind w:left="20"/>
              <w:spacing w:after="0"/>
              <w:rPr>
                <w:sz w:val="20"/>
                <w:szCs w:val="20"/>
                <w:color w:val="auto"/>
              </w:rPr>
            </w:pPr>
            <w:r>
              <w:rPr>
                <w:rFonts w:ascii="Arial" w:cs="Arial" w:eastAsia="Arial" w:hAnsi="Arial"/>
                <w:sz w:val="18"/>
                <w:szCs w:val="18"/>
                <w:color w:val="auto"/>
              </w:rPr>
              <w:t>2024</w:t>
            </w:r>
          </w:p>
        </w:tc>
        <w:tc>
          <w:tcPr>
            <w:tcW w:w="1660" w:type="dxa"/>
            <w:vAlign w:val="bottom"/>
          </w:tcPr>
          <w:p>
            <w:pPr>
              <w:jc w:val="right"/>
              <w:spacing w:after="0"/>
              <w:rPr>
                <w:sz w:val="20"/>
                <w:szCs w:val="20"/>
                <w:color w:val="auto"/>
              </w:rPr>
            </w:pPr>
            <w:r>
              <w:rPr>
                <w:rFonts w:ascii="Arial" w:cs="Arial" w:eastAsia="Arial" w:hAnsi="Arial"/>
                <w:sz w:val="18"/>
                <w:szCs w:val="18"/>
                <w:color w:val="auto"/>
              </w:rPr>
              <w:t>3,338</w:t>
            </w:r>
          </w:p>
        </w:tc>
      </w:tr>
      <w:tr>
        <w:trPr>
          <w:trHeight w:val="216"/>
        </w:trPr>
        <w:tc>
          <w:tcPr>
            <w:tcW w:w="7240" w:type="dxa"/>
            <w:vAlign w:val="bottom"/>
            <w:shd w:val="clear" w:color="auto" w:fill="CCEEFF"/>
          </w:tcPr>
          <w:p>
            <w:pPr>
              <w:ind w:left="20"/>
              <w:spacing w:after="0"/>
              <w:rPr>
                <w:sz w:val="20"/>
                <w:szCs w:val="20"/>
                <w:color w:val="auto"/>
              </w:rPr>
            </w:pPr>
            <w:r>
              <w:rPr>
                <w:rFonts w:ascii="Arial" w:cs="Arial" w:eastAsia="Arial" w:hAnsi="Arial"/>
                <w:sz w:val="18"/>
                <w:szCs w:val="18"/>
                <w:color w:val="auto"/>
              </w:rPr>
              <w:t>2025</w:t>
            </w:r>
          </w:p>
        </w:tc>
        <w:tc>
          <w:tcPr>
            <w:tcW w:w="1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1,019</w:t>
            </w:r>
          </w:p>
        </w:tc>
      </w:tr>
      <w:tr>
        <w:trPr>
          <w:trHeight w:val="216"/>
        </w:trPr>
        <w:tc>
          <w:tcPr>
            <w:tcW w:w="724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Thereafter</w:t>
            </w:r>
          </w:p>
        </w:tc>
        <w:tc>
          <w:tcPr>
            <w:tcW w:w="16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8,575</w:t>
            </w:r>
          </w:p>
        </w:tc>
      </w:tr>
      <w:tr>
        <w:trPr>
          <w:trHeight w:val="209"/>
        </w:trPr>
        <w:tc>
          <w:tcPr>
            <w:tcW w:w="72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Total</w:t>
            </w:r>
          </w:p>
        </w:tc>
        <w:tc>
          <w:tcPr>
            <w:tcW w:w="1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28,428</w:t>
            </w:r>
          </w:p>
        </w:tc>
      </w:tr>
      <w:tr>
        <w:trPr>
          <w:trHeight w:val="20"/>
        </w:trPr>
        <w:tc>
          <w:tcPr>
            <w:tcW w:w="7240" w:type="dxa"/>
            <w:vAlign w:val="bottom"/>
          </w:tcPr>
          <w:p>
            <w:pPr>
              <w:spacing w:after="0" w:line="20" w:lineRule="exact"/>
              <w:rPr>
                <w:sz w:val="1"/>
                <w:szCs w:val="1"/>
                <w:color w:val="auto"/>
              </w:rPr>
            </w:pPr>
          </w:p>
        </w:tc>
        <w:tc>
          <w:tcPr>
            <w:tcW w:w="166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27"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4. Net Income Per Common Share</w:t>
      </w:r>
    </w:p>
    <w:p>
      <w:pPr>
        <w:spacing w:after="0" w:line="229" w:lineRule="exact"/>
        <w:rPr>
          <w:sz w:val="20"/>
          <w:szCs w:val="20"/>
          <w:color w:val="auto"/>
        </w:rPr>
      </w:pPr>
    </w:p>
    <w:p>
      <w:pPr>
        <w:ind w:left="60" w:right="139" w:firstLine="648"/>
        <w:spacing w:after="0" w:line="291" w:lineRule="auto"/>
        <w:rPr>
          <w:sz w:val="20"/>
          <w:szCs w:val="20"/>
          <w:color w:val="auto"/>
        </w:rPr>
      </w:pPr>
      <w:r>
        <w:rPr>
          <w:rFonts w:ascii="Arial" w:cs="Arial" w:eastAsia="Arial" w:hAnsi="Arial"/>
          <w:sz w:val="16"/>
          <w:szCs w:val="16"/>
          <w:color w:val="auto"/>
        </w:rPr>
        <w:t>Basic earnings per common share is calculated by dividing net income available to common stockholders by the weighted average number of common shares outstanding for the period. Diluted earnings per common share reflects the assumed conversion of all potentially dilutive securities, consisting of stock options and restricted stock awards, for which the estimated fair value exceeds the exercise price, less shares which could have been purchased with the related proceeds, unless anti-dilutive. For employee equity awards, repurchased shares are also included for any unearned compensation adjusted for tax. The table below reflects the calculation of the weighted average number of common shares outstanding, on an as if converted basis, used in computing basic and diluted earnings per common share.</w:t>
      </w:r>
    </w:p>
    <w:p>
      <w:pPr>
        <w:spacing w:after="0" w:line="172" w:lineRule="exact"/>
        <w:rPr>
          <w:sz w:val="20"/>
          <w:szCs w:val="20"/>
          <w:color w:val="auto"/>
        </w:rPr>
      </w:pPr>
    </w:p>
    <w:p>
      <w:pPr>
        <w:ind w:left="7300"/>
        <w:spacing w:after="0"/>
        <w:rPr>
          <w:sz w:val="20"/>
          <w:szCs w:val="20"/>
          <w:color w:val="auto"/>
        </w:rPr>
      </w:pPr>
      <w:r>
        <w:rPr>
          <w:rFonts w:ascii="Arial" w:cs="Arial" w:eastAsia="Arial" w:hAnsi="Arial"/>
          <w:sz w:val="14"/>
          <w:szCs w:val="14"/>
          <w:b w:val="1"/>
          <w:bCs w:val="1"/>
          <w:color w:val="auto"/>
        </w:rPr>
        <w:t>Three Months Ended</w:t>
      </w:r>
    </w:p>
    <w:p>
      <w:pPr>
        <w:ind w:left="7620"/>
        <w:spacing w:after="0" w:line="236" w:lineRule="auto"/>
        <w:rPr>
          <w:sz w:val="20"/>
          <w:szCs w:val="20"/>
          <w:color w:val="auto"/>
        </w:rPr>
      </w:pPr>
      <w:r>
        <w:rPr>
          <w:rFonts w:ascii="Arial" w:cs="Arial" w:eastAsia="Arial" w:hAnsi="Arial"/>
          <w:sz w:val="14"/>
          <w:szCs w:val="14"/>
          <w:b w:val="1"/>
          <w:bCs w:val="1"/>
          <w:color w:val="auto"/>
        </w:rPr>
        <w:t>March 31,</w:t>
      </w:r>
    </w:p>
    <w:tbl>
      <w:tblPr>
        <w:tblLayout w:type="fixed"/>
        <w:tblInd w:w="40" w:type="dxa"/>
        <w:tblCellMar>
          <w:top w:w="0" w:type="dxa"/>
          <w:left w:w="0" w:type="dxa"/>
          <w:bottom w:w="0" w:type="dxa"/>
          <w:right w:w="0" w:type="dxa"/>
        </w:tblCellMar>
      </w:tblPr>
      <w:tr>
        <w:trPr>
          <w:trHeight w:val="142"/>
        </w:trPr>
        <w:tc>
          <w:tcPr>
            <w:tcW w:w="7100" w:type="dxa"/>
            <w:vAlign w:val="bottom"/>
            <w:vMerge w:val="restart"/>
          </w:tcPr>
          <w:p>
            <w:pPr>
              <w:ind w:left="20"/>
              <w:spacing w:after="0"/>
              <w:rPr>
                <w:sz w:val="20"/>
                <w:szCs w:val="20"/>
                <w:color w:val="auto"/>
              </w:rPr>
            </w:pPr>
            <w:r>
              <w:rPr>
                <w:rFonts w:ascii="Arial" w:cs="Arial" w:eastAsia="Arial" w:hAnsi="Arial"/>
                <w:sz w:val="18"/>
                <w:szCs w:val="18"/>
                <w:color w:val="auto"/>
              </w:rPr>
              <w:t>Denominator:</w:t>
            </w:r>
          </w:p>
        </w:tc>
        <w:tc>
          <w:tcPr>
            <w:tcW w:w="720" w:type="dxa"/>
            <w:vAlign w:val="bottom"/>
            <w:tcBorders>
              <w:top w:val="single" w:sz="8" w:color="auto"/>
              <w:bottom w:val="single" w:sz="8" w:color="auto"/>
            </w:tcBorders>
          </w:tcPr>
          <w:p>
            <w:pPr>
              <w:jc w:val="right"/>
              <w:ind w:right="135"/>
              <w:spacing w:after="0" w:line="142" w:lineRule="exact"/>
              <w:rPr>
                <w:sz w:val="20"/>
                <w:szCs w:val="20"/>
                <w:color w:val="auto"/>
              </w:rPr>
            </w:pPr>
            <w:r>
              <w:rPr>
                <w:rFonts w:ascii="Arial" w:cs="Arial" w:eastAsia="Arial" w:hAnsi="Arial"/>
                <w:sz w:val="14"/>
                <w:szCs w:val="14"/>
                <w:b w:val="1"/>
                <w:bCs w:val="1"/>
                <w:color w:val="auto"/>
              </w:rPr>
              <w:t>2021</w:t>
            </w:r>
          </w:p>
        </w:tc>
        <w:tc>
          <w:tcPr>
            <w:tcW w:w="180" w:type="dxa"/>
            <w:vAlign w:val="bottom"/>
            <w:tcBorders>
              <w:top w:val="single" w:sz="8" w:color="auto"/>
            </w:tcBorders>
          </w:tcPr>
          <w:p>
            <w:pPr>
              <w:spacing w:after="0"/>
              <w:rPr>
                <w:sz w:val="12"/>
                <w:szCs w:val="12"/>
                <w:color w:val="auto"/>
              </w:rPr>
            </w:pPr>
          </w:p>
        </w:tc>
        <w:tc>
          <w:tcPr>
            <w:tcW w:w="720" w:type="dxa"/>
            <w:vAlign w:val="bottom"/>
            <w:tcBorders>
              <w:top w:val="single" w:sz="8" w:color="auto"/>
              <w:bottom w:val="single" w:sz="8" w:color="auto"/>
            </w:tcBorders>
          </w:tcPr>
          <w:p>
            <w:pPr>
              <w:jc w:val="right"/>
              <w:ind w:right="135"/>
              <w:spacing w:after="0" w:line="142" w:lineRule="exact"/>
              <w:rPr>
                <w:sz w:val="20"/>
                <w:szCs w:val="20"/>
                <w:color w:val="auto"/>
              </w:rPr>
            </w:pPr>
            <w:r>
              <w:rPr>
                <w:rFonts w:ascii="Arial" w:cs="Arial" w:eastAsia="Arial" w:hAnsi="Arial"/>
                <w:sz w:val="14"/>
                <w:szCs w:val="14"/>
                <w:b w:val="1"/>
                <w:bCs w:val="1"/>
                <w:color w:val="auto"/>
              </w:rPr>
              <w:t>2020</w:t>
            </w:r>
          </w:p>
        </w:tc>
        <w:tc>
          <w:tcPr>
            <w:tcW w:w="1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7100" w:type="dxa"/>
            <w:vAlign w:val="bottom"/>
            <w:vMerge w:val="continue"/>
          </w:tcPr>
          <w:p>
            <w:pPr>
              <w:spacing w:after="0"/>
              <w:rPr>
                <w:sz w:val="18"/>
                <w:szCs w:val="18"/>
                <w:color w:val="auto"/>
              </w:rPr>
            </w:pPr>
          </w:p>
        </w:tc>
        <w:tc>
          <w:tcPr>
            <w:tcW w:w="7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100" w:type="dxa"/>
            <w:vAlign w:val="bottom"/>
            <w:shd w:val="clear" w:color="auto" w:fill="CCEEFF"/>
          </w:tcPr>
          <w:p>
            <w:pPr>
              <w:ind w:left="120"/>
              <w:spacing w:after="0"/>
              <w:rPr>
                <w:sz w:val="20"/>
                <w:szCs w:val="20"/>
                <w:color w:val="auto"/>
              </w:rPr>
            </w:pPr>
            <w:r>
              <w:rPr>
                <w:rFonts w:ascii="Arial" w:cs="Arial" w:eastAsia="Arial" w:hAnsi="Arial"/>
                <w:sz w:val="18"/>
                <w:szCs w:val="18"/>
                <w:color w:val="auto"/>
              </w:rPr>
              <w:t>Basic weighted average shares outstanding</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46,084</w:t>
            </w:r>
          </w:p>
        </w:tc>
        <w:tc>
          <w:tcPr>
            <w:tcW w:w="18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47,455</w:t>
            </w:r>
          </w:p>
        </w:tc>
        <w:tc>
          <w:tcPr>
            <w:tcW w:w="1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100" w:type="dxa"/>
            <w:vAlign w:val="bottom"/>
            <w:tcBorders>
              <w:bottom w:val="single" w:sz="8" w:color="CCEEFF"/>
            </w:tcBorders>
          </w:tcPr>
          <w:p>
            <w:pPr>
              <w:ind w:left="120"/>
              <w:spacing w:after="0"/>
              <w:rPr>
                <w:sz w:val="20"/>
                <w:szCs w:val="20"/>
                <w:color w:val="auto"/>
              </w:rPr>
            </w:pPr>
            <w:r>
              <w:rPr>
                <w:rFonts w:ascii="Arial" w:cs="Arial" w:eastAsia="Arial" w:hAnsi="Arial"/>
                <w:sz w:val="18"/>
                <w:szCs w:val="18"/>
                <w:color w:val="auto"/>
              </w:rPr>
              <w:t>Effect of dilutive stock options and restricted stock</w:t>
            </w: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216</w:t>
            </w:r>
          </w:p>
        </w:tc>
        <w:tc>
          <w:tcPr>
            <w:tcW w:w="180" w:type="dxa"/>
            <w:vAlign w:val="bottom"/>
            <w:tcBorders>
              <w:bottom w:val="single" w:sz="8" w:color="CCEEFF"/>
            </w:tcBorders>
          </w:tcPr>
          <w:p>
            <w:pPr>
              <w:spacing w:after="0"/>
              <w:rPr>
                <w:sz w:val="18"/>
                <w:szCs w:val="18"/>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309</w:t>
            </w:r>
          </w:p>
        </w:tc>
        <w:tc>
          <w:tcPr>
            <w:tcW w:w="180" w:type="dxa"/>
            <w:vAlign w:val="bottom"/>
            <w:tcBorders>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710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8"/>
                <w:szCs w:val="18"/>
                <w:color w:val="auto"/>
              </w:rPr>
              <w:t>Diluted weighted average shares outstanding</w:t>
            </w: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46,300</w:t>
            </w:r>
          </w:p>
        </w:tc>
        <w:tc>
          <w:tcPr>
            <w:tcW w:w="180" w:type="dxa"/>
            <w:vAlign w:val="bottom"/>
            <w:tcBorders>
              <w:bottom w:val="single" w:sz="8" w:color="CCEEFF"/>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47,764</w:t>
            </w:r>
          </w:p>
        </w:tc>
        <w:tc>
          <w:tcPr>
            <w:tcW w:w="180" w:type="dxa"/>
            <w:vAlign w:val="bottom"/>
            <w:tcBorders>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7100" w:type="dxa"/>
            <w:vAlign w:val="bottom"/>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left="60" w:right="199" w:firstLine="648"/>
        <w:spacing w:after="0" w:line="275" w:lineRule="auto"/>
        <w:rPr>
          <w:sz w:val="20"/>
          <w:szCs w:val="20"/>
          <w:color w:val="auto"/>
        </w:rPr>
      </w:pPr>
      <w:r>
        <w:rPr>
          <w:rFonts w:ascii="Arial" w:cs="Arial" w:eastAsia="Arial" w:hAnsi="Arial"/>
          <w:sz w:val="17"/>
          <w:szCs w:val="17"/>
          <w:color w:val="auto"/>
        </w:rPr>
        <w:t>Diluted weighted average shares outstanding excludes the incremental effect of unvested restricted stock and shares that would be issued upon the assumed exercise of stock options in accordance with the treasury stock method. For the three month periods ended March 31, 2021 and 2020, approximately 1 and 284, respectively, of the Company’s restricted stock awards outstanding were excluded from the calculation of diluted earnings per share as their inclusion would have been anti-dilutive. These restricted stock awards could be dilutive in the future.</w:t>
      </w:r>
    </w:p>
    <w:p>
      <w:pPr>
        <w:spacing w:after="0" w:line="172"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5. Allowance for Credit Losses</w:t>
      </w:r>
    </w:p>
    <w:p>
      <w:pPr>
        <w:spacing w:after="0" w:line="222" w:lineRule="exact"/>
        <w:rPr>
          <w:sz w:val="20"/>
          <w:szCs w:val="20"/>
          <w:color w:val="auto"/>
        </w:rPr>
      </w:pPr>
    </w:p>
    <w:tbl>
      <w:tblPr>
        <w:tblLayout w:type="fixed"/>
        <w:tblInd w:w="40" w:type="dxa"/>
        <w:tblCellMar>
          <w:top w:w="0" w:type="dxa"/>
          <w:left w:w="0" w:type="dxa"/>
          <w:bottom w:w="0" w:type="dxa"/>
          <w:right w:w="0" w:type="dxa"/>
        </w:tblCellMar>
      </w:tblPr>
      <w:tr>
        <w:trPr>
          <w:trHeight w:val="161"/>
        </w:trPr>
        <w:tc>
          <w:tcPr>
            <w:tcW w:w="2240" w:type="dxa"/>
            <w:vAlign w:val="bottom"/>
          </w:tcPr>
          <w:p>
            <w:pPr>
              <w:spacing w:after="0"/>
              <w:rPr>
                <w:sz w:val="14"/>
                <w:szCs w:val="14"/>
                <w:color w:val="auto"/>
              </w:rPr>
            </w:pPr>
          </w:p>
        </w:tc>
        <w:tc>
          <w:tcPr>
            <w:tcW w:w="184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940" w:type="dxa"/>
            <w:vAlign w:val="bottom"/>
            <w:gridSpan w:val="3"/>
          </w:tcPr>
          <w:p>
            <w:pPr>
              <w:jc w:val="right"/>
              <w:ind w:right="220"/>
              <w:spacing w:after="0"/>
              <w:rPr>
                <w:sz w:val="20"/>
                <w:szCs w:val="20"/>
                <w:color w:val="auto"/>
              </w:rPr>
            </w:pPr>
            <w:r>
              <w:rPr>
                <w:rFonts w:ascii="Arial" w:cs="Arial" w:eastAsia="Arial" w:hAnsi="Arial"/>
                <w:sz w:val="14"/>
                <w:szCs w:val="14"/>
                <w:b w:val="1"/>
                <w:bCs w:val="1"/>
                <w:color w:val="auto"/>
                <w:w w:val="99"/>
              </w:rPr>
              <w:t>Balance at</w:t>
            </w:r>
          </w:p>
        </w:tc>
        <w:tc>
          <w:tcPr>
            <w:tcW w:w="840" w:type="dxa"/>
            <w:vAlign w:val="bottom"/>
            <w:gridSpan w:val="2"/>
            <w:vMerge w:val="restart"/>
          </w:tcPr>
          <w:p>
            <w:pPr>
              <w:jc w:val="center"/>
              <w:ind w:right="160"/>
              <w:spacing w:after="0"/>
              <w:rPr>
                <w:sz w:val="20"/>
                <w:szCs w:val="20"/>
                <w:color w:val="auto"/>
              </w:rPr>
            </w:pPr>
            <w:r>
              <w:rPr>
                <w:rFonts w:ascii="Arial" w:cs="Arial" w:eastAsia="Arial" w:hAnsi="Arial"/>
                <w:sz w:val="14"/>
                <w:szCs w:val="14"/>
                <w:b w:val="1"/>
                <w:bCs w:val="1"/>
                <w:color w:val="auto"/>
                <w:w w:val="91"/>
              </w:rPr>
              <w:t>Charged to</w:t>
            </w:r>
          </w:p>
        </w:tc>
        <w:tc>
          <w:tcPr>
            <w:tcW w:w="82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2"/>
              </w:rPr>
              <w:t>Deductions/</w:t>
            </w:r>
          </w:p>
        </w:tc>
        <w:tc>
          <w:tcPr>
            <w:tcW w:w="160" w:type="dxa"/>
            <w:vAlign w:val="bottom"/>
          </w:tcPr>
          <w:p>
            <w:pPr>
              <w:spacing w:after="0"/>
              <w:rPr>
                <w:sz w:val="14"/>
                <w:szCs w:val="14"/>
                <w:color w:val="auto"/>
              </w:rPr>
            </w:pPr>
          </w:p>
        </w:tc>
        <w:tc>
          <w:tcPr>
            <w:tcW w:w="660" w:type="dxa"/>
            <w:vAlign w:val="bottom"/>
            <w:gridSpan w:val="2"/>
          </w:tcPr>
          <w:p>
            <w:pPr>
              <w:spacing w:after="0"/>
              <w:rPr>
                <w:sz w:val="20"/>
                <w:szCs w:val="20"/>
                <w:color w:val="auto"/>
              </w:rPr>
            </w:pPr>
            <w:r>
              <w:rPr>
                <w:rFonts w:ascii="Arial" w:cs="Arial" w:eastAsia="Arial" w:hAnsi="Arial"/>
                <w:sz w:val="14"/>
                <w:szCs w:val="14"/>
                <w:b w:val="1"/>
                <w:bCs w:val="1"/>
                <w:color w:val="auto"/>
                <w:w w:val="91"/>
              </w:rPr>
              <w:t>Balance at</w:t>
            </w:r>
          </w:p>
        </w:tc>
        <w:tc>
          <w:tcPr>
            <w:tcW w:w="0" w:type="dxa"/>
            <w:vAlign w:val="bottom"/>
          </w:tcPr>
          <w:p>
            <w:pPr>
              <w:spacing w:after="0"/>
              <w:rPr>
                <w:sz w:val="1"/>
                <w:szCs w:val="1"/>
                <w:color w:val="auto"/>
              </w:rPr>
            </w:pPr>
          </w:p>
        </w:tc>
      </w:tr>
      <w:tr>
        <w:trPr>
          <w:trHeight w:val="149"/>
        </w:trPr>
        <w:tc>
          <w:tcPr>
            <w:tcW w:w="2240" w:type="dxa"/>
            <w:vAlign w:val="bottom"/>
          </w:tcPr>
          <w:p>
            <w:pPr>
              <w:spacing w:after="0"/>
              <w:rPr>
                <w:sz w:val="12"/>
                <w:szCs w:val="12"/>
                <w:color w:val="auto"/>
              </w:rPr>
            </w:pPr>
          </w:p>
        </w:tc>
        <w:tc>
          <w:tcPr>
            <w:tcW w:w="1840" w:type="dxa"/>
            <w:vAlign w:val="bottom"/>
          </w:tcPr>
          <w:p>
            <w:pPr>
              <w:spacing w:after="0"/>
              <w:rPr>
                <w:sz w:val="12"/>
                <w:szCs w:val="12"/>
                <w:color w:val="auto"/>
              </w:rPr>
            </w:pPr>
          </w:p>
        </w:tc>
        <w:tc>
          <w:tcPr>
            <w:tcW w:w="2360" w:type="dxa"/>
            <w:vAlign w:val="bottom"/>
            <w:gridSpan w:val="4"/>
          </w:tcPr>
          <w:p>
            <w:pPr>
              <w:ind w:left="1420"/>
              <w:spacing w:after="0" w:line="149" w:lineRule="exact"/>
              <w:rPr>
                <w:sz w:val="20"/>
                <w:szCs w:val="20"/>
                <w:color w:val="auto"/>
              </w:rPr>
            </w:pPr>
            <w:r>
              <w:rPr>
                <w:rFonts w:ascii="Arial" w:cs="Arial" w:eastAsia="Arial" w:hAnsi="Arial"/>
                <w:sz w:val="14"/>
                <w:szCs w:val="14"/>
                <w:b w:val="1"/>
                <w:bCs w:val="1"/>
                <w:color w:val="auto"/>
              </w:rPr>
              <w:t>Beginning of</w:t>
            </w:r>
          </w:p>
        </w:tc>
        <w:tc>
          <w:tcPr>
            <w:tcW w:w="840" w:type="dxa"/>
            <w:vAlign w:val="bottom"/>
            <w:gridSpan w:val="2"/>
            <w:vMerge w:val="continue"/>
          </w:tcPr>
          <w:p>
            <w:pPr>
              <w:spacing w:after="0"/>
              <w:rPr>
                <w:sz w:val="12"/>
                <w:szCs w:val="12"/>
                <w:color w:val="auto"/>
              </w:rPr>
            </w:pPr>
          </w:p>
        </w:tc>
        <w:tc>
          <w:tcPr>
            <w:tcW w:w="820" w:type="dxa"/>
            <w:vAlign w:val="bottom"/>
            <w:vMerge w:val="continue"/>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tcPr>
          <w:p>
            <w:pPr>
              <w:jc w:val="right"/>
              <w:ind w:right="59"/>
              <w:spacing w:after="0" w:line="149" w:lineRule="exact"/>
              <w:rPr>
                <w:sz w:val="20"/>
                <w:szCs w:val="20"/>
                <w:color w:val="auto"/>
              </w:rPr>
            </w:pPr>
            <w:r>
              <w:rPr>
                <w:rFonts w:ascii="Arial" w:cs="Arial" w:eastAsia="Arial" w:hAnsi="Arial"/>
                <w:sz w:val="14"/>
                <w:szCs w:val="14"/>
                <w:b w:val="1"/>
                <w:bCs w:val="1"/>
                <w:color w:val="auto"/>
                <w:w w:val="91"/>
              </w:rPr>
              <w:t>End of</w:t>
            </w:r>
          </w:p>
        </w:tc>
        <w:tc>
          <w:tcPr>
            <w:tcW w:w="0" w:type="dxa"/>
            <w:vAlign w:val="bottom"/>
          </w:tcPr>
          <w:p>
            <w:pPr>
              <w:spacing w:after="0"/>
              <w:rPr>
                <w:sz w:val="1"/>
                <w:szCs w:val="1"/>
                <w:color w:val="auto"/>
              </w:rPr>
            </w:pPr>
          </w:p>
        </w:tc>
      </w:tr>
      <w:tr>
        <w:trPr>
          <w:trHeight w:val="171"/>
        </w:trPr>
        <w:tc>
          <w:tcPr>
            <w:tcW w:w="2240" w:type="dxa"/>
            <w:vAlign w:val="bottom"/>
          </w:tcPr>
          <w:p>
            <w:pPr>
              <w:spacing w:after="0"/>
              <w:rPr>
                <w:sz w:val="14"/>
                <w:szCs w:val="14"/>
                <w:color w:val="auto"/>
              </w:rPr>
            </w:pPr>
          </w:p>
        </w:tc>
        <w:tc>
          <w:tcPr>
            <w:tcW w:w="184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940" w:type="dxa"/>
            <w:vAlign w:val="bottom"/>
            <w:gridSpan w:val="3"/>
          </w:tcPr>
          <w:p>
            <w:pPr>
              <w:jc w:val="right"/>
              <w:ind w:right="240"/>
              <w:spacing w:after="0"/>
              <w:rPr>
                <w:sz w:val="20"/>
                <w:szCs w:val="20"/>
                <w:color w:val="auto"/>
              </w:rPr>
            </w:pPr>
            <w:r>
              <w:rPr>
                <w:rFonts w:ascii="Arial" w:cs="Arial" w:eastAsia="Arial" w:hAnsi="Arial"/>
                <w:sz w:val="14"/>
                <w:szCs w:val="14"/>
                <w:b w:val="1"/>
                <w:bCs w:val="1"/>
                <w:color w:val="auto"/>
              </w:rPr>
              <w:t>Period (1)</w:t>
            </w:r>
          </w:p>
        </w:tc>
        <w:tc>
          <w:tcPr>
            <w:tcW w:w="84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w w:val="90"/>
              </w:rPr>
              <w:t>Expense</w:t>
            </w:r>
          </w:p>
        </w:tc>
        <w:tc>
          <w:tcPr>
            <w:tcW w:w="820" w:type="dxa"/>
            <w:vAlign w:val="bottom"/>
          </w:tcPr>
          <w:p>
            <w:pPr>
              <w:jc w:val="center"/>
              <w:spacing w:after="0"/>
              <w:rPr>
                <w:sz w:val="20"/>
                <w:szCs w:val="20"/>
                <w:color w:val="auto"/>
              </w:rPr>
            </w:pPr>
            <w:r>
              <w:rPr>
                <w:rFonts w:ascii="Arial" w:cs="Arial" w:eastAsia="Arial" w:hAnsi="Arial"/>
                <w:sz w:val="14"/>
                <w:szCs w:val="14"/>
                <w:b w:val="1"/>
                <w:bCs w:val="1"/>
                <w:color w:val="auto"/>
                <w:w w:val="91"/>
              </w:rPr>
              <w:t>Transfers (2)</w:t>
            </w: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60" w:type="dxa"/>
            <w:vAlign w:val="bottom"/>
          </w:tcPr>
          <w:p>
            <w:pPr>
              <w:jc w:val="right"/>
              <w:ind w:right="59"/>
              <w:spacing w:after="0"/>
              <w:rPr>
                <w:sz w:val="20"/>
                <w:szCs w:val="20"/>
                <w:color w:val="auto"/>
              </w:rPr>
            </w:pPr>
            <w:r>
              <w:rPr>
                <w:rFonts w:ascii="Arial" w:cs="Arial" w:eastAsia="Arial" w:hAnsi="Arial"/>
                <w:sz w:val="14"/>
                <w:szCs w:val="14"/>
                <w:b w:val="1"/>
                <w:bCs w:val="1"/>
                <w:color w:val="auto"/>
                <w:w w:val="91"/>
              </w:rPr>
              <w:t>Period</w:t>
            </w:r>
          </w:p>
        </w:tc>
        <w:tc>
          <w:tcPr>
            <w:tcW w:w="0" w:type="dxa"/>
            <w:vAlign w:val="bottom"/>
          </w:tcPr>
          <w:p>
            <w:pPr>
              <w:spacing w:after="0"/>
              <w:rPr>
                <w:sz w:val="1"/>
                <w:szCs w:val="1"/>
                <w:color w:val="auto"/>
              </w:rPr>
            </w:pPr>
          </w:p>
        </w:tc>
      </w:tr>
      <w:tr>
        <w:trPr>
          <w:trHeight w:val="196"/>
        </w:trPr>
        <w:tc>
          <w:tcPr>
            <w:tcW w:w="4080" w:type="dxa"/>
            <w:vAlign w:val="bottom"/>
            <w:tcBorders>
              <w:top w:val="single" w:sz="8" w:color="CCEEFF"/>
            </w:tcBorders>
            <w:gridSpan w:val="2"/>
            <w:shd w:val="clear" w:color="auto" w:fill="CCEEFF"/>
          </w:tcPr>
          <w:p>
            <w:pPr>
              <w:spacing w:after="0" w:line="196" w:lineRule="exact"/>
              <w:rPr>
                <w:sz w:val="20"/>
                <w:szCs w:val="20"/>
                <w:color w:val="auto"/>
              </w:rPr>
            </w:pPr>
            <w:r>
              <w:rPr>
                <w:rFonts w:ascii="Arial" w:cs="Arial" w:eastAsia="Arial" w:hAnsi="Arial"/>
                <w:sz w:val="18"/>
                <w:szCs w:val="18"/>
                <w:color w:val="auto"/>
              </w:rPr>
              <w:t>Allowance for credit losses</w:t>
            </w:r>
          </w:p>
        </w:tc>
        <w:tc>
          <w:tcPr>
            <w:tcW w:w="1420" w:type="dxa"/>
            <w:vAlign w:val="bottom"/>
            <w:tcBorders>
              <w:top w:val="single" w:sz="8" w:color="CCEEFF"/>
            </w:tcBorders>
            <w:shd w:val="clear" w:color="auto" w:fill="CCEEFF"/>
          </w:tcPr>
          <w:p>
            <w:pPr>
              <w:spacing w:after="0"/>
              <w:rPr>
                <w:sz w:val="17"/>
                <w:szCs w:val="17"/>
                <w:color w:val="auto"/>
              </w:rPr>
            </w:pPr>
          </w:p>
        </w:tc>
        <w:tc>
          <w:tcPr>
            <w:tcW w:w="200" w:type="dxa"/>
            <w:vAlign w:val="bottom"/>
            <w:tcBorders>
              <w:top w:val="single" w:sz="8" w:color="auto"/>
            </w:tcBorders>
            <w:shd w:val="clear" w:color="auto" w:fill="CCEEFF"/>
          </w:tcPr>
          <w:p>
            <w:pPr>
              <w:spacing w:after="0"/>
              <w:rPr>
                <w:sz w:val="17"/>
                <w:szCs w:val="17"/>
                <w:color w:val="auto"/>
              </w:rPr>
            </w:pPr>
          </w:p>
        </w:tc>
        <w:tc>
          <w:tcPr>
            <w:tcW w:w="580" w:type="dxa"/>
            <w:vAlign w:val="bottom"/>
            <w:tcBorders>
              <w:top w:val="single" w:sz="8" w:color="auto"/>
            </w:tcBorders>
            <w:shd w:val="clear" w:color="auto" w:fill="CCEEFF"/>
          </w:tcPr>
          <w:p>
            <w:pPr>
              <w:spacing w:after="0"/>
              <w:rPr>
                <w:sz w:val="17"/>
                <w:szCs w:val="17"/>
                <w:color w:val="auto"/>
              </w:rPr>
            </w:pPr>
          </w:p>
        </w:tc>
        <w:tc>
          <w:tcPr>
            <w:tcW w:w="160" w:type="dxa"/>
            <w:vAlign w:val="bottom"/>
            <w:tcBorders>
              <w:top w:val="single" w:sz="8" w:color="CCEEFF"/>
            </w:tcBorders>
            <w:shd w:val="clear" w:color="auto" w:fill="CCEEFF"/>
          </w:tcPr>
          <w:p>
            <w:pPr>
              <w:spacing w:after="0"/>
              <w:rPr>
                <w:sz w:val="17"/>
                <w:szCs w:val="17"/>
                <w:color w:val="auto"/>
              </w:rPr>
            </w:pPr>
          </w:p>
        </w:tc>
        <w:tc>
          <w:tcPr>
            <w:tcW w:w="700" w:type="dxa"/>
            <w:vAlign w:val="bottom"/>
            <w:tcBorders>
              <w:top w:val="single" w:sz="8" w:color="auto"/>
            </w:tcBorders>
            <w:shd w:val="clear" w:color="auto" w:fill="CCEEFF"/>
          </w:tcPr>
          <w:p>
            <w:pPr>
              <w:spacing w:after="0"/>
              <w:rPr>
                <w:sz w:val="17"/>
                <w:szCs w:val="17"/>
                <w:color w:val="auto"/>
              </w:rPr>
            </w:pPr>
          </w:p>
        </w:tc>
        <w:tc>
          <w:tcPr>
            <w:tcW w:w="140" w:type="dxa"/>
            <w:vAlign w:val="bottom"/>
            <w:tcBorders>
              <w:top w:val="single" w:sz="8" w:color="CCEEFF"/>
            </w:tcBorders>
            <w:shd w:val="clear" w:color="auto" w:fill="CCEEFF"/>
          </w:tcPr>
          <w:p>
            <w:pPr>
              <w:spacing w:after="0"/>
              <w:rPr>
                <w:sz w:val="17"/>
                <w:szCs w:val="17"/>
                <w:color w:val="auto"/>
              </w:rPr>
            </w:pPr>
          </w:p>
        </w:tc>
        <w:tc>
          <w:tcPr>
            <w:tcW w:w="820" w:type="dxa"/>
            <w:vAlign w:val="bottom"/>
            <w:tcBorders>
              <w:top w:val="single" w:sz="8" w:color="auto"/>
            </w:tcBorders>
            <w:shd w:val="clear" w:color="auto" w:fill="CCEEFF"/>
          </w:tcPr>
          <w:p>
            <w:pPr>
              <w:spacing w:after="0"/>
              <w:rPr>
                <w:sz w:val="17"/>
                <w:szCs w:val="17"/>
                <w:color w:val="auto"/>
              </w:rPr>
            </w:pPr>
          </w:p>
        </w:tc>
        <w:tc>
          <w:tcPr>
            <w:tcW w:w="16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560" w:type="dxa"/>
            <w:vAlign w:val="bottom"/>
            <w:tcBorders>
              <w:top w:val="single" w:sz="8" w:color="auto"/>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4080" w:type="dxa"/>
            <w:vAlign w:val="bottom"/>
            <w:gridSpan w:val="2"/>
          </w:tcPr>
          <w:p>
            <w:pPr>
              <w:spacing w:after="0"/>
              <w:rPr>
                <w:sz w:val="20"/>
                <w:szCs w:val="20"/>
                <w:color w:val="auto"/>
              </w:rPr>
            </w:pPr>
            <w:r>
              <w:rPr>
                <w:rFonts w:ascii="Arial" w:cs="Arial" w:eastAsia="Arial" w:hAnsi="Arial"/>
                <w:sz w:val="18"/>
                <w:szCs w:val="18"/>
                <w:color w:val="auto"/>
              </w:rPr>
              <w:t>Three months ended March 31, 2021</w:t>
            </w:r>
          </w:p>
        </w:tc>
        <w:tc>
          <w:tcPr>
            <w:tcW w:w="1620" w:type="dxa"/>
            <w:vAlign w:val="bottom"/>
            <w:gridSpan w:val="2"/>
          </w:tcPr>
          <w:p>
            <w:pPr>
              <w:ind w:left="1420"/>
              <w:spacing w:after="0"/>
              <w:rPr>
                <w:sz w:val="20"/>
                <w:szCs w:val="20"/>
                <w:color w:val="auto"/>
              </w:rPr>
            </w:pPr>
            <w:r>
              <w:rPr>
                <w:rFonts w:ascii="Arial" w:cs="Arial" w:eastAsia="Arial" w:hAnsi="Arial"/>
                <w:sz w:val="18"/>
                <w:szCs w:val="18"/>
                <w:color w:val="auto"/>
              </w:rPr>
              <w:t>$</w:t>
            </w:r>
          </w:p>
        </w:tc>
        <w:tc>
          <w:tcPr>
            <w:tcW w:w="580" w:type="dxa"/>
            <w:vAlign w:val="bottom"/>
          </w:tcPr>
          <w:p>
            <w:pPr>
              <w:jc w:val="right"/>
              <w:spacing w:after="0"/>
              <w:rPr>
                <w:sz w:val="20"/>
                <w:szCs w:val="20"/>
                <w:color w:val="auto"/>
              </w:rPr>
            </w:pPr>
            <w:r>
              <w:rPr>
                <w:rFonts w:ascii="Arial" w:cs="Arial" w:eastAsia="Arial" w:hAnsi="Arial"/>
                <w:sz w:val="18"/>
                <w:szCs w:val="18"/>
                <w:color w:val="auto"/>
              </w:rPr>
              <w:t>5,000</w:t>
            </w:r>
          </w:p>
        </w:tc>
        <w:tc>
          <w:tcPr>
            <w:tcW w:w="160" w:type="dxa"/>
            <w:vAlign w:val="bottom"/>
          </w:tcPr>
          <w:p>
            <w:pPr>
              <w:spacing w:after="0"/>
              <w:rPr>
                <w:sz w:val="18"/>
                <w:szCs w:val="18"/>
                <w:color w:val="auto"/>
              </w:rPr>
            </w:pPr>
          </w:p>
        </w:tc>
        <w:tc>
          <w:tcPr>
            <w:tcW w:w="840" w:type="dxa"/>
            <w:vAlign w:val="bottom"/>
            <w:gridSpan w:val="2"/>
          </w:tcPr>
          <w:p>
            <w:pPr>
              <w:ind w:left="440"/>
              <w:spacing w:after="0"/>
              <w:rPr>
                <w:sz w:val="20"/>
                <w:szCs w:val="20"/>
                <w:color w:val="auto"/>
              </w:rPr>
            </w:pPr>
            <w:r>
              <w:rPr>
                <w:rFonts w:ascii="Arial" w:cs="Arial" w:eastAsia="Arial" w:hAnsi="Arial"/>
                <w:sz w:val="18"/>
                <w:szCs w:val="18"/>
                <w:color w:val="auto"/>
              </w:rPr>
              <w:t>—</w:t>
            </w:r>
          </w:p>
        </w:tc>
        <w:tc>
          <w:tcPr>
            <w:tcW w:w="820" w:type="dxa"/>
            <w:vAlign w:val="bottom"/>
          </w:tcPr>
          <w:p>
            <w:pPr>
              <w:ind w:left="580"/>
              <w:spacing w:after="0"/>
              <w:rPr>
                <w:sz w:val="20"/>
                <w:szCs w:val="20"/>
                <w:color w:val="auto"/>
              </w:rPr>
            </w:pPr>
            <w:r>
              <w:rPr>
                <w:rFonts w:ascii="Arial" w:cs="Arial" w:eastAsia="Arial" w:hAnsi="Arial"/>
                <w:sz w:val="18"/>
                <w:szCs w:val="18"/>
                <w:color w:val="auto"/>
              </w:rPr>
              <w:t>—</w:t>
            </w:r>
          </w:p>
        </w:tc>
        <w:tc>
          <w:tcPr>
            <w:tcW w:w="260" w:type="dxa"/>
            <w:vAlign w:val="bottom"/>
            <w:gridSpan w:val="2"/>
          </w:tcPr>
          <w:p>
            <w:pPr>
              <w:ind w:left="160"/>
              <w:spacing w:after="0"/>
              <w:rPr>
                <w:sz w:val="20"/>
                <w:szCs w:val="20"/>
                <w:color w:val="auto"/>
              </w:rPr>
            </w:pPr>
            <w:r>
              <w:rPr>
                <w:rFonts w:ascii="Arial" w:cs="Arial" w:eastAsia="Arial" w:hAnsi="Arial"/>
                <w:sz w:val="18"/>
                <w:szCs w:val="18"/>
                <w:color w:val="auto"/>
                <w:w w:val="79"/>
              </w:rPr>
              <w:t>$</w:t>
            </w:r>
          </w:p>
        </w:tc>
        <w:tc>
          <w:tcPr>
            <w:tcW w:w="560" w:type="dxa"/>
            <w:vAlign w:val="bottom"/>
          </w:tcPr>
          <w:p>
            <w:pPr>
              <w:jc w:val="right"/>
              <w:spacing w:after="0"/>
              <w:rPr>
                <w:sz w:val="20"/>
                <w:szCs w:val="20"/>
                <w:color w:val="auto"/>
              </w:rPr>
            </w:pPr>
            <w:r>
              <w:rPr>
                <w:rFonts w:ascii="Arial" w:cs="Arial" w:eastAsia="Arial" w:hAnsi="Arial"/>
                <w:sz w:val="18"/>
                <w:szCs w:val="18"/>
                <w:color w:val="auto"/>
              </w:rPr>
              <w:t>5,000</w:t>
            </w:r>
          </w:p>
        </w:tc>
        <w:tc>
          <w:tcPr>
            <w:tcW w:w="0" w:type="dxa"/>
            <w:vAlign w:val="bottom"/>
          </w:tcPr>
          <w:p>
            <w:pPr>
              <w:spacing w:after="0"/>
              <w:rPr>
                <w:sz w:val="1"/>
                <w:szCs w:val="1"/>
                <w:color w:val="auto"/>
              </w:rPr>
            </w:pPr>
          </w:p>
        </w:tc>
      </w:tr>
      <w:tr>
        <w:trPr>
          <w:trHeight w:val="216"/>
        </w:trPr>
        <w:tc>
          <w:tcPr>
            <w:tcW w:w="40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Three months ended March 31, 2020</w:t>
            </w:r>
          </w:p>
        </w:tc>
        <w:tc>
          <w:tcPr>
            <w:tcW w:w="1620" w:type="dxa"/>
            <w:vAlign w:val="bottom"/>
            <w:gridSpan w:val="2"/>
            <w:shd w:val="clear" w:color="auto" w:fill="CCEEFF"/>
          </w:tcPr>
          <w:p>
            <w:pPr>
              <w:ind w:left="1420"/>
              <w:spacing w:after="0"/>
              <w:rPr>
                <w:sz w:val="20"/>
                <w:szCs w:val="20"/>
                <w:color w:val="auto"/>
              </w:rPr>
            </w:pPr>
            <w:r>
              <w:rPr>
                <w:rFonts w:ascii="Arial" w:cs="Arial" w:eastAsia="Arial" w:hAnsi="Arial"/>
                <w:sz w:val="18"/>
                <w:szCs w:val="18"/>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5,000</w:t>
            </w:r>
          </w:p>
        </w:tc>
        <w:tc>
          <w:tcPr>
            <w:tcW w:w="160" w:type="dxa"/>
            <w:vAlign w:val="bottom"/>
            <w:shd w:val="clear" w:color="auto" w:fill="CCEEFF"/>
          </w:tcPr>
          <w:p>
            <w:pPr>
              <w:spacing w:after="0"/>
              <w:rPr>
                <w:sz w:val="18"/>
                <w:szCs w:val="18"/>
                <w:color w:val="auto"/>
              </w:rPr>
            </w:pPr>
          </w:p>
        </w:tc>
        <w:tc>
          <w:tcPr>
            <w:tcW w:w="84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w:t>
            </w:r>
          </w:p>
        </w:tc>
        <w:tc>
          <w:tcPr>
            <w:tcW w:w="820" w:type="dxa"/>
            <w:vAlign w:val="bottom"/>
            <w:shd w:val="clear" w:color="auto" w:fill="CCEEFF"/>
          </w:tcPr>
          <w:p>
            <w:pPr>
              <w:ind w:left="580"/>
              <w:spacing w:after="0"/>
              <w:rPr>
                <w:sz w:val="20"/>
                <w:szCs w:val="20"/>
                <w:color w:val="auto"/>
              </w:rPr>
            </w:pPr>
            <w:r>
              <w:rPr>
                <w:rFonts w:ascii="Arial" w:cs="Arial" w:eastAsia="Arial" w:hAnsi="Arial"/>
                <w:sz w:val="18"/>
                <w:szCs w:val="18"/>
                <w:color w:val="auto"/>
              </w:rPr>
              <w:t>—</w:t>
            </w:r>
          </w:p>
        </w:tc>
        <w:tc>
          <w:tcPr>
            <w:tcW w:w="26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w w:val="79"/>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5,000</w:t>
            </w:r>
          </w:p>
        </w:tc>
        <w:tc>
          <w:tcPr>
            <w:tcW w:w="0" w:type="dxa"/>
            <w:vAlign w:val="bottom"/>
          </w:tcPr>
          <w:p>
            <w:pPr>
              <w:spacing w:after="0"/>
              <w:rPr>
                <w:sz w:val="1"/>
                <w:szCs w:val="1"/>
                <w:color w:val="auto"/>
              </w:rPr>
            </w:pPr>
          </w:p>
        </w:tc>
      </w:tr>
      <w:tr>
        <w:trPr>
          <w:trHeight w:val="256"/>
        </w:trPr>
        <w:tc>
          <w:tcPr>
            <w:tcW w:w="2240" w:type="dxa"/>
            <w:vAlign w:val="bottom"/>
            <w:tcBorders>
              <w:bottom w:val="single" w:sz="8" w:color="auto"/>
            </w:tcBorders>
          </w:tcPr>
          <w:p>
            <w:pPr>
              <w:spacing w:after="0"/>
              <w:rPr>
                <w:sz w:val="22"/>
                <w:szCs w:val="22"/>
                <w:color w:val="auto"/>
              </w:rPr>
            </w:pPr>
          </w:p>
        </w:tc>
        <w:tc>
          <w:tcPr>
            <w:tcW w:w="1840" w:type="dxa"/>
            <w:vAlign w:val="bottom"/>
          </w:tcPr>
          <w:p>
            <w:pPr>
              <w:spacing w:after="0"/>
              <w:rPr>
                <w:sz w:val="22"/>
                <w:szCs w:val="22"/>
                <w:color w:val="auto"/>
              </w:rPr>
            </w:pPr>
          </w:p>
        </w:tc>
        <w:tc>
          <w:tcPr>
            <w:tcW w:w="14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58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31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171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5657850" cy="1714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16" w:name="page17"/>
    <w:bookmarkEnd w:id="16"/>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(In thousands, except per share data)</w:t>
      </w:r>
    </w:p>
    <w:p>
      <w:pPr>
        <w:spacing w:after="0" w:line="211" w:lineRule="exact"/>
        <w:rPr>
          <w:sz w:val="20"/>
          <w:szCs w:val="20"/>
          <w:color w:val="auto"/>
        </w:rPr>
      </w:pPr>
    </w:p>
    <w:p>
      <w:pPr>
        <w:ind w:left="720" w:hanging="319"/>
        <w:spacing w:after="0"/>
        <w:tabs>
          <w:tab w:leader="none" w:pos="720" w:val="left"/>
        </w:tabs>
        <w:numPr>
          <w:ilvl w:val="1"/>
          <w:numId w:val="3"/>
        </w:numPr>
        <w:rPr>
          <w:rFonts w:ascii="Arial" w:cs="Arial" w:eastAsia="Arial" w:hAnsi="Arial"/>
          <w:sz w:val="18"/>
          <w:szCs w:val="18"/>
          <w:color w:val="auto"/>
        </w:rPr>
      </w:pPr>
      <w:r>
        <w:rPr>
          <w:rFonts w:ascii="Arial" w:cs="Arial" w:eastAsia="Arial" w:hAnsi="Arial"/>
          <w:sz w:val="18"/>
          <w:szCs w:val="18"/>
          <w:color w:val="auto"/>
        </w:rPr>
        <w:t>Amount represents the cumulative effect of the adoption of ASU No. 2016-13 on the Secured Note.</w:t>
      </w:r>
    </w:p>
    <w:p>
      <w:pPr>
        <w:spacing w:after="0" w:line="23" w:lineRule="exact"/>
        <w:rPr>
          <w:rFonts w:ascii="Arial" w:cs="Arial" w:eastAsia="Arial" w:hAnsi="Arial"/>
          <w:sz w:val="18"/>
          <w:szCs w:val="18"/>
          <w:color w:val="auto"/>
        </w:rPr>
      </w:pPr>
    </w:p>
    <w:p>
      <w:pPr>
        <w:ind w:left="720" w:hanging="319"/>
        <w:spacing w:after="0"/>
        <w:tabs>
          <w:tab w:leader="none" w:pos="720" w:val="left"/>
        </w:tabs>
        <w:numPr>
          <w:ilvl w:val="1"/>
          <w:numId w:val="3"/>
        </w:numPr>
        <w:rPr>
          <w:rFonts w:ascii="Arial" w:cs="Arial" w:eastAsia="Arial" w:hAnsi="Arial"/>
          <w:sz w:val="18"/>
          <w:szCs w:val="18"/>
          <w:color w:val="auto"/>
        </w:rPr>
      </w:pPr>
      <w:r>
        <w:rPr>
          <w:rFonts w:ascii="Arial" w:cs="Arial" w:eastAsia="Arial" w:hAnsi="Arial"/>
          <w:sz w:val="18"/>
          <w:szCs w:val="18"/>
          <w:color w:val="auto"/>
        </w:rPr>
        <w:t>Deductions represent accounts written off, net of recoveries.</w:t>
      </w:r>
    </w:p>
    <w:p>
      <w:pPr>
        <w:spacing w:after="0" w:line="220" w:lineRule="exact"/>
        <w:rPr>
          <w:rFonts w:ascii="Arial" w:cs="Arial" w:eastAsia="Arial" w:hAnsi="Arial"/>
          <w:sz w:val="18"/>
          <w:szCs w:val="18"/>
          <w:color w:val="auto"/>
        </w:rPr>
      </w:pPr>
    </w:p>
    <w:p>
      <w:pPr>
        <w:ind w:left="240" w:hanging="190"/>
        <w:spacing w:after="0"/>
        <w:tabs>
          <w:tab w:leader="none" w:pos="240" w:val="left"/>
        </w:tabs>
        <w:numPr>
          <w:ilvl w:val="0"/>
          <w:numId w:val="4"/>
        </w:numPr>
        <w:rPr>
          <w:rFonts w:ascii="Arial" w:cs="Arial" w:eastAsia="Arial" w:hAnsi="Arial"/>
          <w:sz w:val="18"/>
          <w:szCs w:val="18"/>
          <w:b w:val="1"/>
          <w:bCs w:val="1"/>
          <w:color w:val="auto"/>
        </w:rPr>
      </w:pPr>
      <w:r>
        <w:rPr>
          <w:rFonts w:ascii="Arial" w:cs="Arial" w:eastAsia="Arial" w:hAnsi="Arial"/>
          <w:sz w:val="18"/>
          <w:szCs w:val="18"/>
          <w:b w:val="1"/>
          <w:bCs w:val="1"/>
          <w:color w:val="auto"/>
        </w:rPr>
        <w:t>Property and Equipment</w:t>
      </w:r>
    </w:p>
    <w:p>
      <w:pPr>
        <w:spacing w:after="0" w:line="229" w:lineRule="exact"/>
        <w:rPr>
          <w:sz w:val="20"/>
          <w:szCs w:val="20"/>
          <w:color w:val="auto"/>
        </w:rPr>
      </w:pPr>
    </w:p>
    <w:p>
      <w:pPr>
        <w:ind w:left="700"/>
        <w:spacing w:after="0"/>
        <w:rPr>
          <w:sz w:val="20"/>
          <w:szCs w:val="20"/>
          <w:color w:val="auto"/>
        </w:rPr>
      </w:pPr>
      <w:r>
        <w:rPr>
          <w:rFonts w:ascii="Arial" w:cs="Arial" w:eastAsia="Arial" w:hAnsi="Arial"/>
          <w:sz w:val="18"/>
          <w:szCs w:val="18"/>
          <w:color w:val="auto"/>
        </w:rPr>
        <w:t>Property and equipment consist of the following:</w:t>
      </w:r>
    </w:p>
    <w:p>
      <w:pPr>
        <w:spacing w:after="0" w:line="230" w:lineRule="exact"/>
        <w:rPr>
          <w:sz w:val="20"/>
          <w:szCs w:val="20"/>
          <w:color w:val="auto"/>
        </w:rPr>
      </w:pPr>
    </w:p>
    <w:tbl>
      <w:tblPr>
        <w:tblLayout w:type="fixed"/>
        <w:tblInd w:w="60" w:type="dxa"/>
        <w:tblCellMar>
          <w:top w:w="0" w:type="dxa"/>
          <w:left w:w="0" w:type="dxa"/>
          <w:bottom w:w="0" w:type="dxa"/>
          <w:right w:w="0" w:type="dxa"/>
        </w:tblCellMar>
      </w:tblPr>
      <w:tr>
        <w:trPr>
          <w:trHeight w:val="171"/>
        </w:trPr>
        <w:tc>
          <w:tcPr>
            <w:tcW w:w="698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jc w:val="right"/>
              <w:ind w:right="53"/>
              <w:spacing w:after="0"/>
              <w:rPr>
                <w:sz w:val="20"/>
                <w:szCs w:val="20"/>
                <w:color w:val="auto"/>
              </w:rPr>
            </w:pPr>
            <w:r>
              <w:rPr>
                <w:rFonts w:ascii="Arial" w:cs="Arial" w:eastAsia="Arial" w:hAnsi="Arial"/>
                <w:sz w:val="14"/>
                <w:szCs w:val="14"/>
                <w:b w:val="1"/>
                <w:bCs w:val="1"/>
                <w:color w:val="auto"/>
                <w:w w:val="95"/>
              </w:rPr>
              <w:t>March 31,</w:t>
            </w:r>
          </w:p>
        </w:tc>
        <w:tc>
          <w:tcPr>
            <w:tcW w:w="160" w:type="dxa"/>
            <w:vAlign w:val="bottom"/>
          </w:tcPr>
          <w:p>
            <w:pPr>
              <w:spacing w:after="0"/>
              <w:rPr>
                <w:sz w:val="14"/>
                <w:szCs w:val="14"/>
                <w:color w:val="auto"/>
              </w:rPr>
            </w:pPr>
          </w:p>
        </w:tc>
        <w:tc>
          <w:tcPr>
            <w:tcW w:w="900" w:type="dxa"/>
            <w:vAlign w:val="bottom"/>
            <w:tcBorders>
              <w:bottom w:val="single" w:sz="8" w:color="auto"/>
            </w:tcBorders>
            <w:gridSpan w:val="2"/>
          </w:tcPr>
          <w:p>
            <w:pPr>
              <w:ind w:left="20"/>
              <w:spacing w:after="0"/>
              <w:rPr>
                <w:sz w:val="20"/>
                <w:szCs w:val="20"/>
                <w:color w:val="auto"/>
              </w:rPr>
            </w:pPr>
            <w:r>
              <w:rPr>
                <w:rFonts w:ascii="Arial" w:cs="Arial" w:eastAsia="Arial" w:hAnsi="Arial"/>
                <w:sz w:val="14"/>
                <w:szCs w:val="14"/>
                <w:b w:val="1"/>
                <w:bCs w:val="1"/>
                <w:color w:val="auto"/>
                <w:w w:val="94"/>
              </w:rPr>
              <w:t>December 31,</w:t>
            </w:r>
          </w:p>
        </w:tc>
      </w:tr>
      <w:tr>
        <w:trPr>
          <w:trHeight w:val="142"/>
        </w:trPr>
        <w:tc>
          <w:tcPr>
            <w:tcW w:w="6980" w:type="dxa"/>
            <w:vAlign w:val="bottom"/>
            <w:tcBorders>
              <w:bottom w:val="single" w:sz="8" w:color="CCEEFF"/>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780" w:type="dxa"/>
            <w:vAlign w:val="bottom"/>
            <w:tcBorders>
              <w:bottom w:val="single" w:sz="8" w:color="auto"/>
            </w:tcBorders>
          </w:tcPr>
          <w:p>
            <w:pPr>
              <w:jc w:val="right"/>
              <w:ind w:right="213"/>
              <w:spacing w:after="0" w:line="142" w:lineRule="exact"/>
              <w:rPr>
                <w:sz w:val="20"/>
                <w:szCs w:val="20"/>
                <w:color w:val="auto"/>
              </w:rPr>
            </w:pPr>
            <w:r>
              <w:rPr>
                <w:rFonts w:ascii="Arial" w:cs="Arial" w:eastAsia="Arial" w:hAnsi="Arial"/>
                <w:sz w:val="14"/>
                <w:szCs w:val="14"/>
                <w:b w:val="1"/>
                <w:bCs w:val="1"/>
                <w:color w:val="auto"/>
              </w:rPr>
              <w:t>2021</w:t>
            </w:r>
          </w:p>
        </w:tc>
        <w:tc>
          <w:tcPr>
            <w:tcW w:w="160" w:type="dxa"/>
            <w:vAlign w:val="bottom"/>
            <w:tcBorders>
              <w:bottom w:val="single" w:sz="8" w:color="CCEEFF"/>
            </w:tcBorders>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760" w:type="dxa"/>
            <w:vAlign w:val="bottom"/>
            <w:tcBorders>
              <w:bottom w:val="single" w:sz="8" w:color="auto"/>
            </w:tcBorders>
          </w:tcPr>
          <w:p>
            <w:pPr>
              <w:jc w:val="right"/>
              <w:ind w:right="212"/>
              <w:spacing w:after="0" w:line="142" w:lineRule="exact"/>
              <w:rPr>
                <w:sz w:val="20"/>
                <w:szCs w:val="20"/>
                <w:color w:val="auto"/>
              </w:rPr>
            </w:pPr>
            <w:r>
              <w:rPr>
                <w:rFonts w:ascii="Arial" w:cs="Arial" w:eastAsia="Arial" w:hAnsi="Arial"/>
                <w:sz w:val="14"/>
                <w:szCs w:val="14"/>
                <w:b w:val="1"/>
                <w:bCs w:val="1"/>
                <w:color w:val="auto"/>
              </w:rPr>
              <w:t>2020</w:t>
            </w:r>
          </w:p>
        </w:tc>
      </w:tr>
      <w:tr>
        <w:trPr>
          <w:trHeight w:val="210"/>
        </w:trPr>
        <w:tc>
          <w:tcPr>
            <w:tcW w:w="6980" w:type="dxa"/>
            <w:vAlign w:val="bottom"/>
            <w:shd w:val="clear" w:color="auto" w:fill="CCEEFF"/>
          </w:tcPr>
          <w:p>
            <w:pPr>
              <w:spacing w:after="0"/>
              <w:rPr>
                <w:sz w:val="20"/>
                <w:szCs w:val="20"/>
                <w:color w:val="auto"/>
              </w:rPr>
            </w:pPr>
            <w:r>
              <w:rPr>
                <w:rFonts w:ascii="Arial" w:cs="Arial" w:eastAsia="Arial" w:hAnsi="Arial"/>
                <w:sz w:val="18"/>
                <w:szCs w:val="18"/>
                <w:color w:val="auto"/>
              </w:rPr>
              <w:t>Land</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5,579</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5,579</w:t>
            </w:r>
          </w:p>
        </w:tc>
      </w:tr>
      <w:tr>
        <w:trPr>
          <w:trHeight w:val="216"/>
        </w:trPr>
        <w:tc>
          <w:tcPr>
            <w:tcW w:w="6980" w:type="dxa"/>
            <w:vAlign w:val="bottom"/>
          </w:tcPr>
          <w:p>
            <w:pPr>
              <w:spacing w:after="0"/>
              <w:rPr>
                <w:sz w:val="20"/>
                <w:szCs w:val="20"/>
                <w:color w:val="auto"/>
              </w:rPr>
            </w:pPr>
            <w:r>
              <w:rPr>
                <w:rFonts w:ascii="Arial" w:cs="Arial" w:eastAsia="Arial" w:hAnsi="Arial"/>
                <w:sz w:val="18"/>
                <w:szCs w:val="18"/>
                <w:color w:val="auto"/>
              </w:rPr>
              <w:t>Land improvements</w:t>
            </w:r>
          </w:p>
        </w:tc>
        <w:tc>
          <w:tcPr>
            <w:tcW w:w="8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2,242</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2,242</w:t>
            </w:r>
          </w:p>
        </w:tc>
      </w:tr>
      <w:tr>
        <w:trPr>
          <w:trHeight w:val="216"/>
        </w:trPr>
        <w:tc>
          <w:tcPr>
            <w:tcW w:w="6980" w:type="dxa"/>
            <w:vAlign w:val="bottom"/>
            <w:shd w:val="clear" w:color="auto" w:fill="CCEEFF"/>
          </w:tcPr>
          <w:p>
            <w:pPr>
              <w:spacing w:after="0"/>
              <w:rPr>
                <w:sz w:val="20"/>
                <w:szCs w:val="20"/>
                <w:color w:val="auto"/>
              </w:rPr>
            </w:pPr>
            <w:r>
              <w:rPr>
                <w:rFonts w:ascii="Arial" w:cs="Arial" w:eastAsia="Arial" w:hAnsi="Arial"/>
                <w:sz w:val="18"/>
                <w:szCs w:val="18"/>
                <w:color w:val="auto"/>
              </w:rPr>
              <w:t>Buildings</w:t>
            </w:r>
          </w:p>
        </w:tc>
        <w:tc>
          <w:tcPr>
            <w:tcW w:w="8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51,399</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51,399</w:t>
            </w:r>
          </w:p>
        </w:tc>
      </w:tr>
      <w:tr>
        <w:trPr>
          <w:trHeight w:val="216"/>
        </w:trPr>
        <w:tc>
          <w:tcPr>
            <w:tcW w:w="6980" w:type="dxa"/>
            <w:vAlign w:val="bottom"/>
          </w:tcPr>
          <w:p>
            <w:pPr>
              <w:spacing w:after="0"/>
              <w:rPr>
                <w:sz w:val="20"/>
                <w:szCs w:val="20"/>
                <w:color w:val="auto"/>
              </w:rPr>
            </w:pPr>
            <w:r>
              <w:rPr>
                <w:rFonts w:ascii="Arial" w:cs="Arial" w:eastAsia="Arial" w:hAnsi="Arial"/>
                <w:sz w:val="18"/>
                <w:szCs w:val="18"/>
                <w:color w:val="auto"/>
              </w:rPr>
              <w:t>Buildings and leasehold improvements</w:t>
            </w:r>
          </w:p>
        </w:tc>
        <w:tc>
          <w:tcPr>
            <w:tcW w:w="8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16,670</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14,352</w:t>
            </w:r>
          </w:p>
        </w:tc>
      </w:tr>
      <w:tr>
        <w:trPr>
          <w:trHeight w:val="216"/>
        </w:trPr>
        <w:tc>
          <w:tcPr>
            <w:tcW w:w="6980" w:type="dxa"/>
            <w:vAlign w:val="bottom"/>
            <w:shd w:val="clear" w:color="auto" w:fill="CCEEFF"/>
          </w:tcPr>
          <w:p>
            <w:pPr>
              <w:spacing w:after="0"/>
              <w:rPr>
                <w:sz w:val="20"/>
                <w:szCs w:val="20"/>
                <w:color w:val="auto"/>
              </w:rPr>
            </w:pPr>
            <w:r>
              <w:rPr>
                <w:rFonts w:ascii="Arial" w:cs="Arial" w:eastAsia="Arial" w:hAnsi="Arial"/>
                <w:sz w:val="18"/>
                <w:szCs w:val="18"/>
                <w:color w:val="auto"/>
              </w:rPr>
              <w:t>Computer equipment</w:t>
            </w:r>
          </w:p>
        </w:tc>
        <w:tc>
          <w:tcPr>
            <w:tcW w:w="8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102,891</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100,575</w:t>
            </w:r>
          </w:p>
        </w:tc>
      </w:tr>
      <w:tr>
        <w:trPr>
          <w:trHeight w:val="216"/>
        </w:trPr>
        <w:tc>
          <w:tcPr>
            <w:tcW w:w="6980" w:type="dxa"/>
            <w:vAlign w:val="bottom"/>
          </w:tcPr>
          <w:p>
            <w:pPr>
              <w:spacing w:after="0"/>
              <w:rPr>
                <w:sz w:val="20"/>
                <w:szCs w:val="20"/>
                <w:color w:val="auto"/>
              </w:rPr>
            </w:pPr>
            <w:r>
              <w:rPr>
                <w:rFonts w:ascii="Arial" w:cs="Arial" w:eastAsia="Arial" w:hAnsi="Arial"/>
                <w:sz w:val="18"/>
                <w:szCs w:val="18"/>
                <w:color w:val="auto"/>
              </w:rPr>
              <w:t>Furniture, fixtures and equipment</w:t>
            </w:r>
          </w:p>
        </w:tc>
        <w:tc>
          <w:tcPr>
            <w:tcW w:w="8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15,912</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15,439</w:t>
            </w:r>
          </w:p>
        </w:tc>
      </w:tr>
      <w:tr>
        <w:trPr>
          <w:trHeight w:val="216"/>
        </w:trPr>
        <w:tc>
          <w:tcPr>
            <w:tcW w:w="6980" w:type="dxa"/>
            <w:vAlign w:val="bottom"/>
            <w:shd w:val="clear" w:color="auto" w:fill="CCEEFF"/>
          </w:tcPr>
          <w:p>
            <w:pPr>
              <w:spacing w:after="0"/>
              <w:rPr>
                <w:sz w:val="20"/>
                <w:szCs w:val="20"/>
                <w:color w:val="auto"/>
              </w:rPr>
            </w:pPr>
            <w:r>
              <w:rPr>
                <w:rFonts w:ascii="Arial" w:cs="Arial" w:eastAsia="Arial" w:hAnsi="Arial"/>
                <w:sz w:val="18"/>
                <w:szCs w:val="18"/>
                <w:color w:val="auto"/>
              </w:rPr>
              <w:t>Internally developed software</w:t>
            </w:r>
          </w:p>
        </w:tc>
        <w:tc>
          <w:tcPr>
            <w:tcW w:w="8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47,222</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46,981</w:t>
            </w:r>
          </w:p>
        </w:tc>
      </w:tr>
      <w:tr>
        <w:trPr>
          <w:trHeight w:val="216"/>
        </w:trPr>
        <w:tc>
          <w:tcPr>
            <w:tcW w:w="698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Construction in progress</w:t>
            </w:r>
          </w:p>
        </w:tc>
        <w:tc>
          <w:tcPr>
            <w:tcW w:w="80" w:type="dxa"/>
            <w:vAlign w:val="bottom"/>
            <w:tcBorders>
              <w:bottom w:val="single" w:sz="8" w:color="auto"/>
            </w:tcBorders>
          </w:tcPr>
          <w:p>
            <w:pPr>
              <w:spacing w:after="0"/>
              <w:rPr>
                <w:sz w:val="18"/>
                <w:szCs w:val="18"/>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8,267</w:t>
            </w:r>
          </w:p>
        </w:tc>
        <w:tc>
          <w:tcPr>
            <w:tcW w:w="16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5,043</w:t>
            </w:r>
          </w:p>
        </w:tc>
      </w:tr>
      <w:tr>
        <w:trPr>
          <w:trHeight w:val="209"/>
        </w:trPr>
        <w:tc>
          <w:tcPr>
            <w:tcW w:w="69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250,182</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241,610</w:t>
            </w:r>
          </w:p>
        </w:tc>
      </w:tr>
      <w:tr>
        <w:trPr>
          <w:trHeight w:val="216"/>
        </w:trPr>
        <w:tc>
          <w:tcPr>
            <w:tcW w:w="698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Less accumulated depreciation and amortization</w:t>
            </w:r>
          </w:p>
        </w:tc>
        <w:tc>
          <w:tcPr>
            <w:tcW w:w="80" w:type="dxa"/>
            <w:vAlign w:val="bottom"/>
            <w:tcBorders>
              <w:bottom w:val="single" w:sz="8" w:color="auto"/>
            </w:tcBorders>
          </w:tcPr>
          <w:p>
            <w:pPr>
              <w:spacing w:after="0"/>
              <w:rPr>
                <w:sz w:val="18"/>
                <w:szCs w:val="18"/>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5"/>
              </w:rPr>
              <w:t>(118,253)</w:t>
            </w:r>
          </w:p>
        </w:tc>
        <w:tc>
          <w:tcPr>
            <w:tcW w:w="16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5"/>
              </w:rPr>
              <w:t>(112,953)</w:t>
            </w:r>
          </w:p>
        </w:tc>
      </w:tr>
      <w:tr>
        <w:trPr>
          <w:trHeight w:val="209"/>
        </w:trPr>
        <w:tc>
          <w:tcPr>
            <w:tcW w:w="698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Property and equipment, net</w:t>
            </w:r>
          </w:p>
        </w:tc>
        <w:tc>
          <w:tcPr>
            <w:tcW w:w="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131,929</w:t>
            </w:r>
          </w:p>
        </w:tc>
        <w:tc>
          <w:tcPr>
            <w:tcW w:w="160" w:type="dxa"/>
            <w:vAlign w:val="bottom"/>
            <w:tcBorders>
              <w:bottom w:val="single" w:sz="8" w:color="CCEEFF"/>
            </w:tcBorders>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128,657</w:t>
            </w:r>
          </w:p>
        </w:tc>
      </w:tr>
      <w:tr>
        <w:trPr>
          <w:trHeight w:val="20"/>
        </w:trPr>
        <w:tc>
          <w:tcPr>
            <w:tcW w:w="69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r>
    </w:tbl>
    <w:p>
      <w:pPr>
        <w:spacing w:after="0" w:line="211"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7. Amortizable Intangible Assets</w:t>
      </w:r>
    </w:p>
    <w:p>
      <w:pPr>
        <w:spacing w:after="0" w:line="229" w:lineRule="exact"/>
        <w:rPr>
          <w:sz w:val="20"/>
          <w:szCs w:val="20"/>
          <w:color w:val="auto"/>
        </w:rPr>
      </w:pPr>
    </w:p>
    <w:p>
      <w:pPr>
        <w:ind w:left="700"/>
        <w:spacing w:after="0"/>
        <w:rPr>
          <w:sz w:val="20"/>
          <w:szCs w:val="20"/>
          <w:color w:val="auto"/>
        </w:rPr>
      </w:pPr>
      <w:r>
        <w:rPr>
          <w:rFonts w:ascii="Arial" w:cs="Arial" w:eastAsia="Arial" w:hAnsi="Arial"/>
          <w:sz w:val="18"/>
          <w:szCs w:val="18"/>
          <w:color w:val="auto"/>
        </w:rPr>
        <w:t>Amortizable intangible assets consist of the following as of:</w:t>
      </w:r>
    </w:p>
    <w:p>
      <w:pPr>
        <w:spacing w:after="0" w:line="218" w:lineRule="exact"/>
        <w:rPr>
          <w:sz w:val="20"/>
          <w:szCs w:val="20"/>
          <w:color w:val="auto"/>
        </w:rPr>
      </w:pPr>
    </w:p>
    <w:tbl>
      <w:tblPr>
        <w:tblLayout w:type="fixed"/>
        <w:tblInd w:w="40" w:type="dxa"/>
        <w:tblCellMar>
          <w:top w:w="0" w:type="dxa"/>
          <w:left w:w="0" w:type="dxa"/>
          <w:bottom w:w="0" w:type="dxa"/>
          <w:right w:w="0" w:type="dxa"/>
        </w:tblCellMar>
      </w:tblPr>
      <w:tr>
        <w:trPr>
          <w:trHeight w:val="161"/>
        </w:trPr>
        <w:tc>
          <w:tcPr>
            <w:tcW w:w="3740" w:type="dxa"/>
            <w:vAlign w:val="bottom"/>
          </w:tcPr>
          <w:p>
            <w:pPr>
              <w:spacing w:after="0"/>
              <w:rPr>
                <w:sz w:val="14"/>
                <w:szCs w:val="14"/>
                <w:color w:val="auto"/>
              </w:rPr>
            </w:pPr>
          </w:p>
        </w:tc>
        <w:tc>
          <w:tcPr>
            <w:tcW w:w="1560" w:type="dxa"/>
            <w:vAlign w:val="bottom"/>
            <w:gridSpan w:val="2"/>
            <w:vMerge w:val="restart"/>
          </w:tcPr>
          <w:p>
            <w:pPr>
              <w:jc w:val="center"/>
              <w:ind w:right="140"/>
              <w:spacing w:after="0"/>
              <w:rPr>
                <w:sz w:val="20"/>
                <w:szCs w:val="20"/>
                <w:color w:val="auto"/>
              </w:rPr>
            </w:pPr>
            <w:r>
              <w:rPr>
                <w:rFonts w:ascii="Arial" w:cs="Arial" w:eastAsia="Arial" w:hAnsi="Arial"/>
                <w:sz w:val="14"/>
                <w:szCs w:val="14"/>
                <w:b w:val="1"/>
                <w:bCs w:val="1"/>
                <w:color w:val="auto"/>
                <w:w w:val="92"/>
              </w:rPr>
              <w:t>Estimated</w:t>
            </w:r>
          </w:p>
        </w:tc>
        <w:tc>
          <w:tcPr>
            <w:tcW w:w="180" w:type="dxa"/>
            <w:vAlign w:val="bottom"/>
          </w:tcPr>
          <w:p>
            <w:pPr>
              <w:spacing w:after="0"/>
              <w:rPr>
                <w:sz w:val="14"/>
                <w:szCs w:val="14"/>
                <w:color w:val="auto"/>
              </w:rPr>
            </w:pPr>
          </w:p>
        </w:tc>
        <w:tc>
          <w:tcPr>
            <w:tcW w:w="2340" w:type="dxa"/>
            <w:vAlign w:val="bottom"/>
            <w:gridSpan w:val="4"/>
          </w:tcPr>
          <w:p>
            <w:pPr>
              <w:jc w:val="right"/>
              <w:ind w:right="1020"/>
              <w:spacing w:after="0"/>
              <w:rPr>
                <w:sz w:val="20"/>
                <w:szCs w:val="20"/>
                <w:color w:val="auto"/>
              </w:rPr>
            </w:pPr>
            <w:r>
              <w:rPr>
                <w:rFonts w:ascii="Arial" w:cs="Arial" w:eastAsia="Arial" w:hAnsi="Arial"/>
                <w:sz w:val="14"/>
                <w:szCs w:val="14"/>
                <w:b w:val="1"/>
                <w:bCs w:val="1"/>
                <w:color w:val="auto"/>
              </w:rPr>
              <w:t>March 31, 2021</w:t>
            </w:r>
          </w:p>
        </w:tc>
        <w:tc>
          <w:tcPr>
            <w:tcW w:w="180" w:type="dxa"/>
            <w:vAlign w:val="bottom"/>
          </w:tcPr>
          <w:p>
            <w:pPr>
              <w:spacing w:after="0"/>
              <w:rPr>
                <w:sz w:val="14"/>
                <w:szCs w:val="14"/>
                <w:color w:val="auto"/>
              </w:rPr>
            </w:pPr>
          </w:p>
        </w:tc>
        <w:tc>
          <w:tcPr>
            <w:tcW w:w="900" w:type="dxa"/>
            <w:vAlign w:val="bottom"/>
            <w:vMerge w:val="restart"/>
          </w:tcPr>
          <w:p>
            <w:pPr>
              <w:jc w:val="center"/>
              <w:ind w:right="99"/>
              <w:spacing w:after="0"/>
              <w:rPr>
                <w:sz w:val="20"/>
                <w:szCs w:val="20"/>
                <w:color w:val="auto"/>
              </w:rPr>
            </w:pPr>
            <w:r>
              <w:rPr>
                <w:rFonts w:ascii="Arial" w:cs="Arial" w:eastAsia="Arial" w:hAnsi="Arial"/>
                <w:sz w:val="14"/>
                <w:szCs w:val="14"/>
                <w:b w:val="1"/>
                <w:bCs w:val="1"/>
                <w:color w:val="auto"/>
                <w:w w:val="88"/>
              </w:rPr>
              <w:t>Net</w:t>
            </w:r>
          </w:p>
        </w:tc>
        <w:tc>
          <w:tcPr>
            <w:tcW w:w="0" w:type="dxa"/>
            <w:vAlign w:val="bottom"/>
          </w:tcPr>
          <w:p>
            <w:pPr>
              <w:spacing w:after="0"/>
              <w:rPr>
                <w:sz w:val="1"/>
                <w:szCs w:val="1"/>
                <w:color w:val="auto"/>
              </w:rPr>
            </w:pPr>
          </w:p>
        </w:tc>
      </w:tr>
      <w:tr>
        <w:trPr>
          <w:trHeight w:val="148"/>
        </w:trPr>
        <w:tc>
          <w:tcPr>
            <w:tcW w:w="3740" w:type="dxa"/>
            <w:vAlign w:val="bottom"/>
          </w:tcPr>
          <w:p>
            <w:pPr>
              <w:spacing w:after="0"/>
              <w:rPr>
                <w:sz w:val="12"/>
                <w:szCs w:val="12"/>
                <w:color w:val="auto"/>
              </w:rPr>
            </w:pPr>
          </w:p>
        </w:tc>
        <w:tc>
          <w:tcPr>
            <w:tcW w:w="1560" w:type="dxa"/>
            <w:vAlign w:val="bottom"/>
            <w:gridSpan w:val="2"/>
            <w:vMerge w:val="continue"/>
          </w:tcPr>
          <w:p>
            <w:pPr>
              <w:spacing w:after="0"/>
              <w:rPr>
                <w:sz w:val="12"/>
                <w:szCs w:val="12"/>
                <w:color w:val="auto"/>
              </w:rPr>
            </w:pPr>
          </w:p>
        </w:tc>
        <w:tc>
          <w:tcPr>
            <w:tcW w:w="180" w:type="dxa"/>
            <w:vAlign w:val="bottom"/>
          </w:tcPr>
          <w:p>
            <w:pPr>
              <w:spacing w:after="0"/>
              <w:rPr>
                <w:sz w:val="12"/>
                <w:szCs w:val="12"/>
                <w:color w:val="auto"/>
              </w:rPr>
            </w:pPr>
          </w:p>
        </w:tc>
        <w:tc>
          <w:tcPr>
            <w:tcW w:w="104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88"/>
              </w:rPr>
              <w:t>Gross</w:t>
            </w:r>
          </w:p>
        </w:tc>
        <w:tc>
          <w:tcPr>
            <w:tcW w:w="1300" w:type="dxa"/>
            <w:vAlign w:val="bottom"/>
            <w:gridSpan w:val="2"/>
            <w:vMerge w:val="restart"/>
          </w:tcPr>
          <w:p>
            <w:pPr>
              <w:jc w:val="right"/>
              <w:ind w:right="320"/>
              <w:spacing w:after="0"/>
              <w:rPr>
                <w:sz w:val="20"/>
                <w:szCs w:val="20"/>
                <w:color w:val="auto"/>
              </w:rPr>
            </w:pPr>
            <w:r>
              <w:rPr>
                <w:rFonts w:ascii="Arial" w:cs="Arial" w:eastAsia="Arial" w:hAnsi="Arial"/>
                <w:sz w:val="14"/>
                <w:szCs w:val="14"/>
                <w:b w:val="1"/>
                <w:bCs w:val="1"/>
                <w:color w:val="auto"/>
              </w:rPr>
              <w:t>Accumulated</w:t>
            </w:r>
          </w:p>
        </w:tc>
        <w:tc>
          <w:tcPr>
            <w:tcW w:w="180" w:type="dxa"/>
            <w:vAlign w:val="bottom"/>
          </w:tcPr>
          <w:p>
            <w:pPr>
              <w:spacing w:after="0"/>
              <w:rPr>
                <w:sz w:val="12"/>
                <w:szCs w:val="12"/>
                <w:color w:val="auto"/>
              </w:rPr>
            </w:pPr>
          </w:p>
        </w:tc>
        <w:tc>
          <w:tcPr>
            <w:tcW w:w="90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740" w:type="dxa"/>
            <w:vAlign w:val="bottom"/>
          </w:tcPr>
          <w:p>
            <w:pPr>
              <w:spacing w:after="0"/>
              <w:rPr>
                <w:sz w:val="12"/>
                <w:szCs w:val="12"/>
                <w:color w:val="auto"/>
              </w:rPr>
            </w:pPr>
          </w:p>
        </w:tc>
        <w:tc>
          <w:tcPr>
            <w:tcW w:w="156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90"/>
              </w:rPr>
              <w:t>Average Useful</w:t>
            </w:r>
          </w:p>
        </w:tc>
        <w:tc>
          <w:tcPr>
            <w:tcW w:w="180" w:type="dxa"/>
            <w:vAlign w:val="bottom"/>
          </w:tcPr>
          <w:p>
            <w:pPr>
              <w:spacing w:after="0"/>
              <w:rPr>
                <w:sz w:val="12"/>
                <w:szCs w:val="12"/>
                <w:color w:val="auto"/>
              </w:rPr>
            </w:pPr>
          </w:p>
        </w:tc>
        <w:tc>
          <w:tcPr>
            <w:tcW w:w="104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97"/>
              </w:rPr>
              <w:t>Carrying</w:t>
            </w:r>
          </w:p>
        </w:tc>
        <w:tc>
          <w:tcPr>
            <w:tcW w:w="1300" w:type="dxa"/>
            <w:vAlign w:val="bottom"/>
            <w:gridSpan w:val="2"/>
            <w:vMerge w:val="continue"/>
          </w:tcPr>
          <w:p>
            <w:pPr>
              <w:spacing w:after="0"/>
              <w:rPr>
                <w:sz w:val="12"/>
                <w:szCs w:val="12"/>
                <w:color w:val="auto"/>
              </w:rPr>
            </w:pPr>
          </w:p>
        </w:tc>
        <w:tc>
          <w:tcPr>
            <w:tcW w:w="180" w:type="dxa"/>
            <w:vAlign w:val="bottom"/>
          </w:tcPr>
          <w:p>
            <w:pPr>
              <w:spacing w:after="0"/>
              <w:rPr>
                <w:sz w:val="12"/>
                <w:szCs w:val="12"/>
                <w:color w:val="auto"/>
              </w:rPr>
            </w:pPr>
          </w:p>
        </w:tc>
        <w:tc>
          <w:tcPr>
            <w:tcW w:w="900" w:type="dxa"/>
            <w:vAlign w:val="bottom"/>
          </w:tcPr>
          <w:p>
            <w:pPr>
              <w:jc w:val="center"/>
              <w:ind w:right="99"/>
              <w:spacing w:after="0" w:line="149" w:lineRule="exact"/>
              <w:rPr>
                <w:sz w:val="20"/>
                <w:szCs w:val="20"/>
                <w:color w:val="auto"/>
              </w:rPr>
            </w:pPr>
            <w:r>
              <w:rPr>
                <w:rFonts w:ascii="Arial" w:cs="Arial" w:eastAsia="Arial" w:hAnsi="Arial"/>
                <w:sz w:val="14"/>
                <w:szCs w:val="14"/>
                <w:b w:val="1"/>
                <w:bCs w:val="1"/>
                <w:color w:val="auto"/>
                <w:w w:val="97"/>
              </w:rPr>
              <w:t>Carrying</w:t>
            </w:r>
          </w:p>
        </w:tc>
        <w:tc>
          <w:tcPr>
            <w:tcW w:w="0" w:type="dxa"/>
            <w:vAlign w:val="bottom"/>
          </w:tcPr>
          <w:p>
            <w:pPr>
              <w:spacing w:after="0"/>
              <w:rPr>
                <w:sz w:val="1"/>
                <w:szCs w:val="1"/>
                <w:color w:val="auto"/>
              </w:rPr>
            </w:pPr>
          </w:p>
        </w:tc>
      </w:tr>
      <w:tr>
        <w:trPr>
          <w:trHeight w:val="171"/>
        </w:trPr>
        <w:tc>
          <w:tcPr>
            <w:tcW w:w="3740" w:type="dxa"/>
            <w:vAlign w:val="bottom"/>
          </w:tcPr>
          <w:p>
            <w:pPr>
              <w:spacing w:after="0"/>
              <w:rPr>
                <w:sz w:val="14"/>
                <w:szCs w:val="14"/>
                <w:color w:val="auto"/>
              </w:rPr>
            </w:pPr>
          </w:p>
        </w:tc>
        <w:tc>
          <w:tcPr>
            <w:tcW w:w="156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w w:val="94"/>
              </w:rPr>
              <w:t>Life (in years)</w:t>
            </w:r>
          </w:p>
        </w:tc>
        <w:tc>
          <w:tcPr>
            <w:tcW w:w="180" w:type="dxa"/>
            <w:vAlign w:val="bottom"/>
          </w:tcPr>
          <w:p>
            <w:pPr>
              <w:spacing w:after="0"/>
              <w:rPr>
                <w:sz w:val="14"/>
                <w:szCs w:val="14"/>
                <w:color w:val="auto"/>
              </w:rPr>
            </w:pPr>
          </w:p>
        </w:tc>
        <w:tc>
          <w:tcPr>
            <w:tcW w:w="104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4"/>
              </w:rPr>
              <w:t>Amount</w:t>
            </w:r>
          </w:p>
        </w:tc>
        <w:tc>
          <w:tcPr>
            <w:tcW w:w="1300" w:type="dxa"/>
            <w:vAlign w:val="bottom"/>
            <w:gridSpan w:val="2"/>
          </w:tcPr>
          <w:p>
            <w:pPr>
              <w:jc w:val="right"/>
              <w:ind w:right="320"/>
              <w:spacing w:after="0"/>
              <w:rPr>
                <w:sz w:val="20"/>
                <w:szCs w:val="20"/>
                <w:color w:val="auto"/>
              </w:rPr>
            </w:pPr>
            <w:r>
              <w:rPr>
                <w:rFonts w:ascii="Arial" w:cs="Arial" w:eastAsia="Arial" w:hAnsi="Arial"/>
                <w:sz w:val="14"/>
                <w:szCs w:val="14"/>
                <w:b w:val="1"/>
                <w:bCs w:val="1"/>
                <w:color w:val="auto"/>
              </w:rPr>
              <w:t>Amortization</w:t>
            </w:r>
          </w:p>
        </w:tc>
        <w:tc>
          <w:tcPr>
            <w:tcW w:w="180" w:type="dxa"/>
            <w:vAlign w:val="bottom"/>
          </w:tcPr>
          <w:p>
            <w:pPr>
              <w:spacing w:after="0"/>
              <w:rPr>
                <w:sz w:val="14"/>
                <w:szCs w:val="14"/>
                <w:color w:val="auto"/>
              </w:rPr>
            </w:pPr>
          </w:p>
        </w:tc>
        <w:tc>
          <w:tcPr>
            <w:tcW w:w="900" w:type="dxa"/>
            <w:vAlign w:val="bottom"/>
          </w:tcPr>
          <w:p>
            <w:pPr>
              <w:jc w:val="center"/>
              <w:ind w:right="99"/>
              <w:spacing w:after="0"/>
              <w:rPr>
                <w:sz w:val="20"/>
                <w:szCs w:val="20"/>
                <w:color w:val="auto"/>
              </w:rPr>
            </w:pPr>
            <w:r>
              <w:rPr>
                <w:rFonts w:ascii="Arial" w:cs="Arial" w:eastAsia="Arial" w:hAnsi="Arial"/>
                <w:sz w:val="14"/>
                <w:szCs w:val="14"/>
                <w:b w:val="1"/>
                <w:bCs w:val="1"/>
                <w:color w:val="auto"/>
                <w:w w:val="98"/>
              </w:rPr>
              <w:t>Amount</w:t>
            </w:r>
          </w:p>
        </w:tc>
        <w:tc>
          <w:tcPr>
            <w:tcW w:w="0" w:type="dxa"/>
            <w:vAlign w:val="bottom"/>
          </w:tcPr>
          <w:p>
            <w:pPr>
              <w:spacing w:after="0"/>
              <w:rPr>
                <w:sz w:val="1"/>
                <w:szCs w:val="1"/>
                <w:color w:val="auto"/>
              </w:rPr>
            </w:pPr>
          </w:p>
        </w:tc>
      </w:tr>
      <w:tr>
        <w:trPr>
          <w:trHeight w:val="210"/>
        </w:trPr>
        <w:tc>
          <w:tcPr>
            <w:tcW w:w="374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University partner relationships</w:t>
            </w:r>
          </w:p>
        </w:tc>
        <w:tc>
          <w:tcPr>
            <w:tcW w:w="1420" w:type="dxa"/>
            <w:vAlign w:val="bottom"/>
            <w:tcBorders>
              <w:top w:val="single" w:sz="8" w:color="auto"/>
            </w:tcBorders>
            <w:shd w:val="clear" w:color="auto" w:fill="CCEEFF"/>
          </w:tcPr>
          <w:p>
            <w:pPr>
              <w:jc w:val="right"/>
              <w:ind w:right="541"/>
              <w:spacing w:after="0"/>
              <w:rPr>
                <w:sz w:val="20"/>
                <w:szCs w:val="20"/>
                <w:color w:val="auto"/>
              </w:rPr>
            </w:pPr>
            <w:r>
              <w:rPr>
                <w:rFonts w:ascii="Arial" w:cs="Arial" w:eastAsia="Arial" w:hAnsi="Arial"/>
                <w:sz w:val="18"/>
                <w:szCs w:val="18"/>
                <w:color w:val="auto"/>
              </w:rPr>
              <w:t>25</w:t>
            </w:r>
          </w:p>
        </w:tc>
        <w:tc>
          <w:tcPr>
            <w:tcW w:w="14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210,000</w:t>
            </w:r>
          </w:p>
        </w:tc>
        <w:tc>
          <w:tcPr>
            <w:tcW w:w="140" w:type="dxa"/>
            <w:vAlign w:val="bottom"/>
            <w:tcBorders>
              <w:top w:val="single" w:sz="8" w:color="CCEEFF"/>
            </w:tcBorders>
            <w:shd w:val="clear" w:color="auto" w:fill="CCEEFF"/>
          </w:tcPr>
          <w:p>
            <w:pPr>
              <w:spacing w:after="0"/>
              <w:rPr>
                <w:sz w:val="18"/>
                <w:szCs w:val="18"/>
                <w:color w:val="auto"/>
              </w:rPr>
            </w:pPr>
          </w:p>
        </w:tc>
        <w:tc>
          <w:tcPr>
            <w:tcW w:w="1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(18,467)</w:t>
            </w:r>
          </w:p>
        </w:tc>
        <w:tc>
          <w:tcPr>
            <w:tcW w:w="16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jc w:val="right"/>
              <w:ind w:right="27"/>
              <w:spacing w:after="0"/>
              <w:rPr>
                <w:sz w:val="20"/>
                <w:szCs w:val="20"/>
                <w:color w:val="auto"/>
              </w:rPr>
            </w:pPr>
            <w:r>
              <w:rPr>
                <w:rFonts w:ascii="Arial" w:cs="Arial" w:eastAsia="Arial" w:hAnsi="Arial"/>
                <w:sz w:val="15"/>
                <w:szCs w:val="15"/>
                <w:color w:val="auto"/>
                <w:w w:val="71"/>
              </w:rPr>
              <w:t>$</w:t>
            </w:r>
          </w:p>
        </w:tc>
        <w:tc>
          <w:tcPr>
            <w:tcW w:w="9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191,533</w:t>
            </w:r>
          </w:p>
        </w:tc>
        <w:tc>
          <w:tcPr>
            <w:tcW w:w="0" w:type="dxa"/>
            <w:vAlign w:val="bottom"/>
          </w:tcPr>
          <w:p>
            <w:pPr>
              <w:spacing w:after="0"/>
              <w:rPr>
                <w:sz w:val="1"/>
                <w:szCs w:val="1"/>
                <w:color w:val="auto"/>
              </w:rPr>
            </w:pPr>
          </w:p>
        </w:tc>
      </w:tr>
      <w:tr>
        <w:trPr>
          <w:trHeight w:val="216"/>
        </w:trPr>
        <w:tc>
          <w:tcPr>
            <w:tcW w:w="3740" w:type="dxa"/>
            <w:vAlign w:val="bottom"/>
          </w:tcPr>
          <w:p>
            <w:pPr>
              <w:ind w:left="20"/>
              <w:spacing w:after="0"/>
              <w:rPr>
                <w:sz w:val="20"/>
                <w:szCs w:val="20"/>
                <w:color w:val="auto"/>
              </w:rPr>
            </w:pPr>
            <w:r>
              <w:rPr>
                <w:rFonts w:ascii="Arial" w:cs="Arial" w:eastAsia="Arial" w:hAnsi="Arial"/>
                <w:sz w:val="18"/>
                <w:szCs w:val="18"/>
                <w:color w:val="auto"/>
              </w:rPr>
              <w:t>Trade names</w:t>
            </w:r>
          </w:p>
        </w:tc>
        <w:tc>
          <w:tcPr>
            <w:tcW w:w="1420" w:type="dxa"/>
            <w:vAlign w:val="bottom"/>
          </w:tcPr>
          <w:p>
            <w:pPr>
              <w:jc w:val="right"/>
              <w:ind w:right="581"/>
              <w:spacing w:after="0"/>
              <w:rPr>
                <w:sz w:val="20"/>
                <w:szCs w:val="20"/>
                <w:color w:val="auto"/>
              </w:rPr>
            </w:pPr>
            <w:r>
              <w:rPr>
                <w:rFonts w:ascii="Arial" w:cs="Arial" w:eastAsia="Arial" w:hAnsi="Arial"/>
                <w:sz w:val="18"/>
                <w:szCs w:val="18"/>
                <w:color w:val="auto"/>
              </w:rPr>
              <w:t>1</w:t>
            </w: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280</w:t>
            </w:r>
          </w:p>
        </w:tc>
        <w:tc>
          <w:tcPr>
            <w:tcW w:w="140" w:type="dxa"/>
            <w:vAlign w:val="bottom"/>
          </w:tcPr>
          <w:p>
            <w:pPr>
              <w:spacing w:after="0"/>
              <w:rPr>
                <w:sz w:val="18"/>
                <w:szCs w:val="18"/>
                <w:color w:val="auto"/>
              </w:rPr>
            </w:pPr>
          </w:p>
        </w:tc>
        <w:tc>
          <w:tcPr>
            <w:tcW w:w="1300" w:type="dxa"/>
            <w:vAlign w:val="bottom"/>
            <w:gridSpan w:val="2"/>
          </w:tcPr>
          <w:p>
            <w:pPr>
              <w:jc w:val="right"/>
              <w:ind w:right="160"/>
              <w:spacing w:after="0"/>
              <w:rPr>
                <w:sz w:val="20"/>
                <w:szCs w:val="20"/>
                <w:color w:val="auto"/>
              </w:rPr>
            </w:pPr>
            <w:r>
              <w:rPr>
                <w:rFonts w:ascii="Arial" w:cs="Arial" w:eastAsia="Arial" w:hAnsi="Arial"/>
                <w:sz w:val="18"/>
                <w:szCs w:val="18"/>
                <w:color w:val="auto"/>
              </w:rPr>
              <w:t>(280)</w:t>
            </w:r>
          </w:p>
        </w:tc>
        <w:tc>
          <w:tcPr>
            <w:tcW w:w="18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0"/>
        </w:trPr>
        <w:tc>
          <w:tcPr>
            <w:tcW w:w="374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Total amortizable intangible assets, net</w:t>
            </w:r>
          </w:p>
        </w:tc>
        <w:tc>
          <w:tcPr>
            <w:tcW w:w="1420" w:type="dxa"/>
            <w:vAlign w:val="bottom"/>
            <w:tcBorders>
              <w:top w:val="single" w:sz="8" w:color="CCEEFF"/>
              <w:bottom w:val="single" w:sz="8" w:color="CCEEFF"/>
            </w:tcBorders>
            <w:shd w:val="clear" w:color="auto" w:fill="CCEEFF"/>
          </w:tcPr>
          <w:p>
            <w:pPr>
              <w:spacing w:after="0"/>
              <w:rPr>
                <w:sz w:val="18"/>
                <w:szCs w:val="18"/>
                <w:color w:val="auto"/>
              </w:rPr>
            </w:pP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210,280</w:t>
            </w: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1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(18,747)</w:t>
            </w:r>
          </w:p>
        </w:tc>
        <w:tc>
          <w:tcPr>
            <w:tcW w:w="160" w:type="dxa"/>
            <w:vAlign w:val="bottom"/>
            <w:tcBorders>
              <w:top w:val="single" w:sz="8" w:color="CCEEFF"/>
              <w:bottom w:val="single" w:sz="8" w:color="CCEEFF"/>
            </w:tcBorders>
            <w:shd w:val="clear" w:color="auto" w:fill="CCEEFF"/>
          </w:tcPr>
          <w:p>
            <w:pPr>
              <w:spacing w:after="0"/>
              <w:rPr>
                <w:sz w:val="18"/>
                <w:szCs w:val="18"/>
                <w:color w:val="auto"/>
              </w:rPr>
            </w:pPr>
          </w:p>
        </w:tc>
        <w:tc>
          <w:tcPr>
            <w:tcW w:w="180" w:type="dxa"/>
            <w:vAlign w:val="bottom"/>
            <w:tcBorders>
              <w:top w:val="single" w:sz="8" w:color="auto"/>
              <w:bottom w:val="single" w:sz="8" w:color="auto"/>
            </w:tcBorders>
            <w:shd w:val="clear" w:color="auto" w:fill="CCEEFF"/>
          </w:tcPr>
          <w:p>
            <w:pPr>
              <w:jc w:val="right"/>
              <w:ind w:right="27"/>
              <w:spacing w:after="0"/>
              <w:rPr>
                <w:sz w:val="20"/>
                <w:szCs w:val="20"/>
                <w:color w:val="auto"/>
              </w:rPr>
            </w:pPr>
            <w:r>
              <w:rPr>
                <w:rFonts w:ascii="Arial" w:cs="Arial" w:eastAsia="Arial" w:hAnsi="Arial"/>
                <w:sz w:val="15"/>
                <w:szCs w:val="15"/>
                <w:color w:val="auto"/>
                <w:w w:val="71"/>
              </w:rPr>
              <w:t>$</w:t>
            </w: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191,533</w:t>
            </w:r>
          </w:p>
        </w:tc>
        <w:tc>
          <w:tcPr>
            <w:tcW w:w="0" w:type="dxa"/>
            <w:vAlign w:val="bottom"/>
          </w:tcPr>
          <w:p>
            <w:pPr>
              <w:spacing w:after="0"/>
              <w:rPr>
                <w:sz w:val="1"/>
                <w:szCs w:val="1"/>
                <w:color w:val="auto"/>
              </w:rPr>
            </w:pPr>
          </w:p>
        </w:tc>
      </w:tr>
      <w:tr>
        <w:trPr>
          <w:trHeight w:val="20"/>
        </w:trPr>
        <w:tc>
          <w:tcPr>
            <w:tcW w:w="374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left="700"/>
        <w:spacing w:after="0"/>
        <w:rPr>
          <w:sz w:val="20"/>
          <w:szCs w:val="20"/>
          <w:color w:val="auto"/>
        </w:rPr>
      </w:pPr>
      <w:r>
        <w:rPr>
          <w:rFonts w:ascii="Arial" w:cs="Arial" w:eastAsia="Arial" w:hAnsi="Arial"/>
          <w:sz w:val="17"/>
          <w:szCs w:val="17"/>
          <w:color w:val="auto"/>
        </w:rPr>
        <w:t>Amortization expense for university partner relationships and trade names for the years ending December 31:</w:t>
      </w:r>
    </w:p>
    <w:p>
      <w:pPr>
        <w:spacing w:after="0" w:line="264" w:lineRule="exact"/>
        <w:rPr>
          <w:sz w:val="20"/>
          <w:szCs w:val="20"/>
          <w:color w:val="auto"/>
        </w:rPr>
      </w:pPr>
    </w:p>
    <w:tbl>
      <w:tblPr>
        <w:tblLayout w:type="fixed"/>
        <w:tblInd w:w="40" w:type="dxa"/>
        <w:tblCellMar>
          <w:top w:w="0" w:type="dxa"/>
          <w:left w:w="0" w:type="dxa"/>
          <w:bottom w:w="0" w:type="dxa"/>
          <w:right w:w="0" w:type="dxa"/>
        </w:tblCellMar>
      </w:tblPr>
      <w:tr>
        <w:trPr>
          <w:trHeight w:val="216"/>
        </w:trPr>
        <w:tc>
          <w:tcPr>
            <w:tcW w:w="7880" w:type="dxa"/>
            <w:vAlign w:val="bottom"/>
            <w:shd w:val="clear" w:color="auto" w:fill="CCEEFF"/>
          </w:tcPr>
          <w:p>
            <w:pPr>
              <w:ind w:left="20"/>
              <w:spacing w:after="0"/>
              <w:rPr>
                <w:sz w:val="20"/>
                <w:szCs w:val="20"/>
                <w:color w:val="auto"/>
              </w:rPr>
            </w:pPr>
            <w:r>
              <w:rPr>
                <w:rFonts w:ascii="Arial" w:cs="Arial" w:eastAsia="Arial" w:hAnsi="Arial"/>
                <w:sz w:val="18"/>
                <w:szCs w:val="18"/>
                <w:color w:val="auto"/>
              </w:rPr>
              <w:t>Remainder of 2021</w:t>
            </w:r>
          </w:p>
        </w:tc>
        <w:tc>
          <w:tcPr>
            <w:tcW w:w="2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6,314</w:t>
            </w:r>
          </w:p>
        </w:tc>
      </w:tr>
      <w:tr>
        <w:trPr>
          <w:trHeight w:val="216"/>
        </w:trPr>
        <w:tc>
          <w:tcPr>
            <w:tcW w:w="7880" w:type="dxa"/>
            <w:vAlign w:val="bottom"/>
          </w:tcPr>
          <w:p>
            <w:pPr>
              <w:ind w:left="20"/>
              <w:spacing w:after="0"/>
              <w:rPr>
                <w:sz w:val="20"/>
                <w:szCs w:val="20"/>
                <w:color w:val="auto"/>
              </w:rPr>
            </w:pPr>
            <w:r>
              <w:rPr>
                <w:rFonts w:ascii="Arial" w:cs="Arial" w:eastAsia="Arial" w:hAnsi="Arial"/>
                <w:sz w:val="18"/>
                <w:szCs w:val="18"/>
                <w:color w:val="auto"/>
              </w:rPr>
              <w:t>2022</w:t>
            </w:r>
          </w:p>
        </w:tc>
        <w:tc>
          <w:tcPr>
            <w:tcW w:w="24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8,419</w:t>
            </w:r>
          </w:p>
        </w:tc>
      </w:tr>
      <w:tr>
        <w:trPr>
          <w:trHeight w:val="216"/>
        </w:trPr>
        <w:tc>
          <w:tcPr>
            <w:tcW w:w="7880" w:type="dxa"/>
            <w:vAlign w:val="bottom"/>
            <w:shd w:val="clear" w:color="auto" w:fill="CCEEFF"/>
          </w:tcPr>
          <w:p>
            <w:pPr>
              <w:ind w:left="20"/>
              <w:spacing w:after="0"/>
              <w:rPr>
                <w:sz w:val="20"/>
                <w:szCs w:val="20"/>
                <w:color w:val="auto"/>
              </w:rPr>
            </w:pPr>
            <w:r>
              <w:rPr>
                <w:rFonts w:ascii="Arial" w:cs="Arial" w:eastAsia="Arial" w:hAnsi="Arial"/>
                <w:sz w:val="18"/>
                <w:szCs w:val="18"/>
                <w:color w:val="auto"/>
              </w:rPr>
              <w:t>2023</w:t>
            </w:r>
          </w:p>
        </w:tc>
        <w:tc>
          <w:tcPr>
            <w:tcW w:w="24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8,419</w:t>
            </w:r>
          </w:p>
        </w:tc>
      </w:tr>
      <w:tr>
        <w:trPr>
          <w:trHeight w:val="216"/>
        </w:trPr>
        <w:tc>
          <w:tcPr>
            <w:tcW w:w="7880" w:type="dxa"/>
            <w:vAlign w:val="bottom"/>
          </w:tcPr>
          <w:p>
            <w:pPr>
              <w:ind w:left="20"/>
              <w:spacing w:after="0"/>
              <w:rPr>
                <w:sz w:val="20"/>
                <w:szCs w:val="20"/>
                <w:color w:val="auto"/>
              </w:rPr>
            </w:pPr>
            <w:r>
              <w:rPr>
                <w:rFonts w:ascii="Arial" w:cs="Arial" w:eastAsia="Arial" w:hAnsi="Arial"/>
                <w:sz w:val="18"/>
                <w:szCs w:val="18"/>
                <w:color w:val="auto"/>
              </w:rPr>
              <w:t>2024</w:t>
            </w:r>
          </w:p>
        </w:tc>
        <w:tc>
          <w:tcPr>
            <w:tcW w:w="24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8,419</w:t>
            </w:r>
          </w:p>
        </w:tc>
      </w:tr>
      <w:tr>
        <w:trPr>
          <w:trHeight w:val="216"/>
        </w:trPr>
        <w:tc>
          <w:tcPr>
            <w:tcW w:w="7880" w:type="dxa"/>
            <w:vAlign w:val="bottom"/>
            <w:shd w:val="clear" w:color="auto" w:fill="CCEEFF"/>
          </w:tcPr>
          <w:p>
            <w:pPr>
              <w:ind w:left="20"/>
              <w:spacing w:after="0"/>
              <w:rPr>
                <w:sz w:val="20"/>
                <w:szCs w:val="20"/>
                <w:color w:val="auto"/>
              </w:rPr>
            </w:pPr>
            <w:r>
              <w:rPr>
                <w:rFonts w:ascii="Arial" w:cs="Arial" w:eastAsia="Arial" w:hAnsi="Arial"/>
                <w:sz w:val="18"/>
                <w:szCs w:val="18"/>
                <w:color w:val="auto"/>
              </w:rPr>
              <w:t>2025</w:t>
            </w:r>
          </w:p>
        </w:tc>
        <w:tc>
          <w:tcPr>
            <w:tcW w:w="24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8,419</w:t>
            </w:r>
          </w:p>
        </w:tc>
      </w:tr>
      <w:tr>
        <w:trPr>
          <w:trHeight w:val="216"/>
        </w:trPr>
        <w:tc>
          <w:tcPr>
            <w:tcW w:w="788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Thereafter</w:t>
            </w:r>
          </w:p>
        </w:tc>
        <w:tc>
          <w:tcPr>
            <w:tcW w:w="240" w:type="dxa"/>
            <w:vAlign w:val="bottom"/>
            <w:tcBorders>
              <w:bottom w:val="single" w:sz="8" w:color="auto"/>
            </w:tcBorders>
          </w:tcPr>
          <w:p>
            <w:pPr>
              <w:spacing w:after="0"/>
              <w:rPr>
                <w:sz w:val="18"/>
                <w:szCs w:val="18"/>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151,543</w:t>
            </w:r>
          </w:p>
        </w:tc>
      </w:tr>
      <w:tr>
        <w:trPr>
          <w:trHeight w:val="210"/>
        </w:trPr>
        <w:tc>
          <w:tcPr>
            <w:tcW w:w="7880" w:type="dxa"/>
            <w:vAlign w:val="bottom"/>
            <w:tcBorders>
              <w:bottom w:val="single" w:sz="8" w:color="CCEEFF"/>
            </w:tcBorders>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191,533</w:t>
            </w:r>
          </w:p>
        </w:tc>
      </w:tr>
      <w:tr>
        <w:trPr>
          <w:trHeight w:val="20"/>
        </w:trPr>
        <w:tc>
          <w:tcPr>
            <w:tcW w:w="788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r>
    </w:tbl>
    <w:p>
      <w:pPr>
        <w:spacing w:after="0" w:line="211"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8. Leases</w:t>
      </w:r>
    </w:p>
    <w:p>
      <w:pPr>
        <w:spacing w:after="0" w:line="229" w:lineRule="exact"/>
        <w:rPr>
          <w:sz w:val="20"/>
          <w:szCs w:val="20"/>
          <w:color w:val="auto"/>
        </w:rPr>
      </w:pPr>
    </w:p>
    <w:p>
      <w:pPr>
        <w:ind w:left="60" w:right="119" w:firstLine="648"/>
        <w:spacing w:after="0" w:line="296" w:lineRule="auto"/>
        <w:rPr>
          <w:sz w:val="20"/>
          <w:szCs w:val="20"/>
          <w:color w:val="auto"/>
        </w:rPr>
      </w:pPr>
      <w:r>
        <w:rPr>
          <w:rFonts w:ascii="Arial" w:cs="Arial" w:eastAsia="Arial" w:hAnsi="Arial"/>
          <w:sz w:val="16"/>
          <w:szCs w:val="16"/>
          <w:color w:val="auto"/>
        </w:rPr>
        <w:t>The Company has operating leases for classroom site locations, office space, office equipment, and optical fiber communication lines. These leases have terms that range from 10 months to 10 years. At lease inception, we determine the lease term by assuming no exercises of renewal options, due to the Company’s constantly changing geographical needs for its university partners. Leases with an initial term of 12 months or less are not recorded in the consolidated balance sheets and we recognize lease expense for these leases on a straight-line basis over the lease term. The</w:t>
      </w:r>
    </w:p>
    <w:p>
      <w:pPr>
        <w:spacing w:after="0" w:line="37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171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5657850" cy="1714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17" w:name="page18"/>
    <w:bookmarkEnd w:id="17"/>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 except per share data)</w:t>
      </w:r>
    </w:p>
    <w:p>
      <w:pPr>
        <w:spacing w:after="0" w:line="211" w:lineRule="exact"/>
        <w:rPr>
          <w:sz w:val="20"/>
          <w:szCs w:val="20"/>
          <w:color w:val="auto"/>
        </w:rPr>
      </w:pPr>
    </w:p>
    <w:p>
      <w:pPr>
        <w:ind w:left="60" w:right="419"/>
        <w:spacing w:after="0" w:line="277" w:lineRule="auto"/>
        <w:rPr>
          <w:sz w:val="20"/>
          <w:szCs w:val="20"/>
          <w:color w:val="auto"/>
        </w:rPr>
      </w:pPr>
      <w:r>
        <w:rPr>
          <w:rFonts w:ascii="Arial" w:cs="Arial" w:eastAsia="Arial" w:hAnsi="Arial"/>
          <w:sz w:val="18"/>
          <w:szCs w:val="18"/>
          <w:color w:val="auto"/>
        </w:rPr>
        <w:t>Company had operating lease costs of $2,435 and $1,441 for the three-month periods ended March 31, 2021 and 2020, respectively.</w:t>
      </w:r>
    </w:p>
    <w:p>
      <w:pPr>
        <w:spacing w:after="0" w:line="170" w:lineRule="exact"/>
        <w:rPr>
          <w:sz w:val="20"/>
          <w:szCs w:val="20"/>
          <w:color w:val="auto"/>
        </w:rPr>
      </w:pPr>
    </w:p>
    <w:p>
      <w:pPr>
        <w:ind w:left="60" w:right="319" w:firstLine="648"/>
        <w:spacing w:after="0" w:line="286" w:lineRule="auto"/>
        <w:rPr>
          <w:sz w:val="20"/>
          <w:szCs w:val="20"/>
          <w:color w:val="auto"/>
        </w:rPr>
      </w:pPr>
      <w:r>
        <w:rPr>
          <w:rFonts w:ascii="Arial" w:cs="Arial" w:eastAsia="Arial" w:hAnsi="Arial"/>
          <w:sz w:val="17"/>
          <w:szCs w:val="17"/>
          <w:color w:val="auto"/>
        </w:rPr>
        <w:t>As of March 31, 2021, the Company had no non-cancelable operating lease commitments that had not yet commenced. The Company’s weighted-average remaining lease term relating to its operating leases is 8.36 years, with a weighted-average discount rate of 3.21%. As of March 31, 2021, the Company had no financing leases.</w:t>
      </w:r>
    </w:p>
    <w:p>
      <w:pPr>
        <w:spacing w:after="0" w:line="165" w:lineRule="exact"/>
        <w:rPr>
          <w:sz w:val="20"/>
          <w:szCs w:val="20"/>
          <w:color w:val="auto"/>
        </w:rPr>
      </w:pPr>
    </w:p>
    <w:p>
      <w:pPr>
        <w:ind w:left="60" w:right="419" w:firstLine="648"/>
        <w:spacing w:after="0" w:line="277" w:lineRule="auto"/>
        <w:rPr>
          <w:sz w:val="20"/>
          <w:szCs w:val="20"/>
          <w:color w:val="auto"/>
        </w:rPr>
      </w:pPr>
      <w:r>
        <w:rPr>
          <w:rFonts w:ascii="Arial" w:cs="Arial" w:eastAsia="Arial" w:hAnsi="Arial"/>
          <w:sz w:val="18"/>
          <w:szCs w:val="18"/>
          <w:color w:val="auto"/>
        </w:rPr>
        <w:t>Future payment obligations with respect to the Company’s operating leases, which were existing at March 31, 2021, by year and in the aggregate, are as follows:</w:t>
      </w:r>
    </w:p>
    <w:p>
      <w:pPr>
        <w:spacing w:after="0" w:line="175" w:lineRule="exact"/>
        <w:rPr>
          <w:sz w:val="20"/>
          <w:szCs w:val="20"/>
          <w:color w:val="auto"/>
        </w:rPr>
      </w:pPr>
    </w:p>
    <w:tbl>
      <w:tblPr>
        <w:tblLayout w:type="fixed"/>
        <w:tblInd w:w="60" w:type="dxa"/>
        <w:tblCellMar>
          <w:top w:w="0" w:type="dxa"/>
          <w:left w:w="0" w:type="dxa"/>
          <w:bottom w:w="0" w:type="dxa"/>
          <w:right w:w="0" w:type="dxa"/>
        </w:tblCellMar>
      </w:tblPr>
      <w:tr>
        <w:trPr>
          <w:trHeight w:val="171"/>
        </w:trPr>
        <w:tc>
          <w:tcPr>
            <w:tcW w:w="4800" w:type="dxa"/>
            <w:vAlign w:val="bottom"/>
            <w:tcBorders>
              <w:bottom w:val="single" w:sz="8" w:color="CCEEFF"/>
            </w:tcBorders>
          </w:tcPr>
          <w:p>
            <w:pPr>
              <w:spacing w:after="0"/>
              <w:rPr>
                <w:sz w:val="20"/>
                <w:szCs w:val="20"/>
                <w:color w:val="auto"/>
              </w:rPr>
            </w:pPr>
            <w:r>
              <w:rPr>
                <w:rFonts w:ascii="Arial" w:cs="Arial" w:eastAsia="Arial" w:hAnsi="Arial"/>
                <w:sz w:val="14"/>
                <w:szCs w:val="14"/>
                <w:b w:val="1"/>
                <w:bCs w:val="1"/>
                <w:color w:val="auto"/>
              </w:rPr>
              <w:t>Year Ending December 31,</w:t>
            </w:r>
          </w:p>
        </w:tc>
        <w:tc>
          <w:tcPr>
            <w:tcW w:w="2540" w:type="dxa"/>
            <w:vAlign w:val="bottom"/>
            <w:tcBorders>
              <w:bottom w:val="single" w:sz="8" w:color="CCEEFF"/>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260" w:type="dxa"/>
            <w:vAlign w:val="bottom"/>
            <w:tcBorders>
              <w:bottom w:val="single" w:sz="8" w:color="auto"/>
            </w:tcBorders>
          </w:tcPr>
          <w:p>
            <w:pPr>
              <w:jc w:val="right"/>
              <w:ind w:right="452"/>
              <w:spacing w:after="0"/>
              <w:rPr>
                <w:sz w:val="20"/>
                <w:szCs w:val="20"/>
                <w:color w:val="auto"/>
              </w:rPr>
            </w:pPr>
            <w:r>
              <w:rPr>
                <w:rFonts w:ascii="Arial" w:cs="Arial" w:eastAsia="Arial" w:hAnsi="Arial"/>
                <w:sz w:val="14"/>
                <w:szCs w:val="14"/>
                <w:b w:val="1"/>
                <w:bCs w:val="1"/>
                <w:color w:val="auto"/>
              </w:rPr>
              <w:t>Amount</w:t>
            </w:r>
          </w:p>
        </w:tc>
      </w:tr>
      <w:tr>
        <w:trPr>
          <w:trHeight w:val="210"/>
        </w:trPr>
        <w:tc>
          <w:tcPr>
            <w:tcW w:w="4800" w:type="dxa"/>
            <w:vAlign w:val="bottom"/>
            <w:shd w:val="clear" w:color="auto" w:fill="CCEEFF"/>
          </w:tcPr>
          <w:p>
            <w:pPr>
              <w:spacing w:after="0"/>
              <w:rPr>
                <w:sz w:val="20"/>
                <w:szCs w:val="20"/>
                <w:color w:val="auto"/>
              </w:rPr>
            </w:pPr>
            <w:r>
              <w:rPr>
                <w:rFonts w:ascii="Arial" w:cs="Arial" w:eastAsia="Arial" w:hAnsi="Arial"/>
                <w:sz w:val="18"/>
                <w:szCs w:val="18"/>
                <w:color w:val="auto"/>
              </w:rPr>
              <w:t>Remainder of 2021</w:t>
            </w:r>
          </w:p>
        </w:tc>
        <w:tc>
          <w:tcPr>
            <w:tcW w:w="2540" w:type="dxa"/>
            <w:vAlign w:val="bottom"/>
            <w:shd w:val="clear" w:color="auto" w:fill="CCEEFF"/>
          </w:tcPr>
          <w:p>
            <w:pPr>
              <w:spacing w:after="0"/>
              <w:rPr>
                <w:sz w:val="18"/>
                <w:szCs w:val="18"/>
                <w:color w:val="auto"/>
              </w:rPr>
            </w:pPr>
          </w:p>
        </w:tc>
        <w:tc>
          <w:tcPr>
            <w:tcW w:w="300" w:type="dxa"/>
            <w:vAlign w:val="bottom"/>
            <w:shd w:val="clear" w:color="auto" w:fill="CCEEFF"/>
          </w:tcPr>
          <w:p>
            <w:pPr>
              <w:jc w:val="right"/>
              <w:ind w:right="147"/>
              <w:spacing w:after="0"/>
              <w:rPr>
                <w:sz w:val="20"/>
                <w:szCs w:val="20"/>
                <w:color w:val="auto"/>
              </w:rPr>
            </w:pPr>
            <w:r>
              <w:rPr>
                <w:rFonts w:ascii="Arial" w:cs="Arial" w:eastAsia="Arial" w:hAnsi="Arial"/>
                <w:sz w:val="15"/>
                <w:szCs w:val="15"/>
                <w:color w:val="auto"/>
                <w:w w:val="71"/>
              </w:rPr>
              <w:t>$</w:t>
            </w: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7,092</w:t>
            </w:r>
          </w:p>
        </w:tc>
      </w:tr>
      <w:tr>
        <w:trPr>
          <w:trHeight w:val="216"/>
        </w:trPr>
        <w:tc>
          <w:tcPr>
            <w:tcW w:w="4800" w:type="dxa"/>
            <w:vAlign w:val="bottom"/>
          </w:tcPr>
          <w:p>
            <w:pPr>
              <w:spacing w:after="0"/>
              <w:rPr>
                <w:sz w:val="20"/>
                <w:szCs w:val="20"/>
                <w:color w:val="auto"/>
              </w:rPr>
            </w:pPr>
            <w:r>
              <w:rPr>
                <w:rFonts w:ascii="Arial" w:cs="Arial" w:eastAsia="Arial" w:hAnsi="Arial"/>
                <w:sz w:val="18"/>
                <w:szCs w:val="18"/>
                <w:color w:val="auto"/>
              </w:rPr>
              <w:t>2022</w:t>
            </w:r>
          </w:p>
        </w:tc>
        <w:tc>
          <w:tcPr>
            <w:tcW w:w="25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8,992</w:t>
            </w:r>
          </w:p>
        </w:tc>
      </w:tr>
      <w:tr>
        <w:trPr>
          <w:trHeight w:val="216"/>
        </w:trPr>
        <w:tc>
          <w:tcPr>
            <w:tcW w:w="4800" w:type="dxa"/>
            <w:vAlign w:val="bottom"/>
            <w:shd w:val="clear" w:color="auto" w:fill="CCEEFF"/>
          </w:tcPr>
          <w:p>
            <w:pPr>
              <w:spacing w:after="0"/>
              <w:rPr>
                <w:sz w:val="20"/>
                <w:szCs w:val="20"/>
                <w:color w:val="auto"/>
              </w:rPr>
            </w:pPr>
            <w:r>
              <w:rPr>
                <w:rFonts w:ascii="Arial" w:cs="Arial" w:eastAsia="Arial" w:hAnsi="Arial"/>
                <w:sz w:val="18"/>
                <w:szCs w:val="18"/>
                <w:color w:val="auto"/>
              </w:rPr>
              <w:t>2023</w:t>
            </w:r>
          </w:p>
        </w:tc>
        <w:tc>
          <w:tcPr>
            <w:tcW w:w="25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8,469</w:t>
            </w:r>
          </w:p>
        </w:tc>
      </w:tr>
      <w:tr>
        <w:trPr>
          <w:trHeight w:val="216"/>
        </w:trPr>
        <w:tc>
          <w:tcPr>
            <w:tcW w:w="4800" w:type="dxa"/>
            <w:vAlign w:val="bottom"/>
          </w:tcPr>
          <w:p>
            <w:pPr>
              <w:spacing w:after="0"/>
              <w:rPr>
                <w:sz w:val="20"/>
                <w:szCs w:val="20"/>
                <w:color w:val="auto"/>
              </w:rPr>
            </w:pPr>
            <w:r>
              <w:rPr>
                <w:rFonts w:ascii="Arial" w:cs="Arial" w:eastAsia="Arial" w:hAnsi="Arial"/>
                <w:sz w:val="18"/>
                <w:szCs w:val="18"/>
                <w:color w:val="auto"/>
              </w:rPr>
              <w:t>2024</w:t>
            </w:r>
          </w:p>
        </w:tc>
        <w:tc>
          <w:tcPr>
            <w:tcW w:w="25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7,967</w:t>
            </w:r>
          </w:p>
        </w:tc>
      </w:tr>
      <w:tr>
        <w:trPr>
          <w:trHeight w:val="216"/>
        </w:trPr>
        <w:tc>
          <w:tcPr>
            <w:tcW w:w="4800" w:type="dxa"/>
            <w:vAlign w:val="bottom"/>
            <w:shd w:val="clear" w:color="auto" w:fill="CCEEFF"/>
          </w:tcPr>
          <w:p>
            <w:pPr>
              <w:spacing w:after="0"/>
              <w:rPr>
                <w:sz w:val="20"/>
                <w:szCs w:val="20"/>
                <w:color w:val="auto"/>
              </w:rPr>
            </w:pPr>
            <w:r>
              <w:rPr>
                <w:rFonts w:ascii="Arial" w:cs="Arial" w:eastAsia="Arial" w:hAnsi="Arial"/>
                <w:sz w:val="18"/>
                <w:szCs w:val="18"/>
                <w:color w:val="auto"/>
              </w:rPr>
              <w:t>2025</w:t>
            </w:r>
          </w:p>
        </w:tc>
        <w:tc>
          <w:tcPr>
            <w:tcW w:w="25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7,645</w:t>
            </w:r>
          </w:p>
        </w:tc>
      </w:tr>
      <w:tr>
        <w:trPr>
          <w:trHeight w:val="216"/>
        </w:trPr>
        <w:tc>
          <w:tcPr>
            <w:tcW w:w="480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Thereafter</w:t>
            </w:r>
          </w:p>
        </w:tc>
        <w:tc>
          <w:tcPr>
            <w:tcW w:w="2540" w:type="dxa"/>
            <w:vAlign w:val="bottom"/>
            <w:tcBorders>
              <w:bottom w:val="single" w:sz="8" w:color="CCEEFF"/>
            </w:tcBorders>
          </w:tcPr>
          <w:p>
            <w:pPr>
              <w:spacing w:after="0"/>
              <w:rPr>
                <w:sz w:val="18"/>
                <w:szCs w:val="18"/>
                <w:color w:val="auto"/>
              </w:rPr>
            </w:pPr>
          </w:p>
        </w:tc>
        <w:tc>
          <w:tcPr>
            <w:tcW w:w="300" w:type="dxa"/>
            <w:vAlign w:val="bottom"/>
            <w:tcBorders>
              <w:bottom w:val="single" w:sz="8" w:color="auto"/>
            </w:tcBorders>
          </w:tcPr>
          <w:p>
            <w:pPr>
              <w:spacing w:after="0"/>
              <w:rPr>
                <w:sz w:val="18"/>
                <w:szCs w:val="18"/>
                <w:color w:val="auto"/>
              </w:rPr>
            </w:pPr>
          </w:p>
        </w:tc>
        <w:tc>
          <w:tcPr>
            <w:tcW w:w="12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31,106</w:t>
            </w:r>
          </w:p>
        </w:tc>
      </w:tr>
      <w:tr>
        <w:trPr>
          <w:trHeight w:val="209"/>
        </w:trPr>
        <w:tc>
          <w:tcPr>
            <w:tcW w:w="4800" w:type="dxa"/>
            <w:vAlign w:val="bottom"/>
            <w:shd w:val="clear" w:color="auto" w:fill="CCEEFF"/>
          </w:tcPr>
          <w:p>
            <w:pPr>
              <w:spacing w:after="0"/>
              <w:rPr>
                <w:sz w:val="20"/>
                <w:szCs w:val="20"/>
                <w:color w:val="auto"/>
              </w:rPr>
            </w:pPr>
            <w:r>
              <w:rPr>
                <w:rFonts w:ascii="Arial" w:cs="Arial" w:eastAsia="Arial" w:hAnsi="Arial"/>
                <w:sz w:val="18"/>
                <w:szCs w:val="18"/>
                <w:color w:val="auto"/>
              </w:rPr>
              <w:t>Total lease payments</w:t>
            </w:r>
          </w:p>
        </w:tc>
        <w:tc>
          <w:tcPr>
            <w:tcW w:w="2540" w:type="dxa"/>
            <w:vAlign w:val="bottom"/>
            <w:shd w:val="clear" w:color="auto" w:fill="CCEEFF"/>
          </w:tcPr>
          <w:p>
            <w:pPr>
              <w:spacing w:after="0"/>
              <w:rPr>
                <w:sz w:val="18"/>
                <w:szCs w:val="18"/>
                <w:color w:val="auto"/>
              </w:rPr>
            </w:pPr>
          </w:p>
        </w:tc>
        <w:tc>
          <w:tcPr>
            <w:tcW w:w="300" w:type="dxa"/>
            <w:vAlign w:val="bottom"/>
            <w:tcBorders>
              <w:bottom w:val="single" w:sz="8" w:color="auto"/>
            </w:tcBorders>
            <w:shd w:val="clear" w:color="auto" w:fill="CCEEFF"/>
          </w:tcPr>
          <w:p>
            <w:pPr>
              <w:jc w:val="right"/>
              <w:ind w:right="147"/>
              <w:spacing w:after="0"/>
              <w:rPr>
                <w:sz w:val="20"/>
                <w:szCs w:val="20"/>
                <w:color w:val="auto"/>
              </w:rPr>
            </w:pPr>
            <w:r>
              <w:rPr>
                <w:rFonts w:ascii="Arial" w:cs="Arial" w:eastAsia="Arial" w:hAnsi="Arial"/>
                <w:sz w:val="15"/>
                <w:szCs w:val="15"/>
                <w:color w:val="auto"/>
                <w:w w:val="71"/>
              </w:rPr>
              <w:t>$</w:t>
            </w:r>
          </w:p>
        </w:tc>
        <w:tc>
          <w:tcPr>
            <w:tcW w:w="1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71,271</w:t>
            </w:r>
          </w:p>
        </w:tc>
      </w:tr>
      <w:tr>
        <w:trPr>
          <w:trHeight w:val="209"/>
        </w:trPr>
        <w:tc>
          <w:tcPr>
            <w:tcW w:w="480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Less interest</w:t>
            </w:r>
          </w:p>
        </w:tc>
        <w:tc>
          <w:tcPr>
            <w:tcW w:w="2540" w:type="dxa"/>
            <w:vAlign w:val="bottom"/>
            <w:tcBorders>
              <w:bottom w:val="single" w:sz="8" w:color="CCEEFF"/>
            </w:tcBorders>
          </w:tcPr>
          <w:p>
            <w:pPr>
              <w:spacing w:after="0"/>
              <w:rPr>
                <w:sz w:val="18"/>
                <w:szCs w:val="18"/>
                <w:color w:val="auto"/>
              </w:rPr>
            </w:pPr>
          </w:p>
        </w:tc>
        <w:tc>
          <w:tcPr>
            <w:tcW w:w="300" w:type="dxa"/>
            <w:vAlign w:val="bottom"/>
            <w:tcBorders>
              <w:bottom w:val="single" w:sz="8" w:color="auto"/>
            </w:tcBorders>
          </w:tcPr>
          <w:p>
            <w:pPr>
              <w:spacing w:after="0"/>
              <w:rPr>
                <w:sz w:val="18"/>
                <w:szCs w:val="18"/>
                <w:color w:val="auto"/>
              </w:rPr>
            </w:pPr>
          </w:p>
        </w:tc>
        <w:tc>
          <w:tcPr>
            <w:tcW w:w="12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8,688</w:t>
            </w:r>
          </w:p>
        </w:tc>
      </w:tr>
      <w:tr>
        <w:trPr>
          <w:trHeight w:val="210"/>
        </w:trPr>
        <w:tc>
          <w:tcPr>
            <w:tcW w:w="4800" w:type="dxa"/>
            <w:vAlign w:val="bottom"/>
            <w:shd w:val="clear" w:color="auto" w:fill="CCEEFF"/>
          </w:tcPr>
          <w:p>
            <w:pPr>
              <w:spacing w:after="0"/>
              <w:rPr>
                <w:sz w:val="20"/>
                <w:szCs w:val="20"/>
                <w:color w:val="auto"/>
              </w:rPr>
            </w:pPr>
            <w:r>
              <w:rPr>
                <w:rFonts w:ascii="Arial" w:cs="Arial" w:eastAsia="Arial" w:hAnsi="Arial"/>
                <w:sz w:val="18"/>
                <w:szCs w:val="18"/>
                <w:color w:val="auto"/>
              </w:rPr>
              <w:t>Present value of lease liabilities</w:t>
            </w:r>
          </w:p>
        </w:tc>
        <w:tc>
          <w:tcPr>
            <w:tcW w:w="2540" w:type="dxa"/>
            <w:vAlign w:val="bottom"/>
            <w:shd w:val="clear" w:color="auto" w:fill="CCEEFF"/>
          </w:tcPr>
          <w:p>
            <w:pPr>
              <w:spacing w:after="0"/>
              <w:rPr>
                <w:sz w:val="18"/>
                <w:szCs w:val="18"/>
                <w:color w:val="auto"/>
              </w:rPr>
            </w:pPr>
          </w:p>
        </w:tc>
        <w:tc>
          <w:tcPr>
            <w:tcW w:w="300" w:type="dxa"/>
            <w:vAlign w:val="bottom"/>
            <w:tcBorders>
              <w:bottom w:val="single" w:sz="8" w:color="auto"/>
            </w:tcBorders>
            <w:shd w:val="clear" w:color="auto" w:fill="CCEEFF"/>
          </w:tcPr>
          <w:p>
            <w:pPr>
              <w:jc w:val="right"/>
              <w:ind w:right="147"/>
              <w:spacing w:after="0"/>
              <w:rPr>
                <w:sz w:val="20"/>
                <w:szCs w:val="20"/>
                <w:color w:val="auto"/>
              </w:rPr>
            </w:pPr>
            <w:r>
              <w:rPr>
                <w:rFonts w:ascii="Arial" w:cs="Arial" w:eastAsia="Arial" w:hAnsi="Arial"/>
                <w:sz w:val="15"/>
                <w:szCs w:val="15"/>
                <w:color w:val="auto"/>
                <w:w w:val="71"/>
              </w:rPr>
              <w:t>$</w:t>
            </w:r>
          </w:p>
        </w:tc>
        <w:tc>
          <w:tcPr>
            <w:tcW w:w="1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62,583</w:t>
            </w:r>
          </w:p>
        </w:tc>
      </w:tr>
    </w:tbl>
    <w:p>
      <w:pPr>
        <w:spacing w:after="0" w:line="211"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9. Notes Payable and Other Noncurrent Liabilities</w:t>
      </w:r>
    </w:p>
    <w:p>
      <w:pPr>
        <w:spacing w:after="0" w:line="229" w:lineRule="exact"/>
        <w:rPr>
          <w:sz w:val="20"/>
          <w:szCs w:val="20"/>
          <w:color w:val="auto"/>
        </w:rPr>
      </w:pPr>
    </w:p>
    <w:p>
      <w:pPr>
        <w:ind w:left="60" w:right="59" w:firstLine="648"/>
        <w:spacing w:after="0" w:line="272" w:lineRule="auto"/>
        <w:rPr>
          <w:sz w:val="20"/>
          <w:szCs w:val="20"/>
          <w:color w:val="auto"/>
        </w:rPr>
      </w:pPr>
      <w:r>
        <w:rPr>
          <w:rFonts w:ascii="Arial" w:cs="Arial" w:eastAsia="Arial" w:hAnsi="Arial"/>
          <w:sz w:val="17"/>
          <w:szCs w:val="17"/>
          <w:color w:val="auto"/>
        </w:rPr>
        <w:t>We entered into an amended and restated credit agreement dated January 22, 2019 and two related amendments dated January 31, 2019 and dated February 1, 2019, respectively, that together provide a credit facility of $325,000 comprised of a term loan facility of $243,750 and a revolving credit facility of $81,250, both with a five-year maturity date. The Company concluded that the amended and restated credit agreement is considered a loan modification. Accordingly, the Company allocated the costs paid to the bank consortium based on the borrowing dollars and recorded an asset of $596 and a contra liability of $1,639, which are related to our revolver and term loan, respectively, that is being amortized to interest expense over the five-year maturity date.</w:t>
      </w:r>
    </w:p>
    <w:p>
      <w:pPr>
        <w:spacing w:after="0" w:line="177" w:lineRule="exact"/>
        <w:rPr>
          <w:sz w:val="20"/>
          <w:szCs w:val="20"/>
          <w:color w:val="auto"/>
        </w:rPr>
      </w:pPr>
    </w:p>
    <w:p>
      <w:pPr>
        <w:ind w:left="700"/>
        <w:spacing w:after="0"/>
        <w:rPr>
          <w:sz w:val="20"/>
          <w:szCs w:val="20"/>
          <w:color w:val="auto"/>
        </w:rPr>
      </w:pPr>
      <w:r>
        <w:rPr>
          <w:rFonts w:ascii="Arial" w:cs="Arial" w:eastAsia="Arial" w:hAnsi="Arial"/>
          <w:sz w:val="17"/>
          <w:szCs w:val="17"/>
          <w:color w:val="auto"/>
        </w:rPr>
        <w:t>The Company entered into a further amendment for the credit facility on October 31, 2019. This amendment</w:t>
      </w:r>
    </w:p>
    <w:p>
      <w:pPr>
        <w:spacing w:after="0" w:line="35" w:lineRule="exact"/>
        <w:rPr>
          <w:sz w:val="20"/>
          <w:szCs w:val="20"/>
          <w:color w:val="auto"/>
        </w:rPr>
      </w:pPr>
    </w:p>
    <w:p>
      <w:pPr>
        <w:ind w:left="60"/>
        <w:spacing w:after="0"/>
        <w:rPr>
          <w:sz w:val="20"/>
          <w:szCs w:val="20"/>
          <w:color w:val="auto"/>
        </w:rPr>
      </w:pPr>
      <w:r>
        <w:rPr>
          <w:rFonts w:ascii="Arial" w:cs="Arial" w:eastAsia="Arial" w:hAnsi="Arial"/>
          <w:sz w:val="17"/>
          <w:szCs w:val="17"/>
          <w:color w:val="auto"/>
        </w:rPr>
        <w:t>increased the revolving commitment by $68,750 to $150,000, while reducing the term loan by the same $68,750 to</w:t>
      </w:r>
    </w:p>
    <w:p>
      <w:pPr>
        <w:spacing w:after="0" w:line="21" w:lineRule="exact"/>
        <w:rPr>
          <w:sz w:val="20"/>
          <w:szCs w:val="20"/>
          <w:color w:val="auto"/>
        </w:rPr>
      </w:pPr>
    </w:p>
    <w:p>
      <w:pPr>
        <w:ind w:left="60"/>
        <w:spacing w:after="0"/>
        <w:rPr>
          <w:sz w:val="20"/>
          <w:szCs w:val="20"/>
          <w:color w:val="auto"/>
        </w:rPr>
      </w:pPr>
      <w:r>
        <w:rPr>
          <w:rFonts w:ascii="Arial" w:cs="Arial" w:eastAsia="Arial" w:hAnsi="Arial"/>
          <w:sz w:val="16"/>
          <w:szCs w:val="16"/>
          <w:color w:val="auto"/>
        </w:rPr>
        <w:t>$150,625. The Company concluded that this amendment is considered a loan modification.  The amended and restated</w:t>
      </w:r>
    </w:p>
    <w:p>
      <w:pPr>
        <w:spacing w:after="0" w:line="32" w:lineRule="exact"/>
        <w:rPr>
          <w:sz w:val="20"/>
          <w:szCs w:val="20"/>
          <w:color w:val="auto"/>
        </w:rPr>
      </w:pPr>
    </w:p>
    <w:p>
      <w:pPr>
        <w:ind w:left="60"/>
        <w:spacing w:after="0"/>
        <w:rPr>
          <w:sz w:val="20"/>
          <w:szCs w:val="20"/>
          <w:color w:val="auto"/>
        </w:rPr>
      </w:pPr>
      <w:r>
        <w:rPr>
          <w:rFonts w:ascii="Arial" w:cs="Arial" w:eastAsia="Arial" w:hAnsi="Arial"/>
          <w:sz w:val="16"/>
          <w:szCs w:val="16"/>
          <w:color w:val="auto"/>
        </w:rPr>
        <w:t>credit agreement contains standard covenants that, among other things, restrict the Company’s ability to incur additional</w:t>
      </w:r>
    </w:p>
    <w:p>
      <w:pPr>
        <w:spacing w:after="0" w:line="32" w:lineRule="exact"/>
        <w:rPr>
          <w:sz w:val="20"/>
          <w:szCs w:val="20"/>
          <w:color w:val="auto"/>
        </w:rPr>
      </w:pPr>
    </w:p>
    <w:p>
      <w:pPr>
        <w:ind w:left="60"/>
        <w:spacing w:after="0"/>
        <w:rPr>
          <w:sz w:val="20"/>
          <w:szCs w:val="20"/>
          <w:color w:val="auto"/>
        </w:rPr>
      </w:pPr>
      <w:r>
        <w:rPr>
          <w:rFonts w:ascii="Arial" w:cs="Arial" w:eastAsia="Arial" w:hAnsi="Arial"/>
          <w:sz w:val="17"/>
          <w:szCs w:val="17"/>
          <w:color w:val="auto"/>
        </w:rPr>
        <w:t>debt or make certain investments, and require the Company to achieve certain financial ratios and maintain certain</w:t>
      </w:r>
    </w:p>
    <w:p>
      <w:pPr>
        <w:spacing w:after="0" w:line="21" w:lineRule="exact"/>
        <w:rPr>
          <w:sz w:val="20"/>
          <w:szCs w:val="20"/>
          <w:color w:val="auto"/>
        </w:rPr>
      </w:pPr>
    </w:p>
    <w:p>
      <w:pPr>
        <w:ind w:left="60"/>
        <w:spacing w:after="0"/>
        <w:rPr>
          <w:sz w:val="20"/>
          <w:szCs w:val="20"/>
          <w:color w:val="auto"/>
        </w:rPr>
      </w:pPr>
      <w:r>
        <w:rPr>
          <w:rFonts w:ascii="Arial" w:cs="Arial" w:eastAsia="Arial" w:hAnsi="Arial"/>
          <w:sz w:val="17"/>
          <w:szCs w:val="17"/>
          <w:color w:val="auto"/>
        </w:rPr>
        <w:t>financial conditions. The Company’s obligations under the credit facility are secured by its assets, including all rights,</w:t>
      </w:r>
    </w:p>
    <w:p>
      <w:pPr>
        <w:spacing w:after="0" w:line="200" w:lineRule="exact"/>
        <w:rPr>
          <w:sz w:val="20"/>
          <w:szCs w:val="20"/>
          <w:color w:val="auto"/>
        </w:rPr>
      </w:pPr>
    </w:p>
    <w:p>
      <w:pPr>
        <w:spacing w:after="0" w:line="23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171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5657850" cy="1714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18" w:name="page19"/>
    <w:bookmarkEnd w:id="18"/>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 except per share data)</w:t>
      </w:r>
    </w:p>
    <w:p>
      <w:pPr>
        <w:spacing w:after="0" w:line="211" w:lineRule="exact"/>
        <w:rPr>
          <w:sz w:val="20"/>
          <w:szCs w:val="20"/>
          <w:color w:val="auto"/>
        </w:rPr>
      </w:pPr>
    </w:p>
    <w:p>
      <w:pPr>
        <w:ind w:left="60" w:right="79"/>
        <w:spacing w:after="0" w:line="277" w:lineRule="auto"/>
        <w:rPr>
          <w:sz w:val="20"/>
          <w:szCs w:val="20"/>
          <w:color w:val="auto"/>
        </w:rPr>
      </w:pPr>
      <w:r>
        <w:rPr>
          <w:rFonts w:ascii="Arial" w:cs="Arial" w:eastAsia="Arial" w:hAnsi="Arial"/>
          <w:sz w:val="18"/>
          <w:szCs w:val="18"/>
          <w:color w:val="auto"/>
        </w:rPr>
        <w:t>benefits and payments under the Secured Note and the Master Services Agreement. As of March 31, 2021, the Company is in compliance with its debt covenants.</w:t>
      </w:r>
    </w:p>
    <w:p>
      <w:pPr>
        <w:spacing w:after="0" w:line="175" w:lineRule="exact"/>
        <w:rPr>
          <w:sz w:val="20"/>
          <w:szCs w:val="20"/>
          <w:color w:val="auto"/>
        </w:rPr>
      </w:pPr>
    </w:p>
    <w:tbl>
      <w:tblPr>
        <w:tblLayout w:type="fixed"/>
        <w:tblInd w:w="6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6320" w:type="dxa"/>
            <w:vAlign w:val="bottom"/>
          </w:tcPr>
          <w:p>
            <w:pPr>
              <w:spacing w:after="0"/>
              <w:rPr>
                <w:sz w:val="14"/>
                <w:szCs w:val="14"/>
                <w:color w:val="auto"/>
              </w:rPr>
            </w:pPr>
          </w:p>
        </w:tc>
        <w:tc>
          <w:tcPr>
            <w:tcW w:w="2560" w:type="dxa"/>
            <w:vAlign w:val="bottom"/>
            <w:gridSpan w:val="8"/>
          </w:tcPr>
          <w:p>
            <w:pPr>
              <w:ind w:left="120"/>
              <w:spacing w:after="0"/>
              <w:rPr>
                <w:sz w:val="20"/>
                <w:szCs w:val="20"/>
                <w:color w:val="auto"/>
              </w:rPr>
            </w:pPr>
            <w:r>
              <w:rPr>
                <w:rFonts w:ascii="Arial" w:cs="Arial" w:eastAsia="Arial" w:hAnsi="Arial"/>
                <w:sz w:val="14"/>
                <w:szCs w:val="14"/>
                <w:b w:val="1"/>
                <w:bCs w:val="1"/>
                <w:color w:val="auto"/>
                <w:w w:val="98"/>
              </w:rPr>
              <w:t>As of March 31,   As of December 31,</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6320" w:type="dxa"/>
            <w:vAlign w:val="bottom"/>
            <w:tcBorders>
              <w:bottom w:val="single" w:sz="8" w:color="CCEEFF"/>
            </w:tcBorders>
          </w:tcPr>
          <w:p>
            <w:pPr>
              <w:spacing w:after="0"/>
              <w:rPr>
                <w:sz w:val="12"/>
                <w:szCs w:val="12"/>
                <w:color w:val="auto"/>
              </w:rPr>
            </w:pPr>
          </w:p>
        </w:tc>
        <w:tc>
          <w:tcPr>
            <w:tcW w:w="120" w:type="dxa"/>
            <w:vAlign w:val="bottom"/>
            <w:tcBorders>
              <w:bottom w:val="single" w:sz="8" w:color="CCEEFF"/>
            </w:tcBorders>
          </w:tcPr>
          <w:p>
            <w:pPr>
              <w:spacing w:after="0"/>
              <w:rPr>
                <w:sz w:val="12"/>
                <w:szCs w:val="12"/>
                <w:color w:val="auto"/>
              </w:rPr>
            </w:pPr>
          </w:p>
        </w:tc>
        <w:tc>
          <w:tcPr>
            <w:tcW w:w="320" w:type="dxa"/>
            <w:vAlign w:val="bottom"/>
            <w:tcBorders>
              <w:top w:val="single" w:sz="8" w:color="auto"/>
              <w:bottom w:val="single" w:sz="8" w:color="auto"/>
            </w:tcBorders>
          </w:tcPr>
          <w:p>
            <w:pPr>
              <w:spacing w:after="0"/>
              <w:rPr>
                <w:sz w:val="12"/>
                <w:szCs w:val="12"/>
                <w:color w:val="auto"/>
              </w:rPr>
            </w:pPr>
          </w:p>
        </w:tc>
        <w:tc>
          <w:tcPr>
            <w:tcW w:w="720" w:type="dxa"/>
            <w:vAlign w:val="bottom"/>
            <w:tcBorders>
              <w:top w:val="single" w:sz="8" w:color="auto"/>
              <w:bottom w:val="single" w:sz="8" w:color="auto"/>
            </w:tcBorders>
          </w:tcPr>
          <w:p>
            <w:pPr>
              <w:jc w:val="right"/>
              <w:ind w:right="293"/>
              <w:spacing w:after="0" w:line="142" w:lineRule="exact"/>
              <w:rPr>
                <w:sz w:val="20"/>
                <w:szCs w:val="20"/>
                <w:color w:val="auto"/>
              </w:rPr>
            </w:pPr>
            <w:r>
              <w:rPr>
                <w:rFonts w:ascii="Arial" w:cs="Arial" w:eastAsia="Arial" w:hAnsi="Arial"/>
                <w:sz w:val="14"/>
                <w:szCs w:val="14"/>
                <w:b w:val="1"/>
                <w:bCs w:val="1"/>
                <w:color w:val="auto"/>
              </w:rPr>
              <w:t>2021</w:t>
            </w:r>
          </w:p>
        </w:tc>
        <w:tc>
          <w:tcPr>
            <w:tcW w:w="140" w:type="dxa"/>
            <w:vAlign w:val="bottom"/>
            <w:tcBorders>
              <w:bottom w:val="single" w:sz="8" w:color="CCEEFF"/>
            </w:tcBorders>
          </w:tcPr>
          <w:p>
            <w:pPr>
              <w:spacing w:after="0"/>
              <w:rPr>
                <w:sz w:val="12"/>
                <w:szCs w:val="12"/>
                <w:color w:val="auto"/>
              </w:rPr>
            </w:pPr>
          </w:p>
        </w:tc>
        <w:tc>
          <w:tcPr>
            <w:tcW w:w="280" w:type="dxa"/>
            <w:vAlign w:val="bottom"/>
            <w:tcBorders>
              <w:top w:val="single" w:sz="8" w:color="auto"/>
              <w:bottom w:val="single" w:sz="8" w:color="auto"/>
            </w:tcBorders>
          </w:tcPr>
          <w:p>
            <w:pPr>
              <w:spacing w:after="0"/>
              <w:rPr>
                <w:sz w:val="12"/>
                <w:szCs w:val="12"/>
                <w:color w:val="auto"/>
              </w:rPr>
            </w:pPr>
          </w:p>
        </w:tc>
        <w:tc>
          <w:tcPr>
            <w:tcW w:w="20" w:type="dxa"/>
            <w:vAlign w:val="bottom"/>
            <w:tcBorders>
              <w:top w:val="single" w:sz="8" w:color="auto"/>
              <w:bottom w:val="single" w:sz="8" w:color="auto"/>
            </w:tcBorders>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840" w:type="dxa"/>
            <w:vAlign w:val="bottom"/>
            <w:tcBorders>
              <w:top w:val="single" w:sz="8" w:color="auto"/>
              <w:bottom w:val="single" w:sz="8" w:color="auto"/>
            </w:tcBorders>
          </w:tcPr>
          <w:p>
            <w:pPr>
              <w:jc w:val="right"/>
              <w:ind w:right="412"/>
              <w:spacing w:after="0" w:line="142" w:lineRule="exact"/>
              <w:rPr>
                <w:sz w:val="20"/>
                <w:szCs w:val="20"/>
                <w:color w:val="auto"/>
              </w:rPr>
            </w:pPr>
            <w:r>
              <w:rPr>
                <w:rFonts w:ascii="Arial" w:cs="Arial" w:eastAsia="Arial" w:hAnsi="Arial"/>
                <w:sz w:val="14"/>
                <w:szCs w:val="14"/>
                <w:b w:val="1"/>
                <w:bCs w:val="1"/>
                <w:color w:val="auto"/>
              </w:rPr>
              <w:t>2020</w:t>
            </w: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63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Notes Payable</w:t>
            </w:r>
          </w:p>
        </w:tc>
        <w:tc>
          <w:tcPr>
            <w:tcW w:w="1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6320" w:type="dxa"/>
            <w:vAlign w:val="bottom"/>
          </w:tcPr>
          <w:p>
            <w:pPr>
              <w:spacing w:after="0" w:line="201" w:lineRule="exact"/>
              <w:rPr>
                <w:sz w:val="20"/>
                <w:szCs w:val="20"/>
                <w:color w:val="auto"/>
              </w:rPr>
            </w:pPr>
            <w:r>
              <w:rPr>
                <w:rFonts w:ascii="Arial" w:cs="Arial" w:eastAsia="Arial" w:hAnsi="Arial"/>
                <w:sz w:val="18"/>
                <w:szCs w:val="18"/>
                <w:color w:val="auto"/>
                <w:w w:val="91"/>
              </w:rPr>
              <w:t>Note payable, quarterly payment of $8,368 starting December 31, 2019; interest at 30-</w:t>
            </w:r>
          </w:p>
        </w:tc>
        <w:tc>
          <w:tcPr>
            <w:tcW w:w="12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6340" w:type="dxa"/>
            <w:vAlign w:val="bottom"/>
            <w:gridSpan w:val="2"/>
          </w:tcPr>
          <w:p>
            <w:pPr>
              <w:spacing w:after="0"/>
              <w:rPr>
                <w:sz w:val="20"/>
                <w:szCs w:val="20"/>
                <w:color w:val="auto"/>
              </w:rPr>
            </w:pPr>
            <w:r>
              <w:rPr>
                <w:rFonts w:ascii="Arial" w:cs="Arial" w:eastAsia="Arial" w:hAnsi="Arial"/>
                <w:sz w:val="18"/>
                <w:szCs w:val="18"/>
                <w:color w:val="auto"/>
              </w:rPr>
              <w:t>Day LIBOR plus 2.00% (2.12% at March 31, 2021) through January 22, 2024</w:t>
            </w:r>
          </w:p>
        </w:tc>
        <w:tc>
          <w:tcPr>
            <w:tcW w:w="440" w:type="dxa"/>
            <w:vAlign w:val="bottom"/>
            <w:gridSpan w:val="2"/>
          </w:tcPr>
          <w:p>
            <w:pPr>
              <w:ind w:left="120"/>
              <w:spacing w:after="0"/>
              <w:rPr>
                <w:sz w:val="20"/>
                <w:szCs w:val="20"/>
                <w:color w:val="auto"/>
              </w:rPr>
            </w:pPr>
            <w:r>
              <w:rPr>
                <w:rFonts w:ascii="Arial" w:cs="Arial" w:eastAsia="Arial" w:hAnsi="Arial"/>
                <w:sz w:val="18"/>
                <w:szCs w:val="18"/>
                <w:color w:val="auto"/>
              </w:rPr>
              <w:t>$</w:t>
            </w:r>
          </w:p>
        </w:tc>
        <w:tc>
          <w:tcPr>
            <w:tcW w:w="720" w:type="dxa"/>
            <w:vAlign w:val="bottom"/>
          </w:tcPr>
          <w:p>
            <w:pPr>
              <w:jc w:val="right"/>
              <w:spacing w:after="0"/>
              <w:rPr>
                <w:sz w:val="20"/>
                <w:szCs w:val="20"/>
                <w:color w:val="auto"/>
              </w:rPr>
            </w:pPr>
            <w:r>
              <w:rPr>
                <w:rFonts w:ascii="Arial" w:cs="Arial" w:eastAsia="Arial" w:hAnsi="Arial"/>
                <w:sz w:val="18"/>
                <w:szCs w:val="18"/>
                <w:color w:val="auto"/>
              </w:rPr>
              <w:t>99,488</w:t>
            </w:r>
          </w:p>
        </w:tc>
        <w:tc>
          <w:tcPr>
            <w:tcW w:w="420" w:type="dxa"/>
            <w:vAlign w:val="bottom"/>
            <w:gridSpan w:val="2"/>
          </w:tcPr>
          <w:p>
            <w:pPr>
              <w:jc w:val="right"/>
              <w:ind w:right="127"/>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107,774</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632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w w:val="97"/>
              </w:rPr>
              <w:t>Revolving line of credit; interest at 30-Day LIBOR plus 2.0% (2.12% at March 31,</w:t>
            </w:r>
          </w:p>
        </w:tc>
        <w:tc>
          <w:tcPr>
            <w:tcW w:w="12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6320" w:type="dxa"/>
            <w:vAlign w:val="bottom"/>
            <w:shd w:val="clear" w:color="auto" w:fill="CCEEFF"/>
          </w:tcPr>
          <w:p>
            <w:pPr>
              <w:spacing w:after="0"/>
              <w:rPr>
                <w:sz w:val="20"/>
                <w:szCs w:val="20"/>
                <w:color w:val="auto"/>
              </w:rPr>
            </w:pPr>
            <w:r>
              <w:rPr>
                <w:rFonts w:ascii="Arial" w:cs="Arial" w:eastAsia="Arial" w:hAnsi="Arial"/>
                <w:sz w:val="18"/>
                <w:szCs w:val="18"/>
                <w:color w:val="auto"/>
              </w:rPr>
              <w:t>2021)</w:t>
            </w:r>
          </w:p>
        </w:tc>
        <w:tc>
          <w:tcPr>
            <w:tcW w:w="120" w:type="dxa"/>
            <w:vAlign w:val="bottom"/>
            <w:shd w:val="clear" w:color="auto" w:fill="CCEEFF"/>
          </w:tcPr>
          <w:p>
            <w:pPr>
              <w:spacing w:after="0"/>
              <w:rPr>
                <w:sz w:val="20"/>
                <w:szCs w:val="20"/>
                <w:color w:val="auto"/>
              </w:rPr>
            </w:pPr>
          </w:p>
        </w:tc>
        <w:tc>
          <w:tcPr>
            <w:tcW w:w="320" w:type="dxa"/>
            <w:vAlign w:val="bottom"/>
            <w:tcBorders>
              <w:bottom w:val="single" w:sz="8" w:color="auto"/>
            </w:tcBorders>
            <w:shd w:val="clear" w:color="auto" w:fill="CCEEFF"/>
          </w:tcPr>
          <w:p>
            <w:pPr>
              <w:spacing w:after="0"/>
              <w:rPr>
                <w:sz w:val="20"/>
                <w:szCs w:val="20"/>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20"/>
                <w:szCs w:val="20"/>
                <w:color w:val="auto"/>
              </w:rPr>
            </w:pPr>
          </w:p>
        </w:tc>
        <w:tc>
          <w:tcPr>
            <w:tcW w:w="280" w:type="dxa"/>
            <w:vAlign w:val="bottom"/>
            <w:tcBorders>
              <w:bottom w:val="single" w:sz="8" w:color="auto"/>
            </w:tcBorders>
            <w:shd w:val="clear" w:color="auto" w:fill="CCEEFF"/>
          </w:tcPr>
          <w:p>
            <w:pPr>
              <w:spacing w:after="0"/>
              <w:rPr>
                <w:sz w:val="20"/>
                <w:szCs w:val="20"/>
                <w:color w:val="auto"/>
              </w:rPr>
            </w:pPr>
          </w:p>
        </w:tc>
        <w:tc>
          <w:tcPr>
            <w:tcW w:w="20" w:type="dxa"/>
            <w:vAlign w:val="bottom"/>
            <w:tcBorders>
              <w:bottom w:val="single" w:sz="8" w:color="auto"/>
            </w:tcBorders>
            <w:shd w:val="clear" w:color="auto" w:fill="CCEEFF"/>
          </w:tcPr>
          <w:p>
            <w:pPr>
              <w:spacing w:after="0"/>
              <w:rPr>
                <w:sz w:val="20"/>
                <w:szCs w:val="20"/>
                <w:color w:val="auto"/>
              </w:rPr>
            </w:pPr>
          </w:p>
        </w:tc>
        <w:tc>
          <w:tcPr>
            <w:tcW w:w="120" w:type="dxa"/>
            <w:vAlign w:val="bottom"/>
            <w:tcBorders>
              <w:bottom w:val="single" w:sz="8" w:color="auto"/>
            </w:tcBorders>
            <w:shd w:val="clear" w:color="auto" w:fill="CCEEFF"/>
          </w:tcPr>
          <w:p>
            <w:pPr>
              <w:spacing w:after="0"/>
              <w:rPr>
                <w:sz w:val="20"/>
                <w:szCs w:val="20"/>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6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99,488</w:t>
            </w:r>
          </w:p>
        </w:tc>
        <w:tc>
          <w:tcPr>
            <w:tcW w:w="1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107,774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20" w:type="dxa"/>
            <w:vAlign w:val="bottom"/>
            <w:shd w:val="clear" w:color="auto" w:fill="CCEEFF"/>
          </w:tcPr>
          <w:p>
            <w:pPr>
              <w:spacing w:after="0"/>
              <w:rPr>
                <w:sz w:val="20"/>
                <w:szCs w:val="20"/>
                <w:color w:val="auto"/>
              </w:rPr>
            </w:pPr>
            <w:r>
              <w:rPr>
                <w:rFonts w:ascii="Arial" w:cs="Arial" w:eastAsia="Arial" w:hAnsi="Arial"/>
                <w:sz w:val="18"/>
                <w:szCs w:val="18"/>
                <w:color w:val="auto"/>
              </w:rPr>
              <w:t>Less: Current portion</w:t>
            </w:r>
          </w:p>
        </w:tc>
        <w:tc>
          <w:tcPr>
            <w:tcW w:w="120" w:type="dxa"/>
            <w:vAlign w:val="bottom"/>
            <w:shd w:val="clear" w:color="auto" w:fill="CCEEFF"/>
          </w:tcPr>
          <w:p>
            <w:pPr>
              <w:spacing w:after="0"/>
              <w:rPr>
                <w:sz w:val="18"/>
                <w:szCs w:val="18"/>
                <w:color w:val="auto"/>
              </w:rPr>
            </w:pPr>
          </w:p>
        </w:tc>
        <w:tc>
          <w:tcPr>
            <w:tcW w:w="32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33,144</w:t>
            </w:r>
          </w:p>
        </w:tc>
        <w:tc>
          <w:tcPr>
            <w:tcW w:w="140" w:type="dxa"/>
            <w:vAlign w:val="bottom"/>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spacing w:after="0"/>
              <w:rPr>
                <w:sz w:val="18"/>
                <w:szCs w:val="18"/>
                <w:color w:val="auto"/>
              </w:rPr>
            </w:pPr>
          </w:p>
        </w:tc>
        <w:tc>
          <w:tcPr>
            <w:tcW w:w="20" w:type="dxa"/>
            <w:vAlign w:val="bottom"/>
            <w:tcBorders>
              <w:bottom w:val="single" w:sz="8" w:color="auto"/>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33,144</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2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w:t>
            </w: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66,344</w:t>
            </w:r>
          </w:p>
        </w:tc>
        <w:tc>
          <w:tcPr>
            <w:tcW w:w="140" w:type="dxa"/>
            <w:vAlign w:val="bottom"/>
          </w:tcPr>
          <w:p>
            <w:pPr>
              <w:spacing w:after="0"/>
              <w:rPr>
                <w:sz w:val="18"/>
                <w:szCs w:val="18"/>
                <w:color w:val="auto"/>
              </w:rPr>
            </w:pPr>
          </w:p>
        </w:tc>
        <w:tc>
          <w:tcPr>
            <w:tcW w:w="280" w:type="dxa"/>
            <w:vAlign w:val="bottom"/>
            <w:tcBorders>
              <w:bottom w:val="single" w:sz="8" w:color="auto"/>
            </w:tcBorders>
          </w:tcPr>
          <w:p>
            <w:pPr>
              <w:jc w:val="right"/>
              <w:ind w:right="127"/>
              <w:spacing w:after="0"/>
              <w:rPr>
                <w:sz w:val="20"/>
                <w:szCs w:val="20"/>
                <w:color w:val="auto"/>
              </w:rPr>
            </w:pPr>
            <w:r>
              <w:rPr>
                <w:rFonts w:ascii="Arial" w:cs="Arial" w:eastAsia="Arial" w:hAnsi="Arial"/>
                <w:sz w:val="15"/>
                <w:szCs w:val="15"/>
                <w:color w:val="auto"/>
                <w:w w:val="71"/>
              </w:rPr>
              <w:t>$</w:t>
            </w:r>
          </w:p>
        </w:tc>
        <w:tc>
          <w:tcPr>
            <w:tcW w:w="20" w:type="dxa"/>
            <w:vAlign w:val="bottom"/>
            <w:tcBorders>
              <w:bottom w:val="single" w:sz="8" w:color="auto"/>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74,630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440" w:type="dxa"/>
            <w:vAlign w:val="bottom"/>
            <w:gridSpan w:val="2"/>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20" w:type="dxa"/>
            <w:vAlign w:val="bottom"/>
          </w:tcPr>
          <w:p>
            <w:pPr>
              <w:spacing w:after="0"/>
              <w:rPr>
                <w:sz w:val="24"/>
                <w:szCs w:val="24"/>
                <w:color w:val="auto"/>
              </w:rPr>
            </w:pPr>
          </w:p>
        </w:tc>
        <w:tc>
          <w:tcPr>
            <w:tcW w:w="6760" w:type="dxa"/>
            <w:vAlign w:val="bottom"/>
            <w:gridSpan w:val="3"/>
          </w:tcPr>
          <w:p>
            <w:pPr>
              <w:ind w:left="620"/>
              <w:spacing w:after="0"/>
              <w:rPr>
                <w:sz w:val="20"/>
                <w:szCs w:val="20"/>
                <w:color w:val="auto"/>
              </w:rPr>
            </w:pPr>
            <w:r>
              <w:rPr>
                <w:rFonts w:ascii="Arial" w:cs="Arial" w:eastAsia="Arial" w:hAnsi="Arial"/>
                <w:sz w:val="18"/>
                <w:szCs w:val="18"/>
                <w:color w:val="auto"/>
                <w:w w:val="89"/>
              </w:rPr>
              <w:t>Payments due under the notes payable obligations are as follows as of December 31:</w:t>
            </w:r>
          </w:p>
        </w:tc>
        <w:tc>
          <w:tcPr>
            <w:tcW w:w="7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9"/>
        </w:trPr>
        <w:tc>
          <w:tcPr>
            <w:tcW w:w="20" w:type="dxa"/>
            <w:vAlign w:val="bottom"/>
            <w:vMerge w:val="restart"/>
          </w:tcPr>
          <w:p>
            <w:pPr>
              <w:spacing w:after="0"/>
              <w:rPr>
                <w:sz w:val="19"/>
                <w:szCs w:val="19"/>
                <w:color w:val="auto"/>
              </w:rPr>
            </w:pPr>
          </w:p>
        </w:tc>
        <w:tc>
          <w:tcPr>
            <w:tcW w:w="63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320" w:type="dxa"/>
            <w:vAlign w:val="bottom"/>
            <w:shd w:val="clear" w:color="auto" w:fill="CCEEFF"/>
          </w:tcPr>
          <w:p>
            <w:pPr>
              <w:spacing w:after="0"/>
              <w:rPr>
                <w:sz w:val="20"/>
                <w:szCs w:val="20"/>
                <w:color w:val="auto"/>
              </w:rPr>
            </w:pPr>
            <w:r>
              <w:rPr>
                <w:rFonts w:ascii="Arial" w:cs="Arial" w:eastAsia="Arial" w:hAnsi="Arial"/>
                <w:sz w:val="18"/>
                <w:szCs w:val="18"/>
                <w:color w:val="auto"/>
              </w:rPr>
              <w:t>Remainder of 2021</w:t>
            </w:r>
          </w:p>
        </w:tc>
        <w:tc>
          <w:tcPr>
            <w:tcW w:w="1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24,858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20" w:type="dxa"/>
            <w:vAlign w:val="bottom"/>
          </w:tcPr>
          <w:p>
            <w:pPr>
              <w:spacing w:after="0"/>
              <w:rPr>
                <w:sz w:val="20"/>
                <w:szCs w:val="20"/>
                <w:color w:val="auto"/>
              </w:rPr>
            </w:pPr>
            <w:r>
              <w:rPr>
                <w:rFonts w:ascii="Arial" w:cs="Arial" w:eastAsia="Arial" w:hAnsi="Arial"/>
                <w:sz w:val="18"/>
                <w:szCs w:val="18"/>
                <w:color w:val="auto"/>
              </w:rPr>
              <w:t>2022</w:t>
            </w:r>
          </w:p>
        </w:tc>
        <w:tc>
          <w:tcPr>
            <w:tcW w:w="1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33,144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20" w:type="dxa"/>
            <w:vAlign w:val="bottom"/>
            <w:shd w:val="clear" w:color="auto" w:fill="CCEEFF"/>
          </w:tcPr>
          <w:p>
            <w:pPr>
              <w:spacing w:after="0"/>
              <w:rPr>
                <w:sz w:val="20"/>
                <w:szCs w:val="20"/>
                <w:color w:val="auto"/>
              </w:rPr>
            </w:pPr>
            <w:r>
              <w:rPr>
                <w:rFonts w:ascii="Arial" w:cs="Arial" w:eastAsia="Arial" w:hAnsi="Arial"/>
                <w:sz w:val="18"/>
                <w:szCs w:val="18"/>
                <w:color w:val="auto"/>
              </w:rPr>
              <w:t>2023</w:t>
            </w:r>
          </w:p>
        </w:tc>
        <w:tc>
          <w:tcPr>
            <w:tcW w:w="1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33,145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20" w:type="dxa"/>
            <w:vAlign w:val="bottom"/>
          </w:tcPr>
          <w:p>
            <w:pPr>
              <w:spacing w:after="0"/>
              <w:rPr>
                <w:sz w:val="20"/>
                <w:szCs w:val="20"/>
                <w:color w:val="auto"/>
              </w:rPr>
            </w:pPr>
            <w:r>
              <w:rPr>
                <w:rFonts w:ascii="Arial" w:cs="Arial" w:eastAsia="Arial" w:hAnsi="Arial"/>
                <w:sz w:val="18"/>
                <w:szCs w:val="18"/>
                <w:color w:val="auto"/>
              </w:rPr>
              <w:t>2024</w:t>
            </w:r>
          </w:p>
        </w:tc>
        <w:tc>
          <w:tcPr>
            <w:tcW w:w="1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8,341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20" w:type="dxa"/>
            <w:vAlign w:val="bottom"/>
            <w:shd w:val="clear" w:color="auto" w:fill="CCEEFF"/>
          </w:tcPr>
          <w:p>
            <w:pPr>
              <w:spacing w:after="0"/>
              <w:rPr>
                <w:sz w:val="20"/>
                <w:szCs w:val="20"/>
                <w:color w:val="auto"/>
              </w:rPr>
            </w:pPr>
            <w:r>
              <w:rPr>
                <w:rFonts w:ascii="Arial" w:cs="Arial" w:eastAsia="Arial" w:hAnsi="Arial"/>
                <w:sz w:val="18"/>
                <w:szCs w:val="18"/>
                <w:color w:val="auto"/>
              </w:rPr>
              <w:t>2025</w:t>
            </w:r>
          </w:p>
        </w:tc>
        <w:tc>
          <w:tcPr>
            <w:tcW w:w="1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9"/>
        </w:trPr>
        <w:tc>
          <w:tcPr>
            <w:tcW w:w="6340" w:type="dxa"/>
            <w:vAlign w:val="bottom"/>
            <w:gridSpan w:val="2"/>
          </w:tcPr>
          <w:p>
            <w:pPr>
              <w:spacing w:after="0"/>
              <w:rPr>
                <w:sz w:val="20"/>
                <w:szCs w:val="20"/>
                <w:color w:val="auto"/>
              </w:rPr>
            </w:pPr>
            <w:r>
              <w:rPr>
                <w:rFonts w:ascii="Arial" w:cs="Arial" w:eastAsia="Arial" w:hAnsi="Arial"/>
                <w:sz w:val="18"/>
                <w:szCs w:val="18"/>
                <w:color w:val="auto"/>
              </w:rPr>
              <w:t>Total</w:t>
            </w:r>
          </w:p>
        </w:tc>
        <w:tc>
          <w:tcPr>
            <w:tcW w:w="1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99,488</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3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1"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10. Commitments and Contingencies</w:t>
      </w:r>
    </w:p>
    <w:p>
      <w:pPr>
        <w:spacing w:after="0" w:line="229"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Legal Matters</w:t>
      </w:r>
    </w:p>
    <w:p>
      <w:pPr>
        <w:spacing w:after="0" w:line="225" w:lineRule="exact"/>
        <w:rPr>
          <w:sz w:val="20"/>
          <w:szCs w:val="20"/>
          <w:color w:val="auto"/>
        </w:rPr>
      </w:pPr>
    </w:p>
    <w:p>
      <w:pPr>
        <w:ind w:left="60" w:right="79" w:firstLine="648"/>
        <w:spacing w:after="0" w:line="290" w:lineRule="auto"/>
        <w:rPr>
          <w:sz w:val="20"/>
          <w:szCs w:val="20"/>
          <w:color w:val="auto"/>
        </w:rPr>
      </w:pPr>
      <w:r>
        <w:rPr>
          <w:rFonts w:ascii="Arial" w:cs="Arial" w:eastAsia="Arial" w:hAnsi="Arial"/>
          <w:sz w:val="16"/>
          <w:szCs w:val="16"/>
          <w:color w:val="auto"/>
        </w:rPr>
        <w:t>From time to time, the Company is a party to various lawsuits, claims, and other legal proceedings that arise in the ordinary course of business, some of which are covered by insurance. When the Company is aware of a claim or potential claim, it assesses the likelihood of any loss or exposure. If it is probable that a loss will result and the amount of the loss can be reasonably estimated, the Company records a liability for the loss. If the loss is not probable or the amount of the loss cannot be reasonably estimated, the Company discloses the nature of the specific claim if the likelihood of a potential loss is reasonably possible and the amount involved could be material. With respect to the majority of pending litigation matters, the Company’s ultimate legal and financial responsibility, if any, cannot be estimated with certainty and, in most cases, any potential losses related to those matters are not considered probable.</w:t>
      </w:r>
    </w:p>
    <w:p>
      <w:pPr>
        <w:spacing w:after="0" w:line="165" w:lineRule="exact"/>
        <w:rPr>
          <w:sz w:val="20"/>
          <w:szCs w:val="20"/>
          <w:color w:val="auto"/>
        </w:rPr>
      </w:pPr>
    </w:p>
    <w:p>
      <w:pPr>
        <w:ind w:left="60" w:right="199" w:firstLine="648"/>
        <w:spacing w:after="0" w:line="286" w:lineRule="auto"/>
        <w:rPr>
          <w:sz w:val="20"/>
          <w:szCs w:val="20"/>
          <w:color w:val="auto"/>
        </w:rPr>
      </w:pPr>
      <w:r>
        <w:rPr>
          <w:rFonts w:ascii="Arial" w:cs="Arial" w:eastAsia="Arial" w:hAnsi="Arial"/>
          <w:sz w:val="17"/>
          <w:szCs w:val="17"/>
          <w:color w:val="auto"/>
        </w:rPr>
        <w:t>Upon resolution of any pending legal matters, the Company may incur charges in excess of presently established reserves. Management does not believe that any such charges would, individually or in the aggregate, have a material adverse effect on the Company’s financial condition, results of operations or cash flows.</w:t>
      </w:r>
    </w:p>
    <w:p>
      <w:pPr>
        <w:spacing w:after="0" w:line="165"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Tax Reserves, Non-Income Tax Related</w:t>
      </w:r>
    </w:p>
    <w:p>
      <w:pPr>
        <w:spacing w:after="0" w:line="225" w:lineRule="exact"/>
        <w:rPr>
          <w:sz w:val="20"/>
          <w:szCs w:val="20"/>
          <w:color w:val="auto"/>
        </w:rPr>
      </w:pPr>
    </w:p>
    <w:p>
      <w:pPr>
        <w:jc w:val="both"/>
        <w:ind w:left="60" w:right="119" w:firstLine="648"/>
        <w:spacing w:after="0" w:line="263" w:lineRule="auto"/>
        <w:rPr>
          <w:sz w:val="20"/>
          <w:szCs w:val="20"/>
          <w:color w:val="auto"/>
        </w:rPr>
      </w:pPr>
      <w:r>
        <w:rPr>
          <w:rFonts w:ascii="Arial" w:cs="Arial" w:eastAsia="Arial" w:hAnsi="Arial"/>
          <w:sz w:val="18"/>
          <w:szCs w:val="18"/>
          <w:color w:val="auto"/>
        </w:rPr>
        <w:t>From time to time the Company has exposure to various non-income tax related matters that arise in the ordinary course of business. The Company reserve is not material for tax matters where its ultimate exposure is considered probable and the potential loss can be reasonably estimated.</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171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5657850" cy="1714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19" w:name="page20"/>
    <w:bookmarkEnd w:id="19"/>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(In thousands, except per share data)</w:t>
      </w:r>
    </w:p>
    <w:p>
      <w:pPr>
        <w:spacing w:after="0" w:line="207" w:lineRule="exact"/>
        <w:rPr>
          <w:sz w:val="20"/>
          <w:szCs w:val="20"/>
          <w:color w:val="auto"/>
        </w:rPr>
      </w:pPr>
    </w:p>
    <w:p>
      <w:pPr>
        <w:ind w:left="700" w:right="6579" w:hanging="650"/>
        <w:spacing w:after="0" w:line="603" w:lineRule="auto"/>
        <w:tabs>
          <w:tab w:leader="none" w:pos="312" w:val="left"/>
        </w:tabs>
        <w:numPr>
          <w:ilvl w:val="0"/>
          <w:numId w:val="5"/>
        </w:numPr>
        <w:rPr>
          <w:rFonts w:ascii="Arial" w:cs="Arial" w:eastAsia="Arial" w:hAnsi="Arial"/>
          <w:sz w:val="15"/>
          <w:szCs w:val="15"/>
          <w:b w:val="1"/>
          <w:bCs w:val="1"/>
          <w:color w:val="auto"/>
        </w:rPr>
      </w:pPr>
      <w:r>
        <w:rPr>
          <w:rFonts w:ascii="Arial" w:cs="Arial" w:eastAsia="Arial" w:hAnsi="Arial"/>
          <w:sz w:val="15"/>
          <w:szCs w:val="15"/>
          <w:b w:val="1"/>
          <w:bCs w:val="1"/>
          <w:color w:val="auto"/>
        </w:rPr>
        <w:t xml:space="preserve">Share-Based Compensation </w:t>
      </w:r>
      <w:r>
        <w:rPr>
          <w:rFonts w:ascii="Arial" w:cs="Arial" w:eastAsia="Arial" w:hAnsi="Arial"/>
          <w:sz w:val="15"/>
          <w:szCs w:val="15"/>
          <w:i w:val="1"/>
          <w:iCs w:val="1"/>
          <w:color w:val="auto"/>
        </w:rPr>
        <w:t>Incentive Plan</w:t>
      </w:r>
    </w:p>
    <w:p>
      <w:pPr>
        <w:spacing w:after="0" w:line="1" w:lineRule="exact"/>
        <w:rPr>
          <w:sz w:val="20"/>
          <w:szCs w:val="20"/>
          <w:color w:val="auto"/>
        </w:rPr>
      </w:pPr>
    </w:p>
    <w:p>
      <w:pPr>
        <w:jc w:val="both"/>
        <w:ind w:left="60" w:right="119" w:firstLine="648"/>
        <w:spacing w:after="0" w:line="263" w:lineRule="auto"/>
        <w:rPr>
          <w:sz w:val="20"/>
          <w:szCs w:val="20"/>
          <w:color w:val="auto"/>
        </w:rPr>
      </w:pPr>
      <w:r>
        <w:rPr>
          <w:rFonts w:ascii="Arial" w:cs="Arial" w:eastAsia="Arial" w:hAnsi="Arial"/>
          <w:sz w:val="18"/>
          <w:szCs w:val="18"/>
          <w:color w:val="auto"/>
        </w:rPr>
        <w:t>The Company makes equity incentive grants pursuant to our 2017 Equity Incentive Plan (the “2017 Plan”) under which a maximum of 3,000 shares may be granted. As of March 31, 2021, 1,418 shares were available for grants under the 2017 Plan.</w:t>
      </w:r>
    </w:p>
    <w:p>
      <w:pPr>
        <w:spacing w:after="0" w:line="184" w:lineRule="exact"/>
        <w:rPr>
          <w:sz w:val="20"/>
          <w:szCs w:val="20"/>
          <w:color w:val="auto"/>
        </w:rPr>
      </w:pPr>
    </w:p>
    <w:p>
      <w:pPr>
        <w:ind w:left="700"/>
        <w:spacing w:after="0"/>
        <w:rPr>
          <w:sz w:val="20"/>
          <w:szCs w:val="20"/>
          <w:color w:val="auto"/>
        </w:rPr>
      </w:pPr>
      <w:r>
        <w:rPr>
          <w:rFonts w:ascii="Arial" w:cs="Arial" w:eastAsia="Arial" w:hAnsi="Arial"/>
          <w:sz w:val="18"/>
          <w:szCs w:val="18"/>
          <w:i w:val="1"/>
          <w:iCs w:val="1"/>
          <w:color w:val="auto"/>
        </w:rPr>
        <w:t>Restricted Stock</w:t>
      </w:r>
    </w:p>
    <w:p>
      <w:pPr>
        <w:spacing w:after="0" w:line="225" w:lineRule="exact"/>
        <w:rPr>
          <w:sz w:val="20"/>
          <w:szCs w:val="20"/>
          <w:color w:val="auto"/>
        </w:rPr>
      </w:pPr>
    </w:p>
    <w:p>
      <w:pPr>
        <w:ind w:left="60" w:right="79" w:firstLine="648"/>
        <w:spacing w:after="0" w:line="290" w:lineRule="auto"/>
        <w:rPr>
          <w:sz w:val="20"/>
          <w:szCs w:val="20"/>
          <w:color w:val="auto"/>
        </w:rPr>
      </w:pPr>
      <w:r>
        <w:rPr>
          <w:rFonts w:ascii="Arial" w:cs="Arial" w:eastAsia="Arial" w:hAnsi="Arial"/>
          <w:sz w:val="16"/>
          <w:szCs w:val="16"/>
          <w:color w:val="auto"/>
        </w:rPr>
        <w:t>During the three months ended March 31, 2021, the Company granted 180 shares of common stock with a service vesting condition to certain of its executives, officers and employees. The restricted shares have voting rights and vest in five annual installments of 20%, with the first installment vesting in March of the calendar year following the date of grant (the “first vesting date”) and subsequent installments vesting on each of the four anniversaries of the first vesting date. Upon vesting, shares will be withheld in lieu of taxes equivalent to the minimum statutory tax withholding required to be paid when the restricted stock vests. During the three months ended March 31, 2021, the Company withheld 56 shares of common stock in lieu of taxes at a cost of $5,994 on the restricted stock vesting dates. A summary of the activity related to restricted stock granted under the Company’s Incentive Plan since December 31, 2020 is as follows:</w:t>
      </w:r>
    </w:p>
    <w:p>
      <w:pPr>
        <w:spacing w:after="0" w:line="158" w:lineRule="exact"/>
        <w:rPr>
          <w:sz w:val="20"/>
          <w:szCs w:val="20"/>
          <w:color w:val="auto"/>
        </w:rPr>
      </w:pPr>
    </w:p>
    <w:tbl>
      <w:tblPr>
        <w:tblLayout w:type="fixed"/>
        <w:tblInd w:w="40" w:type="dxa"/>
        <w:tblCellMar>
          <w:top w:w="0" w:type="dxa"/>
          <w:left w:w="0" w:type="dxa"/>
          <w:bottom w:w="0" w:type="dxa"/>
          <w:right w:w="0" w:type="dxa"/>
        </w:tblCellMar>
      </w:tblPr>
      <w:tr>
        <w:trPr>
          <w:trHeight w:val="161"/>
        </w:trPr>
        <w:tc>
          <w:tcPr>
            <w:tcW w:w="6740" w:type="dxa"/>
            <w:vAlign w:val="bottom"/>
          </w:tcPr>
          <w:p>
            <w:pPr>
              <w:spacing w:after="0"/>
              <w:rPr>
                <w:sz w:val="14"/>
                <w:szCs w:val="14"/>
                <w:color w:val="auto"/>
              </w:rPr>
            </w:pPr>
          </w:p>
        </w:tc>
        <w:tc>
          <w:tcPr>
            <w:tcW w:w="820" w:type="dxa"/>
            <w:vAlign w:val="bottom"/>
            <w:gridSpan w:val="2"/>
            <w:vMerge w:val="restart"/>
          </w:tcPr>
          <w:p>
            <w:pPr>
              <w:jc w:val="right"/>
              <w:ind w:right="320"/>
              <w:spacing w:after="0"/>
              <w:rPr>
                <w:sz w:val="20"/>
                <w:szCs w:val="20"/>
                <w:color w:val="auto"/>
              </w:rPr>
            </w:pPr>
            <w:r>
              <w:rPr>
                <w:rFonts w:ascii="Arial" w:cs="Arial" w:eastAsia="Arial" w:hAnsi="Arial"/>
                <w:sz w:val="14"/>
                <w:szCs w:val="14"/>
                <w:b w:val="1"/>
                <w:bCs w:val="1"/>
                <w:color w:val="auto"/>
              </w:rPr>
              <w:t>Total</w:t>
            </w:r>
          </w:p>
        </w:tc>
        <w:tc>
          <w:tcPr>
            <w:tcW w:w="120" w:type="dxa"/>
            <w:vAlign w:val="bottom"/>
          </w:tcPr>
          <w:p>
            <w:pPr>
              <w:spacing w:after="0"/>
              <w:rPr>
                <w:sz w:val="14"/>
                <w:szCs w:val="14"/>
                <w:color w:val="auto"/>
              </w:rPr>
            </w:pPr>
          </w:p>
        </w:tc>
        <w:tc>
          <w:tcPr>
            <w:tcW w:w="1220" w:type="dxa"/>
            <w:vAlign w:val="bottom"/>
          </w:tcPr>
          <w:p>
            <w:pPr>
              <w:jc w:val="center"/>
              <w:ind w:right="15"/>
              <w:spacing w:after="0"/>
              <w:rPr>
                <w:sz w:val="20"/>
                <w:szCs w:val="20"/>
                <w:color w:val="auto"/>
              </w:rPr>
            </w:pPr>
            <w:r>
              <w:rPr>
                <w:rFonts w:ascii="Arial" w:cs="Arial" w:eastAsia="Arial" w:hAnsi="Arial"/>
                <w:sz w:val="14"/>
                <w:szCs w:val="14"/>
                <w:b w:val="1"/>
                <w:bCs w:val="1"/>
                <w:color w:val="auto"/>
                <w:w w:val="91"/>
              </w:rPr>
              <w:t>Weighted Average</w:t>
            </w:r>
          </w:p>
        </w:tc>
        <w:tc>
          <w:tcPr>
            <w:tcW w:w="0" w:type="dxa"/>
            <w:vAlign w:val="bottom"/>
          </w:tcPr>
          <w:p>
            <w:pPr>
              <w:spacing w:after="0"/>
              <w:rPr>
                <w:sz w:val="1"/>
                <w:szCs w:val="1"/>
                <w:color w:val="auto"/>
              </w:rPr>
            </w:pPr>
          </w:p>
        </w:tc>
      </w:tr>
      <w:tr>
        <w:trPr>
          <w:trHeight w:val="148"/>
        </w:trPr>
        <w:tc>
          <w:tcPr>
            <w:tcW w:w="6740" w:type="dxa"/>
            <w:vAlign w:val="bottom"/>
          </w:tcPr>
          <w:p>
            <w:pPr>
              <w:spacing w:after="0"/>
              <w:rPr>
                <w:sz w:val="12"/>
                <w:szCs w:val="12"/>
                <w:color w:val="auto"/>
              </w:rPr>
            </w:pPr>
          </w:p>
        </w:tc>
        <w:tc>
          <w:tcPr>
            <w:tcW w:w="82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1220" w:type="dxa"/>
            <w:vAlign w:val="bottom"/>
          </w:tcPr>
          <w:p>
            <w:pPr>
              <w:jc w:val="center"/>
              <w:ind w:right="35"/>
              <w:spacing w:after="0" w:line="149" w:lineRule="exact"/>
              <w:rPr>
                <w:sz w:val="20"/>
                <w:szCs w:val="20"/>
                <w:color w:val="auto"/>
              </w:rPr>
            </w:pPr>
            <w:r>
              <w:rPr>
                <w:rFonts w:ascii="Arial" w:cs="Arial" w:eastAsia="Arial" w:hAnsi="Arial"/>
                <w:sz w:val="14"/>
                <w:szCs w:val="14"/>
                <w:b w:val="1"/>
                <w:bCs w:val="1"/>
                <w:color w:val="auto"/>
                <w:w w:val="97"/>
              </w:rPr>
              <w:t>Grant Date</w:t>
            </w:r>
          </w:p>
        </w:tc>
        <w:tc>
          <w:tcPr>
            <w:tcW w:w="0" w:type="dxa"/>
            <w:vAlign w:val="bottom"/>
          </w:tcPr>
          <w:p>
            <w:pPr>
              <w:spacing w:after="0"/>
              <w:rPr>
                <w:sz w:val="1"/>
                <w:szCs w:val="1"/>
                <w:color w:val="auto"/>
              </w:rPr>
            </w:pPr>
          </w:p>
        </w:tc>
      </w:tr>
      <w:tr>
        <w:trPr>
          <w:trHeight w:val="171"/>
        </w:trPr>
        <w:tc>
          <w:tcPr>
            <w:tcW w:w="6740" w:type="dxa"/>
            <w:vAlign w:val="bottom"/>
          </w:tcPr>
          <w:p>
            <w:pPr>
              <w:spacing w:after="0"/>
              <w:rPr>
                <w:sz w:val="14"/>
                <w:szCs w:val="14"/>
                <w:color w:val="auto"/>
              </w:rPr>
            </w:pPr>
          </w:p>
        </w:tc>
        <w:tc>
          <w:tcPr>
            <w:tcW w:w="820" w:type="dxa"/>
            <w:vAlign w:val="bottom"/>
            <w:gridSpan w:val="2"/>
          </w:tcPr>
          <w:p>
            <w:pPr>
              <w:jc w:val="right"/>
              <w:ind w:right="280"/>
              <w:spacing w:after="0"/>
              <w:rPr>
                <w:sz w:val="20"/>
                <w:szCs w:val="20"/>
                <w:color w:val="auto"/>
              </w:rPr>
            </w:pPr>
            <w:r>
              <w:rPr>
                <w:rFonts w:ascii="Arial" w:cs="Arial" w:eastAsia="Arial" w:hAnsi="Arial"/>
                <w:sz w:val="14"/>
                <w:szCs w:val="14"/>
                <w:b w:val="1"/>
                <w:bCs w:val="1"/>
                <w:color w:val="auto"/>
              </w:rPr>
              <w:t>Shares</w:t>
            </w:r>
          </w:p>
        </w:tc>
        <w:tc>
          <w:tcPr>
            <w:tcW w:w="1340" w:type="dxa"/>
            <w:vAlign w:val="bottom"/>
            <w:gridSpan w:val="2"/>
          </w:tcPr>
          <w:p>
            <w:pPr>
              <w:jc w:val="center"/>
              <w:spacing w:after="0"/>
              <w:rPr>
                <w:sz w:val="20"/>
                <w:szCs w:val="20"/>
                <w:color w:val="auto"/>
              </w:rPr>
            </w:pPr>
            <w:r>
              <w:rPr>
                <w:rFonts w:ascii="Arial" w:cs="Arial" w:eastAsia="Arial" w:hAnsi="Arial"/>
                <w:sz w:val="14"/>
                <w:szCs w:val="14"/>
                <w:b w:val="1"/>
                <w:bCs w:val="1"/>
                <w:color w:val="auto"/>
                <w:w w:val="94"/>
              </w:rPr>
              <w:t>Fair Value per Share</w:t>
            </w:r>
          </w:p>
        </w:tc>
        <w:tc>
          <w:tcPr>
            <w:tcW w:w="0" w:type="dxa"/>
            <w:vAlign w:val="bottom"/>
          </w:tcPr>
          <w:p>
            <w:pPr>
              <w:spacing w:after="0"/>
              <w:rPr>
                <w:sz w:val="1"/>
                <w:szCs w:val="1"/>
                <w:color w:val="auto"/>
              </w:rPr>
            </w:pPr>
          </w:p>
        </w:tc>
      </w:tr>
      <w:tr>
        <w:trPr>
          <w:trHeight w:val="210"/>
        </w:trPr>
        <w:tc>
          <w:tcPr>
            <w:tcW w:w="674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Outstanding as of December 31, 2020</w:t>
            </w:r>
          </w:p>
        </w:tc>
        <w:tc>
          <w:tcPr>
            <w:tcW w:w="6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419</w:t>
            </w:r>
          </w:p>
        </w:tc>
        <w:tc>
          <w:tcPr>
            <w:tcW w:w="14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83.43</w:t>
            </w:r>
          </w:p>
        </w:tc>
        <w:tc>
          <w:tcPr>
            <w:tcW w:w="0" w:type="dxa"/>
            <w:vAlign w:val="bottom"/>
          </w:tcPr>
          <w:p>
            <w:pPr>
              <w:spacing w:after="0"/>
              <w:rPr>
                <w:sz w:val="1"/>
                <w:szCs w:val="1"/>
                <w:color w:val="auto"/>
              </w:rPr>
            </w:pPr>
          </w:p>
        </w:tc>
      </w:tr>
      <w:tr>
        <w:trPr>
          <w:trHeight w:val="216"/>
        </w:trPr>
        <w:tc>
          <w:tcPr>
            <w:tcW w:w="6740" w:type="dxa"/>
            <w:vAlign w:val="bottom"/>
          </w:tcPr>
          <w:p>
            <w:pPr>
              <w:ind w:left="20"/>
              <w:spacing w:after="0"/>
              <w:rPr>
                <w:sz w:val="20"/>
                <w:szCs w:val="20"/>
                <w:color w:val="auto"/>
              </w:rPr>
            </w:pPr>
            <w:r>
              <w:rPr>
                <w:rFonts w:ascii="Arial" w:cs="Arial" w:eastAsia="Arial" w:hAnsi="Arial"/>
                <w:sz w:val="18"/>
                <w:szCs w:val="18"/>
                <w:color w:val="auto"/>
              </w:rPr>
              <w:t>Granted</w:t>
            </w:r>
          </w:p>
        </w:tc>
        <w:tc>
          <w:tcPr>
            <w:tcW w:w="680" w:type="dxa"/>
            <w:vAlign w:val="bottom"/>
          </w:tcPr>
          <w:p>
            <w:pPr>
              <w:jc w:val="right"/>
              <w:spacing w:after="0"/>
              <w:rPr>
                <w:sz w:val="20"/>
                <w:szCs w:val="20"/>
                <w:color w:val="auto"/>
              </w:rPr>
            </w:pPr>
            <w:r>
              <w:rPr>
                <w:rFonts w:ascii="Arial" w:cs="Arial" w:eastAsia="Arial" w:hAnsi="Arial"/>
                <w:sz w:val="18"/>
                <w:szCs w:val="18"/>
                <w:color w:val="auto"/>
              </w:rPr>
              <w:t>180</w:t>
            </w:r>
          </w:p>
        </w:tc>
        <w:tc>
          <w:tcPr>
            <w:tcW w:w="14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220" w:type="dxa"/>
            <w:vAlign w:val="bottom"/>
          </w:tcPr>
          <w:p>
            <w:pPr>
              <w:jc w:val="right"/>
              <w:spacing w:after="0"/>
              <w:rPr>
                <w:sz w:val="20"/>
                <w:szCs w:val="20"/>
                <w:color w:val="auto"/>
              </w:rPr>
            </w:pPr>
            <w:r>
              <w:rPr>
                <w:rFonts w:ascii="Arial" w:cs="Arial" w:eastAsia="Arial" w:hAnsi="Arial"/>
                <w:sz w:val="18"/>
                <w:szCs w:val="18"/>
                <w:color w:val="auto"/>
              </w:rPr>
              <w:t>85.97</w:t>
            </w:r>
          </w:p>
        </w:tc>
        <w:tc>
          <w:tcPr>
            <w:tcW w:w="0" w:type="dxa"/>
            <w:vAlign w:val="bottom"/>
          </w:tcPr>
          <w:p>
            <w:pPr>
              <w:spacing w:after="0"/>
              <w:rPr>
                <w:sz w:val="1"/>
                <w:szCs w:val="1"/>
                <w:color w:val="auto"/>
              </w:rPr>
            </w:pPr>
          </w:p>
        </w:tc>
      </w:tr>
      <w:tr>
        <w:trPr>
          <w:trHeight w:val="216"/>
        </w:trPr>
        <w:tc>
          <w:tcPr>
            <w:tcW w:w="6740" w:type="dxa"/>
            <w:vAlign w:val="bottom"/>
            <w:shd w:val="clear" w:color="auto" w:fill="CCEEFF"/>
          </w:tcPr>
          <w:p>
            <w:pPr>
              <w:ind w:left="20"/>
              <w:spacing w:after="0"/>
              <w:rPr>
                <w:sz w:val="20"/>
                <w:szCs w:val="20"/>
                <w:color w:val="auto"/>
              </w:rPr>
            </w:pPr>
            <w:r>
              <w:rPr>
                <w:rFonts w:ascii="Arial" w:cs="Arial" w:eastAsia="Arial" w:hAnsi="Arial"/>
                <w:sz w:val="18"/>
                <w:szCs w:val="18"/>
                <w:color w:val="auto"/>
              </w:rPr>
              <w:t>Vested</w:t>
            </w: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(141)</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74.41</w:t>
            </w:r>
          </w:p>
        </w:tc>
        <w:tc>
          <w:tcPr>
            <w:tcW w:w="0" w:type="dxa"/>
            <w:vAlign w:val="bottom"/>
          </w:tcPr>
          <w:p>
            <w:pPr>
              <w:spacing w:after="0"/>
              <w:rPr>
                <w:sz w:val="1"/>
                <w:szCs w:val="1"/>
                <w:color w:val="auto"/>
              </w:rPr>
            </w:pPr>
          </w:p>
        </w:tc>
      </w:tr>
      <w:tr>
        <w:trPr>
          <w:trHeight w:val="216"/>
        </w:trPr>
        <w:tc>
          <w:tcPr>
            <w:tcW w:w="6740" w:type="dxa"/>
            <w:vAlign w:val="bottom"/>
          </w:tcPr>
          <w:p>
            <w:pPr>
              <w:ind w:left="20"/>
              <w:spacing w:after="0"/>
              <w:rPr>
                <w:sz w:val="20"/>
                <w:szCs w:val="20"/>
                <w:color w:val="auto"/>
              </w:rPr>
            </w:pPr>
            <w:r>
              <w:rPr>
                <w:rFonts w:ascii="Arial" w:cs="Arial" w:eastAsia="Arial" w:hAnsi="Arial"/>
                <w:sz w:val="18"/>
                <w:szCs w:val="18"/>
                <w:color w:val="auto"/>
              </w:rPr>
              <w:t>Forfeited, canceled or expired</w:t>
            </w:r>
          </w:p>
        </w:tc>
        <w:tc>
          <w:tcPr>
            <w:tcW w:w="8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220" w:type="dxa"/>
            <w:vAlign w:val="bottom"/>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0"/>
        </w:trPr>
        <w:tc>
          <w:tcPr>
            <w:tcW w:w="674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Outstanding as of March 31, 2021</w:t>
            </w:r>
          </w:p>
        </w:tc>
        <w:tc>
          <w:tcPr>
            <w:tcW w:w="6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458</w:t>
            </w: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120" w:type="dxa"/>
            <w:vAlign w:val="bottom"/>
            <w:tcBorders>
              <w:top w:val="single" w:sz="8" w:color="CCEEFF"/>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20" w:type="dxa"/>
            <w:vAlign w:val="bottom"/>
            <w:tcBorders>
              <w:top w:val="single" w:sz="8" w:color="CCEEFF"/>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87.20</w:t>
            </w:r>
          </w:p>
        </w:tc>
        <w:tc>
          <w:tcPr>
            <w:tcW w:w="0" w:type="dxa"/>
            <w:vAlign w:val="bottom"/>
          </w:tcPr>
          <w:p>
            <w:pPr>
              <w:spacing w:after="0"/>
              <w:rPr>
                <w:sz w:val="1"/>
                <w:szCs w:val="1"/>
                <w:color w:val="auto"/>
              </w:rPr>
            </w:pPr>
          </w:p>
        </w:tc>
      </w:tr>
      <w:tr>
        <w:trPr>
          <w:trHeight w:val="20"/>
        </w:trPr>
        <w:tc>
          <w:tcPr>
            <w:tcW w:w="6740" w:type="dxa"/>
            <w:vAlign w:val="bottom"/>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left="700"/>
        <w:spacing w:after="0"/>
        <w:rPr>
          <w:sz w:val="20"/>
          <w:szCs w:val="20"/>
          <w:color w:val="auto"/>
        </w:rPr>
      </w:pPr>
      <w:r>
        <w:rPr>
          <w:rFonts w:ascii="Arial" w:cs="Arial" w:eastAsia="Arial" w:hAnsi="Arial"/>
          <w:sz w:val="18"/>
          <w:szCs w:val="18"/>
          <w:i w:val="1"/>
          <w:iCs w:val="1"/>
          <w:color w:val="auto"/>
        </w:rPr>
        <w:t>Stock Options</w:t>
      </w:r>
    </w:p>
    <w:p>
      <w:pPr>
        <w:spacing w:after="0" w:line="225" w:lineRule="exact"/>
        <w:rPr>
          <w:sz w:val="20"/>
          <w:szCs w:val="20"/>
          <w:color w:val="auto"/>
        </w:rPr>
      </w:pPr>
    </w:p>
    <w:p>
      <w:pPr>
        <w:ind w:left="700"/>
        <w:spacing w:after="0"/>
        <w:rPr>
          <w:sz w:val="20"/>
          <w:szCs w:val="20"/>
          <w:color w:val="auto"/>
        </w:rPr>
      </w:pPr>
      <w:r>
        <w:rPr>
          <w:rFonts w:ascii="Arial" w:cs="Arial" w:eastAsia="Arial" w:hAnsi="Arial"/>
          <w:sz w:val="17"/>
          <w:szCs w:val="17"/>
          <w:color w:val="auto"/>
        </w:rPr>
        <w:t>During the three months ended March 31, 2021, no options were granted. A summary of the activity since</w:t>
      </w:r>
    </w:p>
    <w:p>
      <w:pPr>
        <w:spacing w:after="0" w:line="35" w:lineRule="exact"/>
        <w:rPr>
          <w:sz w:val="20"/>
          <w:szCs w:val="20"/>
          <w:color w:val="auto"/>
        </w:rPr>
      </w:pPr>
    </w:p>
    <w:p>
      <w:pPr>
        <w:ind w:left="60"/>
        <w:spacing w:after="0"/>
        <w:rPr>
          <w:sz w:val="20"/>
          <w:szCs w:val="20"/>
          <w:color w:val="auto"/>
        </w:rPr>
      </w:pPr>
      <w:r>
        <w:rPr>
          <w:rFonts w:ascii="Arial" w:cs="Arial" w:eastAsia="Arial" w:hAnsi="Arial"/>
          <w:sz w:val="18"/>
          <w:szCs w:val="18"/>
          <w:color w:val="auto"/>
        </w:rPr>
        <w:t>December 31, 2020 related to stock options granted under the Company’s Incentive Plan is as follows:</w:t>
      </w:r>
    </w:p>
    <w:p>
      <w:pPr>
        <w:spacing w:after="0" w:line="216" w:lineRule="exact"/>
        <w:rPr>
          <w:sz w:val="20"/>
          <w:szCs w:val="20"/>
          <w:color w:val="auto"/>
        </w:rPr>
      </w:pPr>
    </w:p>
    <w:tbl>
      <w:tblPr>
        <w:tblLayout w:type="fixed"/>
        <w:tblInd w:w="4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3600" w:type="dxa"/>
            <w:vAlign w:val="bottom"/>
          </w:tcPr>
          <w:p>
            <w:pPr>
              <w:spacing w:after="0"/>
              <w:rPr>
                <w:sz w:val="14"/>
                <w:szCs w:val="14"/>
                <w:color w:val="auto"/>
              </w:rPr>
            </w:pPr>
          </w:p>
        </w:tc>
        <w:tc>
          <w:tcPr>
            <w:tcW w:w="2080" w:type="dxa"/>
            <w:vAlign w:val="bottom"/>
          </w:tcPr>
          <w:p>
            <w:pPr>
              <w:spacing w:after="0"/>
              <w:rPr>
                <w:sz w:val="14"/>
                <w:szCs w:val="14"/>
                <w:color w:val="auto"/>
              </w:rPr>
            </w:pPr>
          </w:p>
        </w:tc>
        <w:tc>
          <w:tcPr>
            <w:tcW w:w="2900" w:type="dxa"/>
            <w:vAlign w:val="bottom"/>
            <w:tcBorders>
              <w:bottom w:val="single" w:sz="8" w:color="auto"/>
            </w:tcBorders>
            <w:gridSpan w:val="8"/>
          </w:tcPr>
          <w:p>
            <w:pPr>
              <w:jc w:val="right"/>
              <w:spacing w:after="0"/>
              <w:rPr>
                <w:sz w:val="20"/>
                <w:szCs w:val="20"/>
                <w:color w:val="auto"/>
              </w:rPr>
            </w:pPr>
            <w:r>
              <w:rPr>
                <w:rFonts w:ascii="Arial" w:cs="Arial" w:eastAsia="Arial" w:hAnsi="Arial"/>
                <w:sz w:val="14"/>
                <w:szCs w:val="14"/>
                <w:b w:val="1"/>
                <w:bCs w:val="1"/>
                <w:color w:val="auto"/>
              </w:rPr>
              <w:t>Summary of Stock Options Outstanding</w:t>
            </w:r>
          </w:p>
        </w:tc>
        <w:tc>
          <w:tcPr>
            <w:tcW w:w="32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3600" w:type="dxa"/>
            <w:vAlign w:val="bottom"/>
          </w:tcPr>
          <w:p>
            <w:pPr>
              <w:spacing w:after="0"/>
              <w:rPr>
                <w:sz w:val="10"/>
                <w:szCs w:val="10"/>
                <w:color w:val="auto"/>
              </w:rPr>
            </w:pPr>
          </w:p>
        </w:tc>
        <w:tc>
          <w:tcPr>
            <w:tcW w:w="208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800" w:type="dxa"/>
            <w:vAlign w:val="bottom"/>
            <w:gridSpan w:val="3"/>
          </w:tcPr>
          <w:p>
            <w:pPr>
              <w:jc w:val="center"/>
              <w:ind w:right="160"/>
              <w:spacing w:after="0" w:line="119" w:lineRule="exact"/>
              <w:rPr>
                <w:sz w:val="20"/>
                <w:szCs w:val="20"/>
                <w:color w:val="auto"/>
              </w:rPr>
            </w:pPr>
            <w:r>
              <w:rPr>
                <w:rFonts w:ascii="Arial" w:cs="Arial" w:eastAsia="Arial" w:hAnsi="Arial"/>
                <w:sz w:val="13"/>
                <w:szCs w:val="13"/>
                <w:b w:val="1"/>
                <w:bCs w:val="1"/>
                <w:color w:val="auto"/>
              </w:rPr>
              <w:t>Weighted</w:t>
            </w:r>
          </w:p>
        </w:tc>
        <w:tc>
          <w:tcPr>
            <w:tcW w:w="860" w:type="dxa"/>
            <w:vAlign w:val="bottom"/>
          </w:tcPr>
          <w:p>
            <w:pPr>
              <w:jc w:val="center"/>
              <w:spacing w:after="0" w:line="119" w:lineRule="exact"/>
              <w:rPr>
                <w:sz w:val="20"/>
                <w:szCs w:val="20"/>
                <w:color w:val="auto"/>
              </w:rPr>
            </w:pPr>
            <w:r>
              <w:rPr>
                <w:rFonts w:ascii="Arial" w:cs="Arial" w:eastAsia="Arial" w:hAnsi="Arial"/>
                <w:sz w:val="13"/>
                <w:szCs w:val="13"/>
                <w:b w:val="1"/>
                <w:bCs w:val="1"/>
                <w:color w:val="auto"/>
                <w:w w:val="99"/>
              </w:rPr>
              <w:t>Weighted</w:t>
            </w:r>
          </w:p>
        </w:tc>
        <w:tc>
          <w:tcPr>
            <w:tcW w:w="14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3600" w:type="dxa"/>
            <w:vAlign w:val="bottom"/>
          </w:tcPr>
          <w:p>
            <w:pPr>
              <w:spacing w:after="0"/>
              <w:rPr>
                <w:sz w:val="12"/>
                <w:szCs w:val="12"/>
                <w:color w:val="auto"/>
              </w:rPr>
            </w:pPr>
          </w:p>
        </w:tc>
        <w:tc>
          <w:tcPr>
            <w:tcW w:w="208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0" w:type="dxa"/>
            <w:vAlign w:val="bottom"/>
            <w:gridSpan w:val="3"/>
          </w:tcPr>
          <w:p>
            <w:pPr>
              <w:jc w:val="center"/>
              <w:ind w:right="180"/>
              <w:spacing w:after="0" w:line="149" w:lineRule="exact"/>
              <w:rPr>
                <w:sz w:val="20"/>
                <w:szCs w:val="20"/>
                <w:color w:val="auto"/>
              </w:rPr>
            </w:pPr>
            <w:r>
              <w:rPr>
                <w:rFonts w:ascii="Arial" w:cs="Arial" w:eastAsia="Arial" w:hAnsi="Arial"/>
                <w:sz w:val="14"/>
                <w:szCs w:val="14"/>
                <w:b w:val="1"/>
                <w:bCs w:val="1"/>
                <w:color w:val="auto"/>
                <w:w w:val="90"/>
              </w:rPr>
              <w:t>Average</w:t>
            </w:r>
          </w:p>
        </w:tc>
        <w:tc>
          <w:tcPr>
            <w:tcW w:w="8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Average</w:t>
            </w:r>
          </w:p>
        </w:tc>
        <w:tc>
          <w:tcPr>
            <w:tcW w:w="140" w:type="dxa"/>
            <w:vAlign w:val="bottom"/>
          </w:tcPr>
          <w:p>
            <w:pPr>
              <w:spacing w:after="0"/>
              <w:rPr>
                <w:sz w:val="12"/>
                <w:szCs w:val="12"/>
                <w:color w:val="auto"/>
              </w:rPr>
            </w:pPr>
          </w:p>
        </w:tc>
        <w:tc>
          <w:tcPr>
            <w:tcW w:w="680" w:type="dxa"/>
            <w:vAlign w:val="bottom"/>
            <w:gridSpan w:val="2"/>
            <w:vMerge w:val="restart"/>
          </w:tcPr>
          <w:p>
            <w:pPr>
              <w:jc w:val="right"/>
              <w:spacing w:after="0"/>
              <w:rPr>
                <w:sz w:val="20"/>
                <w:szCs w:val="20"/>
                <w:color w:val="auto"/>
              </w:rPr>
            </w:pPr>
            <w:r>
              <w:rPr>
                <w:rFonts w:ascii="Arial" w:cs="Arial" w:eastAsia="Arial" w:hAnsi="Arial"/>
                <w:sz w:val="14"/>
                <w:szCs w:val="14"/>
                <w:b w:val="1"/>
                <w:bCs w:val="1"/>
                <w:color w:val="auto"/>
                <w:w w:val="89"/>
              </w:rPr>
              <w:t>Aggregate</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600" w:type="dxa"/>
            <w:vAlign w:val="bottom"/>
          </w:tcPr>
          <w:p>
            <w:pPr>
              <w:spacing w:after="0"/>
              <w:rPr>
                <w:sz w:val="12"/>
                <w:szCs w:val="12"/>
                <w:color w:val="auto"/>
              </w:rPr>
            </w:pPr>
          </w:p>
        </w:tc>
        <w:tc>
          <w:tcPr>
            <w:tcW w:w="2080" w:type="dxa"/>
            <w:vAlign w:val="bottom"/>
          </w:tcPr>
          <w:p>
            <w:pPr>
              <w:spacing w:after="0"/>
              <w:rPr>
                <w:sz w:val="12"/>
                <w:szCs w:val="12"/>
                <w:color w:val="auto"/>
              </w:rPr>
            </w:pPr>
          </w:p>
        </w:tc>
        <w:tc>
          <w:tcPr>
            <w:tcW w:w="580" w:type="dxa"/>
            <w:vAlign w:val="bottom"/>
            <w:vMerge w:val="restart"/>
          </w:tcPr>
          <w:p>
            <w:pPr>
              <w:jc w:val="right"/>
              <w:ind w:right="57"/>
              <w:spacing w:after="0"/>
              <w:rPr>
                <w:sz w:val="20"/>
                <w:szCs w:val="20"/>
                <w:color w:val="auto"/>
              </w:rPr>
            </w:pPr>
            <w:r>
              <w:rPr>
                <w:rFonts w:ascii="Arial" w:cs="Arial" w:eastAsia="Arial" w:hAnsi="Arial"/>
                <w:sz w:val="14"/>
                <w:szCs w:val="14"/>
                <w:b w:val="1"/>
                <w:bCs w:val="1"/>
                <w:color w:val="auto"/>
              </w:rPr>
              <w:t>Total</w:t>
            </w:r>
          </w:p>
        </w:tc>
        <w:tc>
          <w:tcPr>
            <w:tcW w:w="160" w:type="dxa"/>
            <w:vAlign w:val="bottom"/>
          </w:tcPr>
          <w:p>
            <w:pPr>
              <w:spacing w:after="0"/>
              <w:rPr>
                <w:sz w:val="12"/>
                <w:szCs w:val="12"/>
                <w:color w:val="auto"/>
              </w:rPr>
            </w:pPr>
          </w:p>
        </w:tc>
        <w:tc>
          <w:tcPr>
            <w:tcW w:w="800" w:type="dxa"/>
            <w:vAlign w:val="bottom"/>
            <w:gridSpan w:val="3"/>
          </w:tcPr>
          <w:p>
            <w:pPr>
              <w:jc w:val="center"/>
              <w:ind w:right="160"/>
              <w:spacing w:after="0" w:line="149" w:lineRule="exact"/>
              <w:rPr>
                <w:sz w:val="20"/>
                <w:szCs w:val="20"/>
                <w:color w:val="auto"/>
              </w:rPr>
            </w:pPr>
            <w:r>
              <w:rPr>
                <w:rFonts w:ascii="Arial" w:cs="Arial" w:eastAsia="Arial" w:hAnsi="Arial"/>
                <w:sz w:val="14"/>
                <w:szCs w:val="14"/>
                <w:b w:val="1"/>
                <w:bCs w:val="1"/>
                <w:color w:val="auto"/>
                <w:w w:val="90"/>
              </w:rPr>
              <w:t>Exercise</w:t>
            </w:r>
          </w:p>
        </w:tc>
        <w:tc>
          <w:tcPr>
            <w:tcW w:w="8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4"/>
              </w:rPr>
              <w:t>Remaining</w:t>
            </w:r>
          </w:p>
        </w:tc>
        <w:tc>
          <w:tcPr>
            <w:tcW w:w="140" w:type="dxa"/>
            <w:vAlign w:val="bottom"/>
          </w:tcPr>
          <w:p>
            <w:pPr>
              <w:spacing w:after="0"/>
              <w:rPr>
                <w:sz w:val="12"/>
                <w:szCs w:val="12"/>
                <w:color w:val="auto"/>
              </w:rPr>
            </w:pPr>
          </w:p>
        </w:tc>
        <w:tc>
          <w:tcPr>
            <w:tcW w:w="68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3600" w:type="dxa"/>
            <w:vAlign w:val="bottom"/>
          </w:tcPr>
          <w:p>
            <w:pPr>
              <w:spacing w:after="0"/>
              <w:rPr>
                <w:sz w:val="12"/>
                <w:szCs w:val="12"/>
                <w:color w:val="auto"/>
              </w:rPr>
            </w:pPr>
          </w:p>
        </w:tc>
        <w:tc>
          <w:tcPr>
            <w:tcW w:w="2080" w:type="dxa"/>
            <w:vAlign w:val="bottom"/>
          </w:tcPr>
          <w:p>
            <w:pPr>
              <w:spacing w:after="0"/>
              <w:rPr>
                <w:sz w:val="12"/>
                <w:szCs w:val="12"/>
                <w:color w:val="auto"/>
              </w:rPr>
            </w:pPr>
          </w:p>
        </w:tc>
        <w:tc>
          <w:tcPr>
            <w:tcW w:w="580" w:type="dxa"/>
            <w:vAlign w:val="bottom"/>
            <w:vMerge w:val="continue"/>
          </w:tcPr>
          <w:p>
            <w:pPr>
              <w:spacing w:after="0"/>
              <w:rPr>
                <w:sz w:val="12"/>
                <w:szCs w:val="12"/>
                <w:color w:val="auto"/>
              </w:rPr>
            </w:pPr>
          </w:p>
        </w:tc>
        <w:tc>
          <w:tcPr>
            <w:tcW w:w="160" w:type="dxa"/>
            <w:vAlign w:val="bottom"/>
          </w:tcPr>
          <w:p>
            <w:pPr>
              <w:spacing w:after="0"/>
              <w:rPr>
                <w:sz w:val="12"/>
                <w:szCs w:val="12"/>
                <w:color w:val="auto"/>
              </w:rPr>
            </w:pPr>
          </w:p>
        </w:tc>
        <w:tc>
          <w:tcPr>
            <w:tcW w:w="800" w:type="dxa"/>
            <w:vAlign w:val="bottom"/>
            <w:gridSpan w:val="3"/>
          </w:tcPr>
          <w:p>
            <w:pPr>
              <w:jc w:val="center"/>
              <w:ind w:right="160"/>
              <w:spacing w:after="0" w:line="149" w:lineRule="exact"/>
              <w:rPr>
                <w:sz w:val="20"/>
                <w:szCs w:val="20"/>
                <w:color w:val="auto"/>
              </w:rPr>
            </w:pPr>
            <w:r>
              <w:rPr>
                <w:rFonts w:ascii="Arial" w:cs="Arial" w:eastAsia="Arial" w:hAnsi="Arial"/>
                <w:sz w:val="14"/>
                <w:szCs w:val="14"/>
                <w:b w:val="1"/>
                <w:bCs w:val="1"/>
                <w:color w:val="auto"/>
                <w:w w:val="93"/>
              </w:rPr>
              <w:t>Price per</w:t>
            </w:r>
          </w:p>
        </w:tc>
        <w:tc>
          <w:tcPr>
            <w:tcW w:w="8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5"/>
              </w:rPr>
              <w:t>Contractual</w:t>
            </w:r>
          </w:p>
        </w:tc>
        <w:tc>
          <w:tcPr>
            <w:tcW w:w="140" w:type="dxa"/>
            <w:vAlign w:val="bottom"/>
          </w:tcPr>
          <w:p>
            <w:pPr>
              <w:spacing w:after="0"/>
              <w:rPr>
                <w:sz w:val="12"/>
                <w:szCs w:val="12"/>
                <w:color w:val="auto"/>
              </w:rPr>
            </w:pPr>
          </w:p>
        </w:tc>
        <w:tc>
          <w:tcPr>
            <w:tcW w:w="68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Intrinsic</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3600" w:type="dxa"/>
            <w:vAlign w:val="bottom"/>
          </w:tcPr>
          <w:p>
            <w:pPr>
              <w:spacing w:after="0"/>
              <w:rPr>
                <w:sz w:val="14"/>
                <w:szCs w:val="14"/>
                <w:color w:val="auto"/>
              </w:rPr>
            </w:pPr>
          </w:p>
        </w:tc>
        <w:tc>
          <w:tcPr>
            <w:tcW w:w="2080" w:type="dxa"/>
            <w:vAlign w:val="bottom"/>
          </w:tcPr>
          <w:p>
            <w:pPr>
              <w:spacing w:after="0"/>
              <w:rPr>
                <w:sz w:val="14"/>
                <w:szCs w:val="14"/>
                <w:color w:val="auto"/>
              </w:rPr>
            </w:pPr>
          </w:p>
        </w:tc>
        <w:tc>
          <w:tcPr>
            <w:tcW w:w="580" w:type="dxa"/>
            <w:vAlign w:val="bottom"/>
          </w:tcPr>
          <w:p>
            <w:pPr>
              <w:jc w:val="right"/>
              <w:spacing w:after="0"/>
              <w:rPr>
                <w:sz w:val="20"/>
                <w:szCs w:val="20"/>
                <w:color w:val="auto"/>
              </w:rPr>
            </w:pPr>
            <w:r>
              <w:rPr>
                <w:rFonts w:ascii="Arial" w:cs="Arial" w:eastAsia="Arial" w:hAnsi="Arial"/>
                <w:sz w:val="14"/>
                <w:szCs w:val="14"/>
                <w:b w:val="1"/>
                <w:bCs w:val="1"/>
                <w:color w:val="auto"/>
              </w:rPr>
              <w:t>Shares</w:t>
            </w: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0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2"/>
              </w:rPr>
              <w:t>Share</w:t>
            </w:r>
          </w:p>
        </w:tc>
        <w:tc>
          <w:tcPr>
            <w:tcW w:w="860" w:type="dxa"/>
            <w:vAlign w:val="bottom"/>
          </w:tcPr>
          <w:p>
            <w:pPr>
              <w:jc w:val="center"/>
              <w:spacing w:after="0"/>
              <w:rPr>
                <w:sz w:val="20"/>
                <w:szCs w:val="20"/>
                <w:color w:val="auto"/>
              </w:rPr>
            </w:pPr>
            <w:r>
              <w:rPr>
                <w:rFonts w:ascii="Arial" w:cs="Arial" w:eastAsia="Arial" w:hAnsi="Arial"/>
                <w:sz w:val="14"/>
                <w:szCs w:val="14"/>
                <w:b w:val="1"/>
                <w:bCs w:val="1"/>
                <w:color w:val="auto"/>
                <w:w w:val="93"/>
              </w:rPr>
              <w:t>Term (Years)</w:t>
            </w:r>
          </w:p>
        </w:tc>
        <w:tc>
          <w:tcPr>
            <w:tcW w:w="140" w:type="dxa"/>
            <w:vAlign w:val="bottom"/>
          </w:tcPr>
          <w:p>
            <w:pPr>
              <w:spacing w:after="0"/>
              <w:rPr>
                <w:sz w:val="14"/>
                <w:szCs w:val="14"/>
                <w:color w:val="auto"/>
              </w:rPr>
            </w:pPr>
          </w:p>
        </w:tc>
        <w:tc>
          <w:tcPr>
            <w:tcW w:w="680" w:type="dxa"/>
            <w:vAlign w:val="bottom"/>
            <w:gridSpan w:val="2"/>
          </w:tcPr>
          <w:p>
            <w:pPr>
              <w:jc w:val="right"/>
              <w:spacing w:after="0"/>
              <w:rPr>
                <w:sz w:val="20"/>
                <w:szCs w:val="20"/>
                <w:color w:val="auto"/>
              </w:rPr>
            </w:pPr>
            <w:r>
              <w:rPr>
                <w:rFonts w:ascii="Arial" w:cs="Arial" w:eastAsia="Arial" w:hAnsi="Arial"/>
                <w:sz w:val="14"/>
                <w:szCs w:val="14"/>
                <w:b w:val="1"/>
                <w:bCs w:val="1"/>
                <w:color w:val="auto"/>
                <w:w w:val="99"/>
              </w:rPr>
              <w:t>Value ($)</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60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Outstanding as of December 31, 2020</w:t>
            </w:r>
          </w:p>
        </w:tc>
        <w:tc>
          <w:tcPr>
            <w:tcW w:w="2080" w:type="dxa"/>
            <w:vAlign w:val="bottom"/>
            <w:tcBorders>
              <w:top w:val="single" w:sz="8" w:color="CCEEFF"/>
            </w:tcBorders>
            <w:shd w:val="clear" w:color="auto" w:fill="CCEEFF"/>
          </w:tcPr>
          <w:p>
            <w:pPr>
              <w:spacing w:after="0"/>
              <w:rPr>
                <w:sz w:val="18"/>
                <w:szCs w:val="18"/>
                <w:color w:val="auto"/>
              </w:rPr>
            </w:pPr>
          </w:p>
        </w:tc>
        <w:tc>
          <w:tcPr>
            <w:tcW w:w="5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176</w:t>
            </w:r>
          </w:p>
        </w:tc>
        <w:tc>
          <w:tcPr>
            <w:tcW w:w="16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15.34</w:t>
            </w:r>
          </w:p>
        </w:tc>
        <w:tc>
          <w:tcPr>
            <w:tcW w:w="140" w:type="dxa"/>
            <w:vAlign w:val="bottom"/>
            <w:tcBorders>
              <w:top w:val="single" w:sz="8" w:color="CCEEFF"/>
            </w:tcBorders>
            <w:shd w:val="clear" w:color="auto" w:fill="CCEEFF"/>
          </w:tcPr>
          <w:p>
            <w:pPr>
              <w:spacing w:after="0"/>
              <w:rPr>
                <w:sz w:val="18"/>
                <w:szCs w:val="18"/>
                <w:color w:val="auto"/>
              </w:rPr>
            </w:pPr>
          </w:p>
        </w:tc>
        <w:tc>
          <w:tcPr>
            <w:tcW w:w="860" w:type="dxa"/>
            <w:vAlign w:val="bottom"/>
            <w:tcBorders>
              <w:top w:val="single" w:sz="8" w:color="auto"/>
            </w:tcBorders>
            <w:shd w:val="clear" w:color="auto" w:fill="CCEEFF"/>
          </w:tcPr>
          <w:p>
            <w:pPr>
              <w:spacing w:after="0"/>
              <w:rPr>
                <w:sz w:val="18"/>
                <w:szCs w:val="18"/>
                <w:color w:val="auto"/>
              </w:rPr>
            </w:pPr>
          </w:p>
        </w:tc>
        <w:tc>
          <w:tcPr>
            <w:tcW w:w="140" w:type="dxa"/>
            <w:vAlign w:val="bottom"/>
            <w:tcBorders>
              <w:top w:val="single" w:sz="8" w:color="CCEEFF"/>
            </w:tcBorders>
            <w:shd w:val="clear" w:color="auto" w:fill="CCEEFF"/>
          </w:tcPr>
          <w:p>
            <w:pPr>
              <w:spacing w:after="0"/>
              <w:rPr>
                <w:sz w:val="18"/>
                <w:szCs w:val="18"/>
                <w:color w:val="auto"/>
              </w:rPr>
            </w:pPr>
          </w:p>
        </w:tc>
        <w:tc>
          <w:tcPr>
            <w:tcW w:w="360" w:type="dxa"/>
            <w:vAlign w:val="bottom"/>
            <w:tcBorders>
              <w:top w:val="single" w:sz="8" w:color="auto"/>
            </w:tcBorders>
            <w:shd w:val="clear" w:color="auto" w:fill="CCEEFF"/>
          </w:tcPr>
          <w:p>
            <w:pPr>
              <w:spacing w:after="0"/>
              <w:rPr>
                <w:sz w:val="18"/>
                <w:szCs w:val="18"/>
                <w:color w:val="auto"/>
              </w:rPr>
            </w:pPr>
          </w:p>
        </w:tc>
        <w:tc>
          <w:tcPr>
            <w:tcW w:w="320" w:type="dxa"/>
            <w:vAlign w:val="bottom"/>
            <w:tcBorders>
              <w:top w:val="single" w:sz="8" w:color="auto"/>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00" w:type="dxa"/>
            <w:vAlign w:val="bottom"/>
          </w:tcPr>
          <w:p>
            <w:pPr>
              <w:spacing w:after="0"/>
              <w:rPr>
                <w:sz w:val="20"/>
                <w:szCs w:val="20"/>
                <w:color w:val="auto"/>
              </w:rPr>
            </w:pPr>
            <w:r>
              <w:rPr>
                <w:rFonts w:ascii="Arial" w:cs="Arial" w:eastAsia="Arial" w:hAnsi="Arial"/>
                <w:sz w:val="18"/>
                <w:szCs w:val="18"/>
                <w:color w:val="auto"/>
              </w:rPr>
              <w:t>Granted</w:t>
            </w:r>
          </w:p>
        </w:tc>
        <w:tc>
          <w:tcPr>
            <w:tcW w:w="208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w:t>
            </w:r>
          </w:p>
        </w:tc>
        <w:tc>
          <w:tcPr>
            <w:tcW w:w="2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8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00" w:type="dxa"/>
            <w:vAlign w:val="bottom"/>
            <w:shd w:val="clear" w:color="auto" w:fill="CCEEFF"/>
          </w:tcPr>
          <w:p>
            <w:pPr>
              <w:spacing w:after="0"/>
              <w:rPr>
                <w:sz w:val="20"/>
                <w:szCs w:val="20"/>
                <w:color w:val="auto"/>
              </w:rPr>
            </w:pPr>
            <w:r>
              <w:rPr>
                <w:rFonts w:ascii="Arial" w:cs="Arial" w:eastAsia="Arial" w:hAnsi="Arial"/>
                <w:sz w:val="18"/>
                <w:szCs w:val="18"/>
                <w:color w:val="auto"/>
              </w:rPr>
              <w:t>Exercised</w:t>
            </w:r>
          </w:p>
        </w:tc>
        <w:tc>
          <w:tcPr>
            <w:tcW w:w="26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(176)</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15.34</w:t>
            </w:r>
          </w:p>
        </w:tc>
        <w:tc>
          <w:tcPr>
            <w:tcW w:w="14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0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Forfeited, canceled or expired</w:t>
            </w:r>
          </w:p>
        </w:tc>
        <w:tc>
          <w:tcPr>
            <w:tcW w:w="2080" w:type="dxa"/>
            <w:vAlign w:val="bottom"/>
            <w:tcBorders>
              <w:bottom w:val="single" w:sz="8" w:color="CCEEFF"/>
            </w:tcBorders>
          </w:tcPr>
          <w:p>
            <w:pPr>
              <w:spacing w:after="0"/>
              <w:rPr>
                <w:sz w:val="18"/>
                <w:szCs w:val="18"/>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gridSpan w:val="2"/>
          </w:tcPr>
          <w:p>
            <w:pPr>
              <w:jc w:val="right"/>
              <w:spacing w:after="0"/>
              <w:rPr>
                <w:sz w:val="20"/>
                <w:szCs w:val="20"/>
                <w:color w:val="auto"/>
              </w:rPr>
            </w:pPr>
            <w:r>
              <w:rPr>
                <w:rFonts w:ascii="Arial" w:cs="Arial" w:eastAsia="Arial" w:hAnsi="Arial"/>
                <w:sz w:val="18"/>
                <w:szCs w:val="18"/>
                <w:color w:val="auto"/>
              </w:rPr>
              <w:t>$</w:t>
            </w:r>
          </w:p>
        </w:tc>
        <w:tc>
          <w:tcPr>
            <w:tcW w:w="700" w:type="dxa"/>
            <w:vAlign w:val="bottom"/>
            <w:tcBorders>
              <w:bottom w:val="single" w:sz="8" w:color="CCEEFF"/>
            </w:tcBorders>
            <w:gridSpan w:val="2"/>
          </w:tcPr>
          <w:p>
            <w:pPr>
              <w:jc w:val="right"/>
              <w:ind w:right="220"/>
              <w:spacing w:after="0"/>
              <w:rPr>
                <w:sz w:val="20"/>
                <w:szCs w:val="20"/>
                <w:color w:val="auto"/>
              </w:rPr>
            </w:pPr>
            <w:r>
              <w:rPr>
                <w:rFonts w:ascii="Arial" w:cs="Arial" w:eastAsia="Arial" w:hAnsi="Arial"/>
                <w:sz w:val="18"/>
                <w:szCs w:val="18"/>
                <w:color w:val="auto"/>
              </w:rPr>
              <w:t>—</w:t>
            </w:r>
          </w:p>
        </w:tc>
        <w:tc>
          <w:tcPr>
            <w:tcW w:w="860" w:type="dxa"/>
            <w:vAlign w:val="bottom"/>
            <w:tcBorders>
              <w:bottom w:val="single" w:sz="8" w:color="CCEEFF"/>
            </w:tcBorders>
          </w:tcPr>
          <w:p>
            <w:pPr>
              <w:spacing w:after="0"/>
              <w:rPr>
                <w:sz w:val="18"/>
                <w:szCs w:val="18"/>
                <w:color w:val="auto"/>
              </w:rPr>
            </w:pPr>
          </w:p>
        </w:tc>
        <w:tc>
          <w:tcPr>
            <w:tcW w:w="140" w:type="dxa"/>
            <w:vAlign w:val="bottom"/>
            <w:tcBorders>
              <w:bottom w:val="single" w:sz="8" w:color="CCEEFF"/>
            </w:tcBorders>
          </w:tcPr>
          <w:p>
            <w:pPr>
              <w:spacing w:after="0"/>
              <w:rPr>
                <w:sz w:val="18"/>
                <w:szCs w:val="18"/>
                <w:color w:val="auto"/>
              </w:rPr>
            </w:pPr>
          </w:p>
        </w:tc>
        <w:tc>
          <w:tcPr>
            <w:tcW w:w="360" w:type="dxa"/>
            <w:vAlign w:val="bottom"/>
            <w:tcBorders>
              <w:bottom w:val="single" w:sz="8" w:color="CCEEFF"/>
            </w:tcBorders>
          </w:tcPr>
          <w:p>
            <w:pPr>
              <w:spacing w:after="0"/>
              <w:rPr>
                <w:sz w:val="18"/>
                <w:szCs w:val="18"/>
                <w:color w:val="auto"/>
              </w:rPr>
            </w:pPr>
          </w:p>
        </w:tc>
        <w:tc>
          <w:tcPr>
            <w:tcW w:w="320" w:type="dxa"/>
            <w:vAlign w:val="bottom"/>
            <w:tcBorders>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36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Outstanding as of March 31, 2021</w:t>
            </w:r>
          </w:p>
        </w:tc>
        <w:tc>
          <w:tcPr>
            <w:tcW w:w="208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860" w:type="dxa"/>
            <w:vAlign w:val="bottom"/>
            <w:shd w:val="clear" w:color="auto" w:fill="CCEEFF"/>
          </w:tcPr>
          <w:p>
            <w:pPr>
              <w:ind w:left="600"/>
              <w:spacing w:after="0"/>
              <w:rPr>
                <w:sz w:val="20"/>
                <w:szCs w:val="20"/>
                <w:color w:val="auto"/>
              </w:rPr>
            </w:pPr>
            <w:r>
              <w:rPr>
                <w:rFonts w:ascii="Arial" w:cs="Arial" w:eastAsia="Arial" w:hAnsi="Arial"/>
                <w:sz w:val="18"/>
                <w:szCs w:val="18"/>
                <w:color w:val="auto"/>
              </w:rPr>
              <w:t>—</w:t>
            </w:r>
          </w:p>
        </w:tc>
        <w:tc>
          <w:tcPr>
            <w:tcW w:w="500" w:type="dxa"/>
            <w:vAlign w:val="bottom"/>
            <w:gridSpan w:val="2"/>
            <w:shd w:val="clear" w:color="auto" w:fill="CCEEFF"/>
          </w:tcPr>
          <w:p>
            <w:pPr>
              <w:jc w:val="right"/>
              <w:ind w:right="208"/>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600" w:type="dxa"/>
            <w:vAlign w:val="bottom"/>
            <w:shd w:val="clear" w:color="auto" w:fill="CCEEFF"/>
          </w:tcPr>
          <w:p>
            <w:pPr>
              <w:spacing w:after="0" w:line="20" w:lineRule="exact"/>
              <w:rPr>
                <w:sz w:val="1"/>
                <w:szCs w:val="1"/>
                <w:color w:val="auto"/>
              </w:rPr>
            </w:pPr>
          </w:p>
        </w:tc>
        <w:tc>
          <w:tcPr>
            <w:tcW w:w="2080" w:type="dxa"/>
            <w:vAlign w:val="bottom"/>
            <w:shd w:val="clear" w:color="auto" w:fill="CCEEFF"/>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
        </w:trPr>
        <w:tc>
          <w:tcPr>
            <w:tcW w:w="3620" w:type="dxa"/>
            <w:vAlign w:val="bottom"/>
            <w:gridSpan w:val="2"/>
            <w:vMerge w:val="restart"/>
          </w:tcPr>
          <w:p>
            <w:pPr>
              <w:ind w:left="20"/>
              <w:spacing w:after="0"/>
              <w:rPr>
                <w:sz w:val="20"/>
                <w:szCs w:val="20"/>
                <w:color w:val="auto"/>
              </w:rPr>
            </w:pPr>
            <w:r>
              <w:rPr>
                <w:rFonts w:ascii="Arial" w:cs="Arial" w:eastAsia="Arial" w:hAnsi="Arial"/>
                <w:sz w:val="18"/>
                <w:szCs w:val="18"/>
                <w:b w:val="1"/>
                <w:bCs w:val="1"/>
                <w:color w:val="auto"/>
              </w:rPr>
              <w:t>Exercisable as of March 31, 2021</w:t>
            </w:r>
          </w:p>
        </w:tc>
        <w:tc>
          <w:tcPr>
            <w:tcW w:w="2080" w:type="dxa"/>
            <w:vAlign w:val="bottom"/>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60" w:type="dxa"/>
            <w:vAlign w:val="bottom"/>
            <w:vMerge w:val="restart"/>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40" w:type="dxa"/>
            <w:vAlign w:val="bottom"/>
            <w:vMerge w:val="restart"/>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40" w:type="dxa"/>
            <w:vAlign w:val="bottom"/>
            <w:vMerge w:val="restart"/>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3620" w:type="dxa"/>
            <w:vAlign w:val="bottom"/>
            <w:gridSpan w:val="2"/>
            <w:vMerge w:val="continue"/>
          </w:tcPr>
          <w:p>
            <w:pPr>
              <w:spacing w:after="0"/>
              <w:rPr>
                <w:sz w:val="17"/>
                <w:szCs w:val="17"/>
                <w:color w:val="auto"/>
              </w:rPr>
            </w:pPr>
          </w:p>
        </w:tc>
        <w:tc>
          <w:tcPr>
            <w:tcW w:w="2080" w:type="dxa"/>
            <w:vAlign w:val="bottom"/>
          </w:tcPr>
          <w:p>
            <w:pPr>
              <w:spacing w:after="0"/>
              <w:rPr>
                <w:sz w:val="17"/>
                <w:szCs w:val="17"/>
                <w:color w:val="auto"/>
              </w:rPr>
            </w:pPr>
          </w:p>
        </w:tc>
        <w:tc>
          <w:tcPr>
            <w:tcW w:w="58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w:t>
            </w:r>
          </w:p>
        </w:tc>
        <w:tc>
          <w:tcPr>
            <w:tcW w:w="160" w:type="dxa"/>
            <w:vAlign w:val="bottom"/>
            <w:vMerge w:val="continue"/>
          </w:tcPr>
          <w:p>
            <w:pPr>
              <w:spacing w:after="0"/>
              <w:rPr>
                <w:sz w:val="17"/>
                <w:szCs w:val="17"/>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6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w:t>
            </w:r>
          </w:p>
        </w:tc>
        <w:tc>
          <w:tcPr>
            <w:tcW w:w="140" w:type="dxa"/>
            <w:vAlign w:val="bottom"/>
            <w:vMerge w:val="continue"/>
          </w:tcPr>
          <w:p>
            <w:pPr>
              <w:spacing w:after="0"/>
              <w:rPr>
                <w:sz w:val="17"/>
                <w:szCs w:val="17"/>
                <w:color w:val="auto"/>
              </w:rPr>
            </w:pPr>
          </w:p>
        </w:tc>
        <w:tc>
          <w:tcPr>
            <w:tcW w:w="860" w:type="dxa"/>
            <w:vAlign w:val="bottom"/>
            <w:tcBorders>
              <w:bottom w:val="single" w:sz="8" w:color="auto"/>
            </w:tcBorders>
          </w:tcPr>
          <w:p>
            <w:pPr>
              <w:ind w:left="600"/>
              <w:spacing w:after="0" w:line="196" w:lineRule="exact"/>
              <w:rPr>
                <w:sz w:val="20"/>
                <w:szCs w:val="20"/>
                <w:color w:val="auto"/>
              </w:rPr>
            </w:pPr>
            <w:r>
              <w:rPr>
                <w:rFonts w:ascii="Arial" w:cs="Arial" w:eastAsia="Arial" w:hAnsi="Arial"/>
                <w:sz w:val="18"/>
                <w:szCs w:val="18"/>
                <w:color w:val="auto"/>
              </w:rPr>
              <w:t>—</w:t>
            </w:r>
          </w:p>
        </w:tc>
        <w:tc>
          <w:tcPr>
            <w:tcW w:w="140" w:type="dxa"/>
            <w:vAlign w:val="bottom"/>
            <w:vMerge w:val="continue"/>
          </w:tcPr>
          <w:p>
            <w:pPr>
              <w:spacing w:after="0"/>
              <w:rPr>
                <w:sz w:val="17"/>
                <w:szCs w:val="17"/>
                <w:color w:val="auto"/>
              </w:rPr>
            </w:pPr>
          </w:p>
        </w:tc>
        <w:tc>
          <w:tcPr>
            <w:tcW w:w="360" w:type="dxa"/>
            <w:vAlign w:val="bottom"/>
            <w:tcBorders>
              <w:bottom w:val="single" w:sz="8" w:color="auto"/>
            </w:tcBorders>
          </w:tcPr>
          <w:p>
            <w:pPr>
              <w:jc w:val="right"/>
              <w:ind w:right="208"/>
              <w:spacing w:after="0"/>
              <w:rPr>
                <w:sz w:val="20"/>
                <w:szCs w:val="20"/>
                <w:color w:val="auto"/>
              </w:rPr>
            </w:pPr>
            <w:r>
              <w:rPr>
                <w:rFonts w:ascii="Arial" w:cs="Arial" w:eastAsia="Arial" w:hAnsi="Arial"/>
                <w:sz w:val="15"/>
                <w:szCs w:val="15"/>
                <w:color w:val="auto"/>
                <w:w w:val="71"/>
              </w:rPr>
              <w:t>$</w:t>
            </w:r>
          </w:p>
        </w:tc>
        <w:tc>
          <w:tcPr>
            <w:tcW w:w="32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600" w:type="dxa"/>
            <w:vAlign w:val="bottom"/>
          </w:tcPr>
          <w:p>
            <w:pPr>
              <w:spacing w:after="0" w:line="20" w:lineRule="exact"/>
              <w:rPr>
                <w:sz w:val="1"/>
                <w:szCs w:val="1"/>
                <w:color w:val="auto"/>
              </w:rPr>
            </w:pPr>
          </w:p>
        </w:tc>
        <w:tc>
          <w:tcPr>
            <w:tcW w:w="2080" w:type="dxa"/>
            <w:vAlign w:val="bottom"/>
            <w:vMerge w:val="restart"/>
          </w:tcPr>
          <w:p>
            <w:pPr>
              <w:jc w:val="right"/>
              <w:ind w:right="1050"/>
              <w:spacing w:after="0"/>
              <w:rPr>
                <w:sz w:val="20"/>
                <w:szCs w:val="20"/>
                <w:color w:val="auto"/>
              </w:rPr>
            </w:pPr>
            <w:r>
              <w:rPr>
                <w:rFonts w:ascii="Arial" w:cs="Arial" w:eastAsia="Arial" w:hAnsi="Arial"/>
                <w:sz w:val="18"/>
                <w:szCs w:val="18"/>
                <w:color w:val="auto"/>
              </w:rPr>
              <w:t>20</w:t>
            </w:r>
          </w:p>
        </w:tc>
        <w:tc>
          <w:tcPr>
            <w:tcW w:w="5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44"/>
        </w:trPr>
        <w:tc>
          <w:tcPr>
            <w:tcW w:w="20" w:type="dxa"/>
            <w:vAlign w:val="bottom"/>
          </w:tcPr>
          <w:p>
            <w:pPr>
              <w:spacing w:after="0"/>
              <w:rPr>
                <w:sz w:val="24"/>
                <w:szCs w:val="24"/>
                <w:color w:val="auto"/>
              </w:rPr>
            </w:pPr>
          </w:p>
        </w:tc>
        <w:tc>
          <w:tcPr>
            <w:tcW w:w="3600" w:type="dxa"/>
            <w:vAlign w:val="bottom"/>
          </w:tcPr>
          <w:p>
            <w:pPr>
              <w:spacing w:after="0"/>
              <w:rPr>
                <w:sz w:val="24"/>
                <w:szCs w:val="24"/>
                <w:color w:val="auto"/>
              </w:rPr>
            </w:pPr>
          </w:p>
        </w:tc>
        <w:tc>
          <w:tcPr>
            <w:tcW w:w="2080" w:type="dxa"/>
            <w:vAlign w:val="bottom"/>
            <w:vMerge w:val="continue"/>
          </w:tcPr>
          <w:p>
            <w:pPr>
              <w:spacing w:after="0"/>
              <w:rPr>
                <w:sz w:val="24"/>
                <w:szCs w:val="24"/>
                <w:color w:val="auto"/>
              </w:rPr>
            </w:pPr>
          </w:p>
        </w:tc>
        <w:tc>
          <w:tcPr>
            <w:tcW w:w="5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47"/>
        </w:trPr>
        <w:tc>
          <w:tcPr>
            <w:tcW w:w="20" w:type="dxa"/>
            <w:vAlign w:val="bottom"/>
            <w:tcBorders>
              <w:bottom w:val="single" w:sz="8" w:color="auto"/>
            </w:tcBorders>
          </w:tcPr>
          <w:p>
            <w:pPr>
              <w:spacing w:after="0"/>
              <w:rPr>
                <w:sz w:val="24"/>
                <w:szCs w:val="24"/>
                <w:color w:val="auto"/>
              </w:rPr>
            </w:pPr>
          </w:p>
        </w:tc>
        <w:tc>
          <w:tcPr>
            <w:tcW w:w="3600" w:type="dxa"/>
            <w:vAlign w:val="bottom"/>
            <w:tcBorders>
              <w:bottom w:val="single" w:sz="8" w:color="auto"/>
            </w:tcBorders>
          </w:tcPr>
          <w:p>
            <w:pPr>
              <w:spacing w:after="0"/>
              <w:rPr>
                <w:sz w:val="24"/>
                <w:szCs w:val="24"/>
                <w:color w:val="auto"/>
              </w:rPr>
            </w:pPr>
          </w:p>
        </w:tc>
        <w:tc>
          <w:tcPr>
            <w:tcW w:w="2080" w:type="dxa"/>
            <w:vAlign w:val="bottom"/>
            <w:tcBorders>
              <w:bottom w:val="single" w:sz="8" w:color="auto"/>
            </w:tcBorders>
          </w:tcPr>
          <w:p>
            <w:pPr>
              <w:spacing w:after="0"/>
              <w:rPr>
                <w:sz w:val="24"/>
                <w:szCs w:val="24"/>
                <w:color w:val="auto"/>
              </w:rPr>
            </w:pPr>
          </w:p>
        </w:tc>
        <w:tc>
          <w:tcPr>
            <w:tcW w:w="58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56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9019"/>
          </w:cols>
          <w:pgMar w:left="1440" w:top="517" w:right="1440" w:bottom="1440" w:gutter="0" w:footer="0" w:header="0"/>
        </w:sectPr>
      </w:pPr>
    </w:p>
    <w:bookmarkStart w:id="20" w:name="page21"/>
    <w:bookmarkEnd w:id="20"/>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 except per share data)</w:t>
      </w:r>
    </w:p>
    <w:p>
      <w:pPr>
        <w:spacing w:after="0" w:line="211"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Share-based Compensation Expense</w:t>
      </w:r>
    </w:p>
    <w:p>
      <w:pPr>
        <w:spacing w:after="0" w:line="225" w:lineRule="exact"/>
        <w:rPr>
          <w:sz w:val="20"/>
          <w:szCs w:val="20"/>
          <w:color w:val="auto"/>
        </w:rPr>
      </w:pPr>
    </w:p>
    <w:p>
      <w:pPr>
        <w:ind w:left="60" w:right="119" w:firstLine="648"/>
        <w:spacing w:after="0" w:line="277" w:lineRule="auto"/>
        <w:rPr>
          <w:sz w:val="20"/>
          <w:szCs w:val="20"/>
          <w:color w:val="auto"/>
        </w:rPr>
      </w:pPr>
      <w:r>
        <w:rPr>
          <w:rFonts w:ascii="Arial" w:cs="Arial" w:eastAsia="Arial" w:hAnsi="Arial"/>
          <w:sz w:val="18"/>
          <w:szCs w:val="18"/>
          <w:color w:val="auto"/>
        </w:rPr>
        <w:t>The table below outlines share-based compensation expense for the three months ended March 31, 2021 and 2020 related to restricted stock granted:</w:t>
      </w:r>
    </w:p>
    <w:p>
      <w:pPr>
        <w:spacing w:after="0" w:line="175" w:lineRule="exact"/>
        <w:rPr>
          <w:sz w:val="20"/>
          <w:szCs w:val="20"/>
          <w:color w:val="auto"/>
        </w:rPr>
      </w:pPr>
    </w:p>
    <w:tbl>
      <w:tblPr>
        <w:tblLayout w:type="fixed"/>
        <w:tblInd w:w="60" w:type="dxa"/>
        <w:tblCellMar>
          <w:top w:w="0" w:type="dxa"/>
          <w:left w:w="0" w:type="dxa"/>
          <w:bottom w:w="0" w:type="dxa"/>
          <w:right w:w="0" w:type="dxa"/>
        </w:tblCellMar>
      </w:tblPr>
      <w:tr>
        <w:trPr>
          <w:trHeight w:val="171"/>
        </w:trPr>
        <w:tc>
          <w:tcPr>
            <w:tcW w:w="6120" w:type="dxa"/>
            <w:vAlign w:val="bottom"/>
            <w:tcBorders>
              <w:bottom w:val="single" w:sz="8" w:color="CCEEFF"/>
            </w:tcBorders>
          </w:tcPr>
          <w:p>
            <w:pPr>
              <w:spacing w:after="0"/>
              <w:rPr>
                <w:sz w:val="14"/>
                <w:szCs w:val="14"/>
                <w:color w:val="auto"/>
              </w:rPr>
            </w:pPr>
          </w:p>
        </w:tc>
        <w:tc>
          <w:tcPr>
            <w:tcW w:w="940" w:type="dxa"/>
            <w:vAlign w:val="bottom"/>
            <w:tcBorders>
              <w:bottom w:val="single" w:sz="8" w:color="CCEEFF"/>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jc w:val="right"/>
              <w:ind w:right="192"/>
              <w:spacing w:after="0"/>
              <w:rPr>
                <w:sz w:val="20"/>
                <w:szCs w:val="20"/>
                <w:color w:val="auto"/>
              </w:rPr>
            </w:pPr>
            <w:r>
              <w:rPr>
                <w:rFonts w:ascii="Arial" w:cs="Arial" w:eastAsia="Arial" w:hAnsi="Arial"/>
                <w:sz w:val="14"/>
                <w:szCs w:val="14"/>
                <w:b w:val="1"/>
                <w:bCs w:val="1"/>
                <w:color w:val="auto"/>
              </w:rPr>
              <w:t>2021</w:t>
            </w:r>
          </w:p>
        </w:tc>
        <w:tc>
          <w:tcPr>
            <w:tcW w:w="140" w:type="dxa"/>
            <w:vAlign w:val="bottom"/>
            <w:tcBorders>
              <w:bottom w:val="single" w:sz="8" w:color="CCEEFF"/>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tcPr>
          <w:p>
            <w:pPr>
              <w:jc w:val="right"/>
              <w:ind w:right="192"/>
              <w:spacing w:after="0"/>
              <w:rPr>
                <w:sz w:val="20"/>
                <w:szCs w:val="20"/>
                <w:color w:val="auto"/>
              </w:rPr>
            </w:pPr>
            <w:r>
              <w:rPr>
                <w:rFonts w:ascii="Arial" w:cs="Arial" w:eastAsia="Arial" w:hAnsi="Arial"/>
                <w:sz w:val="14"/>
                <w:szCs w:val="14"/>
                <w:b w:val="1"/>
                <w:bCs w:val="1"/>
                <w:color w:val="auto"/>
              </w:rPr>
              <w:t>2020</w:t>
            </w:r>
          </w:p>
        </w:tc>
      </w:tr>
      <w:tr>
        <w:trPr>
          <w:trHeight w:val="209"/>
        </w:trPr>
        <w:tc>
          <w:tcPr>
            <w:tcW w:w="6120" w:type="dxa"/>
            <w:vAlign w:val="bottom"/>
            <w:shd w:val="clear" w:color="auto" w:fill="CCEEFF"/>
          </w:tcPr>
          <w:p>
            <w:pPr>
              <w:spacing w:after="0"/>
              <w:rPr>
                <w:sz w:val="20"/>
                <w:szCs w:val="20"/>
                <w:color w:val="auto"/>
              </w:rPr>
            </w:pPr>
            <w:r>
              <w:rPr>
                <w:rFonts w:ascii="Arial" w:cs="Arial" w:eastAsia="Arial" w:hAnsi="Arial"/>
                <w:sz w:val="18"/>
                <w:szCs w:val="18"/>
                <w:color w:val="auto"/>
              </w:rPr>
              <w:t>Technology and academic services</w:t>
            </w:r>
          </w:p>
        </w:tc>
        <w:tc>
          <w:tcPr>
            <w:tcW w:w="940" w:type="dxa"/>
            <w:vAlign w:val="bottom"/>
            <w:shd w:val="clear" w:color="auto" w:fill="CCEEFF"/>
          </w:tcPr>
          <w:p>
            <w:pPr>
              <w:spacing w:after="0"/>
              <w:rPr>
                <w:sz w:val="18"/>
                <w:szCs w:val="18"/>
                <w:color w:val="auto"/>
              </w:rPr>
            </w:pPr>
          </w:p>
        </w:tc>
        <w:tc>
          <w:tcPr>
            <w:tcW w:w="180" w:type="dxa"/>
            <w:vAlign w:val="bottom"/>
            <w:shd w:val="clear" w:color="auto" w:fill="CCEEFF"/>
          </w:tcPr>
          <w:p>
            <w:pPr>
              <w:jc w:val="right"/>
              <w:ind w:right="27"/>
              <w:spacing w:after="0"/>
              <w:rPr>
                <w:sz w:val="20"/>
                <w:szCs w:val="20"/>
                <w:color w:val="auto"/>
              </w:rPr>
            </w:pPr>
            <w:r>
              <w:rPr>
                <w:rFonts w:ascii="Arial" w:cs="Arial" w:eastAsia="Arial" w:hAnsi="Arial"/>
                <w:sz w:val="15"/>
                <w:szCs w:val="15"/>
                <w:color w:val="auto"/>
                <w:w w:val="71"/>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606</w:t>
            </w: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518</w:t>
            </w:r>
          </w:p>
        </w:tc>
      </w:tr>
      <w:tr>
        <w:trPr>
          <w:trHeight w:val="216"/>
        </w:trPr>
        <w:tc>
          <w:tcPr>
            <w:tcW w:w="6120" w:type="dxa"/>
            <w:vAlign w:val="bottom"/>
          </w:tcPr>
          <w:p>
            <w:pPr>
              <w:spacing w:after="0"/>
              <w:rPr>
                <w:sz w:val="20"/>
                <w:szCs w:val="20"/>
                <w:color w:val="auto"/>
              </w:rPr>
            </w:pPr>
            <w:r>
              <w:rPr>
                <w:rFonts w:ascii="Arial" w:cs="Arial" w:eastAsia="Arial" w:hAnsi="Arial"/>
                <w:sz w:val="18"/>
                <w:szCs w:val="18"/>
                <w:color w:val="auto"/>
              </w:rPr>
              <w:t>Counseling services and support</w:t>
            </w:r>
          </w:p>
        </w:tc>
        <w:tc>
          <w:tcPr>
            <w:tcW w:w="9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1,488</w:t>
            </w: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1,330</w:t>
            </w:r>
          </w:p>
        </w:tc>
      </w:tr>
      <w:tr>
        <w:trPr>
          <w:trHeight w:val="216"/>
        </w:trPr>
        <w:tc>
          <w:tcPr>
            <w:tcW w:w="6120" w:type="dxa"/>
            <w:vAlign w:val="bottom"/>
            <w:shd w:val="clear" w:color="auto" w:fill="CCEEFF"/>
          </w:tcPr>
          <w:p>
            <w:pPr>
              <w:spacing w:after="0"/>
              <w:rPr>
                <w:sz w:val="20"/>
                <w:szCs w:val="20"/>
                <w:color w:val="auto"/>
              </w:rPr>
            </w:pPr>
            <w:r>
              <w:rPr>
                <w:rFonts w:ascii="Arial" w:cs="Arial" w:eastAsia="Arial" w:hAnsi="Arial"/>
                <w:sz w:val="18"/>
                <w:szCs w:val="18"/>
                <w:color w:val="auto"/>
              </w:rPr>
              <w:t>Marketing and communication</w:t>
            </w:r>
          </w:p>
        </w:tc>
        <w:tc>
          <w:tcPr>
            <w:tcW w:w="9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w:t>
            </w: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w:t>
            </w:r>
          </w:p>
        </w:tc>
      </w:tr>
      <w:tr>
        <w:trPr>
          <w:trHeight w:val="216"/>
        </w:trPr>
        <w:tc>
          <w:tcPr>
            <w:tcW w:w="612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General and administrative</w:t>
            </w:r>
          </w:p>
        </w:tc>
        <w:tc>
          <w:tcPr>
            <w:tcW w:w="940" w:type="dxa"/>
            <w:vAlign w:val="bottom"/>
            <w:tcBorders>
              <w:bottom w:val="single" w:sz="8" w:color="CCEEFF"/>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895</w:t>
            </w:r>
          </w:p>
        </w:tc>
        <w:tc>
          <w:tcPr>
            <w:tcW w:w="140" w:type="dxa"/>
            <w:vAlign w:val="bottom"/>
            <w:tcBorders>
              <w:bottom w:val="single" w:sz="8" w:color="CCEEFF"/>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783</w:t>
            </w:r>
          </w:p>
        </w:tc>
      </w:tr>
      <w:tr>
        <w:trPr>
          <w:trHeight w:val="209"/>
        </w:trPr>
        <w:tc>
          <w:tcPr>
            <w:tcW w:w="6120" w:type="dxa"/>
            <w:vAlign w:val="bottom"/>
            <w:shd w:val="clear" w:color="auto" w:fill="CCEEFF"/>
          </w:tcPr>
          <w:p>
            <w:pPr>
              <w:ind w:left="100"/>
              <w:spacing w:after="0"/>
              <w:rPr>
                <w:sz w:val="20"/>
                <w:szCs w:val="20"/>
                <w:color w:val="auto"/>
              </w:rPr>
            </w:pPr>
            <w:r>
              <w:rPr>
                <w:rFonts w:ascii="Arial" w:cs="Arial" w:eastAsia="Arial" w:hAnsi="Arial"/>
                <w:sz w:val="18"/>
                <w:szCs w:val="18"/>
                <w:b w:val="1"/>
                <w:bCs w:val="1"/>
                <w:color w:val="auto"/>
              </w:rPr>
              <w:t>Share-based compensation expense included in operating expenses</w:t>
            </w:r>
          </w:p>
        </w:tc>
        <w:tc>
          <w:tcPr>
            <w:tcW w:w="9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3,019</w:t>
            </w: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2,656</w:t>
            </w:r>
          </w:p>
        </w:tc>
      </w:tr>
      <w:tr>
        <w:trPr>
          <w:trHeight w:val="216"/>
        </w:trPr>
        <w:tc>
          <w:tcPr>
            <w:tcW w:w="612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Tax effect of share-based compensation</w:t>
            </w:r>
          </w:p>
        </w:tc>
        <w:tc>
          <w:tcPr>
            <w:tcW w:w="940" w:type="dxa"/>
            <w:vAlign w:val="bottom"/>
            <w:tcBorders>
              <w:bottom w:val="single" w:sz="8" w:color="CCEEFF"/>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(755)</w:t>
            </w:r>
          </w:p>
        </w:tc>
        <w:tc>
          <w:tcPr>
            <w:tcW w:w="140" w:type="dxa"/>
            <w:vAlign w:val="bottom"/>
            <w:tcBorders>
              <w:bottom w:val="single" w:sz="8" w:color="CCEEFF"/>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(664)</w:t>
            </w:r>
          </w:p>
        </w:tc>
      </w:tr>
      <w:tr>
        <w:trPr>
          <w:trHeight w:val="209"/>
        </w:trPr>
        <w:tc>
          <w:tcPr>
            <w:tcW w:w="6120" w:type="dxa"/>
            <w:vAlign w:val="bottom"/>
            <w:tcBorders>
              <w:bottom w:val="single" w:sz="8" w:color="CCEEFF"/>
            </w:tcBorders>
            <w:shd w:val="clear" w:color="auto" w:fill="CCEEFF"/>
          </w:tcPr>
          <w:p>
            <w:pPr>
              <w:ind w:left="100"/>
              <w:spacing w:after="0"/>
              <w:rPr>
                <w:sz w:val="20"/>
                <w:szCs w:val="20"/>
                <w:color w:val="auto"/>
              </w:rPr>
            </w:pPr>
            <w:r>
              <w:rPr>
                <w:rFonts w:ascii="Arial" w:cs="Arial" w:eastAsia="Arial" w:hAnsi="Arial"/>
                <w:sz w:val="18"/>
                <w:szCs w:val="18"/>
                <w:b w:val="1"/>
                <w:bCs w:val="1"/>
                <w:color w:val="auto"/>
              </w:rPr>
              <w:t>Share-based compensation expense, net of tax</w:t>
            </w:r>
          </w:p>
        </w:tc>
        <w:tc>
          <w:tcPr>
            <w:tcW w:w="940" w:type="dxa"/>
            <w:vAlign w:val="bottom"/>
            <w:tcBorders>
              <w:bottom w:val="single" w:sz="8" w:color="CCEEFF"/>
            </w:tcBorders>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jc w:val="right"/>
              <w:ind w:right="27"/>
              <w:spacing w:after="0"/>
              <w:rPr>
                <w:sz w:val="20"/>
                <w:szCs w:val="20"/>
                <w:color w:val="auto"/>
              </w:rPr>
            </w:pPr>
            <w:r>
              <w:rPr>
                <w:rFonts w:ascii="Arial" w:cs="Arial" w:eastAsia="Arial" w:hAnsi="Arial"/>
                <w:sz w:val="15"/>
                <w:szCs w:val="15"/>
                <w:color w:val="auto"/>
                <w:w w:val="71"/>
              </w:rPr>
              <w:t>$</w:t>
            </w: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2,264</w:t>
            </w:r>
          </w:p>
        </w:tc>
        <w:tc>
          <w:tcPr>
            <w:tcW w:w="140" w:type="dxa"/>
            <w:vAlign w:val="bottom"/>
            <w:tcBorders>
              <w:bottom w:val="single" w:sz="8" w:color="CCEEFF"/>
            </w:tcBorders>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1,992</w:t>
            </w:r>
          </w:p>
        </w:tc>
      </w:tr>
      <w:tr>
        <w:trPr>
          <w:trHeight w:val="20"/>
        </w:trPr>
        <w:tc>
          <w:tcPr>
            <w:tcW w:w="612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r>
    </w:tbl>
    <w:p>
      <w:pPr>
        <w:spacing w:after="0" w:line="238"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12. Treasury Stock</w:t>
      </w:r>
    </w:p>
    <w:p>
      <w:pPr>
        <w:spacing w:after="0" w:line="229" w:lineRule="exact"/>
        <w:rPr>
          <w:sz w:val="20"/>
          <w:szCs w:val="20"/>
          <w:color w:val="auto"/>
        </w:rPr>
      </w:pPr>
    </w:p>
    <w:p>
      <w:pPr>
        <w:ind w:left="60" w:right="59" w:firstLine="648"/>
        <w:spacing w:after="0" w:line="255" w:lineRule="auto"/>
        <w:rPr>
          <w:sz w:val="20"/>
          <w:szCs w:val="20"/>
          <w:color w:val="auto"/>
        </w:rPr>
      </w:pPr>
      <w:r>
        <w:rPr>
          <w:rFonts w:ascii="Arial" w:cs="Arial" w:eastAsia="Arial" w:hAnsi="Arial"/>
          <w:sz w:val="18"/>
          <w:szCs w:val="18"/>
          <w:color w:val="auto"/>
        </w:rPr>
        <w:t>In January 2021, the Board of Directors increased the authorization under its existing stock repurchase program by $100,000 reflecting an aggregate authorization for share repurchases since the initiation of our program of $500,000. The expiration date on the repurchase authorization is December 31, 2021. Repurchases occur at the Company’s discretion. Repurchases may be made in the open market or in privately negotiated transactions, pursuant to the applicable Securities and Exchange Commission rules. The amount and timing of future share repurchases, if any, will be made as market and business conditions warrant.</w:t>
      </w:r>
    </w:p>
    <w:p>
      <w:pPr>
        <w:spacing w:after="0" w:line="192" w:lineRule="exact"/>
        <w:rPr>
          <w:sz w:val="20"/>
          <w:szCs w:val="20"/>
          <w:color w:val="auto"/>
        </w:rPr>
      </w:pPr>
    </w:p>
    <w:p>
      <w:pPr>
        <w:ind w:left="60" w:right="199" w:firstLine="648"/>
        <w:spacing w:after="0" w:line="288" w:lineRule="auto"/>
        <w:rPr>
          <w:sz w:val="20"/>
          <w:szCs w:val="20"/>
          <w:color w:val="auto"/>
        </w:rPr>
      </w:pPr>
      <w:r>
        <w:rPr>
          <w:rFonts w:ascii="Arial" w:cs="Arial" w:eastAsia="Arial" w:hAnsi="Arial"/>
          <w:sz w:val="16"/>
          <w:szCs w:val="16"/>
          <w:color w:val="auto"/>
        </w:rPr>
        <w:t>On March 10, 2021, the Company entered into an accelerated share repurchase (“ASR”) agreement with Morgan Stanley &amp; Co. LLC (“Morgan Stanley”) to repurchase up to $35,000 of its outstanding shares of common stock as part of the Company’s share repurchase program. Under the ASR agreement, the Company received initial delivery of approximately 276 shares of common stock, representing approximately 80% of the number of shares of common stock initially underlying the ASR agreement based on the closing price of the common stock of $101.49, on March 9, 2021. The total number of shares that the Company will repurchase under the ASR program will be based on the volume-weighted average price of the common stock during the term of the ASR agreement, less a discount, and subject to potential adjustments pursuant to the terms and conditions of the ASR agreement. The final settlement of the share repurchases under the ASR agreement was completed on May 4, 2021 with additional delivery of 46 shares of common stock. The ASR agreement resulted in a total of 322 shares repurchased at an average cost of $108.76.</w:t>
      </w:r>
    </w:p>
    <w:p>
      <w:pPr>
        <w:spacing w:after="0" w:line="168" w:lineRule="exact"/>
        <w:rPr>
          <w:sz w:val="20"/>
          <w:szCs w:val="20"/>
          <w:color w:val="auto"/>
        </w:rPr>
      </w:pPr>
    </w:p>
    <w:p>
      <w:pPr>
        <w:ind w:left="60" w:right="239" w:firstLine="648"/>
        <w:spacing w:after="0" w:line="301" w:lineRule="auto"/>
        <w:rPr>
          <w:sz w:val="20"/>
          <w:szCs w:val="20"/>
          <w:color w:val="auto"/>
        </w:rPr>
      </w:pPr>
      <w:r>
        <w:rPr>
          <w:rFonts w:ascii="Arial" w:cs="Arial" w:eastAsia="Arial" w:hAnsi="Arial"/>
          <w:sz w:val="16"/>
          <w:szCs w:val="16"/>
          <w:color w:val="auto"/>
        </w:rPr>
        <w:t>During the three months ended March 31, 2021 the Company repurchased 567 shares of common stock, which includes shares received under the ASR on March 10, 2021, at an aggregate cost of $56,348. At March 31, 2021, there remained $191,924 available under its current share repurchase authorization. Shares repurchased in lieu of taxes are not included in the repurchase plan totals as they were approved in conjunction with the restricted share awards.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171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5657850" cy="1714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21" w:name="page22"/>
    <w:bookmarkEnd w:id="21"/>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Item 2.  Management’s Discussion and Analysis of Financial Condition and Results of Operations</w:t>
      </w:r>
    </w:p>
    <w:p>
      <w:pPr>
        <w:spacing w:after="0" w:line="229" w:lineRule="exact"/>
        <w:rPr>
          <w:sz w:val="20"/>
          <w:szCs w:val="20"/>
          <w:color w:val="auto"/>
        </w:rPr>
      </w:pPr>
    </w:p>
    <w:p>
      <w:pPr>
        <w:ind w:left="60" w:right="559" w:firstLine="648"/>
        <w:spacing w:after="0" w:line="308" w:lineRule="auto"/>
        <w:rPr>
          <w:sz w:val="20"/>
          <w:szCs w:val="20"/>
          <w:color w:val="auto"/>
        </w:rPr>
      </w:pPr>
      <w:r>
        <w:rPr>
          <w:rFonts w:ascii="Arial" w:cs="Arial" w:eastAsia="Arial" w:hAnsi="Arial"/>
          <w:sz w:val="17"/>
          <w:szCs w:val="17"/>
          <w:i w:val="1"/>
          <w:iCs w:val="1"/>
          <w:color w:val="auto"/>
        </w:rPr>
        <w:t>The following discussion and analysis of our financial condition and results of operations should be read in conjunction with the financial statements and related notes that appear elsewhere in this report.</w:t>
      </w:r>
    </w:p>
    <w:p>
      <w:pPr>
        <w:spacing w:after="0" w:line="142"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Forward-Looking Statements</w:t>
      </w:r>
    </w:p>
    <w:p>
      <w:pPr>
        <w:spacing w:after="0" w:line="229" w:lineRule="exact"/>
        <w:rPr>
          <w:sz w:val="20"/>
          <w:szCs w:val="20"/>
          <w:color w:val="auto"/>
        </w:rPr>
      </w:pPr>
    </w:p>
    <w:p>
      <w:pPr>
        <w:ind w:left="60" w:right="159" w:firstLine="648"/>
        <w:spacing w:after="0" w:line="287" w:lineRule="auto"/>
        <w:rPr>
          <w:sz w:val="20"/>
          <w:szCs w:val="20"/>
          <w:color w:val="auto"/>
        </w:rPr>
      </w:pPr>
      <w:r>
        <w:rPr>
          <w:rFonts w:ascii="Arial" w:cs="Arial" w:eastAsia="Arial" w:hAnsi="Arial"/>
          <w:sz w:val="16"/>
          <w:szCs w:val="16"/>
          <w:color w:val="auto"/>
        </w:rPr>
        <w:t xml:space="preserve">This Quarterly Report on Form 10-Q, including Item 2, </w:t>
      </w:r>
      <w:r>
        <w:rPr>
          <w:rFonts w:ascii="Arial" w:cs="Arial" w:eastAsia="Arial" w:hAnsi="Arial"/>
          <w:sz w:val="16"/>
          <w:szCs w:val="16"/>
          <w:i w:val="1"/>
          <w:iCs w:val="1"/>
          <w:color w:val="auto"/>
        </w:rPr>
        <w:t>Management’s Discussion and Analysis of Financial</w:t>
      </w:r>
      <w:r>
        <w:rPr>
          <w:rFonts w:ascii="Arial" w:cs="Arial" w:eastAsia="Arial" w:hAnsi="Arial"/>
          <w:sz w:val="16"/>
          <w:szCs w:val="16"/>
          <w:color w:val="auto"/>
        </w:rPr>
        <w:t xml:space="preserve"> </w:t>
      </w:r>
      <w:r>
        <w:rPr>
          <w:rFonts w:ascii="Arial" w:cs="Arial" w:eastAsia="Arial" w:hAnsi="Arial"/>
          <w:sz w:val="16"/>
          <w:szCs w:val="16"/>
          <w:i w:val="1"/>
          <w:iCs w:val="1"/>
          <w:color w:val="auto"/>
        </w:rPr>
        <w:t>Condition and Results of Operations</w:t>
      </w:r>
      <w:r>
        <w:rPr>
          <w:rFonts w:ascii="Arial" w:cs="Arial" w:eastAsia="Arial" w:hAnsi="Arial"/>
          <w:sz w:val="16"/>
          <w:szCs w:val="16"/>
          <w:color w:val="auto"/>
        </w:rPr>
        <w:t>, contains certain “forward-looking statements” within the meaning of Section 27A of</w:t>
      </w:r>
      <w:r>
        <w:rPr>
          <w:rFonts w:ascii="Arial" w:cs="Arial" w:eastAsia="Arial" w:hAnsi="Arial"/>
          <w:sz w:val="16"/>
          <w:szCs w:val="16"/>
          <w:i w:val="1"/>
          <w:iCs w:val="1"/>
          <w:color w:val="auto"/>
        </w:rPr>
        <w:t xml:space="preserve"> </w:t>
      </w:r>
      <w:r>
        <w:rPr>
          <w:rFonts w:ascii="Arial" w:cs="Arial" w:eastAsia="Arial" w:hAnsi="Arial"/>
          <w:sz w:val="16"/>
          <w:szCs w:val="16"/>
          <w:color w:val="auto"/>
        </w:rPr>
        <w:t>Securities Act of 1933, as amended, and Section 21E of the Securities Exchange Act of 1934, as amended (the “Exchange Act”). These forward-looking statements include, without limitation: statements regarding proposed new programs; statements as to whether regulatory developments or other matters may or may not have a material adverse effect on our financial position, results of operations, or liquidity; statements concerning projections, predictions, expectations, estimates, or forecasts as to our business, financial and operational results, and future economic performance; and statements of management’s goals and objectives and other similar expressions concerning matters that are not historical facts. Words such as “may,” “should,” “could,” “would,” “predicts,” “potential,” “continue,” “expects,” “anticipates,” “future,” “intends,” “plans,” “believes,” “estimates” and similar expressions, the negative of these expressions, as well as statements in future tense, identify forward-looking statements. You can also identify forward-looking statements by discussions of strategy, plans or intentions of management.</w:t>
      </w:r>
    </w:p>
    <w:p>
      <w:pPr>
        <w:spacing w:after="0" w:line="168" w:lineRule="exact"/>
        <w:rPr>
          <w:sz w:val="20"/>
          <w:szCs w:val="20"/>
          <w:color w:val="auto"/>
        </w:rPr>
      </w:pPr>
    </w:p>
    <w:p>
      <w:pPr>
        <w:ind w:left="60" w:right="99" w:firstLine="648"/>
        <w:spacing w:after="0" w:line="268" w:lineRule="auto"/>
        <w:rPr>
          <w:sz w:val="20"/>
          <w:szCs w:val="20"/>
          <w:color w:val="auto"/>
        </w:rPr>
      </w:pPr>
      <w:r>
        <w:rPr>
          <w:rFonts w:ascii="Arial" w:cs="Arial" w:eastAsia="Arial" w:hAnsi="Arial"/>
          <w:sz w:val="17"/>
          <w:szCs w:val="17"/>
          <w:color w:val="auto"/>
        </w:rPr>
        <w:t>Forward-looking statements should not be read as a guarantee of future performance or results and will not necessarily be accurate indications of the times at, or by, which such performance or results will be achieved. Forward-looking statements are based on information available at the time those statements are made or management’s good faith belief as of that time with respect to future events, and are subject to risks and uncertainties that could cause actual performance or results to differ materially from those expressed in or suggested by the forward-looking statements. Currently, one of the most significant factors that could cause actual outcomes to differ materially from our forward-looking statements is the continuing potential adverse effects of the COVID-19 pandemic, and federal, state and/or local regulatory guidelines and private business actions to control it, on the global economy and the financial markets, the higher education industry in which we operate, our university partners, and, ultimately, on our financial condition, operating results and cash flows. The extent to which the COVID-19 pandemic will continue to impact us and our university partners will depend on future developments, including the scope, severity and duration of the pandemic, and the resulting economic impacts and potential changes in behavior, among others, all of which are highly uncertain and cannot be predicted with confidence. Important factors that could cause such differences, and which may be further heightened by the COVID-19 pandemic, include, but are not limited to:</w:t>
      </w:r>
    </w:p>
    <w:p>
      <w:pPr>
        <w:spacing w:after="0" w:line="184" w:lineRule="exact"/>
        <w:rPr>
          <w:sz w:val="20"/>
          <w:szCs w:val="20"/>
          <w:color w:val="auto"/>
        </w:rPr>
      </w:pPr>
    </w:p>
    <w:p>
      <w:pPr>
        <w:ind w:left="720" w:right="619" w:hanging="319"/>
        <w:spacing w:after="0" w:line="342" w:lineRule="auto"/>
        <w:tabs>
          <w:tab w:leader="none" w:pos="720" w:val="left"/>
        </w:tabs>
        <w:numPr>
          <w:ilvl w:val="0"/>
          <w:numId w:val="6"/>
        </w:numPr>
        <w:rPr>
          <w:rFonts w:ascii="Arial" w:cs="Arial" w:eastAsia="Arial" w:hAnsi="Arial"/>
          <w:sz w:val="16"/>
          <w:szCs w:val="16"/>
          <w:color w:val="auto"/>
        </w:rPr>
      </w:pPr>
      <w:r>
        <w:rPr>
          <w:rFonts w:ascii="Arial" w:cs="Arial" w:eastAsia="Arial" w:hAnsi="Arial"/>
          <w:sz w:val="16"/>
          <w:szCs w:val="16"/>
          <w:color w:val="auto"/>
        </w:rPr>
        <w:t>the harm to our business, results of operations, and financial condition, and harm to our university partners resulting from epidemics, pandemics, including the COVID-19 outbreak, or public health crises;</w:t>
      </w:r>
    </w:p>
    <w:p>
      <w:pPr>
        <w:spacing w:after="0" w:line="123" w:lineRule="exact"/>
        <w:rPr>
          <w:rFonts w:ascii="Arial" w:cs="Arial" w:eastAsia="Arial" w:hAnsi="Arial"/>
          <w:sz w:val="16"/>
          <w:szCs w:val="16"/>
          <w:color w:val="auto"/>
        </w:rPr>
      </w:pPr>
    </w:p>
    <w:p>
      <w:pPr>
        <w:ind w:left="720" w:right="99" w:hanging="319"/>
        <w:spacing w:after="0" w:line="277" w:lineRule="auto"/>
        <w:tabs>
          <w:tab w:leader="none" w:pos="720" w:val="left"/>
        </w:tabs>
        <w:numPr>
          <w:ilvl w:val="0"/>
          <w:numId w:val="6"/>
        </w:numPr>
        <w:rPr>
          <w:rFonts w:ascii="Arial" w:cs="Arial" w:eastAsia="Arial" w:hAnsi="Arial"/>
          <w:sz w:val="18"/>
          <w:szCs w:val="18"/>
          <w:color w:val="auto"/>
        </w:rPr>
      </w:pPr>
      <w:r>
        <w:rPr>
          <w:rFonts w:ascii="Arial" w:cs="Arial" w:eastAsia="Arial" w:hAnsi="Arial"/>
          <w:sz w:val="18"/>
          <w:szCs w:val="18"/>
          <w:color w:val="auto"/>
        </w:rPr>
        <w:t>the occurrence of any event, change or other circumstance that could give rise to the termination of any of the key university partner agreements;</w:t>
      </w:r>
    </w:p>
    <w:p>
      <w:pPr>
        <w:spacing w:after="0" w:line="170" w:lineRule="exact"/>
        <w:rPr>
          <w:rFonts w:ascii="Arial" w:cs="Arial" w:eastAsia="Arial" w:hAnsi="Arial"/>
          <w:sz w:val="18"/>
          <w:szCs w:val="18"/>
          <w:color w:val="auto"/>
        </w:rPr>
      </w:pPr>
    </w:p>
    <w:p>
      <w:pPr>
        <w:ind w:left="720" w:right="599" w:hanging="319"/>
        <w:spacing w:after="0" w:line="311" w:lineRule="auto"/>
        <w:tabs>
          <w:tab w:leader="none" w:pos="720" w:val="left"/>
        </w:tabs>
        <w:numPr>
          <w:ilvl w:val="0"/>
          <w:numId w:val="6"/>
        </w:numPr>
        <w:rPr>
          <w:rFonts w:ascii="Arial" w:cs="Arial" w:eastAsia="Arial" w:hAnsi="Arial"/>
          <w:sz w:val="16"/>
          <w:szCs w:val="16"/>
          <w:color w:val="auto"/>
        </w:rPr>
      </w:pPr>
      <w:r>
        <w:rPr>
          <w:rFonts w:ascii="Arial" w:cs="Arial" w:eastAsia="Arial" w:hAnsi="Arial"/>
          <w:sz w:val="16"/>
          <w:szCs w:val="16"/>
          <w:color w:val="auto"/>
        </w:rPr>
        <w:t>our ability to properly manage risks and challenges associated with strategic initiatives, including potential acquisitions or divestitures of, or investments in, new businesses, acquisitions of new properties and new university partners, and expansion of services provided to our existing university partners;</w:t>
      </w:r>
    </w:p>
    <w:p>
      <w:pPr>
        <w:spacing w:after="0" w:line="148" w:lineRule="exact"/>
        <w:rPr>
          <w:rFonts w:ascii="Arial" w:cs="Arial" w:eastAsia="Arial" w:hAnsi="Arial"/>
          <w:sz w:val="16"/>
          <w:szCs w:val="16"/>
          <w:color w:val="auto"/>
        </w:rPr>
      </w:pPr>
    </w:p>
    <w:p>
      <w:pPr>
        <w:ind w:left="720" w:right="159" w:hanging="319"/>
        <w:spacing w:after="0" w:line="311" w:lineRule="auto"/>
        <w:tabs>
          <w:tab w:leader="none" w:pos="720" w:val="left"/>
        </w:tabs>
        <w:numPr>
          <w:ilvl w:val="0"/>
          <w:numId w:val="6"/>
        </w:numPr>
        <w:rPr>
          <w:rFonts w:ascii="Arial" w:cs="Arial" w:eastAsia="Arial" w:hAnsi="Arial"/>
          <w:sz w:val="16"/>
          <w:szCs w:val="16"/>
          <w:color w:val="auto"/>
        </w:rPr>
      </w:pPr>
      <w:r>
        <w:rPr>
          <w:rFonts w:ascii="Arial" w:cs="Arial" w:eastAsia="Arial" w:hAnsi="Arial"/>
          <w:sz w:val="16"/>
          <w:szCs w:val="16"/>
          <w:color w:val="auto"/>
        </w:rPr>
        <w:t>our failure to comply with the extensive regulatory framework applicable to us either directly as a third-party service provider or indirectly through our university partners, including Title IV of the Higher Education Act and the regulations thereunder, state laws and regulatory requirements, and accrediting commission requirements;</w:t>
      </w:r>
    </w:p>
    <w:p>
      <w:pPr>
        <w:spacing w:after="0" w:line="148" w:lineRule="exact"/>
        <w:rPr>
          <w:rFonts w:ascii="Arial" w:cs="Arial" w:eastAsia="Arial" w:hAnsi="Arial"/>
          <w:sz w:val="16"/>
          <w:szCs w:val="16"/>
          <w:color w:val="auto"/>
        </w:rPr>
      </w:pPr>
    </w:p>
    <w:p>
      <w:pPr>
        <w:ind w:left="720" w:right="479" w:hanging="319"/>
        <w:spacing w:after="0" w:line="277" w:lineRule="auto"/>
        <w:tabs>
          <w:tab w:leader="none" w:pos="720" w:val="left"/>
        </w:tabs>
        <w:numPr>
          <w:ilvl w:val="0"/>
          <w:numId w:val="6"/>
        </w:numPr>
        <w:rPr>
          <w:rFonts w:ascii="Arial" w:cs="Arial" w:eastAsia="Arial" w:hAnsi="Arial"/>
          <w:sz w:val="18"/>
          <w:szCs w:val="18"/>
          <w:color w:val="auto"/>
        </w:rPr>
      </w:pPr>
      <w:r>
        <w:rPr>
          <w:rFonts w:ascii="Arial" w:cs="Arial" w:eastAsia="Arial" w:hAnsi="Arial"/>
          <w:sz w:val="18"/>
          <w:szCs w:val="18"/>
          <w:color w:val="auto"/>
        </w:rPr>
        <w:t>the ability of our university partners’ students to obtain federal Title IV funds, state financial aid, and private financing;</w:t>
      </w:r>
    </w:p>
    <w:p>
      <w:pPr>
        <w:spacing w:after="0" w:line="3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603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22" w:name="page23"/>
    <w:bookmarkEnd w:id="22"/>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720" w:right="359" w:hanging="319"/>
        <w:spacing w:after="0" w:line="263" w:lineRule="auto"/>
        <w:tabs>
          <w:tab w:leader="none" w:pos="720" w:val="left"/>
        </w:tabs>
        <w:numPr>
          <w:ilvl w:val="0"/>
          <w:numId w:val="7"/>
        </w:numPr>
        <w:rPr>
          <w:rFonts w:ascii="Arial" w:cs="Arial" w:eastAsia="Arial" w:hAnsi="Arial"/>
          <w:sz w:val="18"/>
          <w:szCs w:val="18"/>
          <w:color w:val="auto"/>
        </w:rPr>
      </w:pPr>
      <w:r>
        <w:rPr>
          <w:rFonts w:ascii="Arial" w:cs="Arial" w:eastAsia="Arial" w:hAnsi="Arial"/>
          <w:sz w:val="18"/>
          <w:szCs w:val="18"/>
          <w:color w:val="auto"/>
        </w:rPr>
        <w:t>potential damage to our reputation or other adverse effects as a result of negative publicity in the media, in the industry or in connection with governmental reports or investigations or otherwise, affecting us or other companies in the education services sector;</w:t>
      </w:r>
    </w:p>
    <w:p>
      <w:pPr>
        <w:spacing w:after="0" w:line="183" w:lineRule="exact"/>
        <w:rPr>
          <w:rFonts w:ascii="Arial" w:cs="Arial" w:eastAsia="Arial" w:hAnsi="Arial"/>
          <w:sz w:val="18"/>
          <w:szCs w:val="18"/>
          <w:color w:val="auto"/>
        </w:rPr>
      </w:pPr>
    </w:p>
    <w:p>
      <w:pPr>
        <w:ind w:left="720" w:right="299" w:hanging="319"/>
        <w:spacing w:after="0" w:line="263" w:lineRule="auto"/>
        <w:tabs>
          <w:tab w:leader="none" w:pos="720" w:val="left"/>
        </w:tabs>
        <w:numPr>
          <w:ilvl w:val="0"/>
          <w:numId w:val="7"/>
        </w:numPr>
        <w:rPr>
          <w:rFonts w:ascii="Arial" w:cs="Arial" w:eastAsia="Arial" w:hAnsi="Arial"/>
          <w:sz w:val="18"/>
          <w:szCs w:val="18"/>
          <w:color w:val="auto"/>
        </w:rPr>
      </w:pPr>
      <w:r>
        <w:rPr>
          <w:rFonts w:ascii="Arial" w:cs="Arial" w:eastAsia="Arial" w:hAnsi="Arial"/>
          <w:sz w:val="18"/>
          <w:szCs w:val="18"/>
          <w:color w:val="auto"/>
        </w:rPr>
        <w:t>risks associated with changes in applicable federal and state laws and regulations and accrediting commission standards, including pending rulemaking by the Department of Education applicable to us directly or indirectly through our university partners;</w:t>
      </w:r>
    </w:p>
    <w:p>
      <w:pPr>
        <w:spacing w:after="0" w:line="183" w:lineRule="exact"/>
        <w:rPr>
          <w:rFonts w:ascii="Arial" w:cs="Arial" w:eastAsia="Arial" w:hAnsi="Arial"/>
          <w:sz w:val="18"/>
          <w:szCs w:val="18"/>
          <w:color w:val="auto"/>
        </w:rPr>
      </w:pPr>
    </w:p>
    <w:p>
      <w:pPr>
        <w:ind w:left="720" w:right="599" w:hanging="319"/>
        <w:spacing w:after="0" w:line="277" w:lineRule="auto"/>
        <w:tabs>
          <w:tab w:leader="none" w:pos="720" w:val="left"/>
        </w:tabs>
        <w:numPr>
          <w:ilvl w:val="0"/>
          <w:numId w:val="7"/>
        </w:numPr>
        <w:rPr>
          <w:rFonts w:ascii="Arial" w:cs="Arial" w:eastAsia="Arial" w:hAnsi="Arial"/>
          <w:sz w:val="18"/>
          <w:szCs w:val="18"/>
          <w:color w:val="auto"/>
        </w:rPr>
      </w:pPr>
      <w:r>
        <w:rPr>
          <w:rFonts w:ascii="Arial" w:cs="Arial" w:eastAsia="Arial" w:hAnsi="Arial"/>
          <w:sz w:val="18"/>
          <w:szCs w:val="18"/>
          <w:color w:val="auto"/>
        </w:rPr>
        <w:t>competition from other education service companies in our geographic region and market sector, including competition for students, qualified executives and other personnel;</w:t>
      </w:r>
    </w:p>
    <w:p>
      <w:pPr>
        <w:spacing w:after="0" w:line="170" w:lineRule="exact"/>
        <w:rPr>
          <w:rFonts w:ascii="Arial" w:cs="Arial" w:eastAsia="Arial" w:hAnsi="Arial"/>
          <w:sz w:val="18"/>
          <w:szCs w:val="18"/>
          <w:color w:val="auto"/>
        </w:rPr>
      </w:pPr>
    </w:p>
    <w:p>
      <w:pPr>
        <w:ind w:left="720" w:hanging="319"/>
        <w:spacing w:after="0"/>
        <w:tabs>
          <w:tab w:leader="none" w:pos="720" w:val="left"/>
        </w:tabs>
        <w:numPr>
          <w:ilvl w:val="0"/>
          <w:numId w:val="7"/>
        </w:numPr>
        <w:rPr>
          <w:rFonts w:ascii="Arial" w:cs="Arial" w:eastAsia="Arial" w:hAnsi="Arial"/>
          <w:sz w:val="18"/>
          <w:szCs w:val="18"/>
          <w:color w:val="auto"/>
        </w:rPr>
      </w:pPr>
      <w:r>
        <w:rPr>
          <w:rFonts w:ascii="Arial" w:cs="Arial" w:eastAsia="Arial" w:hAnsi="Arial"/>
          <w:sz w:val="18"/>
          <w:szCs w:val="18"/>
          <w:color w:val="auto"/>
        </w:rPr>
        <w:t>our expected tax payments and tax rate;</w:t>
      </w:r>
    </w:p>
    <w:p>
      <w:pPr>
        <w:spacing w:after="0" w:line="225" w:lineRule="exact"/>
        <w:rPr>
          <w:rFonts w:ascii="Arial" w:cs="Arial" w:eastAsia="Arial" w:hAnsi="Arial"/>
          <w:sz w:val="18"/>
          <w:szCs w:val="18"/>
          <w:color w:val="auto"/>
        </w:rPr>
      </w:pPr>
    </w:p>
    <w:p>
      <w:pPr>
        <w:ind w:left="720" w:hanging="319"/>
        <w:spacing w:after="0"/>
        <w:tabs>
          <w:tab w:leader="none" w:pos="720" w:val="left"/>
        </w:tabs>
        <w:numPr>
          <w:ilvl w:val="0"/>
          <w:numId w:val="7"/>
        </w:numPr>
        <w:rPr>
          <w:rFonts w:ascii="Arial" w:cs="Arial" w:eastAsia="Arial" w:hAnsi="Arial"/>
          <w:sz w:val="18"/>
          <w:szCs w:val="18"/>
          <w:color w:val="auto"/>
        </w:rPr>
      </w:pPr>
      <w:r>
        <w:rPr>
          <w:rFonts w:ascii="Arial" w:cs="Arial" w:eastAsia="Arial" w:hAnsi="Arial"/>
          <w:sz w:val="18"/>
          <w:szCs w:val="18"/>
          <w:color w:val="auto"/>
        </w:rPr>
        <w:t>our ability to hire and train new, and develop and train existing, employees;</w:t>
      </w:r>
    </w:p>
    <w:p>
      <w:pPr>
        <w:spacing w:after="0" w:line="225" w:lineRule="exact"/>
        <w:rPr>
          <w:rFonts w:ascii="Arial" w:cs="Arial" w:eastAsia="Arial" w:hAnsi="Arial"/>
          <w:sz w:val="18"/>
          <w:szCs w:val="18"/>
          <w:color w:val="auto"/>
        </w:rPr>
      </w:pPr>
    </w:p>
    <w:p>
      <w:pPr>
        <w:ind w:left="720" w:hanging="319"/>
        <w:spacing w:after="0"/>
        <w:tabs>
          <w:tab w:leader="none" w:pos="720" w:val="left"/>
        </w:tabs>
        <w:numPr>
          <w:ilvl w:val="0"/>
          <w:numId w:val="7"/>
        </w:numPr>
        <w:rPr>
          <w:rFonts w:ascii="Arial" w:cs="Arial" w:eastAsia="Arial" w:hAnsi="Arial"/>
          <w:sz w:val="18"/>
          <w:szCs w:val="18"/>
          <w:color w:val="auto"/>
        </w:rPr>
      </w:pPr>
      <w:r>
        <w:rPr>
          <w:rFonts w:ascii="Arial" w:cs="Arial" w:eastAsia="Arial" w:hAnsi="Arial"/>
          <w:sz w:val="18"/>
          <w:szCs w:val="18"/>
          <w:color w:val="auto"/>
        </w:rPr>
        <w:t>the pace of growth of our university partners’ enrollment and its effect on the pace of our own growth;</w:t>
      </w:r>
    </w:p>
    <w:p>
      <w:pPr>
        <w:spacing w:after="0" w:line="225" w:lineRule="exact"/>
        <w:rPr>
          <w:rFonts w:ascii="Arial" w:cs="Arial" w:eastAsia="Arial" w:hAnsi="Arial"/>
          <w:sz w:val="18"/>
          <w:szCs w:val="18"/>
          <w:color w:val="auto"/>
        </w:rPr>
      </w:pPr>
    </w:p>
    <w:p>
      <w:pPr>
        <w:ind w:left="720" w:hanging="319"/>
        <w:spacing w:after="0"/>
        <w:tabs>
          <w:tab w:leader="none" w:pos="720" w:val="left"/>
        </w:tabs>
        <w:numPr>
          <w:ilvl w:val="0"/>
          <w:numId w:val="7"/>
        </w:numPr>
        <w:rPr>
          <w:rFonts w:ascii="Arial" w:cs="Arial" w:eastAsia="Arial" w:hAnsi="Arial"/>
          <w:sz w:val="18"/>
          <w:szCs w:val="18"/>
          <w:color w:val="auto"/>
        </w:rPr>
      </w:pPr>
      <w:r>
        <w:rPr>
          <w:rFonts w:ascii="Arial" w:cs="Arial" w:eastAsia="Arial" w:hAnsi="Arial"/>
          <w:sz w:val="18"/>
          <w:szCs w:val="18"/>
          <w:color w:val="auto"/>
        </w:rPr>
        <w:t>fluctuations in our revenues due to seasonality;</w:t>
      </w:r>
    </w:p>
    <w:p>
      <w:pPr>
        <w:spacing w:after="0" w:line="225" w:lineRule="exact"/>
        <w:rPr>
          <w:rFonts w:ascii="Arial" w:cs="Arial" w:eastAsia="Arial" w:hAnsi="Arial"/>
          <w:sz w:val="18"/>
          <w:szCs w:val="18"/>
          <w:color w:val="auto"/>
        </w:rPr>
      </w:pPr>
    </w:p>
    <w:p>
      <w:pPr>
        <w:ind w:left="720" w:right="199" w:hanging="319"/>
        <w:spacing w:after="0" w:line="277" w:lineRule="auto"/>
        <w:tabs>
          <w:tab w:leader="none" w:pos="720" w:val="left"/>
        </w:tabs>
        <w:numPr>
          <w:ilvl w:val="0"/>
          <w:numId w:val="7"/>
        </w:numPr>
        <w:rPr>
          <w:rFonts w:ascii="Arial" w:cs="Arial" w:eastAsia="Arial" w:hAnsi="Arial"/>
          <w:sz w:val="18"/>
          <w:szCs w:val="18"/>
          <w:color w:val="auto"/>
        </w:rPr>
      </w:pPr>
      <w:r>
        <w:rPr>
          <w:rFonts w:ascii="Arial" w:cs="Arial" w:eastAsia="Arial" w:hAnsi="Arial"/>
          <w:sz w:val="18"/>
          <w:szCs w:val="18"/>
          <w:color w:val="auto"/>
        </w:rPr>
        <w:t>our ability to, on behalf of our university partners, convert prospective students to enrolled students and to retain active students to graduation;</w:t>
      </w:r>
    </w:p>
    <w:p>
      <w:pPr>
        <w:spacing w:after="0" w:line="170" w:lineRule="exact"/>
        <w:rPr>
          <w:rFonts w:ascii="Arial" w:cs="Arial" w:eastAsia="Arial" w:hAnsi="Arial"/>
          <w:sz w:val="18"/>
          <w:szCs w:val="18"/>
          <w:color w:val="auto"/>
        </w:rPr>
      </w:pPr>
    </w:p>
    <w:p>
      <w:pPr>
        <w:ind w:left="720" w:right="219" w:hanging="319"/>
        <w:spacing w:after="0" w:line="277" w:lineRule="auto"/>
        <w:tabs>
          <w:tab w:leader="none" w:pos="720" w:val="left"/>
        </w:tabs>
        <w:numPr>
          <w:ilvl w:val="0"/>
          <w:numId w:val="7"/>
        </w:numPr>
        <w:rPr>
          <w:rFonts w:ascii="Arial" w:cs="Arial" w:eastAsia="Arial" w:hAnsi="Arial"/>
          <w:sz w:val="18"/>
          <w:szCs w:val="18"/>
          <w:color w:val="auto"/>
        </w:rPr>
      </w:pPr>
      <w:r>
        <w:rPr>
          <w:rFonts w:ascii="Arial" w:cs="Arial" w:eastAsia="Arial" w:hAnsi="Arial"/>
          <w:sz w:val="18"/>
          <w:szCs w:val="18"/>
          <w:color w:val="auto"/>
        </w:rPr>
        <w:t>our success in updating and expanding the content of existing programs and developing new programs in a cost-effective manner or on a timely basis for our university partners;</w:t>
      </w:r>
    </w:p>
    <w:p>
      <w:pPr>
        <w:spacing w:after="0" w:line="170" w:lineRule="exact"/>
        <w:rPr>
          <w:rFonts w:ascii="Arial" w:cs="Arial" w:eastAsia="Arial" w:hAnsi="Arial"/>
          <w:sz w:val="18"/>
          <w:szCs w:val="18"/>
          <w:color w:val="auto"/>
        </w:rPr>
      </w:pPr>
    </w:p>
    <w:p>
      <w:pPr>
        <w:ind w:left="720" w:hanging="319"/>
        <w:spacing w:after="0"/>
        <w:tabs>
          <w:tab w:leader="none" w:pos="720" w:val="left"/>
        </w:tabs>
        <w:numPr>
          <w:ilvl w:val="0"/>
          <w:numId w:val="7"/>
        </w:numPr>
        <w:rPr>
          <w:rFonts w:ascii="Arial" w:cs="Arial" w:eastAsia="Arial" w:hAnsi="Arial"/>
          <w:sz w:val="17"/>
          <w:szCs w:val="17"/>
          <w:color w:val="auto"/>
        </w:rPr>
      </w:pPr>
      <w:r>
        <w:rPr>
          <w:rFonts w:ascii="Arial" w:cs="Arial" w:eastAsia="Arial" w:hAnsi="Arial"/>
          <w:sz w:val="17"/>
          <w:szCs w:val="17"/>
          <w:color w:val="auto"/>
        </w:rPr>
        <w:t>risks associated with the competitive environment for marketing the programs of our university partners;</w:t>
      </w:r>
    </w:p>
    <w:p>
      <w:pPr>
        <w:spacing w:after="0" w:line="236" w:lineRule="exact"/>
        <w:rPr>
          <w:rFonts w:ascii="Arial" w:cs="Arial" w:eastAsia="Arial" w:hAnsi="Arial"/>
          <w:sz w:val="17"/>
          <w:szCs w:val="17"/>
          <w:color w:val="auto"/>
        </w:rPr>
      </w:pPr>
    </w:p>
    <w:p>
      <w:pPr>
        <w:ind w:left="720" w:right="319" w:hanging="319"/>
        <w:spacing w:after="0" w:line="277" w:lineRule="auto"/>
        <w:tabs>
          <w:tab w:leader="none" w:pos="720" w:val="left"/>
        </w:tabs>
        <w:numPr>
          <w:ilvl w:val="0"/>
          <w:numId w:val="7"/>
        </w:numPr>
        <w:rPr>
          <w:rFonts w:ascii="Arial" w:cs="Arial" w:eastAsia="Arial" w:hAnsi="Arial"/>
          <w:sz w:val="18"/>
          <w:szCs w:val="18"/>
          <w:color w:val="auto"/>
        </w:rPr>
      </w:pPr>
      <w:r>
        <w:rPr>
          <w:rFonts w:ascii="Arial" w:cs="Arial" w:eastAsia="Arial" w:hAnsi="Arial"/>
          <w:sz w:val="18"/>
          <w:szCs w:val="18"/>
          <w:color w:val="auto"/>
        </w:rPr>
        <w:t>failure on our part to keep up with advances in technology that could enhance the experience for our university partners’ students;</w:t>
      </w:r>
    </w:p>
    <w:p>
      <w:pPr>
        <w:spacing w:after="0" w:line="170" w:lineRule="exact"/>
        <w:rPr>
          <w:rFonts w:ascii="Arial" w:cs="Arial" w:eastAsia="Arial" w:hAnsi="Arial"/>
          <w:sz w:val="18"/>
          <w:szCs w:val="18"/>
          <w:color w:val="auto"/>
        </w:rPr>
      </w:pPr>
    </w:p>
    <w:p>
      <w:pPr>
        <w:ind w:left="720" w:right="79" w:hanging="319"/>
        <w:spacing w:after="0" w:line="263" w:lineRule="auto"/>
        <w:tabs>
          <w:tab w:leader="none" w:pos="720" w:val="left"/>
        </w:tabs>
        <w:numPr>
          <w:ilvl w:val="0"/>
          <w:numId w:val="7"/>
        </w:numPr>
        <w:rPr>
          <w:rFonts w:ascii="Arial" w:cs="Arial" w:eastAsia="Arial" w:hAnsi="Arial"/>
          <w:sz w:val="18"/>
          <w:szCs w:val="18"/>
          <w:color w:val="auto"/>
        </w:rPr>
      </w:pPr>
      <w:r>
        <w:rPr>
          <w:rFonts w:ascii="Arial" w:cs="Arial" w:eastAsia="Arial" w:hAnsi="Arial"/>
          <w:sz w:val="18"/>
          <w:szCs w:val="18"/>
          <w:color w:val="auto"/>
        </w:rPr>
        <w:t>the extent to which obligations under our credit agreement, including the need to comply with restrictive and financial covenants and to pay principal and interest payments, limits our ability to conduct our operations or seek new business opportunities;</w:t>
      </w:r>
    </w:p>
    <w:p>
      <w:pPr>
        <w:spacing w:after="0" w:line="183" w:lineRule="exact"/>
        <w:rPr>
          <w:rFonts w:ascii="Arial" w:cs="Arial" w:eastAsia="Arial" w:hAnsi="Arial"/>
          <w:sz w:val="18"/>
          <w:szCs w:val="18"/>
          <w:color w:val="auto"/>
        </w:rPr>
      </w:pPr>
    </w:p>
    <w:p>
      <w:pPr>
        <w:ind w:left="720" w:hanging="319"/>
        <w:spacing w:after="0"/>
        <w:tabs>
          <w:tab w:leader="none" w:pos="720" w:val="left"/>
        </w:tabs>
        <w:numPr>
          <w:ilvl w:val="0"/>
          <w:numId w:val="7"/>
        </w:numPr>
        <w:rPr>
          <w:rFonts w:ascii="Arial" w:cs="Arial" w:eastAsia="Arial" w:hAnsi="Arial"/>
          <w:sz w:val="18"/>
          <w:szCs w:val="18"/>
          <w:color w:val="auto"/>
        </w:rPr>
      </w:pPr>
      <w:r>
        <w:rPr>
          <w:rFonts w:ascii="Arial" w:cs="Arial" w:eastAsia="Arial" w:hAnsi="Arial"/>
          <w:sz w:val="18"/>
          <w:szCs w:val="18"/>
          <w:color w:val="auto"/>
        </w:rPr>
        <w:t>our ability to manage future growth effectively;</w:t>
      </w:r>
    </w:p>
    <w:p>
      <w:pPr>
        <w:spacing w:after="0" w:line="225" w:lineRule="exact"/>
        <w:rPr>
          <w:rFonts w:ascii="Arial" w:cs="Arial" w:eastAsia="Arial" w:hAnsi="Arial"/>
          <w:sz w:val="18"/>
          <w:szCs w:val="18"/>
          <w:color w:val="auto"/>
        </w:rPr>
      </w:pPr>
    </w:p>
    <w:p>
      <w:pPr>
        <w:ind w:left="720" w:hanging="319"/>
        <w:spacing w:after="0"/>
        <w:tabs>
          <w:tab w:leader="none" w:pos="720" w:val="left"/>
        </w:tabs>
        <w:numPr>
          <w:ilvl w:val="0"/>
          <w:numId w:val="7"/>
        </w:numPr>
        <w:rPr>
          <w:rFonts w:ascii="Arial" w:cs="Arial" w:eastAsia="Arial" w:hAnsi="Arial"/>
          <w:sz w:val="18"/>
          <w:szCs w:val="18"/>
          <w:color w:val="auto"/>
        </w:rPr>
      </w:pPr>
      <w:r>
        <w:rPr>
          <w:rFonts w:ascii="Arial" w:cs="Arial" w:eastAsia="Arial" w:hAnsi="Arial"/>
          <w:sz w:val="18"/>
          <w:szCs w:val="18"/>
          <w:color w:val="auto"/>
        </w:rPr>
        <w:t>the impact of any natural disasters or public health emergencies; and</w:t>
      </w:r>
    </w:p>
    <w:p>
      <w:pPr>
        <w:spacing w:after="0" w:line="238" w:lineRule="exact"/>
        <w:rPr>
          <w:rFonts w:ascii="Arial" w:cs="Arial" w:eastAsia="Arial" w:hAnsi="Arial"/>
          <w:sz w:val="18"/>
          <w:szCs w:val="18"/>
          <w:color w:val="auto"/>
        </w:rPr>
      </w:pPr>
    </w:p>
    <w:p>
      <w:pPr>
        <w:ind w:left="720" w:right="699" w:hanging="319"/>
        <w:spacing w:after="0" w:line="277" w:lineRule="auto"/>
        <w:tabs>
          <w:tab w:leader="none" w:pos="720" w:val="left"/>
        </w:tabs>
        <w:numPr>
          <w:ilvl w:val="0"/>
          <w:numId w:val="7"/>
        </w:numPr>
        <w:rPr>
          <w:rFonts w:ascii="Arial" w:cs="Arial" w:eastAsia="Arial" w:hAnsi="Arial"/>
          <w:sz w:val="18"/>
          <w:szCs w:val="18"/>
          <w:color w:val="auto"/>
        </w:rPr>
      </w:pPr>
      <w:r>
        <w:rPr>
          <w:rFonts w:ascii="Arial" w:cs="Arial" w:eastAsia="Arial" w:hAnsi="Arial"/>
          <w:sz w:val="18"/>
          <w:szCs w:val="18"/>
          <w:color w:val="auto"/>
        </w:rPr>
        <w:t>general adverse economic conditions or other developments that affect the job prospects of our university partners’ students.</w:t>
      </w:r>
    </w:p>
    <w:p>
      <w:pPr>
        <w:spacing w:after="0" w:line="170" w:lineRule="exact"/>
        <w:rPr>
          <w:sz w:val="20"/>
          <w:szCs w:val="20"/>
          <w:color w:val="auto"/>
        </w:rPr>
      </w:pPr>
    </w:p>
    <w:p>
      <w:pPr>
        <w:ind w:left="60" w:right="99" w:firstLine="648"/>
        <w:spacing w:after="0" w:line="269" w:lineRule="auto"/>
        <w:rPr>
          <w:sz w:val="20"/>
          <w:szCs w:val="20"/>
          <w:color w:val="auto"/>
        </w:rPr>
      </w:pPr>
      <w:r>
        <w:rPr>
          <w:rFonts w:ascii="Arial" w:cs="Arial" w:eastAsia="Arial" w:hAnsi="Arial"/>
          <w:sz w:val="17"/>
          <w:szCs w:val="17"/>
          <w:color w:val="auto"/>
        </w:rPr>
        <w:t>Additional factors that could cause actual results to differ from those discussed in the forward-looking statements include, but are not limited to, those described in this “Management’s Discussion and Analysis of Financial Condition and Results of Operations” and in “Risk Factors” in Part I, Item 1A of our Annual Report on Form 10-K (the “2020 Form 10-K”) for the fiscal year ended December 31, 2020, as updated in our subsequent reports filed with the Securities and Exchange Commission (“SEC”), including any updates found in Part II, Item 1A of this Quarterly Report on Form 10-Q or our other reports on Form 10-Q. You should not put undue reliance on any forward-looking statements. Forward-looking statements speak only as of the date the statements are made and we assume no obligation to update forward-looking statements to reflect actual results, changes in assumptions, or changes in other factors affecting forward-looking information, except to the extent required by applicable securities laws. If we do update one or more forward-looking statements, no inference should be drawn that we will make additional updates with respect to those or other forward-looking statements.</w:t>
      </w:r>
    </w:p>
    <w:p>
      <w:pPr>
        <w:sectPr>
          <w:pgSz w:w="11900" w:h="16838" w:orient="portrait"/>
          <w:cols w:equalWidth="0" w:num="1">
            <w:col w:w="9019"/>
          </w:cols>
          <w:pgMar w:left="1440" w:top="517" w:right="1440" w:bottom="1440" w:gutter="0" w:footer="0" w:header="0"/>
        </w:sectPr>
      </w:pPr>
    </w:p>
    <w:p>
      <w:pPr>
        <w:spacing w:after="0" w:line="398"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540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23" w:name="page24"/>
    <w:bookmarkEnd w:id="23"/>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Explanatory Note</w:t>
      </w:r>
    </w:p>
    <w:p>
      <w:pPr>
        <w:spacing w:after="0" w:line="229" w:lineRule="exact"/>
        <w:rPr>
          <w:sz w:val="20"/>
          <w:szCs w:val="20"/>
          <w:color w:val="auto"/>
        </w:rPr>
      </w:pPr>
    </w:p>
    <w:p>
      <w:pPr>
        <w:ind w:left="60" w:right="179" w:firstLine="648"/>
        <w:spacing w:after="0" w:line="293" w:lineRule="auto"/>
        <w:rPr>
          <w:sz w:val="20"/>
          <w:szCs w:val="20"/>
          <w:color w:val="auto"/>
        </w:rPr>
      </w:pPr>
      <w:r>
        <w:rPr>
          <w:rFonts w:ascii="Arial" w:cs="Arial" w:eastAsia="Arial" w:hAnsi="Arial"/>
          <w:sz w:val="16"/>
          <w:szCs w:val="16"/>
          <w:color w:val="auto"/>
        </w:rPr>
        <w:t>Grand Canyon Education, Inc. (together with its subsidiaries, the “Company” or “GCE”) is a publicly traded education services company dedicated to serving colleges and universities. GCE has developed significant technological solutions, infrastructure and operational processes to provide services to these institutions on a large scale. GCE’s most significant university partner is Grand Canyon University (“GCU”), a comprehensive regionally accredited university that offers graduate and undergraduate degree programs, emphases and certificates across nine colleges both online and on ground at its campus in Phoenix, Arizona, and at two off-campus classroom and laboratory sites.</w:t>
      </w:r>
    </w:p>
    <w:p>
      <w:pPr>
        <w:spacing w:after="0" w:line="164" w:lineRule="exact"/>
        <w:rPr>
          <w:sz w:val="20"/>
          <w:szCs w:val="20"/>
          <w:color w:val="auto"/>
        </w:rPr>
      </w:pPr>
    </w:p>
    <w:p>
      <w:pPr>
        <w:ind w:left="60" w:right="159" w:firstLine="648"/>
        <w:spacing w:after="0" w:line="254" w:lineRule="auto"/>
        <w:rPr>
          <w:sz w:val="20"/>
          <w:szCs w:val="20"/>
          <w:color w:val="auto"/>
        </w:rPr>
      </w:pPr>
      <w:r>
        <w:rPr>
          <w:rFonts w:ascii="Arial" w:cs="Arial" w:eastAsia="Arial" w:hAnsi="Arial"/>
          <w:sz w:val="18"/>
          <w:szCs w:val="18"/>
          <w:color w:val="auto"/>
        </w:rPr>
        <w:t>In January 2019, GCE began providing education services to numerous university partners across the United States, through our wholly owned subsidiary, Orbis Education, which we acquired on January 22, 2019. In the healthcare field, GCE, together with Orbis Education, works in partnership with a growing number of top universities and healthcare networks across the country, offering healthcare-related academic programs at off-campus classroom and laboratory sites located near healthcare providers and developing high-quality, career-ready graduates who enter the workforce ready to meet the demands of the healthcare industry. As of March 31, 2021, GCE provides education services to 26 university partners across the United States.</w:t>
      </w:r>
    </w:p>
    <w:p>
      <w:pPr>
        <w:spacing w:after="0" w:line="195" w:lineRule="exact"/>
        <w:rPr>
          <w:sz w:val="20"/>
          <w:szCs w:val="20"/>
          <w:color w:val="auto"/>
        </w:rPr>
      </w:pPr>
    </w:p>
    <w:p>
      <w:pPr>
        <w:ind w:left="60" w:right="59" w:firstLine="648"/>
        <w:spacing w:after="0" w:line="293" w:lineRule="auto"/>
        <w:rPr>
          <w:sz w:val="20"/>
          <w:szCs w:val="20"/>
          <w:color w:val="auto"/>
        </w:rPr>
      </w:pPr>
      <w:r>
        <w:rPr>
          <w:rFonts w:ascii="Arial" w:cs="Arial" w:eastAsia="Arial" w:hAnsi="Arial"/>
          <w:sz w:val="16"/>
          <w:szCs w:val="16"/>
          <w:color w:val="auto"/>
        </w:rPr>
        <w:t>We plan to continue to add additional university partners and will roll out additional programs with both our existing partners and with new partners. We may engage with both new and existing university partners to offer healthcare programs, online only or hybrid programs, or, as is the case for our most significant partner, GCU, both healthcare and other programs. Therefore, we will refer to all university partners as “GCE partners” or “our partners” and will no longer differentiate between partners of GCE and partners of Orbis Education; we will, however, continue to disclose significant information for GCU, such as enrollments, due to its size in comparison to our other university partners.</w:t>
      </w:r>
    </w:p>
    <w:p>
      <w:pPr>
        <w:spacing w:after="0" w:line="160"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SIGNIFICANT DEVELOPMENTS</w:t>
      </w:r>
    </w:p>
    <w:p>
      <w:pPr>
        <w:spacing w:after="0" w:line="225"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Impact of COVID-19</w:t>
      </w:r>
    </w:p>
    <w:p>
      <w:pPr>
        <w:spacing w:after="0" w:line="229" w:lineRule="exact"/>
        <w:rPr>
          <w:sz w:val="20"/>
          <w:szCs w:val="20"/>
          <w:color w:val="auto"/>
        </w:rPr>
      </w:pPr>
    </w:p>
    <w:p>
      <w:pPr>
        <w:ind w:left="60" w:right="159" w:firstLine="648"/>
        <w:spacing w:after="0" w:line="255" w:lineRule="auto"/>
        <w:rPr>
          <w:sz w:val="20"/>
          <w:szCs w:val="20"/>
          <w:color w:val="auto"/>
        </w:rPr>
      </w:pPr>
      <w:r>
        <w:rPr>
          <w:rFonts w:ascii="Arial" w:cs="Arial" w:eastAsia="Arial" w:hAnsi="Arial"/>
          <w:sz w:val="18"/>
          <w:szCs w:val="18"/>
          <w:color w:val="231F20"/>
        </w:rPr>
        <w:t>In March 2020, the World Health Organization declared the COVID-19 outbreak to be a global pandemic. This contagious outbreak, which has continued to spread, and the related adverse public health developments, including orders to shelter-in-place, travel restrictions and mandated non-essential business closures, have adversely affected workforces, organizations, customers, economies and financial markets globally, leading to an economic downturn and increased market volatility. It has also disrupted the normal operations of many businesses, including ours, and that of our university partners.</w:t>
      </w:r>
    </w:p>
    <w:p>
      <w:pPr>
        <w:spacing w:after="0" w:line="192" w:lineRule="exact"/>
        <w:rPr>
          <w:sz w:val="20"/>
          <w:szCs w:val="20"/>
          <w:color w:val="auto"/>
        </w:rPr>
      </w:pPr>
    </w:p>
    <w:p>
      <w:pPr>
        <w:ind w:left="60" w:right="79" w:firstLine="648"/>
        <w:spacing w:after="0" w:line="271" w:lineRule="auto"/>
        <w:rPr>
          <w:sz w:val="20"/>
          <w:szCs w:val="20"/>
          <w:color w:val="auto"/>
        </w:rPr>
      </w:pPr>
      <w:r>
        <w:rPr>
          <w:rFonts w:ascii="Arial" w:cs="Arial" w:eastAsia="Arial" w:hAnsi="Arial"/>
          <w:sz w:val="17"/>
          <w:szCs w:val="17"/>
          <w:color w:val="231F20"/>
        </w:rPr>
        <w:t>GCE has a long-term master services agreement with GCU (the “Master Services Agreement”) pursuant to which GCE provides education services to GCU in return for 60% of GCU’s tuition and fee revenues, which includes fee revenues from room, board, and other ancillary businesses including a student-run golf course and hotel. GCU has four types of students: traditional ground university students, who attend class on its campus in Phoenix, Arizona and of which approximately 70% have historically lived on campus in university owned residence halls; professional studies students, who are working adult students who attend class one night a week on the Phoenix campus; online students who attend class fully online; and students who are studying in hybrid programs in which the ground component takes place at off-campus classroom and laboratory sites.</w:t>
      </w:r>
    </w:p>
    <w:p>
      <w:pPr>
        <w:spacing w:after="0" w:line="178" w:lineRule="exact"/>
        <w:rPr>
          <w:sz w:val="20"/>
          <w:szCs w:val="20"/>
          <w:color w:val="auto"/>
        </w:rPr>
      </w:pPr>
    </w:p>
    <w:p>
      <w:pPr>
        <w:ind w:left="60" w:right="99" w:firstLine="648"/>
        <w:spacing w:after="0" w:line="289" w:lineRule="auto"/>
        <w:rPr>
          <w:sz w:val="20"/>
          <w:szCs w:val="20"/>
          <w:color w:val="auto"/>
        </w:rPr>
      </w:pPr>
      <w:r>
        <w:rPr>
          <w:rFonts w:ascii="Arial" w:cs="Arial" w:eastAsia="Arial" w:hAnsi="Arial"/>
          <w:sz w:val="16"/>
          <w:szCs w:val="16"/>
          <w:color w:val="231F20"/>
        </w:rPr>
        <w:t>The COVID-19 outbreak, as well as measures taken to contain its spread, has impacted GCU’s students and its business in a number of ways. Beginning in March 2020, GCU’s programs for its professional studies students and its traditional ground university students were immediately converted to an online learning environment and residential students were strongly encouraged to move off campus. Summer 2020 semester classes were moved to an online environment as well and most students were given the choice of attending the Fall semester in person or completely online. Given GCE’s historical experience delivering online education services and the fact that all of GCU’s students and faculty use the university’s online learning management system for at least some of the coursework, the transition has been seamless and thus, the university has not incurred a significant decrease in tuition revenue or significant increase in costs associated with this transition. The following impacts from the COVID-19 pandemic, however, did</w:t>
      </w:r>
    </w:p>
    <w:p>
      <w:pPr>
        <w:sectPr>
          <w:pgSz w:w="11900" w:h="16838" w:orient="portrait"/>
          <w:cols w:equalWidth="0" w:num="1">
            <w:col w:w="9019"/>
          </w:cols>
          <w:pgMar w:left="1440" w:top="517" w:right="1440" w:bottom="1440" w:gutter="0" w:footer="0" w:header="0"/>
        </w:sectPr>
      </w:pPr>
    </w:p>
    <w:p>
      <w:pPr>
        <w:spacing w:after="0" w:line="382"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24" w:name="page25"/>
    <w:bookmarkEnd w:id="24"/>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399"/>
        <w:spacing w:after="0" w:line="277" w:lineRule="auto"/>
        <w:rPr>
          <w:sz w:val="20"/>
          <w:szCs w:val="20"/>
          <w:color w:val="auto"/>
        </w:rPr>
      </w:pPr>
      <w:r>
        <w:rPr>
          <w:rFonts w:ascii="Arial" w:cs="Arial" w:eastAsia="Arial" w:hAnsi="Arial"/>
          <w:sz w:val="18"/>
          <w:szCs w:val="18"/>
          <w:color w:val="231F20"/>
        </w:rPr>
        <w:t>serve to reduce GCU’s non-tuition revenue during 2020 and the Spring semester of 2021 and, consequently, the service revenues we earned under the Master Services Agreement:</w:t>
      </w:r>
    </w:p>
    <w:p>
      <w:pPr>
        <w:spacing w:after="0" w:line="386" w:lineRule="exact"/>
        <w:rPr>
          <w:sz w:val="20"/>
          <w:szCs w:val="20"/>
          <w:color w:val="auto"/>
        </w:rPr>
      </w:pPr>
    </w:p>
    <w:p>
      <w:pPr>
        <w:ind w:left="720" w:right="179" w:hanging="319"/>
        <w:spacing w:after="0" w:line="286" w:lineRule="auto"/>
        <w:tabs>
          <w:tab w:leader="none" w:pos="720" w:val="left"/>
        </w:tabs>
        <w:numPr>
          <w:ilvl w:val="0"/>
          <w:numId w:val="8"/>
        </w:numPr>
        <w:rPr>
          <w:rFonts w:ascii="Arial" w:cs="Arial" w:eastAsia="Arial" w:hAnsi="Arial"/>
          <w:sz w:val="17"/>
          <w:szCs w:val="17"/>
          <w:color w:val="231F20"/>
        </w:rPr>
      </w:pPr>
      <w:r>
        <w:rPr>
          <w:rFonts w:ascii="Arial" w:cs="Arial" w:eastAsia="Arial" w:hAnsi="Arial"/>
          <w:sz w:val="17"/>
          <w:szCs w:val="17"/>
          <w:color w:val="231F20"/>
        </w:rPr>
        <w:t>Traditional ground university students who elected to move off campus near the end of the Spring 2020 semester received partial refunds for dormitory and meal payments, which reduced GCU’s revenue and thus the service revenues earned by GCE in the last nine days of March 2020 and the month of April 2020;</w:t>
      </w:r>
    </w:p>
    <w:p>
      <w:pPr>
        <w:spacing w:after="0" w:line="165" w:lineRule="exact"/>
        <w:rPr>
          <w:rFonts w:ascii="Arial" w:cs="Arial" w:eastAsia="Arial" w:hAnsi="Arial"/>
          <w:sz w:val="17"/>
          <w:szCs w:val="17"/>
          <w:color w:val="231F20"/>
        </w:rPr>
      </w:pPr>
    </w:p>
    <w:p>
      <w:pPr>
        <w:jc w:val="both"/>
        <w:ind w:left="720" w:right="179" w:hanging="319"/>
        <w:spacing w:after="0" w:line="259" w:lineRule="auto"/>
        <w:tabs>
          <w:tab w:leader="none" w:pos="720" w:val="left"/>
        </w:tabs>
        <w:numPr>
          <w:ilvl w:val="0"/>
          <w:numId w:val="8"/>
        </w:numPr>
        <w:rPr>
          <w:rFonts w:ascii="Arial" w:cs="Arial" w:eastAsia="Arial" w:hAnsi="Arial"/>
          <w:sz w:val="18"/>
          <w:szCs w:val="18"/>
          <w:color w:val="231F20"/>
        </w:rPr>
      </w:pPr>
      <w:r>
        <w:rPr>
          <w:rFonts w:ascii="Arial" w:cs="Arial" w:eastAsia="Arial" w:hAnsi="Arial"/>
          <w:sz w:val="18"/>
          <w:szCs w:val="18"/>
          <w:color w:val="231F20"/>
        </w:rPr>
        <w:t>Ancillary businesses operated by GCU such as its hotel and merchandise shops were closed in late March 2020. Most of these businesses re-opened with scaled back operations in mid-September 2020, which reduced and will continue to reduce GCU’s revenues and thus the service revenues earned by GCE until these businesses are fully reopened;</w:t>
      </w:r>
    </w:p>
    <w:p>
      <w:pPr>
        <w:spacing w:after="0" w:line="186" w:lineRule="exact"/>
        <w:rPr>
          <w:rFonts w:ascii="Arial" w:cs="Arial" w:eastAsia="Arial" w:hAnsi="Arial"/>
          <w:sz w:val="18"/>
          <w:szCs w:val="18"/>
          <w:color w:val="231F20"/>
        </w:rPr>
      </w:pPr>
    </w:p>
    <w:p>
      <w:pPr>
        <w:ind w:left="720" w:right="559" w:hanging="319"/>
        <w:spacing w:after="0" w:line="277" w:lineRule="auto"/>
        <w:tabs>
          <w:tab w:leader="none" w:pos="720" w:val="left"/>
        </w:tabs>
        <w:numPr>
          <w:ilvl w:val="0"/>
          <w:numId w:val="8"/>
        </w:numPr>
        <w:rPr>
          <w:rFonts w:ascii="Arial" w:cs="Arial" w:eastAsia="Arial" w:hAnsi="Arial"/>
          <w:sz w:val="18"/>
          <w:szCs w:val="18"/>
          <w:color w:val="231F20"/>
        </w:rPr>
      </w:pPr>
      <w:r>
        <w:rPr>
          <w:rFonts w:ascii="Arial" w:cs="Arial" w:eastAsia="Arial" w:hAnsi="Arial"/>
          <w:sz w:val="18"/>
          <w:szCs w:val="18"/>
          <w:color w:val="231F20"/>
        </w:rPr>
        <w:t>Limited residential students remained on campus during the Summer 2020 semester, which reduced GCU’s dormitory and ancillary revenues and thus the service revenues earned by GCE;</w:t>
      </w:r>
    </w:p>
    <w:p>
      <w:pPr>
        <w:spacing w:after="0" w:line="170" w:lineRule="exact"/>
        <w:rPr>
          <w:rFonts w:ascii="Arial" w:cs="Arial" w:eastAsia="Arial" w:hAnsi="Arial"/>
          <w:sz w:val="18"/>
          <w:szCs w:val="18"/>
          <w:color w:val="231F20"/>
        </w:rPr>
      </w:pPr>
    </w:p>
    <w:p>
      <w:pPr>
        <w:ind w:left="720" w:right="99" w:hanging="319"/>
        <w:spacing w:after="0" w:line="253" w:lineRule="auto"/>
        <w:tabs>
          <w:tab w:leader="none" w:pos="720" w:val="left"/>
        </w:tabs>
        <w:numPr>
          <w:ilvl w:val="0"/>
          <w:numId w:val="8"/>
        </w:numPr>
        <w:rPr>
          <w:rFonts w:ascii="Arial" w:cs="Arial" w:eastAsia="Arial" w:hAnsi="Arial"/>
          <w:sz w:val="18"/>
          <w:szCs w:val="18"/>
          <w:color w:val="231F20"/>
        </w:rPr>
      </w:pPr>
      <w:r>
        <w:rPr>
          <w:rFonts w:ascii="Arial" w:cs="Arial" w:eastAsia="Arial" w:hAnsi="Arial"/>
          <w:sz w:val="18"/>
          <w:szCs w:val="18"/>
          <w:color w:val="231F20"/>
        </w:rPr>
        <w:t>GCU’s doctoral students are required to attend two residencies on the university’s campus and at its hotel in Phoenix, Arizona as part of their dissertation. On an annual basis approximately 3,000 learners attend the week-long residency, most of whom have historically attended in the Summer. Most of the residencies which were scheduled for the last week of March 2020 through the end of July 2020 were cancelled. The doctoral residencies scheduled for August 2020 through December 2020 were held at another location with lower than normal attendance. In the first quarter of 2021, doctoral residencies returned to the university’s campus and its hotel, although at lower than normal attendance. This has reduced and will continue to reduce GCU’s revenues including at its hotel, and thus reduced service revenues earned by GCE until residencies return to normal attendance;</w:t>
      </w:r>
    </w:p>
    <w:p>
      <w:pPr>
        <w:spacing w:after="0" w:line="196" w:lineRule="exact"/>
        <w:rPr>
          <w:rFonts w:ascii="Arial" w:cs="Arial" w:eastAsia="Arial" w:hAnsi="Arial"/>
          <w:sz w:val="18"/>
          <w:szCs w:val="18"/>
          <w:color w:val="231F20"/>
        </w:rPr>
      </w:pPr>
    </w:p>
    <w:p>
      <w:pPr>
        <w:ind w:left="720" w:right="299" w:hanging="319"/>
        <w:spacing w:after="0" w:line="311" w:lineRule="auto"/>
        <w:tabs>
          <w:tab w:leader="none" w:pos="720" w:val="left"/>
        </w:tabs>
        <w:numPr>
          <w:ilvl w:val="0"/>
          <w:numId w:val="8"/>
        </w:numPr>
        <w:rPr>
          <w:rFonts w:ascii="Arial" w:cs="Arial" w:eastAsia="Arial" w:hAnsi="Arial"/>
          <w:sz w:val="16"/>
          <w:szCs w:val="16"/>
          <w:color w:val="231F20"/>
        </w:rPr>
      </w:pPr>
      <w:r>
        <w:rPr>
          <w:rFonts w:ascii="Arial" w:cs="Arial" w:eastAsia="Arial" w:hAnsi="Arial"/>
          <w:sz w:val="16"/>
          <w:szCs w:val="16"/>
          <w:color w:val="231F20"/>
        </w:rPr>
        <w:t>GCU shifted its start date for the Fall semester for its traditional ground students from August 24, 2020 to September 8, 2020, which had the effect of moving tuition revenue for all GCU traditional students and certain ancillary revenue for residential students, from the third quarter of 2020 to the fourth quarter of 2020;</w:t>
      </w:r>
    </w:p>
    <w:p>
      <w:pPr>
        <w:spacing w:after="0" w:line="148" w:lineRule="exact"/>
        <w:rPr>
          <w:rFonts w:ascii="Arial" w:cs="Arial" w:eastAsia="Arial" w:hAnsi="Arial"/>
          <w:sz w:val="16"/>
          <w:szCs w:val="16"/>
          <w:color w:val="231F20"/>
        </w:rPr>
      </w:pPr>
    </w:p>
    <w:p>
      <w:pPr>
        <w:ind w:left="720" w:right="119" w:hanging="319"/>
        <w:spacing w:after="0" w:line="255" w:lineRule="auto"/>
        <w:tabs>
          <w:tab w:leader="none" w:pos="720" w:val="left"/>
        </w:tabs>
        <w:numPr>
          <w:ilvl w:val="0"/>
          <w:numId w:val="8"/>
        </w:numPr>
        <w:rPr>
          <w:rFonts w:ascii="Arial" w:cs="Arial" w:eastAsia="Arial" w:hAnsi="Arial"/>
          <w:sz w:val="18"/>
          <w:szCs w:val="18"/>
          <w:color w:val="231F20"/>
        </w:rPr>
      </w:pPr>
      <w:r>
        <w:rPr>
          <w:rFonts w:ascii="Arial" w:cs="Arial" w:eastAsia="Arial" w:hAnsi="Arial"/>
          <w:sz w:val="18"/>
          <w:szCs w:val="18"/>
          <w:color w:val="231F20"/>
        </w:rPr>
        <w:t>GCU shifted its move-in date for its residential students to the week of September 21, 2020, which reduced housing revenue and certain ancillary revenue for residential students by three weeks. In addition, approximately 4,900 of GCU’s traditional campus students elected to attend the Fall semester entirely in the online modality. Residential enrollment for the Fall of 2020 was approximately 11,500 whereas residential bed capacity is approximately 14,500. This reduction in residential students caused a reduction in GCU’s revenue and thus the service revenues earned by GCE; and</w:t>
      </w:r>
    </w:p>
    <w:p>
      <w:pPr>
        <w:spacing w:after="0" w:line="192" w:lineRule="exact"/>
        <w:rPr>
          <w:rFonts w:ascii="Arial" w:cs="Arial" w:eastAsia="Arial" w:hAnsi="Arial"/>
          <w:sz w:val="18"/>
          <w:szCs w:val="18"/>
          <w:color w:val="231F20"/>
        </w:rPr>
      </w:pPr>
    </w:p>
    <w:p>
      <w:pPr>
        <w:ind w:left="720" w:right="79" w:hanging="319"/>
        <w:spacing w:after="0" w:line="293" w:lineRule="auto"/>
        <w:tabs>
          <w:tab w:leader="none" w:pos="720" w:val="left"/>
        </w:tabs>
        <w:numPr>
          <w:ilvl w:val="0"/>
          <w:numId w:val="8"/>
        </w:numPr>
        <w:rPr>
          <w:rFonts w:ascii="Arial" w:cs="Arial" w:eastAsia="Arial" w:hAnsi="Arial"/>
          <w:sz w:val="16"/>
          <w:szCs w:val="16"/>
          <w:color w:val="231F20"/>
        </w:rPr>
      </w:pPr>
      <w:r>
        <w:rPr>
          <w:rFonts w:ascii="Arial" w:cs="Arial" w:eastAsia="Arial" w:hAnsi="Arial"/>
          <w:sz w:val="16"/>
          <w:szCs w:val="16"/>
          <w:color w:val="231F20"/>
        </w:rPr>
        <w:t>The first week of the Spring 2021 semester was completed in an online modality for GCU’s traditional students to provide greater flexibility for students returning to campus after the holidays. Face-to-face instruction for the semester commenced on January 11, 2021 and ended April 1, 2021 for approximately 80% of classes, followed by two weeks of online instruction. Approximately 3,500 traditional ground students elected to complete the Spring semester entirely in the online modality. These changes had the effect of reducing GCU’s dormitory and ancillary revenues in the Spring of 2021 and thus the service revenues earned by GCE.</w:t>
      </w:r>
    </w:p>
    <w:p>
      <w:pPr>
        <w:spacing w:after="0" w:line="164" w:lineRule="exact"/>
        <w:rPr>
          <w:sz w:val="20"/>
          <w:szCs w:val="20"/>
          <w:color w:val="auto"/>
        </w:rPr>
      </w:pPr>
    </w:p>
    <w:p>
      <w:pPr>
        <w:ind w:left="60" w:right="279" w:firstLine="648"/>
        <w:spacing w:after="0" w:line="279" w:lineRule="auto"/>
        <w:rPr>
          <w:sz w:val="20"/>
          <w:szCs w:val="20"/>
          <w:color w:val="auto"/>
        </w:rPr>
      </w:pPr>
      <w:r>
        <w:rPr>
          <w:rFonts w:ascii="Arial" w:cs="Arial" w:eastAsia="Arial" w:hAnsi="Arial"/>
          <w:sz w:val="17"/>
          <w:szCs w:val="17"/>
          <w:color w:val="231F20"/>
        </w:rPr>
        <w:t>GCU anticipates a higher number of residential students will remain on campus during the Summer semester of 2021 than in 2020 and that ancillary businesses operated by GCU such as its hotel and merchandise shops will be open. However, GCU anticipates that the revenue earned in dormitory and ancillary revenues will remain below pre-COVID levels and thus the service revenues earned by GCE will continue to be impacted.</w:t>
      </w:r>
    </w:p>
    <w:p>
      <w:pPr>
        <w:spacing w:after="0" w:line="171" w:lineRule="exact"/>
        <w:rPr>
          <w:sz w:val="20"/>
          <w:szCs w:val="20"/>
          <w:color w:val="auto"/>
        </w:rPr>
      </w:pPr>
    </w:p>
    <w:p>
      <w:pPr>
        <w:ind w:left="60" w:right="319" w:firstLine="648"/>
        <w:spacing w:after="0" w:line="263" w:lineRule="auto"/>
        <w:rPr>
          <w:sz w:val="20"/>
          <w:szCs w:val="20"/>
          <w:color w:val="auto"/>
        </w:rPr>
      </w:pPr>
      <w:r>
        <w:rPr>
          <w:rFonts w:ascii="Arial" w:cs="Arial" w:eastAsia="Arial" w:hAnsi="Arial"/>
          <w:sz w:val="18"/>
          <w:szCs w:val="18"/>
          <w:color w:val="auto"/>
        </w:rPr>
        <w:t>The changes described above at GCU have impacted or will impact GCE’s service revenue under the Master Services Agreement. In addition, due to the limited operating expenses that we incur to deliver those services, there has been or will be a direct reduction in our operating profit and operating margin.</w:t>
      </w:r>
    </w:p>
    <w:p>
      <w:pPr>
        <w:sectPr>
          <w:pgSz w:w="11900" w:h="16838" w:orient="portrait"/>
          <w:cols w:equalWidth="0" w:num="1">
            <w:col w:w="9019"/>
          </w:cols>
          <w:pgMar w:left="1440" w:top="517"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25" w:name="page26"/>
    <w:bookmarkEnd w:id="25"/>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79" w:firstLine="648"/>
        <w:spacing w:after="0" w:line="269" w:lineRule="auto"/>
        <w:rPr>
          <w:sz w:val="20"/>
          <w:szCs w:val="20"/>
          <w:color w:val="auto"/>
        </w:rPr>
      </w:pPr>
      <w:r>
        <w:rPr>
          <w:rFonts w:ascii="Arial" w:cs="Arial" w:eastAsia="Arial" w:hAnsi="Arial"/>
          <w:sz w:val="17"/>
          <w:szCs w:val="17"/>
          <w:color w:val="231F20"/>
        </w:rPr>
        <w:t xml:space="preserve">GCE also has long-term services agreements with </w:t>
      </w:r>
      <w:r>
        <w:rPr>
          <w:rFonts w:ascii="Arial" w:cs="Arial" w:eastAsia="Arial" w:hAnsi="Arial"/>
          <w:sz w:val="17"/>
          <w:szCs w:val="17"/>
          <w:color w:val="000000"/>
        </w:rPr>
        <w:t>numerous other university partners across the United States.</w:t>
      </w:r>
      <w:r>
        <w:rPr>
          <w:rFonts w:ascii="Arial" w:cs="Arial" w:eastAsia="Arial" w:hAnsi="Arial"/>
          <w:sz w:val="17"/>
          <w:szCs w:val="17"/>
          <w:color w:val="231F20"/>
        </w:rPr>
        <w:t xml:space="preserve"> </w:t>
      </w:r>
      <w:r>
        <w:rPr>
          <w:rFonts w:ascii="Arial" w:cs="Arial" w:eastAsia="Arial" w:hAnsi="Arial"/>
          <w:sz w:val="17"/>
          <w:szCs w:val="17"/>
          <w:color w:val="000000"/>
        </w:rPr>
        <w:t>The majority of these other university partners’ students are studying in the Accelerated Bachelor of Science in Nursing program which is offered in a 12-16 month format in three or four academic semesters. The Spring, Summer and Fall 2020 semesters were completed without interruption and each university partner has started its Spring 2021 semester. Some students who were scheduled to start their program in the Summer 2020 semester delayed their start until the Fall 2020 semester, which resulted in lower enrollments and revenues in the Summer 2020 semester than was planned. In a number of locations, the demand to start in the Fall 2020 semester was greater than initially planned but a number of our university or healthcare partners chose not to increase the Fall 2020 cohort size to compensate for the Summer 2020 start shortfall due to concerns about clinical availability. The Fall 2020 enrollment was only slightly lower than our original expectations as the Summer 2020 new start shortfall was offset by higher retention rates and slightly higher than expected Fall 2020 new starts.</w:t>
      </w:r>
    </w:p>
    <w:p>
      <w:pPr>
        <w:spacing w:after="0" w:line="182" w:lineRule="exact"/>
        <w:rPr>
          <w:sz w:val="20"/>
          <w:szCs w:val="20"/>
          <w:color w:val="auto"/>
        </w:rPr>
      </w:pPr>
    </w:p>
    <w:p>
      <w:pPr>
        <w:ind w:left="60" w:right="59" w:firstLine="648"/>
        <w:spacing w:after="0" w:line="259" w:lineRule="auto"/>
        <w:rPr>
          <w:sz w:val="20"/>
          <w:szCs w:val="20"/>
          <w:color w:val="auto"/>
        </w:rPr>
      </w:pPr>
      <w:r>
        <w:rPr>
          <w:rFonts w:ascii="Arial" w:cs="Arial" w:eastAsia="Arial" w:hAnsi="Arial"/>
          <w:sz w:val="18"/>
          <w:szCs w:val="18"/>
          <w:color w:val="auto"/>
        </w:rPr>
        <w:t>No changes are currently anticipated with our other university partners related to the Summer 2021 semester that would have an impact on GCE’s service revenue, operating profit and operating margins. However, if one of our university partners closes an off-campus classroom and laboratory site prior to the end of the Summer 2021 semester, such an event would reduce the service revenues earned by GCE.</w:t>
      </w:r>
    </w:p>
    <w:p>
      <w:pPr>
        <w:spacing w:after="0" w:line="187" w:lineRule="exact"/>
        <w:rPr>
          <w:sz w:val="20"/>
          <w:szCs w:val="20"/>
          <w:color w:val="auto"/>
        </w:rPr>
      </w:pPr>
    </w:p>
    <w:p>
      <w:pPr>
        <w:ind w:left="60" w:right="99" w:firstLine="648"/>
        <w:spacing w:after="0" w:line="259" w:lineRule="auto"/>
        <w:rPr>
          <w:sz w:val="20"/>
          <w:szCs w:val="20"/>
          <w:color w:val="auto"/>
        </w:rPr>
      </w:pPr>
      <w:r>
        <w:rPr>
          <w:rFonts w:ascii="Arial" w:cs="Arial" w:eastAsia="Arial" w:hAnsi="Arial"/>
          <w:sz w:val="18"/>
          <w:szCs w:val="18"/>
          <w:color w:val="212529"/>
        </w:rPr>
        <w:t>The COVID-19 outbreak also presents operational challenges to GCE as approximately 90% of our workforce is currently working remotely and is expected to continue doing so for the foreseeable future. This degree of remote working could increase risks in the areas of internal control, cyber security and the use of remote technology, and thereby result in interruptions or disruptions in normal operational processes.</w:t>
      </w:r>
    </w:p>
    <w:p>
      <w:pPr>
        <w:spacing w:after="0" w:line="187" w:lineRule="exact"/>
        <w:rPr>
          <w:sz w:val="20"/>
          <w:szCs w:val="20"/>
          <w:color w:val="auto"/>
        </w:rPr>
      </w:pPr>
    </w:p>
    <w:p>
      <w:pPr>
        <w:jc w:val="both"/>
        <w:ind w:left="60" w:right="299" w:firstLine="648"/>
        <w:spacing w:after="0" w:line="263" w:lineRule="auto"/>
        <w:rPr>
          <w:sz w:val="20"/>
          <w:szCs w:val="20"/>
          <w:color w:val="auto"/>
        </w:rPr>
      </w:pPr>
      <w:r>
        <w:rPr>
          <w:rFonts w:ascii="Arial" w:cs="Arial" w:eastAsia="Arial" w:hAnsi="Arial"/>
          <w:sz w:val="18"/>
          <w:szCs w:val="18"/>
          <w:color w:val="212529"/>
        </w:rPr>
        <w:t xml:space="preserve">It is not possible for us to completely predict the duration or magnitude </w:t>
      </w:r>
      <w:r>
        <w:rPr>
          <w:rFonts w:ascii="Arial" w:cs="Arial" w:eastAsia="Arial" w:hAnsi="Arial"/>
          <w:sz w:val="18"/>
          <w:szCs w:val="18"/>
          <w:color w:val="231F20"/>
        </w:rPr>
        <w:t>of the adverse results of the COVID-19</w:t>
      </w:r>
      <w:r>
        <w:rPr>
          <w:rFonts w:ascii="Arial" w:cs="Arial" w:eastAsia="Arial" w:hAnsi="Arial"/>
          <w:sz w:val="18"/>
          <w:szCs w:val="18"/>
          <w:color w:val="212529"/>
        </w:rPr>
        <w:t xml:space="preserve"> </w:t>
      </w:r>
      <w:r>
        <w:rPr>
          <w:rFonts w:ascii="Arial" w:cs="Arial" w:eastAsia="Arial" w:hAnsi="Arial"/>
          <w:sz w:val="18"/>
          <w:szCs w:val="18"/>
          <w:color w:val="231F20"/>
        </w:rPr>
        <w:t>pandemic and its effects on our business, results of operations or financial condition at this time, but such effects may be material in future quarters.</w:t>
      </w:r>
    </w:p>
    <w:p>
      <w:pPr>
        <w:spacing w:after="0" w:line="184" w:lineRule="exact"/>
        <w:rPr>
          <w:sz w:val="20"/>
          <w:szCs w:val="20"/>
          <w:color w:val="auto"/>
        </w:rPr>
      </w:pPr>
    </w:p>
    <w:p>
      <w:pPr>
        <w:ind w:left="60" w:right="79" w:firstLine="648"/>
        <w:spacing w:after="0" w:line="263" w:lineRule="auto"/>
        <w:rPr>
          <w:sz w:val="20"/>
          <w:szCs w:val="20"/>
          <w:color w:val="auto"/>
        </w:rPr>
      </w:pPr>
      <w:r>
        <w:rPr>
          <w:rFonts w:ascii="Arial" w:cs="Arial" w:eastAsia="Arial" w:hAnsi="Arial"/>
          <w:sz w:val="18"/>
          <w:szCs w:val="18"/>
          <w:color w:val="231F20"/>
        </w:rPr>
        <w:t>We estimate that the reduction in service revenue attributable to reduced tuition, fees and ancillary revenues of our university partners resulting from COVID-19 will be $1.2 million in the second quarter of 2021 with a comparable reduction in operating profit.</w:t>
      </w:r>
    </w:p>
    <w:p>
      <w:pPr>
        <w:spacing w:after="0" w:line="180"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Critical Accounting Policies and Use of Estimates</w:t>
      </w:r>
    </w:p>
    <w:p>
      <w:pPr>
        <w:spacing w:after="0" w:line="229" w:lineRule="exact"/>
        <w:rPr>
          <w:sz w:val="20"/>
          <w:szCs w:val="20"/>
          <w:color w:val="auto"/>
        </w:rPr>
      </w:pPr>
    </w:p>
    <w:p>
      <w:pPr>
        <w:ind w:left="700"/>
        <w:spacing w:after="0"/>
        <w:rPr>
          <w:sz w:val="20"/>
          <w:szCs w:val="20"/>
          <w:color w:val="auto"/>
        </w:rPr>
      </w:pPr>
      <w:r>
        <w:rPr>
          <w:rFonts w:ascii="Arial" w:cs="Arial" w:eastAsia="Arial" w:hAnsi="Arial"/>
          <w:sz w:val="16"/>
          <w:szCs w:val="16"/>
          <w:color w:val="auto"/>
        </w:rPr>
        <w:t>Our critical accounting policies are disclosed in the 2020 Form 10-K for the fiscal year ended December 31, 2020.</w:t>
      </w:r>
    </w:p>
    <w:p>
      <w:pPr>
        <w:spacing w:after="0" w:line="46" w:lineRule="exact"/>
        <w:rPr>
          <w:sz w:val="20"/>
          <w:szCs w:val="20"/>
          <w:color w:val="auto"/>
        </w:rPr>
      </w:pPr>
    </w:p>
    <w:p>
      <w:pPr>
        <w:ind w:left="60"/>
        <w:spacing w:after="0"/>
        <w:rPr>
          <w:sz w:val="20"/>
          <w:szCs w:val="20"/>
          <w:color w:val="auto"/>
        </w:rPr>
      </w:pPr>
      <w:r>
        <w:rPr>
          <w:rFonts w:ascii="Arial" w:cs="Arial" w:eastAsia="Arial" w:hAnsi="Arial"/>
          <w:sz w:val="16"/>
          <w:szCs w:val="16"/>
          <w:color w:val="auto"/>
        </w:rPr>
        <w:t>During the three months ended March 31, 2021, there have been no significant changes in our critical accounting policies.</w:t>
      </w:r>
    </w:p>
    <w:p>
      <w:pPr>
        <w:spacing w:after="0" w:line="230"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Results of Operations</w:t>
      </w:r>
    </w:p>
    <w:p>
      <w:pPr>
        <w:spacing w:after="0" w:line="229" w:lineRule="exact"/>
        <w:rPr>
          <w:sz w:val="20"/>
          <w:szCs w:val="20"/>
          <w:color w:val="auto"/>
        </w:rPr>
      </w:pPr>
    </w:p>
    <w:p>
      <w:pPr>
        <w:ind w:left="60" w:right="119" w:firstLine="648"/>
        <w:spacing w:after="0" w:line="277" w:lineRule="auto"/>
        <w:rPr>
          <w:sz w:val="20"/>
          <w:szCs w:val="20"/>
          <w:color w:val="auto"/>
        </w:rPr>
      </w:pPr>
      <w:r>
        <w:rPr>
          <w:rFonts w:ascii="Arial" w:cs="Arial" w:eastAsia="Arial" w:hAnsi="Arial"/>
          <w:sz w:val="18"/>
          <w:szCs w:val="18"/>
          <w:color w:val="auto"/>
        </w:rPr>
        <w:t>The following table sets forth certain income statement data as a percentage of net revenue for each of the periods indicated. Amortization of intangible assets has been excluded from the table below:</w:t>
      </w:r>
    </w:p>
    <w:p>
      <w:pPr>
        <w:spacing w:after="0" w:line="175" w:lineRule="exact"/>
        <w:rPr>
          <w:sz w:val="20"/>
          <w:szCs w:val="20"/>
          <w:color w:val="auto"/>
        </w:rPr>
      </w:pPr>
    </w:p>
    <w:p>
      <w:pPr>
        <w:ind w:left="7040"/>
        <w:spacing w:after="0"/>
        <w:rPr>
          <w:sz w:val="20"/>
          <w:szCs w:val="20"/>
          <w:color w:val="auto"/>
        </w:rPr>
      </w:pPr>
      <w:r>
        <w:rPr>
          <w:rFonts w:ascii="Arial" w:cs="Arial" w:eastAsia="Arial" w:hAnsi="Arial"/>
          <w:sz w:val="14"/>
          <w:szCs w:val="14"/>
          <w:b w:val="1"/>
          <w:bCs w:val="1"/>
          <w:color w:val="auto"/>
        </w:rPr>
        <w:t>Three Months Ended</w:t>
      </w:r>
    </w:p>
    <w:p>
      <w:pPr>
        <w:ind w:left="7360"/>
        <w:spacing w:after="0" w:line="236" w:lineRule="auto"/>
        <w:rPr>
          <w:sz w:val="20"/>
          <w:szCs w:val="20"/>
          <w:color w:val="auto"/>
        </w:rPr>
      </w:pPr>
      <w:r>
        <w:rPr>
          <w:rFonts w:ascii="Arial" w:cs="Arial" w:eastAsia="Arial" w:hAnsi="Arial"/>
          <w:sz w:val="14"/>
          <w:szCs w:val="14"/>
          <w:b w:val="1"/>
          <w:bCs w:val="1"/>
          <w:color w:val="auto"/>
        </w:rPr>
        <w:t>March 31,</w:t>
      </w:r>
    </w:p>
    <w:tbl>
      <w:tblPr>
        <w:tblLayout w:type="fixed"/>
        <w:tblInd w:w="60" w:type="dxa"/>
        <w:tblCellMar>
          <w:top w:w="0" w:type="dxa"/>
          <w:left w:w="0" w:type="dxa"/>
          <w:bottom w:w="0" w:type="dxa"/>
          <w:right w:w="0" w:type="dxa"/>
        </w:tblCellMar>
      </w:tblPr>
      <w:tr>
        <w:trPr>
          <w:trHeight w:val="142"/>
        </w:trPr>
        <w:tc>
          <w:tcPr>
            <w:tcW w:w="6820" w:type="dxa"/>
            <w:vAlign w:val="bottom"/>
            <w:tcBorders>
              <w:bottom w:val="single" w:sz="8" w:color="CCEEFF"/>
            </w:tcBorders>
          </w:tcPr>
          <w:p>
            <w:pPr>
              <w:spacing w:after="0"/>
              <w:rPr>
                <w:sz w:val="12"/>
                <w:szCs w:val="12"/>
                <w:color w:val="auto"/>
              </w:rPr>
            </w:pPr>
          </w:p>
        </w:tc>
        <w:tc>
          <w:tcPr>
            <w:tcW w:w="660" w:type="dxa"/>
            <w:vAlign w:val="bottom"/>
            <w:tcBorders>
              <w:top w:val="single" w:sz="8" w:color="auto"/>
              <w:bottom w:val="single" w:sz="8" w:color="auto"/>
            </w:tcBorders>
          </w:tcPr>
          <w:p>
            <w:pPr>
              <w:jc w:val="right"/>
              <w:ind w:right="94"/>
              <w:spacing w:after="0" w:line="142" w:lineRule="exact"/>
              <w:rPr>
                <w:sz w:val="20"/>
                <w:szCs w:val="20"/>
                <w:color w:val="auto"/>
              </w:rPr>
            </w:pPr>
            <w:r>
              <w:rPr>
                <w:rFonts w:ascii="Arial" w:cs="Arial" w:eastAsia="Arial" w:hAnsi="Arial"/>
                <w:sz w:val="14"/>
                <w:szCs w:val="14"/>
                <w:b w:val="1"/>
                <w:bCs w:val="1"/>
                <w:color w:val="auto"/>
              </w:rPr>
              <w:t>2021</w:t>
            </w:r>
          </w:p>
        </w:tc>
        <w:tc>
          <w:tcPr>
            <w:tcW w:w="40" w:type="dxa"/>
            <w:vAlign w:val="bottom"/>
            <w:tcBorders>
              <w:top w:val="single" w:sz="8" w:color="auto"/>
              <w:bottom w:val="single" w:sz="8" w:color="auto"/>
            </w:tcBorders>
          </w:tcPr>
          <w:p>
            <w:pPr>
              <w:spacing w:after="0"/>
              <w:rPr>
                <w:sz w:val="12"/>
                <w:szCs w:val="12"/>
                <w:color w:val="auto"/>
              </w:rPr>
            </w:pPr>
          </w:p>
        </w:tc>
        <w:tc>
          <w:tcPr>
            <w:tcW w:w="240" w:type="dxa"/>
            <w:vAlign w:val="bottom"/>
            <w:tcBorders>
              <w:top w:val="single" w:sz="8" w:color="auto"/>
              <w:bottom w:val="single" w:sz="8" w:color="CCEEFF"/>
            </w:tcBorders>
          </w:tcPr>
          <w:p>
            <w:pPr>
              <w:spacing w:after="0"/>
              <w:rPr>
                <w:sz w:val="12"/>
                <w:szCs w:val="12"/>
                <w:color w:val="auto"/>
              </w:rPr>
            </w:pPr>
          </w:p>
        </w:tc>
        <w:tc>
          <w:tcPr>
            <w:tcW w:w="660" w:type="dxa"/>
            <w:vAlign w:val="bottom"/>
            <w:tcBorders>
              <w:top w:val="single" w:sz="8" w:color="auto"/>
              <w:bottom w:val="single" w:sz="8" w:color="auto"/>
            </w:tcBorders>
          </w:tcPr>
          <w:p>
            <w:pPr>
              <w:jc w:val="right"/>
              <w:ind w:right="74"/>
              <w:spacing w:after="0" w:line="142" w:lineRule="exact"/>
              <w:rPr>
                <w:sz w:val="20"/>
                <w:szCs w:val="20"/>
                <w:color w:val="auto"/>
              </w:rPr>
            </w:pPr>
            <w:r>
              <w:rPr>
                <w:rFonts w:ascii="Arial" w:cs="Arial" w:eastAsia="Arial" w:hAnsi="Arial"/>
                <w:sz w:val="14"/>
                <w:szCs w:val="14"/>
                <w:b w:val="1"/>
                <w:bCs w:val="1"/>
                <w:color w:val="auto"/>
              </w:rPr>
              <w:t>2020</w:t>
            </w:r>
          </w:p>
        </w:tc>
        <w:tc>
          <w:tcPr>
            <w:tcW w:w="40" w:type="dxa"/>
            <w:vAlign w:val="bottom"/>
            <w:tcBorders>
              <w:top w:val="single" w:sz="8" w:color="auto"/>
              <w:bottom w:val="single" w:sz="8" w:color="auto"/>
            </w:tcBorders>
          </w:tcPr>
          <w:p>
            <w:pPr>
              <w:spacing w:after="0"/>
              <w:rPr>
                <w:sz w:val="12"/>
                <w:szCs w:val="12"/>
                <w:color w:val="auto"/>
              </w:rPr>
            </w:pPr>
          </w:p>
        </w:tc>
        <w:tc>
          <w:tcPr>
            <w:tcW w:w="440" w:type="dxa"/>
            <w:vAlign w:val="bottom"/>
            <w:tcBorders>
              <w:bottom w:val="single" w:sz="8" w:color="CCEEFF"/>
            </w:tcBorders>
          </w:tcPr>
          <w:p>
            <w:pPr>
              <w:spacing w:after="0"/>
              <w:rPr>
                <w:sz w:val="12"/>
                <w:szCs w:val="12"/>
                <w:color w:val="auto"/>
              </w:rPr>
            </w:pPr>
          </w:p>
        </w:tc>
      </w:tr>
      <w:tr>
        <w:trPr>
          <w:trHeight w:val="210"/>
        </w:trPr>
        <w:tc>
          <w:tcPr>
            <w:tcW w:w="6820" w:type="dxa"/>
            <w:vAlign w:val="bottom"/>
            <w:shd w:val="clear" w:color="auto" w:fill="CCEEFF"/>
          </w:tcPr>
          <w:p>
            <w:pPr>
              <w:spacing w:after="0"/>
              <w:rPr>
                <w:sz w:val="20"/>
                <w:szCs w:val="20"/>
                <w:color w:val="auto"/>
              </w:rPr>
            </w:pPr>
            <w:r>
              <w:rPr>
                <w:rFonts w:ascii="Arial" w:cs="Arial" w:eastAsia="Arial" w:hAnsi="Arial"/>
                <w:sz w:val="18"/>
                <w:szCs w:val="18"/>
                <w:color w:val="auto"/>
              </w:rPr>
              <w:t>Costs and expenses</w:t>
            </w:r>
          </w:p>
        </w:tc>
        <w:tc>
          <w:tcPr>
            <w:tcW w:w="6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r>
      <w:tr>
        <w:trPr>
          <w:trHeight w:val="216"/>
        </w:trPr>
        <w:tc>
          <w:tcPr>
            <w:tcW w:w="6820" w:type="dxa"/>
            <w:vAlign w:val="bottom"/>
          </w:tcPr>
          <w:p>
            <w:pPr>
              <w:ind w:left="100"/>
              <w:spacing w:after="0"/>
              <w:rPr>
                <w:sz w:val="20"/>
                <w:szCs w:val="20"/>
                <w:color w:val="auto"/>
              </w:rPr>
            </w:pPr>
            <w:r>
              <w:rPr>
                <w:rFonts w:ascii="Arial" w:cs="Arial" w:eastAsia="Arial" w:hAnsi="Arial"/>
                <w:sz w:val="18"/>
                <w:szCs w:val="18"/>
                <w:color w:val="auto"/>
              </w:rPr>
              <w:t>Technology and academic services</w:t>
            </w:r>
          </w:p>
        </w:tc>
        <w:tc>
          <w:tcPr>
            <w:tcW w:w="660" w:type="dxa"/>
            <w:vAlign w:val="bottom"/>
          </w:tcPr>
          <w:p>
            <w:pPr>
              <w:jc w:val="right"/>
              <w:spacing w:after="0"/>
              <w:rPr>
                <w:sz w:val="20"/>
                <w:szCs w:val="20"/>
                <w:color w:val="auto"/>
              </w:rPr>
            </w:pPr>
            <w:r>
              <w:rPr>
                <w:rFonts w:ascii="Arial" w:cs="Arial" w:eastAsia="Arial" w:hAnsi="Arial"/>
                <w:sz w:val="18"/>
                <w:szCs w:val="18"/>
                <w:color w:val="auto"/>
              </w:rPr>
              <w:t>13.5</w:t>
            </w:r>
          </w:p>
        </w:tc>
        <w:tc>
          <w:tcPr>
            <w:tcW w:w="280" w:type="dxa"/>
            <w:vAlign w:val="bottom"/>
            <w:gridSpan w:val="2"/>
          </w:tcPr>
          <w:p>
            <w:pPr>
              <w:jc w:val="right"/>
              <w:ind w:right="100"/>
              <w:spacing w:after="0"/>
              <w:rPr>
                <w:sz w:val="20"/>
                <w:szCs w:val="20"/>
                <w:color w:val="auto"/>
              </w:rPr>
            </w:pPr>
            <w:r>
              <w:rPr>
                <w:rFonts w:ascii="Arial" w:cs="Arial" w:eastAsia="Arial" w:hAnsi="Arial"/>
                <w:sz w:val="18"/>
                <w:szCs w:val="18"/>
                <w:color w:val="auto"/>
                <w:w w:val="99"/>
              </w:rPr>
              <w:t>%</w:t>
            </w:r>
          </w:p>
        </w:tc>
        <w:tc>
          <w:tcPr>
            <w:tcW w:w="660" w:type="dxa"/>
            <w:vAlign w:val="bottom"/>
          </w:tcPr>
          <w:p>
            <w:pPr>
              <w:jc w:val="right"/>
              <w:spacing w:after="0"/>
              <w:rPr>
                <w:sz w:val="20"/>
                <w:szCs w:val="20"/>
                <w:color w:val="auto"/>
              </w:rPr>
            </w:pPr>
            <w:r>
              <w:rPr>
                <w:rFonts w:ascii="Arial" w:cs="Arial" w:eastAsia="Arial" w:hAnsi="Arial"/>
                <w:sz w:val="18"/>
                <w:szCs w:val="18"/>
                <w:color w:val="auto"/>
              </w:rPr>
              <w:t>11.9</w:t>
            </w:r>
          </w:p>
        </w:tc>
        <w:tc>
          <w:tcPr>
            <w:tcW w:w="48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r>
      <w:tr>
        <w:trPr>
          <w:trHeight w:val="216"/>
        </w:trPr>
        <w:tc>
          <w:tcPr>
            <w:tcW w:w="6820" w:type="dxa"/>
            <w:vAlign w:val="bottom"/>
            <w:shd w:val="clear" w:color="auto" w:fill="CCEEFF"/>
          </w:tcPr>
          <w:p>
            <w:pPr>
              <w:ind w:left="100"/>
              <w:spacing w:after="0"/>
              <w:rPr>
                <w:sz w:val="20"/>
                <w:szCs w:val="20"/>
                <w:color w:val="auto"/>
              </w:rPr>
            </w:pPr>
            <w:r>
              <w:rPr>
                <w:rFonts w:ascii="Arial" w:cs="Arial" w:eastAsia="Arial" w:hAnsi="Arial"/>
                <w:sz w:val="18"/>
                <w:szCs w:val="18"/>
                <w:color w:val="auto"/>
              </w:rPr>
              <w:t>Counseling services and support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25.8</w:t>
            </w:r>
          </w:p>
        </w:tc>
        <w:tc>
          <w:tcPr>
            <w:tcW w:w="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27.2</w:t>
            </w:r>
          </w:p>
        </w:tc>
        <w:tc>
          <w:tcPr>
            <w:tcW w:w="4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r>
      <w:tr>
        <w:trPr>
          <w:trHeight w:val="216"/>
        </w:trPr>
        <w:tc>
          <w:tcPr>
            <w:tcW w:w="6820" w:type="dxa"/>
            <w:vAlign w:val="bottom"/>
          </w:tcPr>
          <w:p>
            <w:pPr>
              <w:ind w:left="100"/>
              <w:spacing w:after="0"/>
              <w:rPr>
                <w:sz w:val="20"/>
                <w:szCs w:val="20"/>
                <w:color w:val="auto"/>
              </w:rPr>
            </w:pPr>
            <w:r>
              <w:rPr>
                <w:rFonts w:ascii="Arial" w:cs="Arial" w:eastAsia="Arial" w:hAnsi="Arial"/>
                <w:sz w:val="18"/>
                <w:szCs w:val="18"/>
                <w:color w:val="auto"/>
              </w:rPr>
              <w:t>Marketing and communication</w:t>
            </w:r>
          </w:p>
        </w:tc>
        <w:tc>
          <w:tcPr>
            <w:tcW w:w="660" w:type="dxa"/>
            <w:vAlign w:val="bottom"/>
          </w:tcPr>
          <w:p>
            <w:pPr>
              <w:jc w:val="right"/>
              <w:spacing w:after="0"/>
              <w:rPr>
                <w:sz w:val="20"/>
                <w:szCs w:val="20"/>
                <w:color w:val="auto"/>
              </w:rPr>
            </w:pPr>
            <w:r>
              <w:rPr>
                <w:rFonts w:ascii="Arial" w:cs="Arial" w:eastAsia="Arial" w:hAnsi="Arial"/>
                <w:sz w:val="18"/>
                <w:szCs w:val="18"/>
                <w:color w:val="auto"/>
              </w:rPr>
              <w:t>20.1</w:t>
            </w: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19.3</w:t>
            </w:r>
          </w:p>
        </w:tc>
        <w:tc>
          <w:tcPr>
            <w:tcW w:w="40" w:type="dxa"/>
            <w:vAlign w:val="bottom"/>
          </w:tcPr>
          <w:p>
            <w:pPr>
              <w:spacing w:after="0"/>
              <w:rPr>
                <w:sz w:val="18"/>
                <w:szCs w:val="18"/>
                <w:color w:val="auto"/>
              </w:rPr>
            </w:pPr>
          </w:p>
        </w:tc>
        <w:tc>
          <w:tcPr>
            <w:tcW w:w="440" w:type="dxa"/>
            <w:vAlign w:val="bottom"/>
          </w:tcPr>
          <w:p>
            <w:pPr>
              <w:spacing w:after="0"/>
              <w:rPr>
                <w:sz w:val="18"/>
                <w:szCs w:val="18"/>
                <w:color w:val="auto"/>
              </w:rPr>
            </w:pPr>
          </w:p>
        </w:tc>
      </w:tr>
      <w:tr>
        <w:trPr>
          <w:trHeight w:val="216"/>
        </w:trPr>
        <w:tc>
          <w:tcPr>
            <w:tcW w:w="6820" w:type="dxa"/>
            <w:vAlign w:val="bottom"/>
            <w:shd w:val="clear" w:color="auto" w:fill="CCEEFF"/>
          </w:tcPr>
          <w:p>
            <w:pPr>
              <w:ind w:left="100"/>
              <w:spacing w:after="0"/>
              <w:rPr>
                <w:sz w:val="20"/>
                <w:szCs w:val="20"/>
                <w:color w:val="auto"/>
              </w:rPr>
            </w:pPr>
            <w:r>
              <w:rPr>
                <w:rFonts w:ascii="Arial" w:cs="Arial" w:eastAsia="Arial" w:hAnsi="Arial"/>
                <w:sz w:val="18"/>
                <w:szCs w:val="18"/>
                <w:color w:val="auto"/>
              </w:rPr>
              <w:t>General and administrative</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w:t>
            </w:r>
          </w:p>
        </w:tc>
        <w:tc>
          <w:tcPr>
            <w:tcW w:w="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4.3</w:t>
            </w:r>
          </w:p>
        </w:tc>
        <w:tc>
          <w:tcPr>
            <w:tcW w:w="4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603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26" w:name="page27"/>
    <w:bookmarkEnd w:id="26"/>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Three Months Ended March 31, 2021 Compared to Three Months Ended March 31, 2020</w:t>
      </w:r>
    </w:p>
    <w:p>
      <w:pPr>
        <w:spacing w:after="0" w:line="225" w:lineRule="exact"/>
        <w:rPr>
          <w:sz w:val="20"/>
          <w:szCs w:val="20"/>
          <w:color w:val="auto"/>
        </w:rPr>
      </w:pPr>
    </w:p>
    <w:p>
      <w:pPr>
        <w:ind w:left="60" w:right="59" w:firstLine="648"/>
        <w:spacing w:after="0" w:line="285" w:lineRule="auto"/>
        <w:rPr>
          <w:sz w:val="20"/>
          <w:szCs w:val="20"/>
          <w:color w:val="auto"/>
        </w:rPr>
      </w:pPr>
      <w:r>
        <w:rPr>
          <w:rFonts w:ascii="Arial" w:cs="Arial" w:eastAsia="Arial" w:hAnsi="Arial"/>
          <w:sz w:val="16"/>
          <w:szCs w:val="16"/>
          <w:i w:val="1"/>
          <w:iCs w:val="1"/>
          <w:color w:val="auto"/>
        </w:rPr>
        <w:t>Service revenue</w:t>
      </w:r>
      <w:r>
        <w:rPr>
          <w:rFonts w:ascii="Arial" w:cs="Arial" w:eastAsia="Arial" w:hAnsi="Arial"/>
          <w:sz w:val="16"/>
          <w:szCs w:val="16"/>
          <w:color w:val="auto"/>
        </w:rPr>
        <w:t>. Our service revenue for the three months ended March 31, 2021 was $236.9 million, an increase</w:t>
      </w:r>
      <w:r>
        <w:rPr>
          <w:rFonts w:ascii="Arial" w:cs="Arial" w:eastAsia="Arial" w:hAnsi="Arial"/>
          <w:sz w:val="16"/>
          <w:szCs w:val="16"/>
          <w:i w:val="1"/>
          <w:iCs w:val="1"/>
          <w:color w:val="auto"/>
        </w:rPr>
        <w:t xml:space="preserve"> </w:t>
      </w:r>
      <w:r>
        <w:rPr>
          <w:rFonts w:ascii="Arial" w:cs="Arial" w:eastAsia="Arial" w:hAnsi="Arial"/>
          <w:sz w:val="16"/>
          <w:szCs w:val="16"/>
          <w:color w:val="auto"/>
        </w:rPr>
        <w:t xml:space="preserve">of $15.2 million, or 6.9%, as compared to service revenue of $221.7 million for the three months ended March 31, 2020. The increase year over year in service revenue was primarily due to an increase in university partner enrollments between years of 7.2% partially offset by a decrease in revenue per student year over year. Partner enrollments totaled 115,390 at March 31, 2021 as compared to 107,591 at March 31, 2020. Enrollments at GCU grew to 111,055 at March 31, 2021, an increase of 7.2% over enrollments at March 31, 2020, while enrollments at our other university partners were 4,335, an increase of 8.4% over enrollments at March 31, 2020. The decrease in revenue per student is primarily due to the service revenue impact of the lower room, board, fee and ancillary revenues at GCU in 2021 and 2020 caused by COVID-19 (see - </w:t>
      </w:r>
      <w:r>
        <w:rPr>
          <w:rFonts w:ascii="Arial" w:cs="Arial" w:eastAsia="Arial" w:hAnsi="Arial"/>
          <w:sz w:val="16"/>
          <w:szCs w:val="16"/>
          <w:i w:val="1"/>
          <w:iCs w:val="1"/>
          <w:color w:val="auto"/>
        </w:rPr>
        <w:t xml:space="preserve">Impact of COVID-19 </w:t>
      </w:r>
      <w:r>
        <w:rPr>
          <w:rFonts w:ascii="Arial" w:cs="Arial" w:eastAsia="Arial" w:hAnsi="Arial"/>
          <w:sz w:val="16"/>
          <w:szCs w:val="16"/>
          <w:color w:val="auto"/>
        </w:rPr>
        <w:t>above). In addition, we generated slightly more revenues in 2020 as compared to the same period in</w:t>
      </w:r>
      <w:r>
        <w:rPr>
          <w:rFonts w:ascii="Arial" w:cs="Arial" w:eastAsia="Arial" w:hAnsi="Arial"/>
          <w:sz w:val="16"/>
          <w:szCs w:val="16"/>
          <w:i w:val="1"/>
          <w:iCs w:val="1"/>
          <w:color w:val="auto"/>
        </w:rPr>
        <w:t xml:space="preserve"> </w:t>
      </w:r>
      <w:r>
        <w:rPr>
          <w:rFonts w:ascii="Arial" w:cs="Arial" w:eastAsia="Arial" w:hAnsi="Arial"/>
          <w:sz w:val="16"/>
          <w:szCs w:val="16"/>
          <w:color w:val="auto"/>
        </w:rPr>
        <w:t>2021 due to 2020 being a Leap Year and thus providing an extra day of revenue in 2020 as compared to 2021 and we did not renew a contract with a university partner with two sites in the first quarter of 2021. This was partially offset by the fact that our services agreements with our other university partners generally generate a higher revenue per student than our agreement with GCU, as these agreements generally provide us with a higher revenue share percentage, the partners have higher tuition rates than GCU and the majority of their students are studying in the Accelerated Bachelor of Science in Nursing program so these students take more credits on average per semester. Additionally, we opened seven new off-campus classroom and laboratory sites in the second half of 2020 and one new site in the Spring of 2021. The eight new off-campus classroom and laboratory sites opened in the past twelve months, partially offset by the non-renewal of the contract with a university partner with two sites in the first quarter of 2021 increased the total number of these sites to 29 as compared to 23 at March 31, 2020.</w:t>
      </w:r>
    </w:p>
    <w:p>
      <w:pPr>
        <w:spacing w:after="0" w:line="387" w:lineRule="exact"/>
        <w:rPr>
          <w:sz w:val="20"/>
          <w:szCs w:val="20"/>
          <w:color w:val="auto"/>
        </w:rPr>
      </w:pPr>
    </w:p>
    <w:p>
      <w:pPr>
        <w:ind w:left="60" w:right="159" w:firstLine="648"/>
        <w:spacing w:after="0" w:line="284" w:lineRule="auto"/>
        <w:rPr>
          <w:sz w:val="20"/>
          <w:szCs w:val="20"/>
          <w:color w:val="auto"/>
        </w:rPr>
      </w:pPr>
      <w:r>
        <w:rPr>
          <w:rFonts w:ascii="Arial" w:cs="Arial" w:eastAsia="Arial" w:hAnsi="Arial"/>
          <w:sz w:val="16"/>
          <w:szCs w:val="16"/>
          <w:i w:val="1"/>
          <w:iCs w:val="1"/>
          <w:color w:val="auto"/>
        </w:rPr>
        <w:t>Technology and academic services</w:t>
      </w:r>
      <w:r>
        <w:rPr>
          <w:rFonts w:ascii="Arial" w:cs="Arial" w:eastAsia="Arial" w:hAnsi="Arial"/>
          <w:sz w:val="16"/>
          <w:szCs w:val="16"/>
          <w:color w:val="auto"/>
        </w:rPr>
        <w:t>. Our technology and academic services expenses for the three months ended</w:t>
      </w:r>
      <w:r>
        <w:rPr>
          <w:rFonts w:ascii="Arial" w:cs="Arial" w:eastAsia="Arial" w:hAnsi="Arial"/>
          <w:sz w:val="16"/>
          <w:szCs w:val="16"/>
          <w:i w:val="1"/>
          <w:iCs w:val="1"/>
          <w:color w:val="auto"/>
        </w:rPr>
        <w:t xml:space="preserve"> </w:t>
      </w:r>
      <w:r>
        <w:rPr>
          <w:rFonts w:ascii="Arial" w:cs="Arial" w:eastAsia="Arial" w:hAnsi="Arial"/>
          <w:sz w:val="16"/>
          <w:szCs w:val="16"/>
          <w:color w:val="auto"/>
        </w:rPr>
        <w:t>March 31, 2021 were $32.1 million, an increase of $5.8 million, or 22.0%, as compared to technology and academic services expenses of $26.3 million for the three months ended March 31, 2020. This increase was primarily due to increases in employee compensation and related expenses including share-based compensation, in occupancy and depreciation including lease expenses, and in technology and academic supply costs of $4.3 million, $1.4 million and $0.1 million, respectively. These increases were primarily due to increased headcount to support our 26 university partners, and their increased enrollment growth, tenure-based salary adjustments, an increase in benefit costs and the increased number of off-campus classroom and laboratory sites year over year. Our technology and academic services expenses as</w:t>
      </w:r>
    </w:p>
    <w:p>
      <w:pPr>
        <w:spacing w:after="0" w:line="1" w:lineRule="exact"/>
        <w:rPr>
          <w:sz w:val="20"/>
          <w:szCs w:val="20"/>
          <w:color w:val="auto"/>
        </w:rPr>
      </w:pPr>
    </w:p>
    <w:p>
      <w:pPr>
        <w:ind w:left="60" w:right="159"/>
        <w:spacing w:after="0" w:line="252" w:lineRule="auto"/>
        <w:rPr>
          <w:sz w:val="20"/>
          <w:szCs w:val="20"/>
          <w:color w:val="auto"/>
        </w:rPr>
      </w:pPr>
      <w:r>
        <w:rPr>
          <w:rFonts w:ascii="Arial" w:cs="Arial" w:eastAsia="Arial" w:hAnsi="Arial"/>
          <w:sz w:val="18"/>
          <w:szCs w:val="18"/>
          <w:color w:val="auto"/>
        </w:rPr>
        <w:t>a percentage of net revenue increased 1.6% to 13.5% for the three months ended March 31, 2021, from 11.9% for the three months ended March 31, 2020 primarily due to the partnership agreements that have off-campus classroom and laboratory sites requiring a higher level of technology and academic services than our agreement with GCU and due to the revenue impacts caused by COVID-19 as we incur limited operating expenses to deliver those services. GCE has 29 off-campus classroom and laboratory sites open as of March 31, 2021 as compared to the 23 sites that were open as of March 31, 2020. Additionally, in the first quarter of 2021 we are incurring costs for five more locations that we anticipate will open in the last nine months of 2021.</w:t>
      </w:r>
    </w:p>
    <w:p>
      <w:pPr>
        <w:spacing w:after="0" w:line="192" w:lineRule="exact"/>
        <w:rPr>
          <w:sz w:val="20"/>
          <w:szCs w:val="20"/>
          <w:color w:val="auto"/>
        </w:rPr>
      </w:pPr>
    </w:p>
    <w:p>
      <w:pPr>
        <w:ind w:left="60" w:right="79" w:firstLine="648"/>
        <w:spacing w:after="0" w:line="283" w:lineRule="auto"/>
        <w:rPr>
          <w:sz w:val="20"/>
          <w:szCs w:val="20"/>
          <w:color w:val="auto"/>
        </w:rPr>
      </w:pPr>
      <w:r>
        <w:rPr>
          <w:rFonts w:ascii="Arial" w:cs="Arial" w:eastAsia="Arial" w:hAnsi="Arial"/>
          <w:sz w:val="16"/>
          <w:szCs w:val="16"/>
          <w:i w:val="1"/>
          <w:iCs w:val="1"/>
          <w:color w:val="auto"/>
        </w:rPr>
        <w:t>Counseling services and support</w:t>
      </w:r>
      <w:r>
        <w:rPr>
          <w:rFonts w:ascii="Arial" w:cs="Arial" w:eastAsia="Arial" w:hAnsi="Arial"/>
          <w:sz w:val="16"/>
          <w:szCs w:val="16"/>
          <w:color w:val="auto"/>
        </w:rPr>
        <w:t>. Our counseling services and support expenses for the three months ended March</w:t>
      </w:r>
      <w:r>
        <w:rPr>
          <w:rFonts w:ascii="Arial" w:cs="Arial" w:eastAsia="Arial" w:hAnsi="Arial"/>
          <w:sz w:val="16"/>
          <w:szCs w:val="16"/>
          <w:i w:val="1"/>
          <w:iCs w:val="1"/>
          <w:color w:val="auto"/>
        </w:rPr>
        <w:t xml:space="preserve"> </w:t>
      </w:r>
      <w:r>
        <w:rPr>
          <w:rFonts w:ascii="Arial" w:cs="Arial" w:eastAsia="Arial" w:hAnsi="Arial"/>
          <w:sz w:val="16"/>
          <w:szCs w:val="16"/>
          <w:color w:val="auto"/>
        </w:rPr>
        <w:t>31, 2021 were $61.2 million, an increase of $1.0 million, or 1.7%, as compared to counseling services and support expenses of $60.2 million for the three months ended March 31, 2020. This increase was primarily attributable to increases in employee compensation and related expenses including share-based compensation of $2.8 million, partially offset by a decrease in other counseling services and support expenses of $1.8 million. The increases in employee compensation and related expenses were primarily due to increased headcount to support our university partners, and their increased enrollment growth, tenure-based salary adjustments, an increase in benefit costs and the increased number of off-campus classroom and laboratory sites open year over year. The decrease in other counseling services and support expenses is primarily the result of decreased travel costs to service our 26 university partners. All non-essential travel ceased when the COVID-19 national emergency was announced in mid-March 2020 and only a small amount of travel has occurred subsequent to that date. Our counseling services and support expenses as a percentage of net revenue decreased 1.4% to</w:t>
      </w:r>
    </w:p>
    <w:p>
      <w:pPr>
        <w:spacing w:after="0" w:line="4" w:lineRule="exact"/>
        <w:rPr>
          <w:sz w:val="20"/>
          <w:szCs w:val="20"/>
          <w:color w:val="auto"/>
        </w:rPr>
      </w:pPr>
    </w:p>
    <w:p>
      <w:pPr>
        <w:ind w:left="60" w:right="59"/>
        <w:spacing w:after="0" w:line="253" w:lineRule="auto"/>
        <w:rPr>
          <w:sz w:val="20"/>
          <w:szCs w:val="20"/>
          <w:color w:val="auto"/>
        </w:rPr>
      </w:pPr>
      <w:r>
        <w:rPr>
          <w:rFonts w:ascii="Arial" w:cs="Arial" w:eastAsia="Arial" w:hAnsi="Arial"/>
          <w:sz w:val="18"/>
          <w:szCs w:val="18"/>
          <w:color w:val="auto"/>
        </w:rPr>
        <w:t>25.8% for the three months ended March 31, 2021, from 27.2% for the three months ended March 31, 2020 primarily due to the reduced travel and other costs and our ability to leverage our other counseling services and support expense across an increasing revenue base partially offset by the revenue impacts caused by COVID-19 in 2020 as we incur limited operating expenses to deliver those services.</w:t>
      </w:r>
    </w:p>
    <w:p>
      <w:pPr>
        <w:sectPr>
          <w:pgSz w:w="11900" w:h="16838" w:orient="portrait"/>
          <w:cols w:equalWidth="0" w:num="1">
            <w:col w:w="9019"/>
          </w:cols>
          <w:pgMar w:left="1440" w:top="517" w:right="1440" w:bottom="1440" w:gutter="0" w:footer="0" w:header="0"/>
        </w:sectPr>
      </w:pPr>
    </w:p>
    <w:p>
      <w:pPr>
        <w:spacing w:after="0" w:line="200" w:lineRule="exact"/>
        <w:rPr>
          <w:sz w:val="20"/>
          <w:szCs w:val="20"/>
          <w:color w:val="auto"/>
        </w:rPr>
      </w:pPr>
    </w:p>
    <w:p>
      <w:pPr>
        <w:spacing w:after="0" w:line="209"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540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27" w:name="page28"/>
    <w:bookmarkEnd w:id="27"/>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259" w:firstLine="648"/>
        <w:spacing w:after="0" w:line="287" w:lineRule="auto"/>
        <w:rPr>
          <w:sz w:val="20"/>
          <w:szCs w:val="20"/>
          <w:color w:val="auto"/>
        </w:rPr>
      </w:pPr>
      <w:r>
        <w:rPr>
          <w:rFonts w:ascii="Arial" w:cs="Arial" w:eastAsia="Arial" w:hAnsi="Arial"/>
          <w:sz w:val="16"/>
          <w:szCs w:val="16"/>
          <w:i w:val="1"/>
          <w:iCs w:val="1"/>
          <w:color w:val="auto"/>
        </w:rPr>
        <w:t>Marketing and communication</w:t>
      </w:r>
      <w:r>
        <w:rPr>
          <w:rFonts w:ascii="Arial" w:cs="Arial" w:eastAsia="Arial" w:hAnsi="Arial"/>
          <w:sz w:val="16"/>
          <w:szCs w:val="16"/>
          <w:color w:val="auto"/>
        </w:rPr>
        <w:t>. Our marketing and communication expenses for the three months ended March</w:t>
      </w:r>
      <w:r>
        <w:rPr>
          <w:rFonts w:ascii="Arial" w:cs="Arial" w:eastAsia="Arial" w:hAnsi="Arial"/>
          <w:sz w:val="16"/>
          <w:szCs w:val="16"/>
          <w:i w:val="1"/>
          <w:iCs w:val="1"/>
          <w:color w:val="auto"/>
        </w:rPr>
        <w:t xml:space="preserve"> </w:t>
      </w:r>
      <w:r>
        <w:rPr>
          <w:rFonts w:ascii="Arial" w:cs="Arial" w:eastAsia="Arial" w:hAnsi="Arial"/>
          <w:sz w:val="16"/>
          <w:szCs w:val="16"/>
          <w:color w:val="auto"/>
        </w:rPr>
        <w:t>31, 2021 were $47.7 million, an increase of $5.0 million, or 11.8%, as compared to marketing and communication expenses of $42.7 million for the three months ended March 31, 2020. This increase was primarily attributable to the increased cost to market our university partners’ programs and due to the marketing of new university partners and new locations which resulted in increased advertising of $4.7 million, increased employee compensation and related expenses including share-based compensation of $0.1 million and increased other communications expenses of $0.1 million. Our marketing and communication expenses as a percentage of net revenue increased by 0.8% to 20.1% for the three months ended March 31, 2021, from 19.3% for the three months ended March 31, 2020, primarily due to the increase in the number of new off-campus classroom and laboratory sites opened in the second half of 2020 and planned for opening in the first half of 2021 as compared to those opened in the same period in the prior year and due to the revenue impacts caused by COVID-19 as we incur limited operating expenses to deliver those services.</w:t>
      </w:r>
    </w:p>
    <w:p>
      <w:pPr>
        <w:spacing w:after="0" w:line="172" w:lineRule="exact"/>
        <w:rPr>
          <w:sz w:val="20"/>
          <w:szCs w:val="20"/>
          <w:color w:val="auto"/>
        </w:rPr>
      </w:pPr>
    </w:p>
    <w:p>
      <w:pPr>
        <w:ind w:left="60" w:right="139" w:firstLine="648"/>
        <w:spacing w:after="0" w:line="284" w:lineRule="auto"/>
        <w:rPr>
          <w:sz w:val="20"/>
          <w:szCs w:val="20"/>
          <w:color w:val="auto"/>
        </w:rPr>
      </w:pPr>
      <w:r>
        <w:rPr>
          <w:rFonts w:ascii="Arial" w:cs="Arial" w:eastAsia="Arial" w:hAnsi="Arial"/>
          <w:sz w:val="16"/>
          <w:szCs w:val="16"/>
          <w:i w:val="1"/>
          <w:iCs w:val="1"/>
          <w:color w:val="auto"/>
        </w:rPr>
        <w:t>General and administrative</w:t>
      </w:r>
      <w:r>
        <w:rPr>
          <w:rFonts w:ascii="Arial" w:cs="Arial" w:eastAsia="Arial" w:hAnsi="Arial"/>
          <w:sz w:val="16"/>
          <w:szCs w:val="16"/>
          <w:color w:val="auto"/>
        </w:rPr>
        <w:t>. Our general and administrative expenses for both the three months ended March 31,</w:t>
      </w:r>
      <w:r>
        <w:rPr>
          <w:rFonts w:ascii="Arial" w:cs="Arial" w:eastAsia="Arial" w:hAnsi="Arial"/>
          <w:sz w:val="16"/>
          <w:szCs w:val="16"/>
          <w:i w:val="1"/>
          <w:iCs w:val="1"/>
          <w:color w:val="auto"/>
        </w:rPr>
        <w:t xml:space="preserve"> </w:t>
      </w:r>
      <w:r>
        <w:rPr>
          <w:rFonts w:ascii="Arial" w:cs="Arial" w:eastAsia="Arial" w:hAnsi="Arial"/>
          <w:sz w:val="16"/>
          <w:szCs w:val="16"/>
          <w:color w:val="auto"/>
        </w:rPr>
        <w:t>2021 and 2020 were $9.6 million as a $0.6 million increase in legal, audit and other professional fees was offset by a decrease in employee compensation and related expenses including share-based compensation of $0.3 million and a decrease in other general and administrative expenses of $0.3 million. The decrease in employee compensation and related expenses is primarily related to lower headcount at our office in Indiana as we have transitioned a number of back office functions to Arizona. Our decrease in other general and administrative expenses is primarily related to reduced travel costs. Our general and administrative expenses as a percentage of net revenue decreased by 0.3% to 4.0% for the</w:t>
      </w:r>
    </w:p>
    <w:p>
      <w:pPr>
        <w:spacing w:after="0" w:line="2" w:lineRule="exact"/>
        <w:rPr>
          <w:sz w:val="20"/>
          <w:szCs w:val="20"/>
          <w:color w:val="auto"/>
        </w:rPr>
      </w:pPr>
    </w:p>
    <w:p>
      <w:pPr>
        <w:ind w:left="60" w:right="219"/>
        <w:spacing w:after="0" w:line="253" w:lineRule="auto"/>
        <w:rPr>
          <w:sz w:val="20"/>
          <w:szCs w:val="20"/>
          <w:color w:val="auto"/>
        </w:rPr>
      </w:pPr>
      <w:r>
        <w:rPr>
          <w:rFonts w:ascii="Arial" w:cs="Arial" w:eastAsia="Arial" w:hAnsi="Arial"/>
          <w:sz w:val="18"/>
          <w:szCs w:val="18"/>
          <w:color w:val="auto"/>
        </w:rPr>
        <w:t>three months ended March 31, 2021, from 4.3% for the three months ended March 31, 2020 due to the cost savings realized by consolidating certain back office functions, reduced travel costs and our ability to leverage our other general and administrative expenses across an increasing revenue base partially offset by the revenue impacts caused by COVID-19 as we incur limited operating expenses to deliver those services.</w:t>
      </w:r>
    </w:p>
    <w:p>
      <w:pPr>
        <w:spacing w:after="0" w:line="193" w:lineRule="exact"/>
        <w:rPr>
          <w:sz w:val="20"/>
          <w:szCs w:val="20"/>
          <w:color w:val="auto"/>
        </w:rPr>
      </w:pPr>
    </w:p>
    <w:p>
      <w:pPr>
        <w:ind w:left="60" w:right="119" w:firstLine="648"/>
        <w:spacing w:after="0" w:line="259" w:lineRule="auto"/>
        <w:rPr>
          <w:sz w:val="20"/>
          <w:szCs w:val="20"/>
          <w:color w:val="auto"/>
        </w:rPr>
      </w:pPr>
      <w:r>
        <w:rPr>
          <w:rFonts w:ascii="Arial" w:cs="Arial" w:eastAsia="Arial" w:hAnsi="Arial"/>
          <w:sz w:val="18"/>
          <w:szCs w:val="18"/>
          <w:i w:val="1"/>
          <w:iCs w:val="1"/>
          <w:color w:val="auto"/>
        </w:rPr>
        <w:t>Amortization of intangible assets</w:t>
      </w:r>
      <w:r>
        <w:rPr>
          <w:rFonts w:ascii="Arial" w:cs="Arial" w:eastAsia="Arial" w:hAnsi="Arial"/>
          <w:sz w:val="18"/>
          <w:szCs w:val="18"/>
          <w:color w:val="auto"/>
        </w:rPr>
        <w:t>. Amortization of intangible assets for the three months ended March 31, 2021</w:t>
      </w:r>
      <w:r>
        <w:rPr>
          <w:rFonts w:ascii="Arial" w:cs="Arial" w:eastAsia="Arial" w:hAnsi="Arial"/>
          <w:sz w:val="18"/>
          <w:szCs w:val="18"/>
          <w:i w:val="1"/>
          <w:iCs w:val="1"/>
          <w:color w:val="auto"/>
        </w:rPr>
        <w:t xml:space="preserve"> </w:t>
      </w:r>
      <w:r>
        <w:rPr>
          <w:rFonts w:ascii="Arial" w:cs="Arial" w:eastAsia="Arial" w:hAnsi="Arial"/>
          <w:sz w:val="18"/>
          <w:szCs w:val="18"/>
          <w:color w:val="auto"/>
        </w:rPr>
        <w:t>and 2020 were $2.1 million for both periods. As a result of the acquisition of our wholly owned subsidiary, Orbis Education, certain identifiable intangible assets were created (primarily customer relationships) that will be amortized over their expected lives.</w:t>
      </w:r>
    </w:p>
    <w:p>
      <w:pPr>
        <w:spacing w:after="0" w:line="187" w:lineRule="exact"/>
        <w:rPr>
          <w:sz w:val="20"/>
          <w:szCs w:val="20"/>
          <w:color w:val="auto"/>
        </w:rPr>
      </w:pPr>
    </w:p>
    <w:p>
      <w:pPr>
        <w:ind w:left="60" w:right="99" w:firstLine="648"/>
        <w:spacing w:after="0" w:line="257" w:lineRule="auto"/>
        <w:rPr>
          <w:sz w:val="20"/>
          <w:szCs w:val="20"/>
          <w:color w:val="auto"/>
        </w:rPr>
      </w:pPr>
      <w:r>
        <w:rPr>
          <w:rFonts w:ascii="Arial" w:cs="Arial" w:eastAsia="Arial" w:hAnsi="Arial"/>
          <w:sz w:val="18"/>
          <w:szCs w:val="18"/>
          <w:i w:val="1"/>
          <w:iCs w:val="1"/>
          <w:color w:val="auto"/>
        </w:rPr>
        <w:t>Interest income on Secured Note</w:t>
      </w:r>
      <w:r>
        <w:rPr>
          <w:rFonts w:ascii="Arial" w:cs="Arial" w:eastAsia="Arial" w:hAnsi="Arial"/>
          <w:sz w:val="18"/>
          <w:szCs w:val="18"/>
          <w:color w:val="auto"/>
        </w:rPr>
        <w:t>. Interest income on the secured note from GCU in the initial principal amount of</w:t>
      </w:r>
      <w:r>
        <w:rPr>
          <w:rFonts w:ascii="Arial" w:cs="Arial" w:eastAsia="Arial" w:hAnsi="Arial"/>
          <w:sz w:val="18"/>
          <w:szCs w:val="18"/>
          <w:i w:val="1"/>
          <w:iCs w:val="1"/>
          <w:color w:val="auto"/>
        </w:rPr>
        <w:t xml:space="preserve"> </w:t>
      </w:r>
      <w:r>
        <w:rPr>
          <w:rFonts w:ascii="Arial" w:cs="Arial" w:eastAsia="Arial" w:hAnsi="Arial"/>
          <w:sz w:val="18"/>
          <w:szCs w:val="18"/>
          <w:color w:val="auto"/>
        </w:rPr>
        <w:t>$870.1 million (the “Secured Note”) for the three months ended March 31, 2021 was $14.5 million, a decrease of $0.2 million, or 1.1%, as compared to $14.7 million for the three months ended March 31, 2020. The Secured Note bears interest at 6% annually, and GCU makes monthly interest payments. The decrease over the prior year was primarily due to 2020 being a Leap Year with one additional day of interest.</w:t>
      </w:r>
    </w:p>
    <w:p>
      <w:pPr>
        <w:spacing w:after="0" w:line="188" w:lineRule="exact"/>
        <w:rPr>
          <w:sz w:val="20"/>
          <w:szCs w:val="20"/>
          <w:color w:val="auto"/>
        </w:rPr>
      </w:pPr>
    </w:p>
    <w:p>
      <w:pPr>
        <w:ind w:left="60" w:right="99" w:firstLine="648"/>
        <w:spacing w:after="0" w:line="255" w:lineRule="auto"/>
        <w:rPr>
          <w:sz w:val="20"/>
          <w:szCs w:val="20"/>
          <w:color w:val="auto"/>
        </w:rPr>
      </w:pPr>
      <w:r>
        <w:rPr>
          <w:rFonts w:ascii="Arial" w:cs="Arial" w:eastAsia="Arial" w:hAnsi="Arial"/>
          <w:sz w:val="18"/>
          <w:szCs w:val="18"/>
          <w:i w:val="1"/>
          <w:iCs w:val="1"/>
          <w:color w:val="auto"/>
        </w:rPr>
        <w:t>Interest expense</w:t>
      </w:r>
      <w:r>
        <w:rPr>
          <w:rFonts w:ascii="Arial" w:cs="Arial" w:eastAsia="Arial" w:hAnsi="Arial"/>
          <w:sz w:val="18"/>
          <w:szCs w:val="18"/>
          <w:color w:val="auto"/>
        </w:rPr>
        <w:t>. Interest expense was $0.8 million for the three months ended March 31, 2021, a decrease of $0.7</w:t>
      </w:r>
      <w:r>
        <w:rPr>
          <w:rFonts w:ascii="Arial" w:cs="Arial" w:eastAsia="Arial" w:hAnsi="Arial"/>
          <w:sz w:val="18"/>
          <w:szCs w:val="18"/>
          <w:i w:val="1"/>
          <w:iCs w:val="1"/>
          <w:color w:val="auto"/>
        </w:rPr>
        <w:t xml:space="preserve"> </w:t>
      </w:r>
      <w:r>
        <w:rPr>
          <w:rFonts w:ascii="Arial" w:cs="Arial" w:eastAsia="Arial" w:hAnsi="Arial"/>
          <w:sz w:val="18"/>
          <w:szCs w:val="18"/>
          <w:color w:val="auto"/>
        </w:rPr>
        <w:t>million, as compared to interest expense of $1.5 million for the three months ended March 31, 2020. The decrease in interest expense was primarily due to a decline in the average credit facility outstanding balance between periods due to paydowns of the credit facility during the past twelve months and an average interest rate reduction of approximately 155 basis points from the first quarter of 2020 to the first quarter of 2021 partially offset by 2020 being a Leap Year with one additional day of interest.</w:t>
      </w:r>
    </w:p>
    <w:p>
      <w:pPr>
        <w:spacing w:after="0" w:line="192" w:lineRule="exact"/>
        <w:rPr>
          <w:sz w:val="20"/>
          <w:szCs w:val="20"/>
          <w:color w:val="auto"/>
        </w:rPr>
      </w:pPr>
    </w:p>
    <w:p>
      <w:pPr>
        <w:jc w:val="both"/>
        <w:ind w:left="60" w:right="179" w:firstLine="648"/>
        <w:spacing w:after="0" w:line="286" w:lineRule="auto"/>
        <w:rPr>
          <w:sz w:val="20"/>
          <w:szCs w:val="20"/>
          <w:color w:val="auto"/>
        </w:rPr>
      </w:pPr>
      <w:r>
        <w:rPr>
          <w:rFonts w:ascii="Arial" w:cs="Arial" w:eastAsia="Arial" w:hAnsi="Arial"/>
          <w:sz w:val="17"/>
          <w:szCs w:val="17"/>
          <w:i w:val="1"/>
          <w:iCs w:val="1"/>
          <w:color w:val="auto"/>
        </w:rPr>
        <w:t>Investment interest and other</w:t>
      </w:r>
      <w:r>
        <w:rPr>
          <w:rFonts w:ascii="Arial" w:cs="Arial" w:eastAsia="Arial" w:hAnsi="Arial"/>
          <w:sz w:val="17"/>
          <w:szCs w:val="17"/>
          <w:color w:val="auto"/>
        </w:rPr>
        <w:t>. Investment interest and other for the three months ended March 31, 2021 was $0.1</w:t>
      </w:r>
      <w:r>
        <w:rPr>
          <w:rFonts w:ascii="Arial" w:cs="Arial" w:eastAsia="Arial" w:hAnsi="Arial"/>
          <w:sz w:val="17"/>
          <w:szCs w:val="17"/>
          <w:i w:val="1"/>
          <w:iCs w:val="1"/>
          <w:color w:val="auto"/>
        </w:rPr>
        <w:t xml:space="preserve"> </w:t>
      </w:r>
      <w:r>
        <w:rPr>
          <w:rFonts w:ascii="Arial" w:cs="Arial" w:eastAsia="Arial" w:hAnsi="Arial"/>
          <w:sz w:val="17"/>
          <w:szCs w:val="17"/>
          <w:color w:val="auto"/>
        </w:rPr>
        <w:t>million, a decrease of $0.1 million, as compared to $0.2 million in the three months ended March 31, 2020. This decrease was primarily attributable to a decline in interest income on excess cash due to lower interest rates.</w:t>
      </w:r>
    </w:p>
    <w:p>
      <w:pPr>
        <w:spacing w:after="0" w:line="165" w:lineRule="exact"/>
        <w:rPr>
          <w:sz w:val="20"/>
          <w:szCs w:val="20"/>
          <w:color w:val="auto"/>
        </w:rPr>
      </w:pPr>
    </w:p>
    <w:p>
      <w:pPr>
        <w:ind w:left="60" w:right="119" w:firstLine="648"/>
        <w:spacing w:after="0" w:line="271" w:lineRule="auto"/>
        <w:rPr>
          <w:sz w:val="20"/>
          <w:szCs w:val="20"/>
          <w:color w:val="auto"/>
        </w:rPr>
      </w:pPr>
      <w:r>
        <w:rPr>
          <w:rFonts w:ascii="Arial" w:cs="Arial" w:eastAsia="Arial" w:hAnsi="Arial"/>
          <w:sz w:val="17"/>
          <w:szCs w:val="17"/>
          <w:i w:val="1"/>
          <w:iCs w:val="1"/>
          <w:color w:val="auto"/>
        </w:rPr>
        <w:t>Income tax expense</w:t>
      </w:r>
      <w:r>
        <w:rPr>
          <w:rFonts w:ascii="Arial" w:cs="Arial" w:eastAsia="Arial" w:hAnsi="Arial"/>
          <w:sz w:val="17"/>
          <w:szCs w:val="17"/>
          <w:color w:val="auto"/>
        </w:rPr>
        <w:t>. Income tax expense for the three months ended March 31, 2021 was $20.0 million, a</w:t>
      </w:r>
      <w:r>
        <w:rPr>
          <w:rFonts w:ascii="Arial" w:cs="Arial" w:eastAsia="Arial" w:hAnsi="Arial"/>
          <w:sz w:val="17"/>
          <w:szCs w:val="17"/>
          <w:i w:val="1"/>
          <w:iCs w:val="1"/>
          <w:color w:val="auto"/>
        </w:rPr>
        <w:t xml:space="preserve"> </w:t>
      </w:r>
      <w:r>
        <w:rPr>
          <w:rFonts w:ascii="Arial" w:cs="Arial" w:eastAsia="Arial" w:hAnsi="Arial"/>
          <w:sz w:val="17"/>
          <w:szCs w:val="17"/>
          <w:color w:val="auto"/>
        </w:rPr>
        <w:t>decrease of $2.8 million, or 12.3%, as compared to income tax expense of $22.8 million for the three months ended March 31, 2020. This decrease was the result of a decrease in our effective tax rate between periods partially offset by higher taxable income. Our effective tax rate was 20.4% during the first quarter of 2021 compared to 24.2% during the first quarter of 2020. In the first quarter of 2021, the effective tax rate was impacted by an increase in excess tax benefits, which increased to $4.4 million in the first quarter of 2021 as compared to $0.6 million in the same period in 2020 due to a higher stock price and higher stock option exercises in the first quarter of 2021. The inclusion of excess tax benefits and deficiencies as a component of our income tax expense will increase volatility within our provision for</w:t>
      </w:r>
    </w:p>
    <w:p>
      <w:pPr>
        <w:sectPr>
          <w:pgSz w:w="11900" w:h="16838" w:orient="portrait"/>
          <w:cols w:equalWidth="0" w:num="1">
            <w:col w:w="9019"/>
          </w:cols>
          <w:pgMar w:left="1440" w:top="517" w:right="1440" w:bottom="1440" w:gutter="0" w:footer="0" w:header="0"/>
        </w:sectPr>
      </w:pPr>
    </w:p>
    <w:p>
      <w:pPr>
        <w:spacing w:after="0" w:line="394"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28" w:name="page29"/>
    <w:bookmarkEnd w:id="28"/>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139"/>
        <w:spacing w:after="0" w:line="259" w:lineRule="auto"/>
        <w:rPr>
          <w:sz w:val="20"/>
          <w:szCs w:val="20"/>
          <w:color w:val="auto"/>
        </w:rPr>
      </w:pPr>
      <w:r>
        <w:rPr>
          <w:rFonts w:ascii="Arial" w:cs="Arial" w:eastAsia="Arial" w:hAnsi="Arial"/>
          <w:sz w:val="18"/>
          <w:szCs w:val="18"/>
          <w:color w:val="auto"/>
        </w:rPr>
        <w:t>income taxes as the amount of excess tax benefits or deficiencies from share-based compensation awards are dependent on our stock price at the date the restricted awards vest, our stock price on the date an option is exercised, and the quantity of options exercised. Our restricted stock vests in March each year so the favorable benefit will primarily impact the first quarter each year.</w:t>
      </w:r>
    </w:p>
    <w:p>
      <w:pPr>
        <w:spacing w:after="0" w:line="187" w:lineRule="exact"/>
        <w:rPr>
          <w:sz w:val="20"/>
          <w:szCs w:val="20"/>
          <w:color w:val="auto"/>
        </w:rPr>
      </w:pPr>
    </w:p>
    <w:p>
      <w:pPr>
        <w:jc w:val="both"/>
        <w:ind w:left="60" w:right="339" w:firstLine="648"/>
        <w:spacing w:after="0" w:line="263" w:lineRule="auto"/>
        <w:rPr>
          <w:sz w:val="20"/>
          <w:szCs w:val="20"/>
          <w:color w:val="auto"/>
        </w:rPr>
      </w:pPr>
      <w:r>
        <w:rPr>
          <w:rFonts w:ascii="Arial" w:cs="Arial" w:eastAsia="Arial" w:hAnsi="Arial"/>
          <w:sz w:val="18"/>
          <w:szCs w:val="18"/>
          <w:i w:val="1"/>
          <w:iCs w:val="1"/>
          <w:color w:val="auto"/>
        </w:rPr>
        <w:t>Net income</w:t>
      </w:r>
      <w:r>
        <w:rPr>
          <w:rFonts w:ascii="Arial" w:cs="Arial" w:eastAsia="Arial" w:hAnsi="Arial"/>
          <w:sz w:val="18"/>
          <w:szCs w:val="18"/>
          <w:color w:val="auto"/>
        </w:rPr>
        <w:t>. Our net income for the three months ended March 31, 2021 was $78.1 million, an increase of $6.7</w:t>
      </w:r>
      <w:r>
        <w:rPr>
          <w:rFonts w:ascii="Arial" w:cs="Arial" w:eastAsia="Arial" w:hAnsi="Arial"/>
          <w:sz w:val="18"/>
          <w:szCs w:val="18"/>
          <w:i w:val="1"/>
          <w:iCs w:val="1"/>
          <w:color w:val="auto"/>
        </w:rPr>
        <w:t xml:space="preserve"> </w:t>
      </w:r>
      <w:r>
        <w:rPr>
          <w:rFonts w:ascii="Arial" w:cs="Arial" w:eastAsia="Arial" w:hAnsi="Arial"/>
          <w:sz w:val="18"/>
          <w:szCs w:val="18"/>
          <w:color w:val="auto"/>
        </w:rPr>
        <w:t>million, or 9.4%, as compared to $71.4 million for the three months ended March 31, 2020, due to the factors discussed above.</w:t>
      </w:r>
    </w:p>
    <w:p>
      <w:pPr>
        <w:spacing w:after="0" w:line="180"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Seasonality</w:t>
      </w:r>
    </w:p>
    <w:p>
      <w:pPr>
        <w:spacing w:after="0" w:line="229" w:lineRule="exact"/>
        <w:rPr>
          <w:sz w:val="20"/>
          <w:szCs w:val="20"/>
          <w:color w:val="auto"/>
        </w:rPr>
      </w:pPr>
    </w:p>
    <w:p>
      <w:pPr>
        <w:ind w:left="60" w:right="99" w:firstLine="648"/>
        <w:spacing w:after="0" w:line="286" w:lineRule="auto"/>
        <w:rPr>
          <w:sz w:val="20"/>
          <w:szCs w:val="20"/>
          <w:color w:val="auto"/>
        </w:rPr>
      </w:pPr>
      <w:r>
        <w:rPr>
          <w:rFonts w:ascii="Arial" w:cs="Arial" w:eastAsia="Arial" w:hAnsi="Arial"/>
          <w:sz w:val="16"/>
          <w:szCs w:val="16"/>
          <w:color w:val="auto"/>
        </w:rPr>
        <w:t>Our net revenue and operating results normally fluctuate as a result of seasonal variations in our business, principally due to changes in our university partners’ enrollment. Our partners’ enrollment varies as a result of new enrollments, graduations, and student attrition. Revenues in the summer months (May through August) are lower primarily due to the majority of GCU’s traditional ground university students not attending courses during the summer months, which affects our results for our second and third fiscal quarters. Since a significant amount of our costs are fixed, the lower revenue resulting from the decreased summer enrollment has historically contributed to lower operating margins during those periods. Partially offsetting this summer effect has been the sequential quarterly increase in enrollments that has occurred as a result of the traditional fall school start. This increase in enrollments also has occurred in the first quarter, corresponding to calendar year matriculation. Thus, we experience higher net revenue in the fourth quarter due to its overlap with the semester encompassing the traditional fall school start and in the first quarter due to its overlap with the first semester of the calendar year. A portion of our expenses do not vary proportionately with these fluctuations in service revenue, resulting in higher operating income in the first and fourth quarters relative to other quarters. We expect quarterly fluctuation in operating results to continue as a result of these seasonal patterns.</w:t>
      </w:r>
    </w:p>
    <w:p>
      <w:pPr>
        <w:spacing w:after="0" w:line="170"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Liquidity and Capital Resources</w:t>
      </w:r>
    </w:p>
    <w:p>
      <w:pPr>
        <w:spacing w:after="0" w:line="229" w:lineRule="exact"/>
        <w:rPr>
          <w:sz w:val="20"/>
          <w:szCs w:val="20"/>
          <w:color w:val="auto"/>
        </w:rPr>
      </w:pPr>
    </w:p>
    <w:p>
      <w:pPr>
        <w:ind w:left="700"/>
        <w:spacing w:after="0"/>
        <w:rPr>
          <w:sz w:val="20"/>
          <w:szCs w:val="20"/>
          <w:color w:val="auto"/>
        </w:rPr>
      </w:pPr>
      <w:r>
        <w:rPr>
          <w:rFonts w:ascii="Arial" w:cs="Arial" w:eastAsia="Arial" w:hAnsi="Arial"/>
          <w:sz w:val="16"/>
          <w:szCs w:val="16"/>
          <w:i w:val="1"/>
          <w:iCs w:val="1"/>
          <w:color w:val="auto"/>
        </w:rPr>
        <w:t>Liquidity</w:t>
      </w:r>
      <w:r>
        <w:rPr>
          <w:rFonts w:ascii="Arial" w:cs="Arial" w:eastAsia="Arial" w:hAnsi="Arial"/>
          <w:sz w:val="16"/>
          <w:szCs w:val="16"/>
          <w:color w:val="auto"/>
        </w:rPr>
        <w:t>. Our unrestricted cash and cash equivalents and investments were $262.3 million at March 31, 2021.</w:t>
      </w:r>
    </w:p>
    <w:p>
      <w:pPr>
        <w:spacing w:after="0" w:line="46" w:lineRule="exact"/>
        <w:rPr>
          <w:sz w:val="20"/>
          <w:szCs w:val="20"/>
          <w:color w:val="auto"/>
        </w:rPr>
      </w:pPr>
    </w:p>
    <w:p>
      <w:pPr>
        <w:ind w:left="60"/>
        <w:spacing w:after="0"/>
        <w:rPr>
          <w:sz w:val="20"/>
          <w:szCs w:val="20"/>
          <w:color w:val="auto"/>
        </w:rPr>
      </w:pPr>
      <w:r>
        <w:rPr>
          <w:rFonts w:ascii="Arial" w:cs="Arial" w:eastAsia="Arial" w:hAnsi="Arial"/>
          <w:sz w:val="18"/>
          <w:szCs w:val="18"/>
          <w:color w:val="auto"/>
        </w:rPr>
        <w:t>Our credit facility had an available line of credit of $150.0 million as of March 31, 2021.</w:t>
      </w:r>
    </w:p>
    <w:p>
      <w:pPr>
        <w:spacing w:after="0" w:line="211" w:lineRule="exact"/>
        <w:rPr>
          <w:sz w:val="20"/>
          <w:szCs w:val="20"/>
          <w:color w:val="auto"/>
        </w:rPr>
      </w:pPr>
    </w:p>
    <w:p>
      <w:pPr>
        <w:ind w:left="60" w:right="259" w:firstLine="648"/>
        <w:spacing w:after="0" w:line="259" w:lineRule="auto"/>
        <w:rPr>
          <w:sz w:val="20"/>
          <w:szCs w:val="20"/>
          <w:color w:val="auto"/>
        </w:rPr>
      </w:pPr>
      <w:r>
        <w:rPr>
          <w:rFonts w:ascii="Arial" w:cs="Arial" w:eastAsia="Arial" w:hAnsi="Arial"/>
          <w:sz w:val="18"/>
          <w:szCs w:val="18"/>
          <w:color w:val="auto"/>
        </w:rPr>
        <w:t>Based on our current level of operations and anticipated growth, we believe that our cash flow from operations and other sources of liquidity, including cash and cash equivalents and our revolving line of credit, will provide adequate funds for ongoing operations, planned capital expenditures, and working capital requirements for at least the next 24 months.</w:t>
      </w:r>
    </w:p>
    <w:p>
      <w:pPr>
        <w:spacing w:after="0" w:line="187"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Arrangements with GCU</w:t>
      </w:r>
    </w:p>
    <w:p>
      <w:pPr>
        <w:spacing w:after="0" w:line="225" w:lineRule="exact"/>
        <w:rPr>
          <w:sz w:val="20"/>
          <w:szCs w:val="20"/>
          <w:color w:val="auto"/>
        </w:rPr>
      </w:pPr>
    </w:p>
    <w:p>
      <w:pPr>
        <w:ind w:left="60" w:right="119" w:firstLine="324"/>
        <w:spacing w:after="0" w:line="289" w:lineRule="auto"/>
        <w:rPr>
          <w:sz w:val="20"/>
          <w:szCs w:val="20"/>
          <w:color w:val="auto"/>
        </w:rPr>
      </w:pPr>
      <w:r>
        <w:rPr>
          <w:rFonts w:ascii="Arial" w:cs="Arial" w:eastAsia="Arial" w:hAnsi="Arial"/>
          <w:sz w:val="16"/>
          <w:szCs w:val="16"/>
          <w:color w:val="auto"/>
        </w:rPr>
        <w:t>In conjunction with the Asset Purchase Agreement with GCU, we received a Secured Note as consideration for the transferred assets (the “Transferred Assets”). The Secured Note contains customary commercial credit terms, including affirmative and negative covenants applicable to GCU, and provides that the Secured Note bears interest at an annual rate of 6.0%, has a maturity date of June 30, 2025, and is secured by all of the assets of GCU. The Secured Note provides for GCU to make interest only payments during the term, with all principal and accrued and unpaid interest due at maturity, and also provides that we may loan additional amounts to GCU to fund approved capital expenditures during the first three years of the term. As of March 31, 2021, the Company had loaned an additional $99,815 to GCU, net of repayments. We believe that GCU’s cash flows from operations are currently sufficient to fund all of its capital expenditures without additional loans from us although it is possible that GCU will continue to borrow from us for short term cash flow needs.</w:t>
      </w:r>
    </w:p>
    <w:p>
      <w:pPr>
        <w:spacing w:after="0" w:line="166"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Share Repurchase Program</w:t>
      </w:r>
    </w:p>
    <w:p>
      <w:pPr>
        <w:spacing w:after="0" w:line="225" w:lineRule="exact"/>
        <w:rPr>
          <w:sz w:val="20"/>
          <w:szCs w:val="20"/>
          <w:color w:val="auto"/>
        </w:rPr>
      </w:pPr>
    </w:p>
    <w:p>
      <w:pPr>
        <w:jc w:val="both"/>
        <w:ind w:left="60" w:right="199" w:firstLine="648"/>
        <w:spacing w:after="0" w:line="311" w:lineRule="auto"/>
        <w:rPr>
          <w:sz w:val="20"/>
          <w:szCs w:val="20"/>
          <w:color w:val="auto"/>
        </w:rPr>
      </w:pPr>
      <w:r>
        <w:rPr>
          <w:rFonts w:ascii="Arial" w:cs="Arial" w:eastAsia="Arial" w:hAnsi="Arial"/>
          <w:sz w:val="16"/>
          <w:szCs w:val="16"/>
          <w:color w:val="auto"/>
        </w:rPr>
        <w:t>In January 2021, our Board of Directors increased the authorization under its existing stock repurchase program by $100.0 million reflecting an aggregate authorization for share repurchases since the initiation of the program of $500.0 million. The current expiration date on the repurchase authorization by our Board of Directors is December 31,</w:t>
      </w:r>
    </w:p>
    <w:p>
      <w:pPr>
        <w:sectPr>
          <w:pgSz w:w="11900" w:h="16838" w:orient="portrait"/>
          <w:cols w:equalWidth="0" w:num="1">
            <w:col w:w="9019"/>
          </w:cols>
          <w:pgMar w:left="1440" w:top="517" w:right="1440" w:bottom="1440" w:gutter="0" w:footer="0" w:header="0"/>
        </w:sectPr>
      </w:pPr>
    </w:p>
    <w:p>
      <w:pPr>
        <w:spacing w:after="0" w:line="365"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540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29" w:name="page30"/>
    <w:bookmarkEnd w:id="29"/>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879"/>
        <w:spacing w:after="0" w:line="277" w:lineRule="auto"/>
        <w:rPr>
          <w:sz w:val="20"/>
          <w:szCs w:val="20"/>
          <w:color w:val="auto"/>
        </w:rPr>
      </w:pPr>
      <w:r>
        <w:rPr>
          <w:rFonts w:ascii="Arial" w:cs="Arial" w:eastAsia="Arial" w:hAnsi="Arial"/>
          <w:sz w:val="18"/>
          <w:szCs w:val="18"/>
          <w:color w:val="auto"/>
        </w:rPr>
        <w:t>2021. Repurchases occur at the Company’s discretion and the Company may modify, suspend or discontinue the repurchase authorization at any time.</w:t>
      </w:r>
    </w:p>
    <w:p>
      <w:pPr>
        <w:spacing w:after="0" w:line="170" w:lineRule="exact"/>
        <w:rPr>
          <w:sz w:val="20"/>
          <w:szCs w:val="20"/>
          <w:color w:val="auto"/>
        </w:rPr>
      </w:pPr>
    </w:p>
    <w:p>
      <w:pPr>
        <w:ind w:left="60" w:right="119" w:firstLine="648"/>
        <w:spacing w:after="0" w:line="263" w:lineRule="auto"/>
        <w:rPr>
          <w:sz w:val="20"/>
          <w:szCs w:val="20"/>
          <w:color w:val="auto"/>
        </w:rPr>
      </w:pPr>
      <w:r>
        <w:rPr>
          <w:rFonts w:ascii="Arial" w:cs="Arial" w:eastAsia="Arial" w:hAnsi="Arial"/>
          <w:sz w:val="18"/>
          <w:szCs w:val="18"/>
          <w:color w:val="auto"/>
        </w:rPr>
        <w:t>Under our share repurchase authorization, we may purchase shares in the open market or in privately negotiated transactions, pursuant to the applicable SEC rules. The amount and timing of future share repurchases, if any, will be made as market and business conditions warrant.</w:t>
      </w:r>
    </w:p>
    <w:p>
      <w:pPr>
        <w:spacing w:after="0" w:line="184" w:lineRule="exact"/>
        <w:rPr>
          <w:sz w:val="20"/>
          <w:szCs w:val="20"/>
          <w:color w:val="auto"/>
        </w:rPr>
      </w:pPr>
    </w:p>
    <w:p>
      <w:pPr>
        <w:ind w:left="60" w:right="139" w:firstLine="648"/>
        <w:spacing w:after="0" w:line="288" w:lineRule="auto"/>
        <w:rPr>
          <w:sz w:val="20"/>
          <w:szCs w:val="20"/>
          <w:color w:val="auto"/>
        </w:rPr>
      </w:pPr>
      <w:r>
        <w:rPr>
          <w:rFonts w:ascii="Arial" w:cs="Arial" w:eastAsia="Arial" w:hAnsi="Arial"/>
          <w:sz w:val="16"/>
          <w:szCs w:val="16"/>
          <w:color w:val="auto"/>
        </w:rPr>
        <w:t>On March 10, 2021, the Company entered into an accelerated share repurchase (“ASR”) agreement with Morgan Stanley &amp; Co. LLC (“Morgan Stanley”) to repurchase up to $35.0 million of its outstanding shares of common stock as part of the Company’s share repurchase program. Under the ASR agreement, the Company received initial delivery of approximately 275,889 shares of common stock, representing approximately 80% of the number of shares of common stock initially underlying the ASR agreement based on the closing price of the common stock of $101.49, on March 9, 2021. The total number of shares that the Company will repurchase under the ASR program will be based on the volume-weighted average price of the common stock during the term of the ASR agreement, less a discount, and subject to potential adjustments pursuant to the terms and conditions of the ASR agreement. The final settlement of the share repurchases under the ASR agreement was completed on May 4, 2021 with additional delivery of 45,914 shares of common stock. The ASR agreement resulted in a total of 321,803 shares repurchased at an average cost of $108.76.</w:t>
      </w:r>
    </w:p>
    <w:p>
      <w:pPr>
        <w:spacing w:after="0" w:line="168" w:lineRule="exact"/>
        <w:rPr>
          <w:sz w:val="20"/>
          <w:szCs w:val="20"/>
          <w:color w:val="auto"/>
        </w:rPr>
      </w:pPr>
    </w:p>
    <w:p>
      <w:pPr>
        <w:ind w:left="60" w:right="359" w:firstLine="648"/>
        <w:spacing w:after="0" w:line="286" w:lineRule="auto"/>
        <w:rPr>
          <w:sz w:val="20"/>
          <w:szCs w:val="20"/>
          <w:color w:val="auto"/>
        </w:rPr>
      </w:pPr>
      <w:r>
        <w:rPr>
          <w:rFonts w:ascii="Arial" w:cs="Arial" w:eastAsia="Arial" w:hAnsi="Arial"/>
          <w:sz w:val="17"/>
          <w:szCs w:val="17"/>
          <w:color w:val="auto"/>
        </w:rPr>
        <w:t>During the three months ended March 31, 2021, 567,255 shares of common stock were repurchased by the Company, which includes the shares delivered on March 10, 2021 under the ASR agreement. At March 31, 2021, there remains $191.9 million available under our share repurchase authorization.</w:t>
      </w:r>
    </w:p>
    <w:p>
      <w:pPr>
        <w:spacing w:after="0" w:line="381"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Cash Flows</w:t>
      </w:r>
    </w:p>
    <w:p>
      <w:pPr>
        <w:spacing w:after="0" w:line="225" w:lineRule="exact"/>
        <w:rPr>
          <w:sz w:val="20"/>
          <w:szCs w:val="20"/>
          <w:color w:val="auto"/>
        </w:rPr>
      </w:pPr>
    </w:p>
    <w:p>
      <w:pPr>
        <w:ind w:left="60" w:right="79" w:firstLine="648"/>
        <w:spacing w:after="0" w:line="254" w:lineRule="auto"/>
        <w:rPr>
          <w:sz w:val="20"/>
          <w:szCs w:val="20"/>
          <w:color w:val="auto"/>
        </w:rPr>
      </w:pPr>
      <w:r>
        <w:rPr>
          <w:rFonts w:ascii="Arial" w:cs="Arial" w:eastAsia="Arial" w:hAnsi="Arial"/>
          <w:sz w:val="18"/>
          <w:szCs w:val="18"/>
          <w:i w:val="1"/>
          <w:iCs w:val="1"/>
          <w:color w:val="auto"/>
        </w:rPr>
        <w:t>Operating Activities</w:t>
      </w:r>
      <w:r>
        <w:rPr>
          <w:rFonts w:ascii="Arial" w:cs="Arial" w:eastAsia="Arial" w:hAnsi="Arial"/>
          <w:sz w:val="18"/>
          <w:szCs w:val="18"/>
          <w:color w:val="auto"/>
        </w:rPr>
        <w:t>. Net cash provided by operating activities for the three months ended March 31, 2021 was</w:t>
      </w:r>
      <w:r>
        <w:rPr>
          <w:rFonts w:ascii="Arial" w:cs="Arial" w:eastAsia="Arial" w:hAnsi="Arial"/>
          <w:sz w:val="18"/>
          <w:szCs w:val="18"/>
          <w:i w:val="1"/>
          <w:iCs w:val="1"/>
          <w:color w:val="auto"/>
        </w:rPr>
        <w:t xml:space="preserve"> </w:t>
      </w:r>
      <w:r>
        <w:rPr>
          <w:rFonts w:ascii="Arial" w:cs="Arial" w:eastAsia="Arial" w:hAnsi="Arial"/>
          <w:sz w:val="18"/>
          <w:szCs w:val="18"/>
          <w:color w:val="auto"/>
        </w:rPr>
        <w:t>$89.8 million as compared to $85.7 million for the three months ended March 31, 2020. The increase in cash generated from operating activities between the three months ended March 31, 2020 and the three months ended March 31, 2021 was primarily due to an increase in net income between periods partially offset by changes in other working capital balances. We define working capital as the assets and liabilities, other than cash, generated through the Company’s primary operating activities. Changes in these balances are included in the changes in assets and liabilities presented in the consolidated statement of cash flows.</w:t>
      </w:r>
    </w:p>
    <w:p>
      <w:pPr>
        <w:spacing w:after="0" w:line="195" w:lineRule="exact"/>
        <w:rPr>
          <w:sz w:val="20"/>
          <w:szCs w:val="20"/>
          <w:color w:val="auto"/>
        </w:rPr>
      </w:pPr>
    </w:p>
    <w:p>
      <w:pPr>
        <w:ind w:left="60" w:right="59" w:firstLine="648"/>
        <w:spacing w:after="0" w:line="287" w:lineRule="auto"/>
        <w:rPr>
          <w:sz w:val="20"/>
          <w:szCs w:val="20"/>
          <w:color w:val="auto"/>
        </w:rPr>
      </w:pPr>
      <w:r>
        <w:rPr>
          <w:rFonts w:ascii="Arial" w:cs="Arial" w:eastAsia="Arial" w:hAnsi="Arial"/>
          <w:sz w:val="16"/>
          <w:szCs w:val="16"/>
          <w:i w:val="1"/>
          <w:iCs w:val="1"/>
          <w:color w:val="auto"/>
        </w:rPr>
        <w:t>Investing Activities</w:t>
      </w:r>
      <w:r>
        <w:rPr>
          <w:rFonts w:ascii="Arial" w:cs="Arial" w:eastAsia="Arial" w:hAnsi="Arial"/>
          <w:sz w:val="16"/>
          <w:szCs w:val="16"/>
          <w:color w:val="auto"/>
        </w:rPr>
        <w:t>. Net cash used in investing activities was $34.8 million and $1.9 million for the three months</w:t>
      </w:r>
      <w:r>
        <w:rPr>
          <w:rFonts w:ascii="Arial" w:cs="Arial" w:eastAsia="Arial" w:hAnsi="Arial"/>
          <w:sz w:val="16"/>
          <w:szCs w:val="16"/>
          <w:i w:val="1"/>
          <w:iCs w:val="1"/>
          <w:color w:val="auto"/>
        </w:rPr>
        <w:t xml:space="preserve"> </w:t>
      </w:r>
      <w:r>
        <w:rPr>
          <w:rFonts w:ascii="Arial" w:cs="Arial" w:eastAsia="Arial" w:hAnsi="Arial"/>
          <w:sz w:val="16"/>
          <w:szCs w:val="16"/>
          <w:color w:val="auto"/>
        </w:rPr>
        <w:t>ended March 31, 2021 and 2020, respectively. The net cash used in investing activities in the three months ended March 31, 2021 consisted of capital expenditures of $8.9 million and purchases of investments, net of proceeds from the sale of investments of $25.8 million. During the three months ended March 31, 2020, we paid $6.1 million for capital expenditures and received proceeds from investments of $4.3 million. During the three-month period for 2021 and 2020, capital expenditures primarily consisted of leasehold improvements and equipment for new university partner locations, as well as purchases of computer equipment, other internal use software projects and furniture and equipment to support our increasing employee headcount. The increase in capital expenditures between periods is primarily due to the increase in the number of sites opened. We invest approximately $1.5 million in leasehold improvements and equipment for each off-campus classroom and laboratory site. We opened seven new sites in the second half of 2020, one new site in the Spring of 2021 and currently plan to open five additional sites in the last nine months of 2021.</w:t>
      </w:r>
    </w:p>
    <w:p>
      <w:pPr>
        <w:spacing w:after="0" w:line="172" w:lineRule="exact"/>
        <w:rPr>
          <w:sz w:val="20"/>
          <w:szCs w:val="20"/>
          <w:color w:val="auto"/>
        </w:rPr>
      </w:pPr>
    </w:p>
    <w:p>
      <w:pPr>
        <w:ind w:left="60" w:right="219" w:firstLine="648"/>
        <w:spacing w:after="0" w:line="289" w:lineRule="auto"/>
        <w:rPr>
          <w:sz w:val="20"/>
          <w:szCs w:val="20"/>
          <w:color w:val="auto"/>
        </w:rPr>
      </w:pPr>
      <w:r>
        <w:rPr>
          <w:rFonts w:ascii="Arial" w:cs="Arial" w:eastAsia="Arial" w:hAnsi="Arial"/>
          <w:sz w:val="16"/>
          <w:szCs w:val="16"/>
          <w:i w:val="1"/>
          <w:iCs w:val="1"/>
          <w:color w:val="auto"/>
        </w:rPr>
        <w:t>Financing Activities</w:t>
      </w:r>
      <w:r>
        <w:rPr>
          <w:rFonts w:ascii="Arial" w:cs="Arial" w:eastAsia="Arial" w:hAnsi="Arial"/>
          <w:sz w:val="16"/>
          <w:szCs w:val="16"/>
          <w:color w:val="auto"/>
        </w:rPr>
        <w:t>. Net cash used in financing activities was $74.9 million and $73.9 million for the three</w:t>
      </w:r>
      <w:r>
        <w:rPr>
          <w:rFonts w:ascii="Arial" w:cs="Arial" w:eastAsia="Arial" w:hAnsi="Arial"/>
          <w:sz w:val="16"/>
          <w:szCs w:val="16"/>
          <w:i w:val="1"/>
          <w:iCs w:val="1"/>
          <w:color w:val="auto"/>
        </w:rPr>
        <w:t xml:space="preserve"> </w:t>
      </w:r>
      <w:r>
        <w:rPr>
          <w:rFonts w:ascii="Arial" w:cs="Arial" w:eastAsia="Arial" w:hAnsi="Arial"/>
          <w:sz w:val="16"/>
          <w:szCs w:val="16"/>
          <w:color w:val="auto"/>
        </w:rPr>
        <w:t>months ended March 31, 2021 and 2020, respectively. During the three months ended March 31, 2021, $6.0 million was used to purchase common shares withheld in lieu of income taxes resulting from the vesting of restricted share awards, $56.3 million was used to purchase treasury stock in accordance with the Company’s share repurchase program, and $7.0 million was paid to Morgan Stanley under our ASR agreement for shares that will be settled no later than May 7, 2021. Principal payments on notes payable and capital leases totaled $8.3 million, partially offset by proceeds from the exercise of stock options of $2.7 million. During the three months ended March 31, 2020, $5.0 million was used to purchase common shares withheld in lieu of income taxes resulting from the vesting of restricted share awards and $60.7 million was used to purchase treasury stock in accordance with the Company’s share repurchase program. Principal</w:t>
      </w:r>
    </w:p>
    <w:p>
      <w:pPr>
        <w:sectPr>
          <w:pgSz w:w="11900" w:h="16838" w:orient="portrait"/>
          <w:cols w:equalWidth="0" w:num="1">
            <w:col w:w="9019"/>
          </w:cols>
          <w:pgMar w:left="1440" w:top="517" w:right="1440" w:bottom="1440" w:gutter="0" w:footer="0" w:header="0"/>
        </w:sectPr>
      </w:pPr>
    </w:p>
    <w:p>
      <w:pPr>
        <w:spacing w:after="0" w:line="382"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30" w:name="page31"/>
    <w:bookmarkEnd w:id="30"/>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299"/>
        <w:spacing w:after="0" w:line="277" w:lineRule="auto"/>
        <w:rPr>
          <w:sz w:val="20"/>
          <w:szCs w:val="20"/>
          <w:color w:val="auto"/>
        </w:rPr>
      </w:pPr>
      <w:r>
        <w:rPr>
          <w:rFonts w:ascii="Arial" w:cs="Arial" w:eastAsia="Arial" w:hAnsi="Arial"/>
          <w:sz w:val="18"/>
          <w:szCs w:val="18"/>
          <w:color w:val="auto"/>
        </w:rPr>
        <w:t>payments on notes payable and capital leases totaled $8.3 million, partially offset by proceeds from the exercise of stock options of $0.1 million.</w:t>
      </w:r>
    </w:p>
    <w:p>
      <w:pPr>
        <w:spacing w:after="0" w:line="166"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Off-Balance Sheet Arrangements</w:t>
      </w:r>
    </w:p>
    <w:p>
      <w:pPr>
        <w:spacing w:after="0" w:line="229" w:lineRule="exact"/>
        <w:rPr>
          <w:sz w:val="20"/>
          <w:szCs w:val="20"/>
          <w:color w:val="auto"/>
        </w:rPr>
      </w:pPr>
    </w:p>
    <w:p>
      <w:pPr>
        <w:ind w:left="60" w:right="539" w:firstLine="648"/>
        <w:spacing w:after="0" w:line="263" w:lineRule="auto"/>
        <w:rPr>
          <w:sz w:val="20"/>
          <w:szCs w:val="20"/>
          <w:color w:val="auto"/>
        </w:rPr>
      </w:pPr>
      <w:r>
        <w:rPr>
          <w:rFonts w:ascii="Arial" w:cs="Arial" w:eastAsia="Arial" w:hAnsi="Arial"/>
          <w:sz w:val="18"/>
          <w:szCs w:val="18"/>
          <w:color w:val="auto"/>
        </w:rPr>
        <w:t>We do not have any off-balance sheet arrangements that have had or are reasonably likely to have a material current or future effect on our financial condition, changes in financial condition, revenues or expenses, results of operations, liquidity, capital expenditures, or capital resources.</w:t>
      </w:r>
    </w:p>
    <w:p>
      <w:pPr>
        <w:spacing w:after="0" w:line="180"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Item 3.  Quantitative and Qualitative Disclosures About Market Risk</w:t>
      </w:r>
    </w:p>
    <w:p>
      <w:pPr>
        <w:spacing w:after="0" w:line="229" w:lineRule="exact"/>
        <w:rPr>
          <w:sz w:val="20"/>
          <w:szCs w:val="20"/>
          <w:color w:val="auto"/>
        </w:rPr>
      </w:pPr>
    </w:p>
    <w:p>
      <w:pPr>
        <w:ind w:left="60" w:right="439" w:firstLine="648"/>
        <w:spacing w:after="0" w:line="263" w:lineRule="auto"/>
        <w:rPr>
          <w:sz w:val="20"/>
          <w:szCs w:val="20"/>
          <w:color w:val="auto"/>
        </w:rPr>
      </w:pPr>
      <w:r>
        <w:rPr>
          <w:rFonts w:ascii="Arial" w:cs="Arial" w:eastAsia="Arial" w:hAnsi="Arial"/>
          <w:sz w:val="18"/>
          <w:szCs w:val="18"/>
          <w:i w:val="1"/>
          <w:iCs w:val="1"/>
          <w:color w:val="auto"/>
        </w:rPr>
        <w:t xml:space="preserve">Impact of inflation. </w:t>
      </w:r>
      <w:r>
        <w:rPr>
          <w:rFonts w:ascii="Arial" w:cs="Arial" w:eastAsia="Arial" w:hAnsi="Arial"/>
          <w:sz w:val="18"/>
          <w:szCs w:val="18"/>
          <w:color w:val="auto"/>
        </w:rPr>
        <w:t>We believe that inflation has not had a material impact on our results of operations for the</w:t>
      </w:r>
      <w:r>
        <w:rPr>
          <w:rFonts w:ascii="Arial" w:cs="Arial" w:eastAsia="Arial" w:hAnsi="Arial"/>
          <w:sz w:val="18"/>
          <w:szCs w:val="18"/>
          <w:i w:val="1"/>
          <w:iCs w:val="1"/>
          <w:color w:val="auto"/>
        </w:rPr>
        <w:t xml:space="preserve"> </w:t>
      </w:r>
      <w:r>
        <w:rPr>
          <w:rFonts w:ascii="Arial" w:cs="Arial" w:eastAsia="Arial" w:hAnsi="Arial"/>
          <w:sz w:val="18"/>
          <w:szCs w:val="18"/>
          <w:color w:val="auto"/>
        </w:rPr>
        <w:t>three months ended March 31, 2021 or 2020. There can be no assurance that future inflation will not have an adverse impact on our operating results and financial condition.</w:t>
      </w:r>
    </w:p>
    <w:p>
      <w:pPr>
        <w:spacing w:after="0" w:line="184" w:lineRule="exact"/>
        <w:rPr>
          <w:sz w:val="20"/>
          <w:szCs w:val="20"/>
          <w:color w:val="auto"/>
        </w:rPr>
      </w:pPr>
    </w:p>
    <w:p>
      <w:pPr>
        <w:ind w:left="60" w:right="459" w:firstLine="648"/>
        <w:spacing w:after="0" w:line="263" w:lineRule="auto"/>
        <w:rPr>
          <w:sz w:val="20"/>
          <w:szCs w:val="20"/>
          <w:color w:val="auto"/>
        </w:rPr>
      </w:pPr>
      <w:r>
        <w:rPr>
          <w:rFonts w:ascii="Arial" w:cs="Arial" w:eastAsia="Arial" w:hAnsi="Arial"/>
          <w:sz w:val="18"/>
          <w:szCs w:val="18"/>
          <w:i w:val="1"/>
          <w:iCs w:val="1"/>
          <w:color w:val="auto"/>
        </w:rPr>
        <w:t>Market risk</w:t>
      </w:r>
      <w:r>
        <w:rPr>
          <w:rFonts w:ascii="Arial" w:cs="Arial" w:eastAsia="Arial" w:hAnsi="Arial"/>
          <w:sz w:val="18"/>
          <w:szCs w:val="18"/>
          <w:color w:val="auto"/>
        </w:rPr>
        <w:t>. As of March 31, 2021, we have no derivative financial instruments or derivative commodity</w:t>
      </w:r>
      <w:r>
        <w:rPr>
          <w:rFonts w:ascii="Arial" w:cs="Arial" w:eastAsia="Arial" w:hAnsi="Arial"/>
          <w:sz w:val="18"/>
          <w:szCs w:val="18"/>
          <w:i w:val="1"/>
          <w:iCs w:val="1"/>
          <w:color w:val="auto"/>
        </w:rPr>
        <w:t xml:space="preserve"> </w:t>
      </w:r>
      <w:r>
        <w:rPr>
          <w:rFonts w:ascii="Arial" w:cs="Arial" w:eastAsia="Arial" w:hAnsi="Arial"/>
          <w:sz w:val="18"/>
          <w:szCs w:val="18"/>
          <w:color w:val="auto"/>
        </w:rPr>
        <w:t>instruments. We invest cash in excess of current operating requirements in money market instruments and commercial paper at multiple financial institutions.</w:t>
      </w:r>
    </w:p>
    <w:p>
      <w:pPr>
        <w:spacing w:after="0" w:line="184" w:lineRule="exact"/>
        <w:rPr>
          <w:sz w:val="20"/>
          <w:szCs w:val="20"/>
          <w:color w:val="auto"/>
        </w:rPr>
      </w:pPr>
    </w:p>
    <w:p>
      <w:pPr>
        <w:ind w:left="60" w:right="59" w:firstLine="648"/>
        <w:spacing w:after="0" w:line="291" w:lineRule="auto"/>
        <w:rPr>
          <w:sz w:val="20"/>
          <w:szCs w:val="20"/>
          <w:color w:val="auto"/>
        </w:rPr>
      </w:pPr>
      <w:r>
        <w:rPr>
          <w:rFonts w:ascii="Arial" w:cs="Arial" w:eastAsia="Arial" w:hAnsi="Arial"/>
          <w:sz w:val="16"/>
          <w:szCs w:val="16"/>
          <w:i w:val="1"/>
          <w:iCs w:val="1"/>
          <w:color w:val="auto"/>
        </w:rPr>
        <w:t>Interest rate risk</w:t>
      </w:r>
      <w:r>
        <w:rPr>
          <w:rFonts w:ascii="Arial" w:cs="Arial" w:eastAsia="Arial" w:hAnsi="Arial"/>
          <w:sz w:val="16"/>
          <w:szCs w:val="16"/>
          <w:color w:val="auto"/>
        </w:rPr>
        <w:t>. We manage interest rate risk by investing excess funds in cash equivalents, BBB or higher rated</w:t>
      </w:r>
      <w:r>
        <w:rPr>
          <w:rFonts w:ascii="Arial" w:cs="Arial" w:eastAsia="Arial" w:hAnsi="Arial"/>
          <w:sz w:val="16"/>
          <w:szCs w:val="16"/>
          <w:i w:val="1"/>
          <w:iCs w:val="1"/>
          <w:color w:val="auto"/>
        </w:rPr>
        <w:t xml:space="preserve"> </w:t>
      </w:r>
      <w:r>
        <w:rPr>
          <w:rFonts w:ascii="Arial" w:cs="Arial" w:eastAsia="Arial" w:hAnsi="Arial"/>
          <w:sz w:val="16"/>
          <w:szCs w:val="16"/>
          <w:color w:val="auto"/>
        </w:rPr>
        <w:t>corporate bonds, commercial paper, municipal securities, asset backed securities, municipal bonds, and collateralized mortgage obligations bearing variable interest rates, which are tied to various market indices or individual bond coupon rates. Our future investment income may fall short of expectations due to changes in interest rates or we may suffer losses in principal if we are forced to sell securities before their maturity date that have declined in market value due to changes in interest rates. At March 31, 2021, a 10% increase or decrease in interest rates would not have a material impact on our future earnings, fair values, or cash flows. For information regarding our variable rate debt, see “Market risk” above.</w:t>
      </w:r>
    </w:p>
    <w:p>
      <w:pPr>
        <w:spacing w:after="0" w:line="162"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Item 4.  Controls and Procedures</w:t>
      </w:r>
    </w:p>
    <w:p>
      <w:pPr>
        <w:spacing w:after="0" w:line="229"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Evaluation of Disclosure Controls and Procedures</w:t>
      </w:r>
    </w:p>
    <w:p>
      <w:pPr>
        <w:spacing w:after="0" w:line="225" w:lineRule="exact"/>
        <w:rPr>
          <w:sz w:val="20"/>
          <w:szCs w:val="20"/>
          <w:color w:val="auto"/>
        </w:rPr>
      </w:pPr>
    </w:p>
    <w:p>
      <w:pPr>
        <w:ind w:left="60" w:right="79" w:firstLine="648"/>
        <w:spacing w:after="0" w:line="269" w:lineRule="auto"/>
        <w:rPr>
          <w:sz w:val="20"/>
          <w:szCs w:val="20"/>
          <w:color w:val="auto"/>
        </w:rPr>
      </w:pPr>
      <w:r>
        <w:rPr>
          <w:rFonts w:ascii="Arial" w:cs="Arial" w:eastAsia="Arial" w:hAnsi="Arial"/>
          <w:sz w:val="17"/>
          <w:szCs w:val="17"/>
          <w:color w:val="auto"/>
        </w:rPr>
        <w:t>We carried out an evaluation, under the supervision and with the participation of our management, including our Chief Executive Officer and the Chief Financial Officer, of the effectiveness of the design and operation of our disclosure controls and procedures, as defined in Rules 13a-15(e) and 15d-15(e) under the Exchange Act. Based upon that evaluation, our Chief Executive Officer and Chief Financial Officer concluded that our disclosure controls and procedures are effective, as of March 31, 2021, in ensuring that material information relating to us required to be disclosed by us in reports that we file or submit under the Exchange Act is recorded, processed, summarized and reported within the time periods specified in the SEC rules and forms. Disclosure controls and procedures include, without limitation, controls and procedures designed to ensure that information required to be disclosed by an issuer in reports it files or submits under the Exchange Act is accumulated and communicated to management, including its principal executive officer or officers and principal financial officer or officers, or persons performing similar functions, as appropriate to allow timely decisions regarding required disclosure.</w:t>
      </w:r>
    </w:p>
    <w:p>
      <w:pPr>
        <w:spacing w:after="0" w:line="182"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Changes in Internal Control over Financial Reporting.</w:t>
      </w:r>
    </w:p>
    <w:p>
      <w:pPr>
        <w:spacing w:after="0" w:line="225" w:lineRule="exact"/>
        <w:rPr>
          <w:sz w:val="20"/>
          <w:szCs w:val="20"/>
          <w:color w:val="auto"/>
        </w:rPr>
      </w:pPr>
    </w:p>
    <w:p>
      <w:pPr>
        <w:ind w:left="60" w:right="179" w:firstLine="648"/>
        <w:spacing w:after="0" w:line="296" w:lineRule="auto"/>
        <w:rPr>
          <w:sz w:val="20"/>
          <w:szCs w:val="20"/>
          <w:color w:val="auto"/>
        </w:rPr>
      </w:pPr>
      <w:r>
        <w:rPr>
          <w:rFonts w:ascii="Arial" w:cs="Arial" w:eastAsia="Arial" w:hAnsi="Arial"/>
          <w:sz w:val="16"/>
          <w:szCs w:val="16"/>
          <w:color w:val="auto"/>
        </w:rPr>
        <w:t>Based on an evaluation, under the supervision and with the participation of our management, including our Chief Executive Officer (who is our principal executive officer) and our Chief Financial Officer (who is our principal financial officer), there were no changes in our internal control over financial reporting identified in connection with the evaluation required by Rule 13a-15(d) and 15d-15(d) of the Exchange Act that occurred during the period covered by this report that have materially affected, or are reasonably likely to materially affect, our internal control over financial reporting.</w:t>
      </w:r>
    </w:p>
    <w:p>
      <w:pPr>
        <w:spacing w:after="0" w:line="37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540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31" w:name="page32"/>
    <w:bookmarkEnd w:id="31"/>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PART II – OTHER INFORMATION</w:t>
      </w:r>
    </w:p>
    <w:p>
      <w:pPr>
        <w:spacing w:after="0" w:line="225"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Item 1.  Legal Proceedings</w:t>
      </w:r>
    </w:p>
    <w:p>
      <w:pPr>
        <w:spacing w:after="0" w:line="229" w:lineRule="exact"/>
        <w:rPr>
          <w:sz w:val="20"/>
          <w:szCs w:val="20"/>
          <w:color w:val="auto"/>
        </w:rPr>
      </w:pPr>
    </w:p>
    <w:p>
      <w:pPr>
        <w:jc w:val="center"/>
        <w:ind w:right="7179"/>
        <w:spacing w:after="0"/>
        <w:rPr>
          <w:sz w:val="20"/>
          <w:szCs w:val="20"/>
          <w:color w:val="auto"/>
        </w:rPr>
      </w:pPr>
      <w:r>
        <w:rPr>
          <w:rFonts w:ascii="Arial" w:cs="Arial" w:eastAsia="Arial" w:hAnsi="Arial"/>
          <w:sz w:val="18"/>
          <w:szCs w:val="18"/>
          <w:color w:val="auto"/>
        </w:rPr>
        <w:t>None.</w:t>
      </w:r>
    </w:p>
    <w:p>
      <w:pPr>
        <w:spacing w:after="0" w:line="221"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Item 1A. Risk Factors</w:t>
      </w:r>
    </w:p>
    <w:p>
      <w:pPr>
        <w:spacing w:after="0" w:line="229" w:lineRule="exact"/>
        <w:rPr>
          <w:sz w:val="20"/>
          <w:szCs w:val="20"/>
          <w:color w:val="auto"/>
        </w:rPr>
      </w:pPr>
    </w:p>
    <w:p>
      <w:pPr>
        <w:ind w:left="60" w:right="459" w:firstLine="648"/>
        <w:spacing w:after="0" w:line="277" w:lineRule="auto"/>
        <w:rPr>
          <w:sz w:val="20"/>
          <w:szCs w:val="20"/>
          <w:color w:val="auto"/>
        </w:rPr>
      </w:pPr>
      <w:r>
        <w:rPr>
          <w:rFonts w:ascii="Arial" w:cs="Arial" w:eastAsia="Arial" w:hAnsi="Arial"/>
          <w:sz w:val="18"/>
          <w:szCs w:val="18"/>
          <w:color w:val="auto"/>
        </w:rPr>
        <w:t>There have been no material changes to the risk factors disclosed in the “Risk Factors” section of our Annual Report on Form 10-K for the year ended December 31, 2020.</w:t>
      </w:r>
    </w:p>
    <w:p>
      <w:pPr>
        <w:spacing w:after="0" w:line="200" w:lineRule="exact"/>
        <w:rPr>
          <w:sz w:val="20"/>
          <w:szCs w:val="20"/>
          <w:color w:val="auto"/>
        </w:rPr>
      </w:pPr>
    </w:p>
    <w:p>
      <w:pPr>
        <w:spacing w:after="0" w:line="398"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Item 2.  Unregistered Sales of Equity Securities and Use of Proceeds</w:t>
      </w:r>
    </w:p>
    <w:p>
      <w:pPr>
        <w:spacing w:after="0" w:line="229"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Recent Sales of Unregistered Securities</w:t>
      </w:r>
    </w:p>
    <w:p>
      <w:pPr>
        <w:spacing w:after="0" w:line="225" w:lineRule="exact"/>
        <w:rPr>
          <w:sz w:val="20"/>
          <w:szCs w:val="20"/>
          <w:color w:val="auto"/>
        </w:rPr>
      </w:pPr>
    </w:p>
    <w:p>
      <w:pPr>
        <w:ind w:left="700"/>
        <w:spacing w:after="0"/>
        <w:rPr>
          <w:sz w:val="20"/>
          <w:szCs w:val="20"/>
          <w:color w:val="auto"/>
        </w:rPr>
      </w:pPr>
      <w:r>
        <w:rPr>
          <w:rFonts w:ascii="Arial" w:cs="Arial" w:eastAsia="Arial" w:hAnsi="Arial"/>
          <w:sz w:val="18"/>
          <w:szCs w:val="18"/>
          <w:color w:val="auto"/>
        </w:rPr>
        <w:t>None.</w:t>
      </w:r>
    </w:p>
    <w:p>
      <w:pPr>
        <w:spacing w:after="0" w:line="225"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Purchases of Equity Securities by the Issuer and Affiliated Purchasers</w:t>
      </w:r>
    </w:p>
    <w:p>
      <w:pPr>
        <w:spacing w:after="0" w:line="225" w:lineRule="exact"/>
        <w:rPr>
          <w:sz w:val="20"/>
          <w:szCs w:val="20"/>
          <w:color w:val="auto"/>
        </w:rPr>
      </w:pPr>
    </w:p>
    <w:p>
      <w:pPr>
        <w:jc w:val="both"/>
        <w:ind w:left="60" w:right="199" w:firstLine="648"/>
        <w:spacing w:after="0" w:line="287" w:lineRule="auto"/>
        <w:rPr>
          <w:sz w:val="20"/>
          <w:szCs w:val="20"/>
          <w:color w:val="auto"/>
        </w:rPr>
      </w:pPr>
      <w:r>
        <w:rPr>
          <w:rFonts w:ascii="Arial" w:cs="Arial" w:eastAsia="Arial" w:hAnsi="Arial"/>
          <w:sz w:val="16"/>
          <w:szCs w:val="16"/>
          <w:color w:val="auto"/>
        </w:rPr>
        <w:t>In January 2021, our Board of Directors increased the authorization under its existing stock repurchase program by $100.0 million reflecting an aggregate authorization for share repurchases since the initiation of the program of $500.0 million. The current expiration date on the repurchase authorization by our Board of Directors is December 31, 2021.</w:t>
      </w:r>
    </w:p>
    <w:p>
      <w:pPr>
        <w:spacing w:after="0" w:line="2" w:lineRule="exact"/>
        <w:rPr>
          <w:sz w:val="20"/>
          <w:szCs w:val="20"/>
          <w:color w:val="auto"/>
        </w:rPr>
      </w:pPr>
    </w:p>
    <w:p>
      <w:pPr>
        <w:ind w:left="60" w:right="119"/>
        <w:spacing w:after="0" w:line="253" w:lineRule="auto"/>
        <w:rPr>
          <w:sz w:val="20"/>
          <w:szCs w:val="20"/>
          <w:color w:val="auto"/>
        </w:rPr>
      </w:pPr>
      <w:r>
        <w:rPr>
          <w:rFonts w:ascii="Arial" w:cs="Arial" w:eastAsia="Arial" w:hAnsi="Arial"/>
          <w:sz w:val="18"/>
          <w:szCs w:val="18"/>
          <w:color w:val="auto"/>
        </w:rPr>
        <w:t>Repurchases occur at the Company’s discretion and the Company may modify, suspend or discontinue the repurchase authorization at any time. Repurchases may be made in the open market or in privately negotiated transactions, pursuant to the applicable Securities and Exchange Commission rules. The amount and timing of future share repurchases, if any, will be made as market and business conditions warrant.</w:t>
      </w:r>
    </w:p>
    <w:p>
      <w:pPr>
        <w:spacing w:after="0" w:line="193" w:lineRule="exact"/>
        <w:rPr>
          <w:sz w:val="20"/>
          <w:szCs w:val="20"/>
          <w:color w:val="auto"/>
        </w:rPr>
      </w:pPr>
    </w:p>
    <w:p>
      <w:pPr>
        <w:ind w:left="60" w:right="139" w:firstLine="648"/>
        <w:spacing w:after="0" w:line="288" w:lineRule="auto"/>
        <w:rPr>
          <w:sz w:val="20"/>
          <w:szCs w:val="20"/>
          <w:color w:val="auto"/>
        </w:rPr>
      </w:pPr>
      <w:r>
        <w:rPr>
          <w:rFonts w:ascii="Arial" w:cs="Arial" w:eastAsia="Arial" w:hAnsi="Arial"/>
          <w:sz w:val="16"/>
          <w:szCs w:val="16"/>
          <w:color w:val="auto"/>
        </w:rPr>
        <w:t>On March 10, 2021, the Company entered into an accelerated share repurchase (“ASR”) agreement with Morgan Stanley &amp; Co. LLC (“Morgan Stanley”) to repurchase up to $35.0 million of its outstanding shares of common stock as part of the Company’s share repurchase program. Under the ASR agreement, the Company received initial delivery of approximately 275,889 shares of common stock, representing approximately 80% of the number of shares of common stock initially underlying the ASR agreement based on the closing price of the common stock of $101.49, on March 9, 2021. The total number of shares that the Company will repurchase under the ASR program will be based on the volume-weighted average price of the common stock during the term of the ASR agreement, less a discount, and subject to potential adjustments pursuant to the terms and conditions of the ASR agreement. The final settlement of the share repurchases under the ASR agreement was completed on May 4, 2021 with additional delivery of 45,914 shares of common stock. The ASR agreement resulted in a total of 321,803 shares repurchased at an average cost of $108.76.</w:t>
      </w:r>
    </w:p>
    <w:p>
      <w:pPr>
        <w:spacing w:after="0" w:line="168" w:lineRule="exact"/>
        <w:rPr>
          <w:sz w:val="20"/>
          <w:szCs w:val="20"/>
          <w:color w:val="auto"/>
        </w:rPr>
      </w:pPr>
    </w:p>
    <w:p>
      <w:pPr>
        <w:ind w:left="60" w:right="419" w:firstLine="648"/>
        <w:spacing w:after="0" w:line="263" w:lineRule="auto"/>
        <w:rPr>
          <w:sz w:val="20"/>
          <w:szCs w:val="20"/>
          <w:color w:val="auto"/>
        </w:rPr>
      </w:pPr>
      <w:r>
        <w:rPr>
          <w:rFonts w:ascii="Arial" w:cs="Arial" w:eastAsia="Arial" w:hAnsi="Arial"/>
          <w:sz w:val="18"/>
          <w:szCs w:val="18"/>
          <w:color w:val="auto"/>
        </w:rPr>
        <w:t>During the three months ended March 31, 2021, 567,255 shares of common stock were repurchased by the Company, which includes the shares delivered from the ASR agreement on March 10, 2021. At March 31, 2021, there remains $191.9 million available under our share repurchase authorization.</w:t>
      </w:r>
    </w:p>
    <w:p>
      <w:pPr>
        <w:spacing w:after="0" w:line="4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540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32" w:name="page33"/>
    <w:bookmarkEnd w:id="32"/>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8" w:lineRule="exact"/>
        <w:rPr>
          <w:sz w:val="20"/>
          <w:szCs w:val="20"/>
          <w:color w:val="auto"/>
        </w:rPr>
      </w:pPr>
    </w:p>
    <w:p>
      <w:pPr>
        <w:jc w:val="both"/>
        <w:ind w:left="60" w:right="159" w:firstLine="648"/>
        <w:spacing w:after="0" w:line="263" w:lineRule="auto"/>
        <w:rPr>
          <w:sz w:val="20"/>
          <w:szCs w:val="20"/>
          <w:color w:val="auto"/>
        </w:rPr>
      </w:pPr>
      <w:r>
        <w:rPr>
          <w:rFonts w:ascii="Arial" w:cs="Arial" w:eastAsia="Arial" w:hAnsi="Arial"/>
          <w:sz w:val="18"/>
          <w:szCs w:val="18"/>
          <w:color w:val="auto"/>
        </w:rPr>
        <w:t>The following table sets forth our share repurchases of common stock and our share repurchases in lieu of taxes, which are not included in the repurchase plan totals as they were approved in conjunction with the restricted share awards, during each period in the first quarter of fiscal 2021:</w:t>
      </w:r>
    </w:p>
    <w:p>
      <w:pPr>
        <w:spacing w:after="0" w:line="176" w:lineRule="exact"/>
        <w:rPr>
          <w:sz w:val="20"/>
          <w:szCs w:val="20"/>
          <w:color w:val="auto"/>
        </w:rPr>
      </w:pPr>
    </w:p>
    <w:tbl>
      <w:tblPr>
        <w:tblLayout w:type="fixed"/>
        <w:tblInd w:w="6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18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300" w:type="dxa"/>
            <w:vAlign w:val="bottom"/>
          </w:tcPr>
          <w:p>
            <w:pPr>
              <w:jc w:val="center"/>
              <w:spacing w:after="0"/>
              <w:rPr>
                <w:sz w:val="20"/>
                <w:szCs w:val="20"/>
                <w:color w:val="auto"/>
              </w:rPr>
            </w:pPr>
            <w:r>
              <w:rPr>
                <w:rFonts w:ascii="Arial" w:cs="Arial" w:eastAsia="Arial" w:hAnsi="Arial"/>
                <w:sz w:val="14"/>
                <w:szCs w:val="14"/>
                <w:b w:val="1"/>
                <w:bCs w:val="1"/>
                <w:color w:val="auto"/>
                <w:w w:val="94"/>
              </w:rPr>
              <w:t>Total Number of</w:t>
            </w:r>
          </w:p>
        </w:tc>
        <w:tc>
          <w:tcPr>
            <w:tcW w:w="100" w:type="dxa"/>
            <w:vAlign w:val="bottom"/>
          </w:tcPr>
          <w:p>
            <w:pPr>
              <w:spacing w:after="0"/>
              <w:rPr>
                <w:sz w:val="14"/>
                <w:szCs w:val="14"/>
                <w:color w:val="auto"/>
              </w:rPr>
            </w:pPr>
          </w:p>
        </w:tc>
        <w:tc>
          <w:tcPr>
            <w:tcW w:w="1120" w:type="dxa"/>
            <w:vAlign w:val="bottom"/>
            <w:gridSpan w:val="2"/>
          </w:tcPr>
          <w:p>
            <w:pPr>
              <w:jc w:val="center"/>
              <w:spacing w:after="0"/>
              <w:rPr>
                <w:sz w:val="20"/>
                <w:szCs w:val="20"/>
                <w:color w:val="auto"/>
              </w:rPr>
            </w:pPr>
            <w:r>
              <w:rPr>
                <w:rFonts w:ascii="Arial" w:cs="Arial" w:eastAsia="Arial" w:hAnsi="Arial"/>
                <w:sz w:val="14"/>
                <w:szCs w:val="14"/>
                <w:b w:val="1"/>
                <w:bCs w:val="1"/>
                <w:color w:val="auto"/>
                <w:w w:val="97"/>
              </w:rPr>
              <w:t>Maximum Dollar</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18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gridSpan w:val="2"/>
            <w:vMerge w:val="restart"/>
          </w:tcPr>
          <w:p>
            <w:pPr>
              <w:jc w:val="center"/>
              <w:ind w:right="220"/>
              <w:spacing w:after="0"/>
              <w:rPr>
                <w:sz w:val="20"/>
                <w:szCs w:val="20"/>
                <w:color w:val="auto"/>
              </w:rPr>
            </w:pPr>
            <w:r>
              <w:rPr>
                <w:rFonts w:ascii="Arial" w:cs="Arial" w:eastAsia="Arial" w:hAnsi="Arial"/>
                <w:sz w:val="14"/>
                <w:szCs w:val="14"/>
                <w:b w:val="1"/>
                <w:bCs w:val="1"/>
                <w:color w:val="auto"/>
                <w:w w:val="90"/>
              </w:rPr>
              <w:t>Average</w:t>
            </w:r>
          </w:p>
        </w:tc>
        <w:tc>
          <w:tcPr>
            <w:tcW w:w="13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8"/>
              </w:rPr>
              <w:t>Shares Purchased as</w:t>
            </w:r>
          </w:p>
        </w:tc>
        <w:tc>
          <w:tcPr>
            <w:tcW w:w="100" w:type="dxa"/>
            <w:vAlign w:val="bottom"/>
          </w:tcPr>
          <w:p>
            <w:pPr>
              <w:spacing w:after="0"/>
              <w:rPr>
                <w:sz w:val="12"/>
                <w:szCs w:val="12"/>
                <w:color w:val="auto"/>
              </w:rPr>
            </w:pPr>
          </w:p>
        </w:tc>
        <w:tc>
          <w:tcPr>
            <w:tcW w:w="112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9"/>
              </w:rPr>
              <w:t>Value of Shares</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18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100" w:type="dxa"/>
            <w:vAlign w:val="bottom"/>
            <w:gridSpan w:val="5"/>
            <w:vMerge w:val="restart"/>
          </w:tcPr>
          <w:p>
            <w:pPr>
              <w:jc w:val="center"/>
              <w:ind w:right="20"/>
              <w:spacing w:after="0"/>
              <w:rPr>
                <w:sz w:val="20"/>
                <w:szCs w:val="20"/>
                <w:color w:val="auto"/>
              </w:rPr>
            </w:pPr>
            <w:r>
              <w:rPr>
                <w:rFonts w:ascii="Arial" w:cs="Arial" w:eastAsia="Arial" w:hAnsi="Arial"/>
                <w:sz w:val="14"/>
                <w:szCs w:val="14"/>
                <w:b w:val="1"/>
                <w:bCs w:val="1"/>
                <w:color w:val="auto"/>
                <w:w w:val="93"/>
              </w:rPr>
              <w:t>Total Number of</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gridSpan w:val="2"/>
            <w:vMerge w:val="continue"/>
          </w:tcPr>
          <w:p>
            <w:pPr>
              <w:spacing w:after="0"/>
              <w:rPr>
                <w:sz w:val="12"/>
                <w:szCs w:val="12"/>
                <w:color w:val="auto"/>
              </w:rPr>
            </w:pPr>
          </w:p>
        </w:tc>
        <w:tc>
          <w:tcPr>
            <w:tcW w:w="13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4"/>
              </w:rPr>
              <w:t>Part of Publicly</w:t>
            </w:r>
          </w:p>
        </w:tc>
        <w:tc>
          <w:tcPr>
            <w:tcW w:w="100" w:type="dxa"/>
            <w:vAlign w:val="bottom"/>
          </w:tcPr>
          <w:p>
            <w:pPr>
              <w:spacing w:after="0"/>
              <w:rPr>
                <w:sz w:val="12"/>
                <w:szCs w:val="12"/>
                <w:color w:val="auto"/>
              </w:rPr>
            </w:pPr>
          </w:p>
        </w:tc>
        <w:tc>
          <w:tcPr>
            <w:tcW w:w="112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6"/>
              </w:rPr>
              <w:t>That May Yet Be</w:t>
            </w:r>
          </w:p>
        </w:tc>
        <w:tc>
          <w:tcPr>
            <w:tcW w:w="0" w:type="dxa"/>
            <w:vAlign w:val="bottom"/>
          </w:tcPr>
          <w:p>
            <w:pPr>
              <w:spacing w:after="0"/>
              <w:rPr>
                <w:sz w:val="1"/>
                <w:szCs w:val="1"/>
                <w:color w:val="auto"/>
              </w:rPr>
            </w:pPr>
          </w:p>
        </w:tc>
      </w:tr>
      <w:tr>
        <w:trPr>
          <w:trHeight w:val="149"/>
        </w:trPr>
        <w:tc>
          <w:tcPr>
            <w:tcW w:w="58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Period</w:t>
            </w: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18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100" w:type="dxa"/>
            <w:vAlign w:val="bottom"/>
            <w:gridSpan w:val="5"/>
            <w:vMerge w:val="continue"/>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40" w:type="dxa"/>
            <w:vAlign w:val="bottom"/>
            <w:gridSpan w:val="3"/>
          </w:tcPr>
          <w:p>
            <w:pPr>
              <w:jc w:val="center"/>
              <w:ind w:right="160"/>
              <w:spacing w:after="0" w:line="149" w:lineRule="exact"/>
              <w:rPr>
                <w:sz w:val="20"/>
                <w:szCs w:val="20"/>
                <w:color w:val="auto"/>
              </w:rPr>
            </w:pPr>
            <w:r>
              <w:rPr>
                <w:rFonts w:ascii="Arial" w:cs="Arial" w:eastAsia="Arial" w:hAnsi="Arial"/>
                <w:sz w:val="14"/>
                <w:szCs w:val="14"/>
                <w:b w:val="1"/>
                <w:bCs w:val="1"/>
                <w:color w:val="auto"/>
                <w:w w:val="94"/>
              </w:rPr>
              <w:t>Price Paid</w:t>
            </w:r>
          </w:p>
        </w:tc>
        <w:tc>
          <w:tcPr>
            <w:tcW w:w="13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Announced</w:t>
            </w:r>
          </w:p>
        </w:tc>
        <w:tc>
          <w:tcPr>
            <w:tcW w:w="100" w:type="dxa"/>
            <w:vAlign w:val="bottom"/>
          </w:tcPr>
          <w:p>
            <w:pPr>
              <w:spacing w:after="0"/>
              <w:rPr>
                <w:sz w:val="12"/>
                <w:szCs w:val="12"/>
                <w:color w:val="auto"/>
              </w:rPr>
            </w:pPr>
          </w:p>
        </w:tc>
        <w:tc>
          <w:tcPr>
            <w:tcW w:w="112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1"/>
              </w:rPr>
              <w:t>Purchased Under</w:t>
            </w:r>
          </w:p>
        </w:tc>
        <w:tc>
          <w:tcPr>
            <w:tcW w:w="0" w:type="dxa"/>
            <w:vAlign w:val="bottom"/>
          </w:tcPr>
          <w:p>
            <w:pPr>
              <w:spacing w:after="0"/>
              <w:rPr>
                <w:sz w:val="1"/>
                <w:szCs w:val="1"/>
                <w:color w:val="auto"/>
              </w:rPr>
            </w:pPr>
          </w:p>
        </w:tc>
      </w:tr>
      <w:tr>
        <w:trPr>
          <w:trHeight w:val="171"/>
        </w:trPr>
        <w:tc>
          <w:tcPr>
            <w:tcW w:w="580" w:type="dxa"/>
            <w:vAlign w:val="bottom"/>
            <w:gridSpan w:val="2"/>
            <w:vMerge w:val="continue"/>
          </w:tcPr>
          <w:p>
            <w:pPr>
              <w:spacing w:after="0"/>
              <w:rPr>
                <w:sz w:val="14"/>
                <w:szCs w:val="14"/>
                <w:color w:val="auto"/>
              </w:rPr>
            </w:pPr>
          </w:p>
        </w:tc>
        <w:tc>
          <w:tcPr>
            <w:tcW w:w="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18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120" w:type="dxa"/>
            <w:vAlign w:val="bottom"/>
            <w:gridSpan w:val="6"/>
          </w:tcPr>
          <w:p>
            <w:pPr>
              <w:jc w:val="center"/>
              <w:spacing w:after="0"/>
              <w:rPr>
                <w:sz w:val="20"/>
                <w:szCs w:val="20"/>
                <w:color w:val="auto"/>
              </w:rPr>
            </w:pPr>
            <w:r>
              <w:rPr>
                <w:rFonts w:ascii="Arial" w:cs="Arial" w:eastAsia="Arial" w:hAnsi="Arial"/>
                <w:sz w:val="14"/>
                <w:szCs w:val="14"/>
                <w:b w:val="1"/>
                <w:bCs w:val="1"/>
                <w:color w:val="auto"/>
                <w:w w:val="88"/>
              </w:rPr>
              <w:t>Shares Purchased</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40" w:type="dxa"/>
            <w:vAlign w:val="bottom"/>
            <w:gridSpan w:val="3"/>
          </w:tcPr>
          <w:p>
            <w:pPr>
              <w:jc w:val="center"/>
              <w:ind w:right="160"/>
              <w:spacing w:after="0"/>
              <w:rPr>
                <w:sz w:val="20"/>
                <w:szCs w:val="20"/>
                <w:color w:val="auto"/>
              </w:rPr>
            </w:pPr>
            <w:r>
              <w:rPr>
                <w:rFonts w:ascii="Arial" w:cs="Arial" w:eastAsia="Arial" w:hAnsi="Arial"/>
                <w:sz w:val="14"/>
                <w:szCs w:val="14"/>
                <w:b w:val="1"/>
                <w:bCs w:val="1"/>
                <w:color w:val="auto"/>
                <w:w w:val="91"/>
              </w:rPr>
              <w:t>Per Share</w:t>
            </w:r>
          </w:p>
        </w:tc>
        <w:tc>
          <w:tcPr>
            <w:tcW w:w="1300" w:type="dxa"/>
            <w:vAlign w:val="bottom"/>
          </w:tcPr>
          <w:p>
            <w:pPr>
              <w:jc w:val="center"/>
              <w:spacing w:after="0"/>
              <w:rPr>
                <w:sz w:val="20"/>
                <w:szCs w:val="20"/>
                <w:color w:val="auto"/>
              </w:rPr>
            </w:pPr>
            <w:r>
              <w:rPr>
                <w:rFonts w:ascii="Arial" w:cs="Arial" w:eastAsia="Arial" w:hAnsi="Arial"/>
                <w:sz w:val="14"/>
                <w:szCs w:val="14"/>
                <w:b w:val="1"/>
                <w:bCs w:val="1"/>
                <w:color w:val="auto"/>
                <w:w w:val="97"/>
              </w:rPr>
              <w:t>Program</w:t>
            </w: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0" w:type="dxa"/>
            <w:vAlign w:val="bottom"/>
          </w:tcPr>
          <w:p>
            <w:pPr>
              <w:jc w:val="center"/>
              <w:ind w:right="52"/>
              <w:spacing w:after="0"/>
              <w:rPr>
                <w:sz w:val="20"/>
                <w:szCs w:val="20"/>
                <w:color w:val="auto"/>
              </w:rPr>
            </w:pPr>
            <w:r>
              <w:rPr>
                <w:rFonts w:ascii="Arial" w:cs="Arial" w:eastAsia="Arial" w:hAnsi="Arial"/>
                <w:sz w:val="14"/>
                <w:szCs w:val="14"/>
                <w:b w:val="1"/>
                <w:bCs w:val="1"/>
                <w:color w:val="auto"/>
                <w:w w:val="94"/>
              </w:rPr>
              <w:t>the Program</w:t>
            </w: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4100" w:type="dxa"/>
            <w:vAlign w:val="bottom"/>
            <w:tcBorders>
              <w:top w:val="single" w:sz="8" w:color="auto"/>
            </w:tcBorders>
            <w:gridSpan w:val="7"/>
            <w:shd w:val="clear" w:color="auto" w:fill="CCEEFF"/>
          </w:tcPr>
          <w:p>
            <w:pPr>
              <w:spacing w:after="0"/>
              <w:rPr>
                <w:sz w:val="20"/>
                <w:szCs w:val="20"/>
                <w:color w:val="auto"/>
              </w:rPr>
            </w:pPr>
            <w:r>
              <w:rPr>
                <w:rFonts w:ascii="Arial" w:cs="Arial" w:eastAsia="Arial" w:hAnsi="Arial"/>
                <w:sz w:val="18"/>
                <w:szCs w:val="18"/>
                <w:b w:val="1"/>
                <w:bCs w:val="1"/>
                <w:color w:val="auto"/>
              </w:rPr>
              <w:t>Share Repurchases</w:t>
            </w:r>
          </w:p>
        </w:tc>
        <w:tc>
          <w:tcPr>
            <w:tcW w:w="140" w:type="dxa"/>
            <w:vAlign w:val="bottom"/>
            <w:tcBorders>
              <w:top w:val="single" w:sz="8" w:color="CCEEFF"/>
            </w:tcBorders>
            <w:shd w:val="clear" w:color="auto" w:fill="CCEEFF"/>
          </w:tcPr>
          <w:p>
            <w:pPr>
              <w:spacing w:after="0"/>
              <w:rPr>
                <w:sz w:val="18"/>
                <w:szCs w:val="18"/>
                <w:color w:val="auto"/>
              </w:rPr>
            </w:pPr>
          </w:p>
        </w:tc>
        <w:tc>
          <w:tcPr>
            <w:tcW w:w="20" w:type="dxa"/>
            <w:vAlign w:val="bottom"/>
            <w:tcBorders>
              <w:top w:val="single" w:sz="8" w:color="auto"/>
            </w:tcBorders>
            <w:shd w:val="clear" w:color="auto" w:fill="CCEEFF"/>
          </w:tcPr>
          <w:p>
            <w:pPr>
              <w:spacing w:after="0"/>
              <w:rPr>
                <w:sz w:val="18"/>
                <w:szCs w:val="18"/>
                <w:color w:val="auto"/>
              </w:rPr>
            </w:pPr>
          </w:p>
        </w:tc>
        <w:tc>
          <w:tcPr>
            <w:tcW w:w="280" w:type="dxa"/>
            <w:vAlign w:val="bottom"/>
            <w:tcBorders>
              <w:top w:val="single" w:sz="8" w:color="auto"/>
            </w:tcBorders>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spacing w:after="0"/>
              <w:rPr>
                <w:sz w:val="18"/>
                <w:szCs w:val="18"/>
                <w:color w:val="auto"/>
              </w:rPr>
            </w:pPr>
          </w:p>
        </w:tc>
        <w:tc>
          <w:tcPr>
            <w:tcW w:w="60" w:type="dxa"/>
            <w:vAlign w:val="bottom"/>
            <w:tcBorders>
              <w:top w:val="single" w:sz="8" w:color="auto"/>
            </w:tcBorders>
            <w:shd w:val="clear" w:color="auto" w:fill="CCEEFF"/>
          </w:tcPr>
          <w:p>
            <w:pPr>
              <w:spacing w:after="0"/>
              <w:rPr>
                <w:sz w:val="18"/>
                <w:szCs w:val="18"/>
                <w:color w:val="auto"/>
              </w:rPr>
            </w:pPr>
          </w:p>
        </w:tc>
        <w:tc>
          <w:tcPr>
            <w:tcW w:w="540" w:type="dxa"/>
            <w:vAlign w:val="bottom"/>
            <w:tcBorders>
              <w:top w:val="single" w:sz="8" w:color="auto"/>
            </w:tcBorders>
            <w:shd w:val="clear" w:color="auto" w:fill="CCEEFF"/>
          </w:tcPr>
          <w:p>
            <w:pPr>
              <w:spacing w:after="0"/>
              <w:rPr>
                <w:sz w:val="18"/>
                <w:szCs w:val="18"/>
                <w:color w:val="auto"/>
              </w:rPr>
            </w:pPr>
          </w:p>
        </w:tc>
        <w:tc>
          <w:tcPr>
            <w:tcW w:w="4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6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620" w:type="dxa"/>
            <w:vAlign w:val="bottom"/>
            <w:tcBorders>
              <w:top w:val="single" w:sz="8" w:color="auto"/>
            </w:tcBorders>
            <w:shd w:val="clear" w:color="auto" w:fill="CCEEFF"/>
          </w:tcPr>
          <w:p>
            <w:pPr>
              <w:spacing w:after="0"/>
              <w:rPr>
                <w:sz w:val="18"/>
                <w:szCs w:val="18"/>
                <w:color w:val="auto"/>
              </w:rPr>
            </w:pPr>
          </w:p>
        </w:tc>
        <w:tc>
          <w:tcPr>
            <w:tcW w:w="140" w:type="dxa"/>
            <w:vAlign w:val="bottom"/>
            <w:tcBorders>
              <w:top w:val="single" w:sz="8" w:color="CCEEFF"/>
            </w:tcBorders>
            <w:shd w:val="clear" w:color="auto" w:fill="CCEEFF"/>
          </w:tcPr>
          <w:p>
            <w:pPr>
              <w:spacing w:after="0"/>
              <w:rPr>
                <w:sz w:val="18"/>
                <w:szCs w:val="18"/>
                <w:color w:val="auto"/>
              </w:rPr>
            </w:pPr>
          </w:p>
        </w:tc>
        <w:tc>
          <w:tcPr>
            <w:tcW w:w="130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1000" w:type="dxa"/>
            <w:vAlign w:val="bottom"/>
            <w:tcBorders>
              <w:top w:val="single" w:sz="8" w:color="auto"/>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40" w:type="dxa"/>
            <w:vAlign w:val="bottom"/>
            <w:gridSpan w:val="8"/>
          </w:tcPr>
          <w:p>
            <w:pPr>
              <w:spacing w:after="0"/>
              <w:rPr>
                <w:sz w:val="20"/>
                <w:szCs w:val="20"/>
                <w:color w:val="auto"/>
              </w:rPr>
            </w:pPr>
            <w:r>
              <w:rPr>
                <w:rFonts w:ascii="Arial" w:cs="Arial" w:eastAsia="Arial" w:hAnsi="Arial"/>
                <w:sz w:val="18"/>
                <w:szCs w:val="18"/>
                <w:color w:val="auto"/>
              </w:rPr>
              <w:t>January 1, 2021 – January 31, 2021</w:t>
            </w:r>
          </w:p>
        </w:tc>
        <w:tc>
          <w:tcPr>
            <w:tcW w:w="1080" w:type="dxa"/>
            <w:vAlign w:val="bottom"/>
            <w:gridSpan w:val="5"/>
          </w:tcPr>
          <w:p>
            <w:pPr>
              <w:jc w:val="right"/>
              <w:spacing w:after="0"/>
              <w:rPr>
                <w:sz w:val="20"/>
                <w:szCs w:val="20"/>
                <w:color w:val="auto"/>
              </w:rPr>
            </w:pPr>
            <w:r>
              <w:rPr>
                <w:rFonts w:ascii="Arial" w:cs="Arial" w:eastAsia="Arial" w:hAnsi="Arial"/>
                <w:sz w:val="18"/>
                <w:szCs w:val="18"/>
                <w:color w:val="auto"/>
              </w:rPr>
              <w:t>112,121</w:t>
            </w:r>
          </w:p>
        </w:tc>
        <w:tc>
          <w:tcPr>
            <w:tcW w:w="40" w:type="dxa"/>
            <w:vAlign w:val="bottom"/>
          </w:tcPr>
          <w:p>
            <w:pPr>
              <w:spacing w:after="0"/>
              <w:rPr>
                <w:sz w:val="18"/>
                <w:szCs w:val="18"/>
                <w:color w:val="auto"/>
              </w:rPr>
            </w:pPr>
          </w:p>
        </w:tc>
        <w:tc>
          <w:tcPr>
            <w:tcW w:w="240" w:type="dxa"/>
            <w:vAlign w:val="bottom"/>
            <w:gridSpan w:val="3"/>
          </w:tcPr>
          <w:p>
            <w:pPr>
              <w:jc w:val="right"/>
              <w:spacing w:after="0"/>
              <w:rPr>
                <w:sz w:val="20"/>
                <w:szCs w:val="20"/>
                <w:color w:val="auto"/>
              </w:rPr>
            </w:pPr>
            <w:r>
              <w:rPr>
                <w:rFonts w:ascii="Arial" w:cs="Arial" w:eastAsia="Arial" w:hAnsi="Arial"/>
                <w:sz w:val="18"/>
                <w:szCs w:val="18"/>
                <w:color w:val="auto"/>
              </w:rPr>
              <w:t>$</w:t>
            </w:r>
          </w:p>
        </w:tc>
        <w:tc>
          <w:tcPr>
            <w:tcW w:w="620" w:type="dxa"/>
            <w:vAlign w:val="bottom"/>
          </w:tcPr>
          <w:p>
            <w:pPr>
              <w:jc w:val="right"/>
              <w:spacing w:after="0"/>
              <w:rPr>
                <w:sz w:val="20"/>
                <w:szCs w:val="20"/>
                <w:color w:val="auto"/>
              </w:rPr>
            </w:pPr>
            <w:r>
              <w:rPr>
                <w:rFonts w:ascii="Arial" w:cs="Arial" w:eastAsia="Arial" w:hAnsi="Arial"/>
                <w:sz w:val="18"/>
                <w:szCs w:val="18"/>
                <w:color w:val="auto"/>
              </w:rPr>
              <w:t>88.05</w:t>
            </w:r>
          </w:p>
        </w:tc>
        <w:tc>
          <w:tcPr>
            <w:tcW w:w="14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112,121</w:t>
            </w: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00" w:type="dxa"/>
            <w:vAlign w:val="bottom"/>
          </w:tcPr>
          <w:p>
            <w:pPr>
              <w:jc w:val="right"/>
              <w:spacing w:after="0"/>
              <w:rPr>
                <w:sz w:val="20"/>
                <w:szCs w:val="20"/>
                <w:color w:val="auto"/>
              </w:rPr>
            </w:pPr>
            <w:r>
              <w:rPr>
                <w:rFonts w:ascii="Arial" w:cs="Arial" w:eastAsia="Arial" w:hAnsi="Arial"/>
                <w:sz w:val="18"/>
                <w:szCs w:val="18"/>
                <w:color w:val="auto"/>
                <w:w w:val="89"/>
              </w:rPr>
              <w:t>238,400,000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40" w:type="dxa"/>
            <w:vAlign w:val="bottom"/>
            <w:gridSpan w:val="8"/>
            <w:shd w:val="clear" w:color="auto" w:fill="CCEEFF"/>
          </w:tcPr>
          <w:p>
            <w:pPr>
              <w:spacing w:after="0"/>
              <w:rPr>
                <w:sz w:val="20"/>
                <w:szCs w:val="20"/>
                <w:color w:val="auto"/>
              </w:rPr>
            </w:pPr>
            <w:r>
              <w:rPr>
                <w:rFonts w:ascii="Arial" w:cs="Arial" w:eastAsia="Arial" w:hAnsi="Arial"/>
                <w:sz w:val="18"/>
                <w:szCs w:val="18"/>
                <w:color w:val="auto"/>
              </w:rPr>
              <w:t>February 1, 2021 – February 28, 2021</w:t>
            </w:r>
          </w:p>
        </w:tc>
        <w:tc>
          <w:tcPr>
            <w:tcW w:w="1080" w:type="dxa"/>
            <w:vAlign w:val="bottom"/>
            <w:gridSpan w:val="5"/>
            <w:shd w:val="clear" w:color="auto" w:fill="CCEEFF"/>
          </w:tcPr>
          <w:p>
            <w:pPr>
              <w:jc w:val="right"/>
              <w:spacing w:after="0"/>
              <w:rPr>
                <w:sz w:val="20"/>
                <w:szCs w:val="20"/>
                <w:color w:val="auto"/>
              </w:rPr>
            </w:pPr>
            <w:r>
              <w:rPr>
                <w:rFonts w:ascii="Arial" w:cs="Arial" w:eastAsia="Arial" w:hAnsi="Arial"/>
                <w:sz w:val="18"/>
                <w:szCs w:val="18"/>
                <w:color w:val="auto"/>
              </w:rPr>
              <w:t>73,832</w:t>
            </w:r>
          </w:p>
        </w:tc>
        <w:tc>
          <w:tcPr>
            <w:tcW w:w="40" w:type="dxa"/>
            <w:vAlign w:val="bottom"/>
            <w:shd w:val="clear" w:color="auto" w:fill="CCEEFF"/>
          </w:tcPr>
          <w:p>
            <w:pPr>
              <w:spacing w:after="0"/>
              <w:rPr>
                <w:sz w:val="18"/>
                <w:szCs w:val="18"/>
                <w:color w:val="auto"/>
              </w:rPr>
            </w:pPr>
          </w:p>
        </w:tc>
        <w:tc>
          <w:tcPr>
            <w:tcW w:w="24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4"/>
              </w:rPr>
              <w:t>101.10</w:t>
            </w:r>
          </w:p>
        </w:tc>
        <w:tc>
          <w:tcPr>
            <w:tcW w:w="140" w:type="dxa"/>
            <w:vAlign w:val="bottom"/>
            <w:shd w:val="clear" w:color="auto" w:fill="CCEEFF"/>
          </w:tcPr>
          <w:p>
            <w:pPr>
              <w:spacing w:after="0"/>
              <w:rPr>
                <w:sz w:val="18"/>
                <w:szCs w:val="18"/>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73,832</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230,900,000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40" w:type="dxa"/>
            <w:vAlign w:val="bottom"/>
            <w:gridSpan w:val="8"/>
          </w:tcPr>
          <w:p>
            <w:pPr>
              <w:spacing w:after="0"/>
              <w:rPr>
                <w:sz w:val="20"/>
                <w:szCs w:val="20"/>
                <w:color w:val="auto"/>
              </w:rPr>
            </w:pPr>
            <w:r>
              <w:rPr>
                <w:rFonts w:ascii="Arial" w:cs="Arial" w:eastAsia="Arial" w:hAnsi="Arial"/>
                <w:sz w:val="18"/>
                <w:szCs w:val="18"/>
                <w:color w:val="auto"/>
              </w:rPr>
              <w:t>March 1, 2021 – March 31, 2021</w:t>
            </w:r>
          </w:p>
        </w:tc>
        <w:tc>
          <w:tcPr>
            <w:tcW w:w="1080" w:type="dxa"/>
            <w:vAlign w:val="bottom"/>
            <w:gridSpan w:val="5"/>
          </w:tcPr>
          <w:p>
            <w:pPr>
              <w:jc w:val="right"/>
              <w:spacing w:after="0"/>
              <w:rPr>
                <w:sz w:val="20"/>
                <w:szCs w:val="20"/>
                <w:color w:val="auto"/>
              </w:rPr>
            </w:pPr>
            <w:r>
              <w:rPr>
                <w:rFonts w:ascii="Arial" w:cs="Arial" w:eastAsia="Arial" w:hAnsi="Arial"/>
                <w:sz w:val="18"/>
                <w:szCs w:val="18"/>
                <w:color w:val="auto"/>
              </w:rPr>
              <w:t>381,302</w:t>
            </w:r>
          </w:p>
        </w:tc>
        <w:tc>
          <w:tcPr>
            <w:tcW w:w="40" w:type="dxa"/>
            <w:vAlign w:val="bottom"/>
          </w:tcPr>
          <w:p>
            <w:pPr>
              <w:spacing w:after="0"/>
              <w:rPr>
                <w:sz w:val="18"/>
                <w:szCs w:val="18"/>
                <w:color w:val="auto"/>
              </w:rPr>
            </w:pPr>
          </w:p>
        </w:tc>
        <w:tc>
          <w:tcPr>
            <w:tcW w:w="240" w:type="dxa"/>
            <w:vAlign w:val="bottom"/>
            <w:gridSpan w:val="3"/>
          </w:tcPr>
          <w:p>
            <w:pPr>
              <w:jc w:val="right"/>
              <w:spacing w:after="0"/>
              <w:rPr>
                <w:sz w:val="20"/>
                <w:szCs w:val="20"/>
                <w:color w:val="auto"/>
              </w:rPr>
            </w:pPr>
            <w:r>
              <w:rPr>
                <w:rFonts w:ascii="Arial" w:cs="Arial" w:eastAsia="Arial" w:hAnsi="Arial"/>
                <w:sz w:val="18"/>
                <w:szCs w:val="18"/>
                <w:color w:val="auto"/>
              </w:rPr>
              <w:t>$</w:t>
            </w:r>
          </w:p>
        </w:tc>
        <w:tc>
          <w:tcPr>
            <w:tcW w:w="620" w:type="dxa"/>
            <w:vAlign w:val="bottom"/>
          </w:tcPr>
          <w:p>
            <w:pPr>
              <w:jc w:val="right"/>
              <w:spacing w:after="0"/>
              <w:rPr>
                <w:sz w:val="20"/>
                <w:szCs w:val="20"/>
                <w:color w:val="auto"/>
              </w:rPr>
            </w:pPr>
            <w:r>
              <w:rPr>
                <w:rFonts w:ascii="Arial" w:cs="Arial" w:eastAsia="Arial" w:hAnsi="Arial"/>
                <w:sz w:val="18"/>
                <w:szCs w:val="18"/>
                <w:color w:val="auto"/>
                <w:w w:val="94"/>
              </w:rPr>
              <w:t>102.31</w:t>
            </w:r>
          </w:p>
        </w:tc>
        <w:tc>
          <w:tcPr>
            <w:tcW w:w="14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381,302</w:t>
            </w: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00" w:type="dxa"/>
            <w:vAlign w:val="bottom"/>
          </w:tcPr>
          <w:p>
            <w:pPr>
              <w:jc w:val="right"/>
              <w:spacing w:after="0"/>
              <w:rPr>
                <w:sz w:val="20"/>
                <w:szCs w:val="20"/>
                <w:color w:val="auto"/>
              </w:rPr>
            </w:pPr>
            <w:r>
              <w:rPr>
                <w:rFonts w:ascii="Arial" w:cs="Arial" w:eastAsia="Arial" w:hAnsi="Arial"/>
                <w:sz w:val="18"/>
                <w:szCs w:val="18"/>
                <w:color w:val="auto"/>
                <w:w w:val="89"/>
              </w:rPr>
              <w:t>191,900,000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Total</w:t>
            </w: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1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80" w:type="dxa"/>
            <w:vAlign w:val="bottom"/>
            <w:gridSpan w:val="5"/>
            <w:shd w:val="clear" w:color="auto" w:fill="CCEEFF"/>
          </w:tcPr>
          <w:p>
            <w:pPr>
              <w:jc w:val="right"/>
              <w:spacing w:after="0"/>
              <w:rPr>
                <w:sz w:val="20"/>
                <w:szCs w:val="20"/>
                <w:color w:val="auto"/>
              </w:rPr>
            </w:pPr>
            <w:r>
              <w:rPr>
                <w:rFonts w:ascii="Arial" w:cs="Arial" w:eastAsia="Arial" w:hAnsi="Arial"/>
                <w:sz w:val="18"/>
                <w:szCs w:val="18"/>
                <w:color w:val="auto"/>
              </w:rPr>
              <w:t>567,255</w:t>
            </w:r>
          </w:p>
        </w:tc>
        <w:tc>
          <w:tcPr>
            <w:tcW w:w="40" w:type="dxa"/>
            <w:vAlign w:val="bottom"/>
            <w:shd w:val="clear" w:color="auto" w:fill="CCEEFF"/>
          </w:tcPr>
          <w:p>
            <w:pPr>
              <w:spacing w:after="0"/>
              <w:rPr>
                <w:sz w:val="18"/>
                <w:szCs w:val="18"/>
                <w:color w:val="auto"/>
              </w:rPr>
            </w:pPr>
          </w:p>
        </w:tc>
        <w:tc>
          <w:tcPr>
            <w:tcW w:w="24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99.33</w:t>
            </w:r>
          </w:p>
        </w:tc>
        <w:tc>
          <w:tcPr>
            <w:tcW w:w="140" w:type="dxa"/>
            <w:vAlign w:val="bottom"/>
            <w:shd w:val="clear" w:color="auto" w:fill="CCEEFF"/>
          </w:tcPr>
          <w:p>
            <w:pPr>
              <w:spacing w:after="0"/>
              <w:rPr>
                <w:sz w:val="18"/>
                <w:szCs w:val="18"/>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567,255</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191,900,000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40" w:type="dxa"/>
            <w:vAlign w:val="bottom"/>
            <w:gridSpan w:val="8"/>
          </w:tcPr>
          <w:p>
            <w:pPr>
              <w:spacing w:after="0"/>
              <w:rPr>
                <w:sz w:val="20"/>
                <w:szCs w:val="20"/>
                <w:color w:val="auto"/>
              </w:rPr>
            </w:pPr>
            <w:r>
              <w:rPr>
                <w:rFonts w:ascii="Arial" w:cs="Arial" w:eastAsia="Arial" w:hAnsi="Arial"/>
                <w:sz w:val="18"/>
                <w:szCs w:val="18"/>
                <w:b w:val="1"/>
                <w:bCs w:val="1"/>
                <w:color w:val="auto"/>
              </w:rPr>
              <w:t>Tax Withholdings</w:t>
            </w: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40" w:type="dxa"/>
            <w:vAlign w:val="bottom"/>
            <w:gridSpan w:val="8"/>
            <w:shd w:val="clear" w:color="auto" w:fill="CCEEFF"/>
          </w:tcPr>
          <w:p>
            <w:pPr>
              <w:spacing w:after="0"/>
              <w:rPr>
                <w:sz w:val="20"/>
                <w:szCs w:val="20"/>
                <w:color w:val="auto"/>
              </w:rPr>
            </w:pPr>
            <w:r>
              <w:rPr>
                <w:rFonts w:ascii="Arial" w:cs="Arial" w:eastAsia="Arial" w:hAnsi="Arial"/>
                <w:sz w:val="18"/>
                <w:szCs w:val="18"/>
                <w:color w:val="auto"/>
              </w:rPr>
              <w:t>January 1, 2021 – January 31, 2021</w:t>
            </w:r>
          </w:p>
        </w:tc>
        <w:tc>
          <w:tcPr>
            <w:tcW w:w="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24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40" w:type="dxa"/>
            <w:vAlign w:val="bottom"/>
            <w:gridSpan w:val="8"/>
          </w:tcPr>
          <w:p>
            <w:pPr>
              <w:spacing w:after="0"/>
              <w:rPr>
                <w:sz w:val="20"/>
                <w:szCs w:val="20"/>
                <w:color w:val="auto"/>
              </w:rPr>
            </w:pPr>
            <w:r>
              <w:rPr>
                <w:rFonts w:ascii="Arial" w:cs="Arial" w:eastAsia="Arial" w:hAnsi="Arial"/>
                <w:sz w:val="18"/>
                <w:szCs w:val="18"/>
                <w:color w:val="auto"/>
              </w:rPr>
              <w:t>February 1, 2021 – February 28, 2021</w:t>
            </w: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58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240" w:type="dxa"/>
            <w:vAlign w:val="bottom"/>
            <w:gridSpan w:val="3"/>
          </w:tcPr>
          <w:p>
            <w:pPr>
              <w:jc w:val="right"/>
              <w:spacing w:after="0"/>
              <w:rPr>
                <w:sz w:val="20"/>
                <w:szCs w:val="20"/>
                <w:color w:val="auto"/>
              </w:rPr>
            </w:pPr>
            <w:r>
              <w:rPr>
                <w:rFonts w:ascii="Arial" w:cs="Arial" w:eastAsia="Arial" w:hAnsi="Arial"/>
                <w:sz w:val="18"/>
                <w:szCs w:val="18"/>
                <w:color w:val="auto"/>
              </w:rPr>
              <w:t>$</w:t>
            </w:r>
          </w:p>
        </w:tc>
        <w:tc>
          <w:tcPr>
            <w:tcW w:w="7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30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00" w:type="dxa"/>
            <w:vAlign w:val="bottom"/>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40" w:type="dxa"/>
            <w:vAlign w:val="bottom"/>
            <w:gridSpan w:val="8"/>
            <w:shd w:val="clear" w:color="auto" w:fill="CCEEFF"/>
          </w:tcPr>
          <w:p>
            <w:pPr>
              <w:spacing w:after="0"/>
              <w:rPr>
                <w:sz w:val="20"/>
                <w:szCs w:val="20"/>
                <w:color w:val="auto"/>
              </w:rPr>
            </w:pPr>
            <w:r>
              <w:rPr>
                <w:rFonts w:ascii="Arial" w:cs="Arial" w:eastAsia="Arial" w:hAnsi="Arial"/>
                <w:sz w:val="18"/>
                <w:szCs w:val="18"/>
                <w:color w:val="auto"/>
              </w:rPr>
              <w:t>March 1, 2021 – March 31, 2021</w:t>
            </w:r>
          </w:p>
        </w:tc>
        <w:tc>
          <w:tcPr>
            <w:tcW w:w="1080" w:type="dxa"/>
            <w:vAlign w:val="bottom"/>
            <w:gridSpan w:val="5"/>
            <w:shd w:val="clear" w:color="auto" w:fill="CCEEFF"/>
          </w:tcPr>
          <w:p>
            <w:pPr>
              <w:jc w:val="right"/>
              <w:spacing w:after="0"/>
              <w:rPr>
                <w:sz w:val="20"/>
                <w:szCs w:val="20"/>
                <w:color w:val="auto"/>
              </w:rPr>
            </w:pPr>
            <w:r>
              <w:rPr>
                <w:rFonts w:ascii="Arial" w:cs="Arial" w:eastAsia="Arial" w:hAnsi="Arial"/>
                <w:sz w:val="18"/>
                <w:szCs w:val="18"/>
                <w:color w:val="auto"/>
              </w:rPr>
              <w:t>56,162</w:t>
            </w:r>
          </w:p>
        </w:tc>
        <w:tc>
          <w:tcPr>
            <w:tcW w:w="40" w:type="dxa"/>
            <w:vAlign w:val="bottom"/>
            <w:shd w:val="clear" w:color="auto" w:fill="CCEEFF"/>
          </w:tcPr>
          <w:p>
            <w:pPr>
              <w:spacing w:after="0"/>
              <w:rPr>
                <w:sz w:val="18"/>
                <w:szCs w:val="18"/>
                <w:color w:val="auto"/>
              </w:rPr>
            </w:pPr>
          </w:p>
        </w:tc>
        <w:tc>
          <w:tcPr>
            <w:tcW w:w="24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4"/>
              </w:rPr>
              <w:t>106.72</w:t>
            </w:r>
          </w:p>
        </w:tc>
        <w:tc>
          <w:tcPr>
            <w:tcW w:w="140" w:type="dxa"/>
            <w:vAlign w:val="bottom"/>
            <w:shd w:val="clear" w:color="auto" w:fill="CCEEFF"/>
          </w:tcPr>
          <w:p>
            <w:pPr>
              <w:spacing w:after="0"/>
              <w:rPr>
                <w:sz w:val="18"/>
                <w:szCs w:val="18"/>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560" w:type="dxa"/>
            <w:vAlign w:val="bottom"/>
          </w:tcPr>
          <w:p>
            <w:pPr>
              <w:spacing w:after="0"/>
              <w:rPr>
                <w:sz w:val="20"/>
                <w:szCs w:val="20"/>
                <w:color w:val="auto"/>
              </w:rPr>
            </w:pPr>
            <w:r>
              <w:rPr>
                <w:rFonts w:ascii="Arial" w:cs="Arial" w:eastAsia="Arial" w:hAnsi="Arial"/>
                <w:sz w:val="18"/>
                <w:szCs w:val="18"/>
                <w:b w:val="1"/>
                <w:bCs w:val="1"/>
                <w:color w:val="auto"/>
              </w:rPr>
              <w:t>Total</w:t>
            </w:r>
          </w:p>
        </w:tc>
        <w:tc>
          <w:tcPr>
            <w:tcW w:w="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18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80" w:type="dxa"/>
            <w:vAlign w:val="bottom"/>
            <w:gridSpan w:val="5"/>
          </w:tcPr>
          <w:p>
            <w:pPr>
              <w:jc w:val="right"/>
              <w:spacing w:after="0"/>
              <w:rPr>
                <w:sz w:val="20"/>
                <w:szCs w:val="20"/>
                <w:color w:val="auto"/>
              </w:rPr>
            </w:pPr>
            <w:r>
              <w:rPr>
                <w:rFonts w:ascii="Arial" w:cs="Arial" w:eastAsia="Arial" w:hAnsi="Arial"/>
                <w:sz w:val="18"/>
                <w:szCs w:val="18"/>
                <w:color w:val="auto"/>
              </w:rPr>
              <w:t>56,162</w:t>
            </w:r>
          </w:p>
        </w:tc>
        <w:tc>
          <w:tcPr>
            <w:tcW w:w="40" w:type="dxa"/>
            <w:vAlign w:val="bottom"/>
          </w:tcPr>
          <w:p>
            <w:pPr>
              <w:spacing w:after="0"/>
              <w:rPr>
                <w:sz w:val="20"/>
                <w:szCs w:val="20"/>
                <w:color w:val="auto"/>
              </w:rPr>
            </w:pPr>
          </w:p>
        </w:tc>
        <w:tc>
          <w:tcPr>
            <w:tcW w:w="240" w:type="dxa"/>
            <w:vAlign w:val="bottom"/>
            <w:gridSpan w:val="3"/>
          </w:tcPr>
          <w:p>
            <w:pPr>
              <w:jc w:val="right"/>
              <w:spacing w:after="0"/>
              <w:rPr>
                <w:sz w:val="20"/>
                <w:szCs w:val="20"/>
                <w:color w:val="auto"/>
              </w:rPr>
            </w:pPr>
            <w:r>
              <w:rPr>
                <w:rFonts w:ascii="Arial" w:cs="Arial" w:eastAsia="Arial" w:hAnsi="Arial"/>
                <w:sz w:val="18"/>
                <w:szCs w:val="18"/>
                <w:color w:val="auto"/>
              </w:rPr>
              <w:t>$</w:t>
            </w:r>
          </w:p>
        </w:tc>
        <w:tc>
          <w:tcPr>
            <w:tcW w:w="620" w:type="dxa"/>
            <w:vAlign w:val="bottom"/>
          </w:tcPr>
          <w:p>
            <w:pPr>
              <w:jc w:val="right"/>
              <w:spacing w:after="0"/>
              <w:rPr>
                <w:sz w:val="20"/>
                <w:szCs w:val="20"/>
                <w:color w:val="auto"/>
              </w:rPr>
            </w:pPr>
            <w:r>
              <w:rPr>
                <w:rFonts w:ascii="Arial" w:cs="Arial" w:eastAsia="Arial" w:hAnsi="Arial"/>
                <w:sz w:val="18"/>
                <w:szCs w:val="18"/>
                <w:color w:val="auto"/>
                <w:w w:val="94"/>
              </w:rPr>
              <w:t>106.72</w:t>
            </w:r>
          </w:p>
        </w:tc>
        <w:tc>
          <w:tcPr>
            <w:tcW w:w="140" w:type="dxa"/>
            <w:vAlign w:val="bottom"/>
          </w:tcPr>
          <w:p>
            <w:pPr>
              <w:spacing w:after="0"/>
              <w:rPr>
                <w:sz w:val="20"/>
                <w:szCs w:val="20"/>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00" w:type="dxa"/>
            <w:vAlign w:val="bottom"/>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427"/>
        </w:trPr>
        <w:tc>
          <w:tcPr>
            <w:tcW w:w="4260" w:type="dxa"/>
            <w:vAlign w:val="bottom"/>
            <w:gridSpan w:val="9"/>
          </w:tcPr>
          <w:p>
            <w:pPr>
              <w:spacing w:after="0"/>
              <w:rPr>
                <w:sz w:val="20"/>
                <w:szCs w:val="20"/>
                <w:color w:val="auto"/>
              </w:rPr>
            </w:pPr>
            <w:r>
              <w:rPr>
                <w:rFonts w:ascii="Arial" w:cs="Arial" w:eastAsia="Arial" w:hAnsi="Arial"/>
                <w:sz w:val="18"/>
                <w:szCs w:val="18"/>
                <w:b w:val="1"/>
                <w:bCs w:val="1"/>
                <w:color w:val="auto"/>
              </w:rPr>
              <w:t>Item 3.  Defaults Upon Senior Securities</w:t>
            </w:r>
          </w:p>
        </w:tc>
        <w:tc>
          <w:tcPr>
            <w:tcW w:w="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3680" w:type="dxa"/>
            <w:vAlign w:val="bottom"/>
            <w:gridSpan w:val="7"/>
          </w:tcPr>
          <w:p>
            <w:pPr>
              <w:ind w:left="60"/>
              <w:spacing w:after="0"/>
              <w:rPr>
                <w:sz w:val="20"/>
                <w:szCs w:val="20"/>
                <w:color w:val="auto"/>
              </w:rPr>
            </w:pPr>
            <w:r>
              <w:rPr>
                <w:rFonts w:ascii="Arial" w:cs="Arial" w:eastAsia="Arial" w:hAnsi="Arial"/>
                <w:sz w:val="18"/>
                <w:szCs w:val="18"/>
                <w:color w:val="auto"/>
              </w:rPr>
              <w:t>None.</w:t>
            </w:r>
          </w:p>
        </w:tc>
        <w:tc>
          <w:tcPr>
            <w:tcW w:w="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4260" w:type="dxa"/>
            <w:vAlign w:val="bottom"/>
            <w:gridSpan w:val="9"/>
          </w:tcPr>
          <w:p>
            <w:pPr>
              <w:spacing w:after="0"/>
              <w:rPr>
                <w:sz w:val="20"/>
                <w:szCs w:val="20"/>
                <w:color w:val="auto"/>
              </w:rPr>
            </w:pPr>
            <w:r>
              <w:rPr>
                <w:rFonts w:ascii="Arial" w:cs="Arial" w:eastAsia="Arial" w:hAnsi="Arial"/>
                <w:sz w:val="18"/>
                <w:szCs w:val="18"/>
                <w:b w:val="1"/>
                <w:bCs w:val="1"/>
                <w:color w:val="auto"/>
              </w:rPr>
              <w:t>Item 4.  Mine Safety Disclosures</w:t>
            </w:r>
          </w:p>
        </w:tc>
        <w:tc>
          <w:tcPr>
            <w:tcW w:w="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3680" w:type="dxa"/>
            <w:vAlign w:val="bottom"/>
            <w:gridSpan w:val="7"/>
          </w:tcPr>
          <w:p>
            <w:pPr>
              <w:ind w:left="60"/>
              <w:spacing w:after="0"/>
              <w:rPr>
                <w:sz w:val="20"/>
                <w:szCs w:val="20"/>
                <w:color w:val="auto"/>
              </w:rPr>
            </w:pPr>
            <w:r>
              <w:rPr>
                <w:rFonts w:ascii="Arial" w:cs="Arial" w:eastAsia="Arial" w:hAnsi="Arial"/>
                <w:sz w:val="18"/>
                <w:szCs w:val="18"/>
                <w:color w:val="auto"/>
              </w:rPr>
              <w:t>None.</w:t>
            </w:r>
          </w:p>
        </w:tc>
        <w:tc>
          <w:tcPr>
            <w:tcW w:w="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580" w:type="dxa"/>
            <w:vAlign w:val="bottom"/>
            <w:gridSpan w:val="2"/>
          </w:tcPr>
          <w:p>
            <w:pPr>
              <w:spacing w:after="0"/>
              <w:rPr>
                <w:sz w:val="20"/>
                <w:szCs w:val="20"/>
                <w:color w:val="auto"/>
              </w:rPr>
            </w:pPr>
            <w:r>
              <w:rPr>
                <w:rFonts w:ascii="Arial" w:cs="Arial" w:eastAsia="Arial" w:hAnsi="Arial"/>
                <w:sz w:val="18"/>
                <w:szCs w:val="18"/>
                <w:b w:val="1"/>
                <w:bCs w:val="1"/>
                <w:color w:val="auto"/>
                <w:w w:val="98"/>
              </w:rPr>
              <w:t>Item 5.</w:t>
            </w:r>
          </w:p>
        </w:tc>
        <w:tc>
          <w:tcPr>
            <w:tcW w:w="80" w:type="dxa"/>
            <w:vAlign w:val="bottom"/>
          </w:tcPr>
          <w:p>
            <w:pPr>
              <w:spacing w:after="0"/>
              <w:rPr>
                <w:sz w:val="24"/>
                <w:szCs w:val="24"/>
                <w:color w:val="auto"/>
              </w:rPr>
            </w:pPr>
          </w:p>
        </w:tc>
        <w:tc>
          <w:tcPr>
            <w:tcW w:w="3600" w:type="dxa"/>
            <w:vAlign w:val="bottom"/>
            <w:gridSpan w:val="6"/>
          </w:tcPr>
          <w:p>
            <w:pPr>
              <w:spacing w:after="0"/>
              <w:rPr>
                <w:sz w:val="20"/>
                <w:szCs w:val="20"/>
                <w:color w:val="auto"/>
              </w:rPr>
            </w:pPr>
            <w:r>
              <w:rPr>
                <w:rFonts w:ascii="Arial" w:cs="Arial" w:eastAsia="Arial" w:hAnsi="Arial"/>
                <w:sz w:val="18"/>
                <w:szCs w:val="18"/>
                <w:b w:val="1"/>
                <w:bCs w:val="1"/>
                <w:color w:val="auto"/>
              </w:rPr>
              <w:t>Other Information</w:t>
            </w:r>
          </w:p>
        </w:tc>
        <w:tc>
          <w:tcPr>
            <w:tcW w:w="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3680" w:type="dxa"/>
            <w:vAlign w:val="bottom"/>
            <w:gridSpan w:val="7"/>
          </w:tcPr>
          <w:p>
            <w:pPr>
              <w:ind w:left="60"/>
              <w:spacing w:after="0"/>
              <w:rPr>
                <w:sz w:val="20"/>
                <w:szCs w:val="20"/>
                <w:color w:val="auto"/>
              </w:rPr>
            </w:pPr>
            <w:r>
              <w:rPr>
                <w:rFonts w:ascii="Arial" w:cs="Arial" w:eastAsia="Arial" w:hAnsi="Arial"/>
                <w:sz w:val="18"/>
                <w:szCs w:val="18"/>
                <w:color w:val="auto"/>
              </w:rPr>
              <w:t>None.</w:t>
            </w:r>
          </w:p>
        </w:tc>
        <w:tc>
          <w:tcPr>
            <w:tcW w:w="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648"/>
        </w:trPr>
        <w:tc>
          <w:tcPr>
            <w:tcW w:w="580" w:type="dxa"/>
            <w:vAlign w:val="bottom"/>
            <w:gridSpan w:val="2"/>
          </w:tcPr>
          <w:p>
            <w:pPr>
              <w:spacing w:after="0"/>
              <w:rPr>
                <w:sz w:val="20"/>
                <w:szCs w:val="20"/>
                <w:color w:val="auto"/>
              </w:rPr>
            </w:pPr>
            <w:r>
              <w:rPr>
                <w:rFonts w:ascii="Arial" w:cs="Arial" w:eastAsia="Arial" w:hAnsi="Arial"/>
                <w:sz w:val="18"/>
                <w:szCs w:val="18"/>
                <w:b w:val="1"/>
                <w:bCs w:val="1"/>
                <w:color w:val="auto"/>
                <w:w w:val="98"/>
              </w:rPr>
              <w:t>Item 6.</w:t>
            </w:r>
          </w:p>
        </w:tc>
        <w:tc>
          <w:tcPr>
            <w:tcW w:w="80" w:type="dxa"/>
            <w:vAlign w:val="bottom"/>
          </w:tcPr>
          <w:p>
            <w:pPr>
              <w:spacing w:after="0"/>
              <w:rPr>
                <w:sz w:val="24"/>
                <w:szCs w:val="24"/>
                <w:color w:val="auto"/>
              </w:rPr>
            </w:pPr>
          </w:p>
        </w:tc>
        <w:tc>
          <w:tcPr>
            <w:tcW w:w="3600" w:type="dxa"/>
            <w:vAlign w:val="bottom"/>
            <w:gridSpan w:val="6"/>
          </w:tcPr>
          <w:p>
            <w:pPr>
              <w:spacing w:after="0"/>
              <w:rPr>
                <w:sz w:val="20"/>
                <w:szCs w:val="20"/>
                <w:color w:val="auto"/>
              </w:rPr>
            </w:pPr>
            <w:r>
              <w:rPr>
                <w:rFonts w:ascii="Arial" w:cs="Arial" w:eastAsia="Arial" w:hAnsi="Arial"/>
                <w:sz w:val="18"/>
                <w:szCs w:val="18"/>
                <w:b w:val="1"/>
                <w:bCs w:val="1"/>
                <w:color w:val="auto"/>
              </w:rPr>
              <w:t>Exhibits</w:t>
            </w:r>
          </w:p>
        </w:tc>
        <w:tc>
          <w:tcPr>
            <w:tcW w:w="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51"/>
        </w:trPr>
        <w:tc>
          <w:tcPr>
            <w:tcW w:w="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3680" w:type="dxa"/>
            <w:vAlign w:val="bottom"/>
            <w:gridSpan w:val="7"/>
          </w:tcPr>
          <w:p>
            <w:pPr>
              <w:ind w:left="60"/>
              <w:spacing w:after="0"/>
              <w:rPr>
                <w:sz w:val="20"/>
                <w:szCs w:val="20"/>
                <w:color w:val="auto"/>
              </w:rPr>
            </w:pPr>
            <w:r>
              <w:rPr>
                <w:rFonts w:ascii="Arial" w:cs="Arial" w:eastAsia="Arial" w:hAnsi="Arial"/>
                <w:sz w:val="18"/>
                <w:szCs w:val="18"/>
                <w:color w:val="auto"/>
              </w:rPr>
              <w:t>(a)  Exhibits</w:t>
            </w:r>
          </w:p>
        </w:tc>
        <w:tc>
          <w:tcPr>
            <w:tcW w:w="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0"/>
        </w:trPr>
        <w:tc>
          <w:tcPr>
            <w:tcW w:w="580" w:type="dxa"/>
            <w:vAlign w:val="bottom"/>
            <w:gridSpan w:val="2"/>
          </w:tcPr>
          <w:p>
            <w:pPr>
              <w:spacing w:after="0"/>
              <w:rPr>
                <w:sz w:val="20"/>
                <w:szCs w:val="20"/>
                <w:color w:val="auto"/>
              </w:rPr>
            </w:pPr>
            <w:r>
              <w:rPr>
                <w:rFonts w:ascii="Arial" w:cs="Arial" w:eastAsia="Arial" w:hAnsi="Arial"/>
                <w:sz w:val="14"/>
                <w:szCs w:val="14"/>
                <w:b w:val="1"/>
                <w:bCs w:val="1"/>
                <w:color w:val="auto"/>
              </w:rPr>
              <w:t>Number</w:t>
            </w:r>
          </w:p>
        </w:tc>
        <w:tc>
          <w:tcPr>
            <w:tcW w:w="8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3440" w:type="dxa"/>
            <w:vAlign w:val="bottom"/>
            <w:gridSpan w:val="5"/>
          </w:tcPr>
          <w:p>
            <w:pPr>
              <w:spacing w:after="0"/>
              <w:rPr>
                <w:sz w:val="20"/>
                <w:szCs w:val="20"/>
                <w:color w:val="auto"/>
              </w:rPr>
            </w:pPr>
            <w:r>
              <w:rPr>
                <w:rFonts w:ascii="Arial" w:cs="Arial" w:eastAsia="Arial" w:hAnsi="Arial"/>
                <w:sz w:val="14"/>
                <w:szCs w:val="14"/>
                <w:b w:val="1"/>
                <w:bCs w:val="1"/>
                <w:color w:val="auto"/>
              </w:rPr>
              <w:t>Description</w:t>
            </w:r>
          </w:p>
        </w:tc>
        <w:tc>
          <w:tcPr>
            <w:tcW w:w="2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54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200" w:type="dxa"/>
            <w:vAlign w:val="bottom"/>
            <w:gridSpan w:val="5"/>
          </w:tcPr>
          <w:p>
            <w:pPr>
              <w:spacing w:after="0"/>
              <w:rPr>
                <w:sz w:val="20"/>
                <w:szCs w:val="20"/>
                <w:color w:val="auto"/>
              </w:rPr>
            </w:pPr>
            <w:r>
              <w:rPr>
                <w:rFonts w:ascii="Arial" w:cs="Arial" w:eastAsia="Arial" w:hAnsi="Arial"/>
                <w:sz w:val="14"/>
                <w:szCs w:val="14"/>
                <w:b w:val="1"/>
                <w:bCs w:val="1"/>
                <w:color w:val="auto"/>
              </w:rPr>
              <w:t>Method of Filing</w:t>
            </w:r>
          </w:p>
        </w:tc>
        <w:tc>
          <w:tcPr>
            <w:tcW w:w="1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0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560" w:type="dxa"/>
            <w:vAlign w:val="bottom"/>
            <w:tcBorders>
              <w:top w:val="single" w:sz="8" w:color="auto"/>
            </w:tcBorders>
          </w:tcPr>
          <w:p>
            <w:pPr>
              <w:spacing w:after="0" w:line="169" w:lineRule="exact"/>
              <w:rPr>
                <w:sz w:val="20"/>
                <w:szCs w:val="20"/>
                <w:color w:val="auto"/>
              </w:rPr>
            </w:pPr>
            <w:r>
              <w:rPr>
                <w:rFonts w:ascii="Arial" w:cs="Arial" w:eastAsia="Arial" w:hAnsi="Arial"/>
                <w:sz w:val="18"/>
                <w:szCs w:val="18"/>
                <w:color w:val="auto"/>
              </w:rPr>
              <w:t>3.1</w:t>
            </w:r>
          </w:p>
        </w:tc>
        <w:tc>
          <w:tcPr>
            <w:tcW w:w="80" w:type="dxa"/>
            <w:vAlign w:val="bottom"/>
            <w:tcBorders>
              <w:top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500" w:type="dxa"/>
            <w:vAlign w:val="bottom"/>
            <w:tcBorders>
              <w:top w:val="single" w:sz="8" w:color="auto"/>
            </w:tcBorders>
            <w:gridSpan w:val="9"/>
          </w:tcPr>
          <w:p>
            <w:pPr>
              <w:spacing w:after="0" w:line="169" w:lineRule="exact"/>
              <w:rPr>
                <w:rFonts w:ascii="Arial" w:cs="Arial" w:eastAsia="Arial" w:hAnsi="Arial"/>
                <w:sz w:val="18"/>
                <w:szCs w:val="18"/>
                <w:color w:val="0000EE"/>
              </w:rPr>
            </w:pPr>
            <w:hyperlink r:id="rId48">
              <w:r>
                <w:rPr>
                  <w:rFonts w:ascii="Arial" w:cs="Arial" w:eastAsia="Arial" w:hAnsi="Arial"/>
                  <w:sz w:val="18"/>
                  <w:szCs w:val="18"/>
                  <w:color w:val="0000EE"/>
                </w:rPr>
                <w:t>Amended and Restated Certificate of Incorporation.</w:t>
              </w:r>
            </w:hyperlink>
          </w:p>
        </w:tc>
        <w:tc>
          <w:tcPr>
            <w:tcW w:w="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3420" w:type="dxa"/>
            <w:vAlign w:val="bottom"/>
            <w:tcBorders>
              <w:top w:val="single" w:sz="8" w:color="auto"/>
            </w:tcBorders>
            <w:gridSpan w:val="8"/>
          </w:tcPr>
          <w:p>
            <w:pPr>
              <w:spacing w:after="0" w:line="169" w:lineRule="exact"/>
              <w:rPr>
                <w:sz w:val="20"/>
                <w:szCs w:val="20"/>
                <w:color w:val="auto"/>
              </w:rPr>
            </w:pPr>
            <w:r>
              <w:rPr>
                <w:rFonts w:ascii="Arial" w:cs="Arial" w:eastAsia="Arial" w:hAnsi="Arial"/>
                <w:sz w:val="18"/>
                <w:szCs w:val="18"/>
                <w:color w:val="auto"/>
                <w:w w:val="93"/>
              </w:rPr>
              <w:t>Incorporated by reference to Exhibit 3.1 to the</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20" w:type="dxa"/>
            <w:vAlign w:val="bottom"/>
            <w:tcBorders>
              <w:top w:val="single" w:sz="8" w:color="0000EE"/>
            </w:tcBorders>
          </w:tcPr>
          <w:p>
            <w:pPr>
              <w:spacing w:after="0"/>
              <w:rPr>
                <w:sz w:val="19"/>
                <w:szCs w:val="19"/>
                <w:color w:val="auto"/>
              </w:rPr>
            </w:pPr>
          </w:p>
        </w:tc>
        <w:tc>
          <w:tcPr>
            <w:tcW w:w="2180" w:type="dxa"/>
            <w:vAlign w:val="bottom"/>
            <w:tcBorders>
              <w:top w:val="single" w:sz="8" w:color="0000EE"/>
            </w:tcBorders>
          </w:tcPr>
          <w:p>
            <w:pPr>
              <w:spacing w:after="0"/>
              <w:rPr>
                <w:sz w:val="19"/>
                <w:szCs w:val="19"/>
                <w:color w:val="auto"/>
              </w:rPr>
            </w:pPr>
          </w:p>
        </w:tc>
        <w:tc>
          <w:tcPr>
            <w:tcW w:w="540" w:type="dxa"/>
            <w:vAlign w:val="bottom"/>
            <w:tcBorders>
              <w:top w:val="single" w:sz="8" w:color="0000EE"/>
            </w:tcBorders>
          </w:tcPr>
          <w:p>
            <w:pPr>
              <w:spacing w:after="0"/>
              <w:rPr>
                <w:sz w:val="19"/>
                <w:szCs w:val="19"/>
                <w:color w:val="auto"/>
              </w:rPr>
            </w:pPr>
          </w:p>
        </w:tc>
        <w:tc>
          <w:tcPr>
            <w:tcW w:w="560" w:type="dxa"/>
            <w:vAlign w:val="bottom"/>
            <w:tcBorders>
              <w:top w:val="single" w:sz="8" w:color="0000EE"/>
            </w:tcBorders>
          </w:tcPr>
          <w:p>
            <w:pPr>
              <w:spacing w:after="0"/>
              <w:rPr>
                <w:sz w:val="19"/>
                <w:szCs w:val="19"/>
                <w:color w:val="auto"/>
              </w:rPr>
            </w:pPr>
          </w:p>
        </w:tc>
        <w:tc>
          <w:tcPr>
            <w:tcW w:w="140" w:type="dxa"/>
            <w:vAlign w:val="bottom"/>
            <w:tcBorders>
              <w:top w:val="single" w:sz="8" w:color="0000EE"/>
            </w:tcBorders>
          </w:tcPr>
          <w:p>
            <w:pPr>
              <w:spacing w:after="0"/>
              <w:rPr>
                <w:sz w:val="19"/>
                <w:szCs w:val="19"/>
                <w:color w:val="auto"/>
              </w:rPr>
            </w:pPr>
          </w:p>
        </w:tc>
        <w:tc>
          <w:tcPr>
            <w:tcW w:w="20" w:type="dxa"/>
            <w:vAlign w:val="bottom"/>
            <w:tcBorders>
              <w:top w:val="single" w:sz="8" w:color="0000EE"/>
            </w:tcBorders>
          </w:tcPr>
          <w:p>
            <w:pPr>
              <w:spacing w:after="0"/>
              <w:rPr>
                <w:sz w:val="19"/>
                <w:szCs w:val="19"/>
                <w:color w:val="auto"/>
              </w:rPr>
            </w:pPr>
          </w:p>
        </w:tc>
        <w:tc>
          <w:tcPr>
            <w:tcW w:w="280" w:type="dxa"/>
            <w:vAlign w:val="bottom"/>
            <w:tcBorders>
              <w:top w:val="single" w:sz="8" w:color="0000EE"/>
            </w:tcBorders>
          </w:tcPr>
          <w:p>
            <w:pPr>
              <w:spacing w:after="0"/>
              <w:rPr>
                <w:sz w:val="19"/>
                <w:szCs w:val="19"/>
                <w:color w:val="auto"/>
              </w:rPr>
            </w:pPr>
          </w:p>
        </w:tc>
        <w:tc>
          <w:tcPr>
            <w:tcW w:w="1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420" w:type="dxa"/>
            <w:vAlign w:val="bottom"/>
            <w:gridSpan w:val="8"/>
          </w:tcPr>
          <w:p>
            <w:pPr>
              <w:spacing w:after="0"/>
              <w:rPr>
                <w:sz w:val="20"/>
                <w:szCs w:val="20"/>
                <w:color w:val="auto"/>
              </w:rPr>
            </w:pPr>
            <w:r>
              <w:rPr>
                <w:rFonts w:ascii="Arial" w:cs="Arial" w:eastAsia="Arial" w:hAnsi="Arial"/>
                <w:sz w:val="18"/>
                <w:szCs w:val="18"/>
                <w:color w:val="auto"/>
                <w:w w:val="93"/>
              </w:rPr>
              <w:t>Company’s Annual Report on Form 10-K filed</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18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420" w:type="dxa"/>
            <w:vAlign w:val="bottom"/>
            <w:gridSpan w:val="8"/>
          </w:tcPr>
          <w:p>
            <w:pPr>
              <w:spacing w:after="0"/>
              <w:rPr>
                <w:sz w:val="20"/>
                <w:szCs w:val="20"/>
                <w:color w:val="auto"/>
              </w:rPr>
            </w:pPr>
            <w:r>
              <w:rPr>
                <w:rFonts w:ascii="Arial" w:cs="Arial" w:eastAsia="Arial" w:hAnsi="Arial"/>
                <w:sz w:val="18"/>
                <w:szCs w:val="18"/>
                <w:color w:val="auto"/>
              </w:rPr>
              <w:t>with the SEC on February 20, 2019.</w:t>
            </w:r>
          </w:p>
        </w:tc>
        <w:tc>
          <w:tcPr>
            <w:tcW w:w="0" w:type="dxa"/>
            <w:vAlign w:val="bottom"/>
          </w:tcPr>
          <w:p>
            <w:pPr>
              <w:spacing w:after="0"/>
              <w:rPr>
                <w:sz w:val="1"/>
                <w:szCs w:val="1"/>
                <w:color w:val="auto"/>
              </w:rPr>
            </w:pPr>
          </w:p>
        </w:tc>
      </w:tr>
      <w:tr>
        <w:trPr>
          <w:trHeight w:val="324"/>
        </w:trPr>
        <w:tc>
          <w:tcPr>
            <w:tcW w:w="580" w:type="dxa"/>
            <w:vAlign w:val="bottom"/>
            <w:gridSpan w:val="2"/>
          </w:tcPr>
          <w:p>
            <w:pPr>
              <w:spacing w:after="0"/>
              <w:rPr>
                <w:sz w:val="20"/>
                <w:szCs w:val="20"/>
                <w:color w:val="auto"/>
              </w:rPr>
            </w:pPr>
            <w:r>
              <w:rPr>
                <w:rFonts w:ascii="Arial" w:cs="Arial" w:eastAsia="Arial" w:hAnsi="Arial"/>
                <w:sz w:val="18"/>
                <w:szCs w:val="18"/>
                <w:color w:val="auto"/>
              </w:rPr>
              <w:t>3.2</w:t>
            </w: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440" w:type="dxa"/>
            <w:vAlign w:val="bottom"/>
            <w:gridSpan w:val="5"/>
          </w:tcPr>
          <w:p>
            <w:pPr>
              <w:spacing w:after="0"/>
              <w:rPr>
                <w:rFonts w:ascii="Arial" w:cs="Arial" w:eastAsia="Arial" w:hAnsi="Arial"/>
                <w:sz w:val="18"/>
                <w:szCs w:val="18"/>
                <w:color w:val="0000EE"/>
              </w:rPr>
            </w:pPr>
            <w:hyperlink r:id="rId49">
              <w:r>
                <w:rPr>
                  <w:rFonts w:ascii="Arial" w:cs="Arial" w:eastAsia="Arial" w:hAnsi="Arial"/>
                  <w:sz w:val="18"/>
                  <w:szCs w:val="18"/>
                  <w:color w:val="0000EE"/>
                </w:rPr>
                <w:t>Third Amended and Restated Bylaws.</w:t>
              </w:r>
            </w:hyperlink>
          </w:p>
        </w:tc>
        <w:tc>
          <w:tcPr>
            <w:tcW w:w="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420" w:type="dxa"/>
            <w:vAlign w:val="bottom"/>
            <w:gridSpan w:val="8"/>
          </w:tcPr>
          <w:p>
            <w:pPr>
              <w:spacing w:after="0"/>
              <w:rPr>
                <w:sz w:val="20"/>
                <w:szCs w:val="20"/>
                <w:color w:val="auto"/>
              </w:rPr>
            </w:pPr>
            <w:r>
              <w:rPr>
                <w:rFonts w:ascii="Arial" w:cs="Arial" w:eastAsia="Arial" w:hAnsi="Arial"/>
                <w:sz w:val="18"/>
                <w:szCs w:val="18"/>
                <w:color w:val="auto"/>
                <w:w w:val="93"/>
              </w:rPr>
              <w:t>Incorporated by reference to Exhibit 3.1 to the</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20" w:type="dxa"/>
            <w:vAlign w:val="bottom"/>
            <w:tcBorders>
              <w:top w:val="single" w:sz="8" w:color="0000EE"/>
            </w:tcBorders>
          </w:tcPr>
          <w:p>
            <w:pPr>
              <w:spacing w:after="0"/>
              <w:rPr>
                <w:sz w:val="19"/>
                <w:szCs w:val="19"/>
                <w:color w:val="auto"/>
              </w:rPr>
            </w:pPr>
          </w:p>
        </w:tc>
        <w:tc>
          <w:tcPr>
            <w:tcW w:w="2180" w:type="dxa"/>
            <w:vAlign w:val="bottom"/>
            <w:tcBorders>
              <w:top w:val="single" w:sz="8" w:color="0000EE"/>
            </w:tcBorders>
          </w:tcPr>
          <w:p>
            <w:pPr>
              <w:spacing w:after="0"/>
              <w:rPr>
                <w:sz w:val="19"/>
                <w:szCs w:val="19"/>
                <w:color w:val="auto"/>
              </w:rPr>
            </w:pPr>
          </w:p>
        </w:tc>
        <w:tc>
          <w:tcPr>
            <w:tcW w:w="540" w:type="dxa"/>
            <w:vAlign w:val="bottom"/>
            <w:tcBorders>
              <w:top w:val="single" w:sz="8" w:color="0000EE"/>
            </w:tcBorders>
          </w:tcPr>
          <w:p>
            <w:pPr>
              <w:spacing w:after="0"/>
              <w:rPr>
                <w:sz w:val="19"/>
                <w:szCs w:val="19"/>
                <w:color w:val="auto"/>
              </w:rPr>
            </w:pPr>
          </w:p>
        </w:tc>
        <w:tc>
          <w:tcPr>
            <w:tcW w:w="5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420" w:type="dxa"/>
            <w:vAlign w:val="bottom"/>
            <w:gridSpan w:val="8"/>
          </w:tcPr>
          <w:p>
            <w:pPr>
              <w:spacing w:after="0"/>
              <w:rPr>
                <w:sz w:val="20"/>
                <w:szCs w:val="20"/>
                <w:color w:val="auto"/>
              </w:rPr>
            </w:pPr>
            <w:r>
              <w:rPr>
                <w:rFonts w:ascii="Arial" w:cs="Arial" w:eastAsia="Arial" w:hAnsi="Arial"/>
                <w:sz w:val="18"/>
                <w:szCs w:val="18"/>
                <w:color w:val="auto"/>
                <w:w w:val="95"/>
              </w:rPr>
              <w:t>Company’s Current Report on Form 8-K filed</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18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420" w:type="dxa"/>
            <w:vAlign w:val="bottom"/>
            <w:gridSpan w:val="8"/>
          </w:tcPr>
          <w:p>
            <w:pPr>
              <w:spacing w:after="0"/>
              <w:rPr>
                <w:sz w:val="20"/>
                <w:szCs w:val="20"/>
                <w:color w:val="auto"/>
              </w:rPr>
            </w:pPr>
            <w:r>
              <w:rPr>
                <w:rFonts w:ascii="Arial" w:cs="Arial" w:eastAsia="Arial" w:hAnsi="Arial"/>
                <w:sz w:val="18"/>
                <w:szCs w:val="18"/>
                <w:color w:val="auto"/>
              </w:rPr>
              <w:t>with the SEC on October 29, 2014.</w:t>
            </w:r>
          </w:p>
        </w:tc>
        <w:tc>
          <w:tcPr>
            <w:tcW w:w="0" w:type="dxa"/>
            <w:vAlign w:val="bottom"/>
          </w:tcPr>
          <w:p>
            <w:pPr>
              <w:spacing w:after="0"/>
              <w:rPr>
                <w:sz w:val="1"/>
                <w:szCs w:val="1"/>
                <w:color w:val="auto"/>
              </w:rPr>
            </w:pPr>
          </w:p>
        </w:tc>
      </w:tr>
      <w:tr>
        <w:trPr>
          <w:trHeight w:val="324"/>
        </w:trPr>
        <w:tc>
          <w:tcPr>
            <w:tcW w:w="580" w:type="dxa"/>
            <w:vAlign w:val="bottom"/>
            <w:gridSpan w:val="2"/>
          </w:tcPr>
          <w:p>
            <w:pPr>
              <w:spacing w:after="0"/>
              <w:rPr>
                <w:sz w:val="20"/>
                <w:szCs w:val="20"/>
                <w:color w:val="auto"/>
              </w:rPr>
            </w:pPr>
            <w:r>
              <w:rPr>
                <w:rFonts w:ascii="Arial" w:cs="Arial" w:eastAsia="Arial" w:hAnsi="Arial"/>
                <w:sz w:val="18"/>
                <w:szCs w:val="18"/>
                <w:color w:val="auto"/>
              </w:rPr>
              <w:t>4.1</w:t>
            </w: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440" w:type="dxa"/>
            <w:vAlign w:val="bottom"/>
            <w:gridSpan w:val="5"/>
          </w:tcPr>
          <w:p>
            <w:pPr>
              <w:spacing w:after="0"/>
              <w:rPr>
                <w:rFonts w:ascii="Arial" w:cs="Arial" w:eastAsia="Arial" w:hAnsi="Arial"/>
                <w:sz w:val="18"/>
                <w:szCs w:val="18"/>
                <w:color w:val="0000EE"/>
              </w:rPr>
            </w:pPr>
            <w:hyperlink r:id="rId50">
              <w:r>
                <w:rPr>
                  <w:rFonts w:ascii="Arial" w:cs="Arial" w:eastAsia="Arial" w:hAnsi="Arial"/>
                  <w:sz w:val="18"/>
                  <w:szCs w:val="18"/>
                  <w:color w:val="0000EE"/>
                </w:rPr>
                <w:t>Specimen of Stock Certificate.</w:t>
              </w:r>
            </w:hyperlink>
          </w:p>
        </w:tc>
        <w:tc>
          <w:tcPr>
            <w:tcW w:w="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420" w:type="dxa"/>
            <w:vAlign w:val="bottom"/>
            <w:gridSpan w:val="8"/>
          </w:tcPr>
          <w:p>
            <w:pPr>
              <w:spacing w:after="0"/>
              <w:rPr>
                <w:sz w:val="20"/>
                <w:szCs w:val="20"/>
                <w:color w:val="auto"/>
              </w:rPr>
            </w:pPr>
            <w:r>
              <w:rPr>
                <w:rFonts w:ascii="Arial" w:cs="Arial" w:eastAsia="Arial" w:hAnsi="Arial"/>
                <w:sz w:val="18"/>
                <w:szCs w:val="18"/>
                <w:color w:val="auto"/>
              </w:rPr>
              <w:t>Incorporated by reference to Exhibit 4.1 to</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20" w:type="dxa"/>
            <w:vAlign w:val="bottom"/>
            <w:tcBorders>
              <w:top w:val="single" w:sz="8" w:color="0000EE"/>
            </w:tcBorders>
          </w:tcPr>
          <w:p>
            <w:pPr>
              <w:spacing w:after="0"/>
              <w:rPr>
                <w:sz w:val="19"/>
                <w:szCs w:val="19"/>
                <w:color w:val="auto"/>
              </w:rPr>
            </w:pPr>
          </w:p>
        </w:tc>
        <w:tc>
          <w:tcPr>
            <w:tcW w:w="2180" w:type="dxa"/>
            <w:vAlign w:val="bottom"/>
            <w:tcBorders>
              <w:top w:val="single" w:sz="8" w:color="0000EE"/>
            </w:tcBorders>
          </w:tcPr>
          <w:p>
            <w:pPr>
              <w:spacing w:after="0"/>
              <w:rPr>
                <w:sz w:val="19"/>
                <w:szCs w:val="19"/>
                <w:color w:val="auto"/>
              </w:rPr>
            </w:pPr>
          </w:p>
        </w:tc>
        <w:tc>
          <w:tcPr>
            <w:tcW w:w="54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420" w:type="dxa"/>
            <w:vAlign w:val="bottom"/>
            <w:gridSpan w:val="8"/>
          </w:tcPr>
          <w:p>
            <w:pPr>
              <w:spacing w:after="0"/>
              <w:rPr>
                <w:sz w:val="20"/>
                <w:szCs w:val="20"/>
                <w:color w:val="auto"/>
              </w:rPr>
            </w:pPr>
            <w:r>
              <w:rPr>
                <w:rFonts w:ascii="Arial" w:cs="Arial" w:eastAsia="Arial" w:hAnsi="Arial"/>
                <w:sz w:val="18"/>
                <w:szCs w:val="18"/>
                <w:color w:val="auto"/>
              </w:rPr>
              <w:t>Amendment No. 2 to the Company’s</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1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420" w:type="dxa"/>
            <w:vAlign w:val="bottom"/>
            <w:gridSpan w:val="8"/>
          </w:tcPr>
          <w:p>
            <w:pPr>
              <w:spacing w:after="0"/>
              <w:rPr>
                <w:sz w:val="20"/>
                <w:szCs w:val="20"/>
                <w:color w:val="auto"/>
              </w:rPr>
            </w:pPr>
            <w:r>
              <w:rPr>
                <w:rFonts w:ascii="Arial" w:cs="Arial" w:eastAsia="Arial" w:hAnsi="Arial"/>
                <w:sz w:val="18"/>
                <w:szCs w:val="18"/>
                <w:color w:val="auto"/>
                <w:w w:val="93"/>
              </w:rPr>
              <w:t>Registration Statement on Form S-1 filed with</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18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420" w:type="dxa"/>
            <w:vAlign w:val="bottom"/>
            <w:gridSpan w:val="7"/>
          </w:tcPr>
          <w:p>
            <w:pPr>
              <w:spacing w:after="0"/>
              <w:rPr>
                <w:sz w:val="20"/>
                <w:szCs w:val="20"/>
                <w:color w:val="auto"/>
              </w:rPr>
            </w:pPr>
            <w:r>
              <w:rPr>
                <w:rFonts w:ascii="Arial" w:cs="Arial" w:eastAsia="Arial" w:hAnsi="Arial"/>
                <w:sz w:val="18"/>
                <w:szCs w:val="18"/>
                <w:color w:val="auto"/>
                <w:w w:val="90"/>
              </w:rPr>
              <w:t>the SEC on September 29, 2008.</w:t>
            </w:r>
          </w:p>
        </w:tc>
        <w:tc>
          <w:tcPr>
            <w:tcW w:w="10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92"/>
        </w:trPr>
        <w:tc>
          <w:tcPr>
            <w:tcW w:w="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980" w:type="dxa"/>
            <w:vAlign w:val="bottom"/>
            <w:tcBorders>
              <w:bottom w:val="single" w:sz="8" w:color="0000EE"/>
            </w:tcBorders>
            <w:gridSpan w:val="9"/>
          </w:tcPr>
          <w:p>
            <w:pPr>
              <w:spacing w:after="0"/>
              <w:rPr>
                <w:rFonts w:ascii="Arial" w:cs="Arial" w:eastAsia="Arial" w:hAnsi="Arial"/>
                <w:sz w:val="18"/>
                <w:szCs w:val="18"/>
                <w:color w:val="0000EE"/>
                <w:w w:val="93"/>
              </w:rPr>
            </w:pPr>
            <w:hyperlink w:anchor="page36">
              <w:r>
                <w:rPr>
                  <w:rFonts w:ascii="Arial" w:cs="Arial" w:eastAsia="Arial" w:hAnsi="Arial"/>
                  <w:sz w:val="18"/>
                  <w:szCs w:val="18"/>
                  <w:color w:val="0000EE"/>
                  <w:w w:val="93"/>
                </w:rPr>
                <w:t>Certification of Principal Executive Officer pursuant to</w:t>
              </w:r>
            </w:hyperlink>
          </w:p>
        </w:tc>
        <w:tc>
          <w:tcPr>
            <w:tcW w:w="580" w:type="dxa"/>
            <w:vAlign w:val="bottom"/>
            <w:gridSpan w:val="2"/>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580" w:type="dxa"/>
            <w:vAlign w:val="bottom"/>
            <w:gridSpan w:val="2"/>
          </w:tcPr>
          <w:p>
            <w:pPr>
              <w:spacing w:after="0" w:line="196" w:lineRule="exact"/>
              <w:rPr>
                <w:sz w:val="20"/>
                <w:szCs w:val="20"/>
                <w:color w:val="auto"/>
              </w:rPr>
            </w:pPr>
            <w:r>
              <w:rPr>
                <w:rFonts w:ascii="Arial" w:cs="Arial" w:eastAsia="Arial" w:hAnsi="Arial"/>
                <w:sz w:val="18"/>
                <w:szCs w:val="18"/>
                <w:color w:val="auto"/>
              </w:rPr>
              <w:t>31.1</w:t>
            </w:r>
          </w:p>
        </w:tc>
        <w:tc>
          <w:tcPr>
            <w:tcW w:w="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3920" w:type="dxa"/>
            <w:vAlign w:val="bottom"/>
            <w:tcBorders>
              <w:bottom w:val="single" w:sz="8" w:color="0000EE"/>
            </w:tcBorders>
            <w:gridSpan w:val="8"/>
          </w:tcPr>
          <w:p>
            <w:pPr>
              <w:spacing w:after="0" w:line="196" w:lineRule="exact"/>
              <w:rPr>
                <w:rFonts w:ascii="Arial" w:cs="Arial" w:eastAsia="Arial" w:hAnsi="Arial"/>
                <w:sz w:val="18"/>
                <w:szCs w:val="18"/>
                <w:color w:val="0000EE"/>
                <w:w w:val="88"/>
              </w:rPr>
            </w:pPr>
            <w:hyperlink w:anchor="page36">
              <w:r>
                <w:rPr>
                  <w:rFonts w:ascii="Arial" w:cs="Arial" w:eastAsia="Arial" w:hAnsi="Arial"/>
                  <w:sz w:val="18"/>
                  <w:szCs w:val="18"/>
                  <w:color w:val="0000EE"/>
                  <w:w w:val="88"/>
                </w:rPr>
                <w:t>Rules 13a-14(a) and 15d-14(a), as adopted pursuant to</w:t>
              </w:r>
            </w:hyperlink>
          </w:p>
        </w:tc>
        <w:tc>
          <w:tcPr>
            <w:tcW w:w="640" w:type="dxa"/>
            <w:vAlign w:val="bottom"/>
            <w:gridSpan w:val="3"/>
          </w:tcPr>
          <w:p>
            <w:pPr>
              <w:spacing w:after="0"/>
              <w:rPr>
                <w:sz w:val="17"/>
                <w:szCs w:val="17"/>
                <w:color w:val="auto"/>
              </w:rPr>
            </w:pPr>
          </w:p>
        </w:tc>
        <w:tc>
          <w:tcPr>
            <w:tcW w:w="100" w:type="dxa"/>
            <w:vAlign w:val="bottom"/>
          </w:tcPr>
          <w:p>
            <w:pPr>
              <w:spacing w:after="0"/>
              <w:rPr>
                <w:sz w:val="17"/>
                <w:szCs w:val="17"/>
                <w:color w:val="auto"/>
              </w:rPr>
            </w:pPr>
          </w:p>
        </w:tc>
        <w:tc>
          <w:tcPr>
            <w:tcW w:w="2200" w:type="dxa"/>
            <w:vAlign w:val="bottom"/>
            <w:gridSpan w:val="5"/>
          </w:tcPr>
          <w:p>
            <w:pPr>
              <w:spacing w:after="0" w:line="196" w:lineRule="exact"/>
              <w:rPr>
                <w:sz w:val="20"/>
                <w:szCs w:val="20"/>
                <w:color w:val="auto"/>
              </w:rPr>
            </w:pPr>
            <w:r>
              <w:rPr>
                <w:rFonts w:ascii="Arial" w:cs="Arial" w:eastAsia="Arial" w:hAnsi="Arial"/>
                <w:sz w:val="18"/>
                <w:szCs w:val="18"/>
                <w:color w:val="auto"/>
              </w:rPr>
              <w:t>Filed herewith.</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3460" w:type="dxa"/>
            <w:vAlign w:val="bottom"/>
            <w:tcBorders>
              <w:bottom w:val="single" w:sz="8" w:color="0000EE"/>
            </w:tcBorders>
            <w:gridSpan w:val="6"/>
          </w:tcPr>
          <w:p>
            <w:pPr>
              <w:spacing w:after="0" w:line="196" w:lineRule="exact"/>
              <w:rPr>
                <w:rFonts w:ascii="Arial" w:cs="Arial" w:eastAsia="Arial" w:hAnsi="Arial"/>
                <w:sz w:val="18"/>
                <w:szCs w:val="18"/>
                <w:color w:val="0000EE"/>
                <w:w w:val="90"/>
              </w:rPr>
            </w:pPr>
            <w:hyperlink w:anchor="page36">
              <w:r>
                <w:rPr>
                  <w:rFonts w:ascii="Arial" w:cs="Arial" w:eastAsia="Arial" w:hAnsi="Arial"/>
                  <w:sz w:val="18"/>
                  <w:szCs w:val="18"/>
                  <w:color w:val="0000EE"/>
                  <w:w w:val="90"/>
                </w:rPr>
                <w:t>Section 302 of the Sarbanes-Oxley Act of 2002.</w:t>
              </w:r>
            </w:hyperlink>
          </w:p>
        </w:tc>
        <w:tc>
          <w:tcPr>
            <w:tcW w:w="1100" w:type="dxa"/>
            <w:vAlign w:val="bottom"/>
            <w:gridSpan w:val="5"/>
          </w:tcPr>
          <w:p>
            <w:pPr>
              <w:spacing w:after="0"/>
              <w:rPr>
                <w:sz w:val="17"/>
                <w:szCs w:val="17"/>
                <w:color w:val="auto"/>
              </w:rPr>
            </w:pPr>
          </w:p>
        </w:tc>
        <w:tc>
          <w:tcPr>
            <w:tcW w:w="1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3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019"/>
          </w:cols>
          <w:pgMar w:left="1440" w:top="517" w:right="1440" w:bottom="1440" w:gutter="0" w:footer="0" w:header="0"/>
        </w:sectPr>
      </w:pPr>
    </w:p>
    <w:p>
      <w:pPr>
        <w:spacing w:after="0" w:line="245"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540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1">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33" w:name="page34"/>
    <w:bookmarkEnd w:id="33"/>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tbl>
      <w:tblPr>
        <w:tblLayout w:type="fixed"/>
        <w:tblInd w:w="60" w:type="dxa"/>
        <w:tblCellMar>
          <w:top w:w="0" w:type="dxa"/>
          <w:left w:w="0" w:type="dxa"/>
          <w:bottom w:w="0" w:type="dxa"/>
          <w:right w:w="0" w:type="dxa"/>
        </w:tblCellMar>
      </w:tblPr>
      <w:tr>
        <w:trPr>
          <w:trHeight w:val="207"/>
        </w:trPr>
        <w:tc>
          <w:tcPr>
            <w:tcW w:w="820" w:type="dxa"/>
            <w:vAlign w:val="bottom"/>
          </w:tcPr>
          <w:p>
            <w:pPr>
              <w:jc w:val="right"/>
              <w:ind w:right="410"/>
              <w:spacing w:after="0"/>
              <w:rPr>
                <w:sz w:val="20"/>
                <w:szCs w:val="20"/>
                <w:color w:val="auto"/>
              </w:rPr>
            </w:pPr>
            <w:r>
              <w:rPr>
                <w:rFonts w:ascii="Arial" w:cs="Arial" w:eastAsia="Arial" w:hAnsi="Arial"/>
                <w:sz w:val="18"/>
                <w:szCs w:val="18"/>
                <w:color w:val="auto"/>
                <w:w w:val="85"/>
              </w:rPr>
              <w:t>31.2</w:t>
            </w:r>
          </w:p>
        </w:tc>
        <w:tc>
          <w:tcPr>
            <w:tcW w:w="3940" w:type="dxa"/>
            <w:vAlign w:val="bottom"/>
            <w:tcBorders>
              <w:bottom w:val="single" w:sz="8" w:color="0000EE"/>
            </w:tcBorders>
            <w:gridSpan w:val="4"/>
          </w:tcPr>
          <w:p>
            <w:pPr>
              <w:spacing w:after="0"/>
              <w:rPr>
                <w:rFonts w:ascii="Arial" w:cs="Arial" w:eastAsia="Arial" w:hAnsi="Arial"/>
                <w:sz w:val="18"/>
                <w:szCs w:val="18"/>
                <w:color w:val="0000EE"/>
                <w:w w:val="93"/>
              </w:rPr>
            </w:pPr>
            <w:hyperlink w:anchor="page37">
              <w:r>
                <w:rPr>
                  <w:rFonts w:ascii="Arial" w:cs="Arial" w:eastAsia="Arial" w:hAnsi="Arial"/>
                  <w:sz w:val="18"/>
                  <w:szCs w:val="18"/>
                  <w:color w:val="0000EE"/>
                  <w:w w:val="93"/>
                </w:rPr>
                <w:t>Certification of Principal Financial Officer pursuant to</w:t>
              </w:r>
            </w:hyperlink>
          </w:p>
        </w:tc>
        <w:tc>
          <w:tcPr>
            <w:tcW w:w="520" w:type="dxa"/>
            <w:vAlign w:val="bottom"/>
            <w:gridSpan w:val="4"/>
          </w:tcPr>
          <w:p>
            <w:pPr>
              <w:spacing w:after="0"/>
              <w:rPr>
                <w:sz w:val="17"/>
                <w:szCs w:val="17"/>
                <w:color w:val="auto"/>
              </w:rPr>
            </w:pPr>
          </w:p>
        </w:tc>
        <w:tc>
          <w:tcPr>
            <w:tcW w:w="1280" w:type="dxa"/>
            <w:vAlign w:val="bottom"/>
          </w:tcPr>
          <w:p>
            <w:pPr>
              <w:spacing w:after="0"/>
              <w:rPr>
                <w:sz w:val="17"/>
                <w:szCs w:val="17"/>
                <w:color w:val="auto"/>
              </w:rPr>
            </w:pPr>
          </w:p>
        </w:tc>
      </w:tr>
      <w:tr>
        <w:trPr>
          <w:trHeight w:val="196"/>
        </w:trPr>
        <w:tc>
          <w:tcPr>
            <w:tcW w:w="820" w:type="dxa"/>
            <w:vAlign w:val="bottom"/>
          </w:tcPr>
          <w:p>
            <w:pPr>
              <w:spacing w:after="0"/>
              <w:rPr>
                <w:sz w:val="17"/>
                <w:szCs w:val="17"/>
                <w:color w:val="auto"/>
              </w:rPr>
            </w:pPr>
          </w:p>
        </w:tc>
        <w:tc>
          <w:tcPr>
            <w:tcW w:w="3920" w:type="dxa"/>
            <w:vAlign w:val="bottom"/>
            <w:tcBorders>
              <w:bottom w:val="single" w:sz="8" w:color="0000EE"/>
            </w:tcBorders>
            <w:gridSpan w:val="3"/>
          </w:tcPr>
          <w:p>
            <w:pPr>
              <w:spacing w:after="0" w:line="196" w:lineRule="exact"/>
              <w:rPr>
                <w:rFonts w:ascii="Arial" w:cs="Arial" w:eastAsia="Arial" w:hAnsi="Arial"/>
                <w:sz w:val="18"/>
                <w:szCs w:val="18"/>
                <w:color w:val="0000EE"/>
                <w:w w:val="88"/>
              </w:rPr>
            </w:pPr>
            <w:hyperlink w:anchor="page37">
              <w:r>
                <w:rPr>
                  <w:rFonts w:ascii="Arial" w:cs="Arial" w:eastAsia="Arial" w:hAnsi="Arial"/>
                  <w:sz w:val="18"/>
                  <w:szCs w:val="18"/>
                  <w:color w:val="0000EE"/>
                  <w:w w:val="88"/>
                </w:rPr>
                <w:t>Rules 13a-14(a) and 15d-14(a), as adopted pursuant to</w:t>
              </w:r>
            </w:hyperlink>
          </w:p>
        </w:tc>
        <w:tc>
          <w:tcPr>
            <w:tcW w:w="540" w:type="dxa"/>
            <w:vAlign w:val="bottom"/>
            <w:gridSpan w:val="5"/>
          </w:tcPr>
          <w:p>
            <w:pPr>
              <w:spacing w:after="0"/>
              <w:rPr>
                <w:sz w:val="17"/>
                <w:szCs w:val="17"/>
                <w:color w:val="auto"/>
              </w:rPr>
            </w:pPr>
          </w:p>
        </w:tc>
        <w:tc>
          <w:tcPr>
            <w:tcW w:w="1280" w:type="dxa"/>
            <w:vAlign w:val="bottom"/>
          </w:tcPr>
          <w:p>
            <w:pPr>
              <w:spacing w:after="0"/>
              <w:rPr>
                <w:sz w:val="17"/>
                <w:szCs w:val="17"/>
                <w:color w:val="auto"/>
              </w:rPr>
            </w:pPr>
          </w:p>
        </w:tc>
      </w:tr>
      <w:tr>
        <w:trPr>
          <w:trHeight w:val="196"/>
        </w:trPr>
        <w:tc>
          <w:tcPr>
            <w:tcW w:w="820" w:type="dxa"/>
            <w:vAlign w:val="bottom"/>
          </w:tcPr>
          <w:p>
            <w:pPr>
              <w:spacing w:after="0"/>
              <w:rPr>
                <w:sz w:val="17"/>
                <w:szCs w:val="17"/>
                <w:color w:val="auto"/>
              </w:rPr>
            </w:pPr>
          </w:p>
        </w:tc>
        <w:tc>
          <w:tcPr>
            <w:tcW w:w="3460" w:type="dxa"/>
            <w:vAlign w:val="bottom"/>
            <w:tcBorders>
              <w:bottom w:val="single" w:sz="8" w:color="0000EE"/>
            </w:tcBorders>
            <w:gridSpan w:val="2"/>
          </w:tcPr>
          <w:p>
            <w:pPr>
              <w:spacing w:after="0" w:line="196" w:lineRule="exact"/>
              <w:rPr>
                <w:rFonts w:ascii="Arial" w:cs="Arial" w:eastAsia="Arial" w:hAnsi="Arial"/>
                <w:sz w:val="18"/>
                <w:szCs w:val="18"/>
                <w:color w:val="0000EE"/>
                <w:w w:val="90"/>
              </w:rPr>
            </w:pPr>
            <w:hyperlink w:anchor="page37">
              <w:r>
                <w:rPr>
                  <w:rFonts w:ascii="Arial" w:cs="Arial" w:eastAsia="Arial" w:hAnsi="Arial"/>
                  <w:sz w:val="18"/>
                  <w:szCs w:val="18"/>
                  <w:color w:val="0000EE"/>
                  <w:w w:val="90"/>
                </w:rPr>
                <w:t>Section 302 of the Sarbanes-Oxley Act of 2002.</w:t>
              </w:r>
            </w:hyperlink>
          </w:p>
        </w:tc>
        <w:tc>
          <w:tcPr>
            <w:tcW w:w="1000" w:type="dxa"/>
            <w:vAlign w:val="bottom"/>
            <w:gridSpan w:val="6"/>
          </w:tcPr>
          <w:p>
            <w:pPr>
              <w:spacing w:after="0"/>
              <w:rPr>
                <w:sz w:val="17"/>
                <w:szCs w:val="17"/>
                <w:color w:val="auto"/>
              </w:rPr>
            </w:pPr>
          </w:p>
        </w:tc>
        <w:tc>
          <w:tcPr>
            <w:tcW w:w="1280" w:type="dxa"/>
            <w:vAlign w:val="bottom"/>
          </w:tcPr>
          <w:p>
            <w:pPr>
              <w:ind w:left="200"/>
              <w:spacing w:after="0" w:line="196" w:lineRule="exact"/>
              <w:rPr>
                <w:sz w:val="20"/>
                <w:szCs w:val="20"/>
                <w:color w:val="auto"/>
              </w:rPr>
            </w:pPr>
            <w:r>
              <w:rPr>
                <w:rFonts w:ascii="Arial" w:cs="Arial" w:eastAsia="Arial" w:hAnsi="Arial"/>
                <w:sz w:val="18"/>
                <w:szCs w:val="18"/>
                <w:color w:val="auto"/>
                <w:w w:val="90"/>
              </w:rPr>
              <w:t>Filed herewith.</w:t>
            </w:r>
          </w:p>
        </w:tc>
      </w:tr>
      <w:tr>
        <w:trPr>
          <w:trHeight w:val="344"/>
        </w:trPr>
        <w:tc>
          <w:tcPr>
            <w:tcW w:w="820" w:type="dxa"/>
            <w:vAlign w:val="bottom"/>
          </w:tcPr>
          <w:p>
            <w:pPr>
              <w:jc w:val="right"/>
              <w:ind w:right="410"/>
              <w:spacing w:after="0"/>
              <w:rPr>
                <w:sz w:val="20"/>
                <w:szCs w:val="20"/>
                <w:color w:val="auto"/>
              </w:rPr>
            </w:pPr>
            <w:r>
              <w:rPr>
                <w:rFonts w:ascii="Arial" w:cs="Arial" w:eastAsia="Arial" w:hAnsi="Arial"/>
                <w:sz w:val="18"/>
                <w:szCs w:val="18"/>
                <w:color w:val="auto"/>
                <w:w w:val="85"/>
              </w:rPr>
              <w:t>32.1</w:t>
            </w:r>
          </w:p>
        </w:tc>
        <w:tc>
          <w:tcPr>
            <w:tcW w:w="4200" w:type="dxa"/>
            <w:vAlign w:val="bottom"/>
            <w:tcBorders>
              <w:bottom w:val="single" w:sz="8" w:color="0000EE"/>
            </w:tcBorders>
            <w:gridSpan w:val="6"/>
          </w:tcPr>
          <w:p>
            <w:pPr>
              <w:spacing w:after="0"/>
              <w:rPr>
                <w:rFonts w:ascii="Arial" w:cs="Arial" w:eastAsia="Arial" w:hAnsi="Arial"/>
                <w:sz w:val="18"/>
                <w:szCs w:val="18"/>
                <w:color w:val="0000EE"/>
                <w:w w:val="92"/>
              </w:rPr>
            </w:pPr>
            <w:hyperlink w:anchor="page38">
              <w:r>
                <w:rPr>
                  <w:rFonts w:ascii="Arial" w:cs="Arial" w:eastAsia="Arial" w:hAnsi="Arial"/>
                  <w:sz w:val="18"/>
                  <w:szCs w:val="18"/>
                  <w:color w:val="0000EE"/>
                  <w:w w:val="92"/>
                </w:rPr>
                <w:t>Certification of Principal Executive Officer pursuant to 18</w:t>
              </w:r>
            </w:hyperlink>
          </w:p>
        </w:tc>
        <w:tc>
          <w:tcPr>
            <w:tcW w:w="260" w:type="dxa"/>
            <w:vAlign w:val="bottom"/>
            <w:gridSpan w:val="2"/>
          </w:tcPr>
          <w:p>
            <w:pPr>
              <w:spacing w:after="0"/>
              <w:rPr>
                <w:sz w:val="24"/>
                <w:szCs w:val="24"/>
                <w:color w:val="auto"/>
              </w:rPr>
            </w:pPr>
          </w:p>
        </w:tc>
        <w:tc>
          <w:tcPr>
            <w:tcW w:w="1280" w:type="dxa"/>
            <w:vAlign w:val="bottom"/>
          </w:tcPr>
          <w:p>
            <w:pPr>
              <w:spacing w:after="0"/>
              <w:rPr>
                <w:sz w:val="24"/>
                <w:szCs w:val="24"/>
                <w:color w:val="auto"/>
              </w:rPr>
            </w:pPr>
          </w:p>
        </w:tc>
      </w:tr>
      <w:tr>
        <w:trPr>
          <w:trHeight w:val="196"/>
        </w:trPr>
        <w:tc>
          <w:tcPr>
            <w:tcW w:w="820" w:type="dxa"/>
            <w:vAlign w:val="bottom"/>
          </w:tcPr>
          <w:p>
            <w:pPr>
              <w:spacing w:after="0"/>
              <w:rPr>
                <w:sz w:val="17"/>
                <w:szCs w:val="17"/>
                <w:color w:val="auto"/>
              </w:rPr>
            </w:pPr>
          </w:p>
        </w:tc>
        <w:tc>
          <w:tcPr>
            <w:tcW w:w="4280" w:type="dxa"/>
            <w:vAlign w:val="bottom"/>
            <w:tcBorders>
              <w:bottom w:val="single" w:sz="8" w:color="0000EE"/>
            </w:tcBorders>
            <w:gridSpan w:val="7"/>
          </w:tcPr>
          <w:p>
            <w:pPr>
              <w:spacing w:after="0" w:line="196" w:lineRule="exact"/>
              <w:rPr>
                <w:rFonts w:ascii="Arial" w:cs="Arial" w:eastAsia="Arial" w:hAnsi="Arial"/>
                <w:sz w:val="18"/>
                <w:szCs w:val="18"/>
                <w:color w:val="0000EE"/>
                <w:w w:val="89"/>
              </w:rPr>
            </w:pPr>
            <w:hyperlink w:anchor="page38">
              <w:r>
                <w:rPr>
                  <w:rFonts w:ascii="Arial" w:cs="Arial" w:eastAsia="Arial" w:hAnsi="Arial"/>
                  <w:sz w:val="18"/>
                  <w:szCs w:val="18"/>
                  <w:color w:val="0000EE"/>
                  <w:w w:val="89"/>
                </w:rPr>
                <w:t>U.S.C. Section 1350, as adopted pursuant to Section 906 of</w:t>
              </w:r>
            </w:hyperlink>
          </w:p>
        </w:tc>
        <w:tc>
          <w:tcPr>
            <w:tcW w:w="180" w:type="dxa"/>
            <w:vAlign w:val="bottom"/>
          </w:tcPr>
          <w:p>
            <w:pPr>
              <w:spacing w:after="0"/>
              <w:rPr>
                <w:sz w:val="17"/>
                <w:szCs w:val="17"/>
                <w:color w:val="auto"/>
              </w:rPr>
            </w:pPr>
          </w:p>
        </w:tc>
        <w:tc>
          <w:tcPr>
            <w:tcW w:w="1280" w:type="dxa"/>
            <w:vAlign w:val="bottom"/>
          </w:tcPr>
          <w:p>
            <w:pPr>
              <w:spacing w:after="0"/>
              <w:rPr>
                <w:sz w:val="17"/>
                <w:szCs w:val="17"/>
                <w:color w:val="auto"/>
              </w:rPr>
            </w:pPr>
          </w:p>
        </w:tc>
      </w:tr>
      <w:tr>
        <w:trPr>
          <w:trHeight w:val="196"/>
        </w:trPr>
        <w:tc>
          <w:tcPr>
            <w:tcW w:w="820" w:type="dxa"/>
            <w:vAlign w:val="bottom"/>
          </w:tcPr>
          <w:p>
            <w:pPr>
              <w:spacing w:after="0"/>
              <w:rPr>
                <w:sz w:val="17"/>
                <w:szCs w:val="17"/>
                <w:color w:val="auto"/>
              </w:rPr>
            </w:pPr>
          </w:p>
        </w:tc>
        <w:tc>
          <w:tcPr>
            <w:tcW w:w="4460" w:type="dxa"/>
            <w:vAlign w:val="bottom"/>
            <w:gridSpan w:val="8"/>
          </w:tcPr>
          <w:p>
            <w:pPr>
              <w:spacing w:after="0" w:line="196" w:lineRule="exact"/>
              <w:rPr>
                <w:rFonts w:ascii="Arial" w:cs="Arial" w:eastAsia="Arial" w:hAnsi="Arial"/>
                <w:sz w:val="18"/>
                <w:szCs w:val="18"/>
                <w:color w:val="0000EE"/>
              </w:rPr>
            </w:pPr>
            <w:hyperlink w:anchor="page38">
              <w:r>
                <w:rPr>
                  <w:rFonts w:ascii="Arial" w:cs="Arial" w:eastAsia="Arial" w:hAnsi="Arial"/>
                  <w:sz w:val="18"/>
                  <w:szCs w:val="18"/>
                  <w:color w:val="0000EE"/>
                </w:rPr>
                <w:t>the Sarbanes-Oxley Act of 2002. ††</w:t>
              </w:r>
            </w:hyperlink>
          </w:p>
        </w:tc>
        <w:tc>
          <w:tcPr>
            <w:tcW w:w="1280" w:type="dxa"/>
            <w:vAlign w:val="bottom"/>
          </w:tcPr>
          <w:p>
            <w:pPr>
              <w:ind w:left="200"/>
              <w:spacing w:after="0" w:line="196" w:lineRule="exact"/>
              <w:rPr>
                <w:sz w:val="20"/>
                <w:szCs w:val="20"/>
                <w:color w:val="auto"/>
              </w:rPr>
            </w:pPr>
            <w:r>
              <w:rPr>
                <w:rFonts w:ascii="Arial" w:cs="Arial" w:eastAsia="Arial" w:hAnsi="Arial"/>
                <w:sz w:val="18"/>
                <w:szCs w:val="18"/>
                <w:color w:val="auto"/>
                <w:w w:val="90"/>
              </w:rPr>
              <w:t>Filed herewith.</w:t>
            </w:r>
          </w:p>
        </w:tc>
      </w:tr>
      <w:tr>
        <w:trPr>
          <w:trHeight w:val="20"/>
        </w:trPr>
        <w:tc>
          <w:tcPr>
            <w:tcW w:w="820" w:type="dxa"/>
            <w:vAlign w:val="bottom"/>
          </w:tcPr>
          <w:p>
            <w:pPr>
              <w:spacing w:after="0" w:line="20" w:lineRule="exact"/>
              <w:rPr>
                <w:sz w:val="1"/>
                <w:szCs w:val="1"/>
                <w:color w:val="auto"/>
              </w:rPr>
            </w:pPr>
          </w:p>
        </w:tc>
        <w:tc>
          <w:tcPr>
            <w:tcW w:w="2580" w:type="dxa"/>
            <w:vAlign w:val="bottom"/>
            <w:shd w:val="clear" w:color="auto" w:fill="0000EE"/>
          </w:tcPr>
          <w:p>
            <w:pPr>
              <w:spacing w:after="0" w:line="20" w:lineRule="exact"/>
              <w:rPr>
                <w:sz w:val="1"/>
                <w:szCs w:val="1"/>
                <w:color w:val="auto"/>
              </w:rPr>
            </w:pPr>
          </w:p>
        </w:tc>
        <w:tc>
          <w:tcPr>
            <w:tcW w:w="1560" w:type="dxa"/>
            <w:vAlign w:val="bottom"/>
            <w:gridSpan w:val="4"/>
          </w:tcPr>
          <w:p>
            <w:pPr>
              <w:spacing w:after="0" w:line="20" w:lineRule="exact"/>
              <w:rPr>
                <w:sz w:val="1"/>
                <w:szCs w:val="1"/>
                <w:color w:val="auto"/>
              </w:rPr>
            </w:pPr>
          </w:p>
        </w:tc>
        <w:tc>
          <w:tcPr>
            <w:tcW w:w="320" w:type="dxa"/>
            <w:vAlign w:val="bottom"/>
            <w:gridSpan w:val="3"/>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r>
      <w:tr>
        <w:trPr>
          <w:trHeight w:val="344"/>
        </w:trPr>
        <w:tc>
          <w:tcPr>
            <w:tcW w:w="820" w:type="dxa"/>
            <w:vAlign w:val="bottom"/>
          </w:tcPr>
          <w:p>
            <w:pPr>
              <w:jc w:val="right"/>
              <w:ind w:right="410"/>
              <w:spacing w:after="0"/>
              <w:rPr>
                <w:sz w:val="20"/>
                <w:szCs w:val="20"/>
                <w:color w:val="auto"/>
              </w:rPr>
            </w:pPr>
            <w:r>
              <w:rPr>
                <w:rFonts w:ascii="Arial" w:cs="Arial" w:eastAsia="Arial" w:hAnsi="Arial"/>
                <w:sz w:val="18"/>
                <w:szCs w:val="18"/>
                <w:color w:val="auto"/>
                <w:w w:val="85"/>
              </w:rPr>
              <w:t>32.2</w:t>
            </w:r>
          </w:p>
        </w:tc>
        <w:tc>
          <w:tcPr>
            <w:tcW w:w="4460" w:type="dxa"/>
            <w:vAlign w:val="bottom"/>
            <w:gridSpan w:val="8"/>
          </w:tcPr>
          <w:p>
            <w:pPr>
              <w:spacing w:after="0"/>
              <w:rPr>
                <w:rFonts w:ascii="Arial" w:cs="Arial" w:eastAsia="Arial" w:hAnsi="Arial"/>
                <w:sz w:val="18"/>
                <w:szCs w:val="18"/>
                <w:color w:val="0000EE"/>
                <w:w w:val="99"/>
              </w:rPr>
            </w:pPr>
            <w:hyperlink w:anchor="page39">
              <w:r>
                <w:rPr>
                  <w:rFonts w:ascii="Arial" w:cs="Arial" w:eastAsia="Arial" w:hAnsi="Arial"/>
                  <w:sz w:val="18"/>
                  <w:szCs w:val="18"/>
                  <w:color w:val="0000EE"/>
                  <w:w w:val="99"/>
                </w:rPr>
                <w:t>Certification of Principal Financial Officer pursuant to 18</w:t>
              </w:r>
            </w:hyperlink>
          </w:p>
        </w:tc>
        <w:tc>
          <w:tcPr>
            <w:tcW w:w="1280" w:type="dxa"/>
            <w:vAlign w:val="bottom"/>
          </w:tcPr>
          <w:p>
            <w:pPr>
              <w:spacing w:after="0"/>
              <w:rPr>
                <w:sz w:val="24"/>
                <w:szCs w:val="24"/>
                <w:color w:val="auto"/>
              </w:rPr>
            </w:pPr>
          </w:p>
        </w:tc>
      </w:tr>
      <w:tr>
        <w:trPr>
          <w:trHeight w:val="20"/>
        </w:trPr>
        <w:tc>
          <w:tcPr>
            <w:tcW w:w="820" w:type="dxa"/>
            <w:vAlign w:val="bottom"/>
          </w:tcPr>
          <w:p>
            <w:pPr>
              <w:spacing w:after="0" w:line="20" w:lineRule="exact"/>
              <w:rPr>
                <w:sz w:val="1"/>
                <w:szCs w:val="1"/>
                <w:color w:val="auto"/>
              </w:rPr>
            </w:pPr>
          </w:p>
        </w:tc>
        <w:tc>
          <w:tcPr>
            <w:tcW w:w="4140" w:type="dxa"/>
            <w:vAlign w:val="bottom"/>
            <w:gridSpan w:val="5"/>
            <w:shd w:val="clear" w:color="auto" w:fill="0000EE"/>
          </w:tcPr>
          <w:p>
            <w:pPr>
              <w:spacing w:after="0" w:line="20" w:lineRule="exact"/>
              <w:rPr>
                <w:sz w:val="1"/>
                <w:szCs w:val="1"/>
                <w:color w:val="auto"/>
              </w:rPr>
            </w:pPr>
          </w:p>
        </w:tc>
        <w:tc>
          <w:tcPr>
            <w:tcW w:w="320" w:type="dxa"/>
            <w:vAlign w:val="bottom"/>
            <w:gridSpan w:val="3"/>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r>
      <w:tr>
        <w:trPr>
          <w:trHeight w:val="196"/>
        </w:trPr>
        <w:tc>
          <w:tcPr>
            <w:tcW w:w="820" w:type="dxa"/>
            <w:vAlign w:val="bottom"/>
          </w:tcPr>
          <w:p>
            <w:pPr>
              <w:spacing w:after="0"/>
              <w:rPr>
                <w:sz w:val="17"/>
                <w:szCs w:val="17"/>
                <w:color w:val="auto"/>
              </w:rPr>
            </w:pPr>
          </w:p>
        </w:tc>
        <w:tc>
          <w:tcPr>
            <w:tcW w:w="4280" w:type="dxa"/>
            <w:vAlign w:val="bottom"/>
            <w:tcBorders>
              <w:bottom w:val="single" w:sz="8" w:color="0000EE"/>
            </w:tcBorders>
            <w:gridSpan w:val="7"/>
          </w:tcPr>
          <w:p>
            <w:pPr>
              <w:spacing w:after="0" w:line="196" w:lineRule="exact"/>
              <w:rPr>
                <w:rFonts w:ascii="Arial" w:cs="Arial" w:eastAsia="Arial" w:hAnsi="Arial"/>
                <w:sz w:val="18"/>
                <w:szCs w:val="18"/>
                <w:color w:val="0000EE"/>
                <w:w w:val="89"/>
              </w:rPr>
            </w:pPr>
            <w:hyperlink w:anchor="page39">
              <w:r>
                <w:rPr>
                  <w:rFonts w:ascii="Arial" w:cs="Arial" w:eastAsia="Arial" w:hAnsi="Arial"/>
                  <w:sz w:val="18"/>
                  <w:szCs w:val="18"/>
                  <w:color w:val="0000EE"/>
                  <w:w w:val="89"/>
                </w:rPr>
                <w:t>U.S.C. Section 1350, as adopted pursuant to Section 906 of</w:t>
              </w:r>
            </w:hyperlink>
          </w:p>
        </w:tc>
        <w:tc>
          <w:tcPr>
            <w:tcW w:w="180" w:type="dxa"/>
            <w:vAlign w:val="bottom"/>
          </w:tcPr>
          <w:p>
            <w:pPr>
              <w:spacing w:after="0"/>
              <w:rPr>
                <w:sz w:val="17"/>
                <w:szCs w:val="17"/>
                <w:color w:val="auto"/>
              </w:rPr>
            </w:pPr>
          </w:p>
        </w:tc>
        <w:tc>
          <w:tcPr>
            <w:tcW w:w="1280" w:type="dxa"/>
            <w:vAlign w:val="bottom"/>
          </w:tcPr>
          <w:p>
            <w:pPr>
              <w:spacing w:after="0"/>
              <w:rPr>
                <w:sz w:val="17"/>
                <w:szCs w:val="17"/>
                <w:color w:val="auto"/>
              </w:rPr>
            </w:pPr>
          </w:p>
        </w:tc>
      </w:tr>
      <w:tr>
        <w:trPr>
          <w:trHeight w:val="196"/>
        </w:trPr>
        <w:tc>
          <w:tcPr>
            <w:tcW w:w="820" w:type="dxa"/>
            <w:vAlign w:val="bottom"/>
          </w:tcPr>
          <w:p>
            <w:pPr>
              <w:spacing w:after="0"/>
              <w:rPr>
                <w:sz w:val="17"/>
                <w:szCs w:val="17"/>
                <w:color w:val="auto"/>
              </w:rPr>
            </w:pPr>
          </w:p>
        </w:tc>
        <w:tc>
          <w:tcPr>
            <w:tcW w:w="4460" w:type="dxa"/>
            <w:vAlign w:val="bottom"/>
            <w:gridSpan w:val="8"/>
          </w:tcPr>
          <w:p>
            <w:pPr>
              <w:spacing w:after="0" w:line="196" w:lineRule="exact"/>
              <w:rPr>
                <w:rFonts w:ascii="Arial" w:cs="Arial" w:eastAsia="Arial" w:hAnsi="Arial"/>
                <w:sz w:val="18"/>
                <w:szCs w:val="18"/>
                <w:color w:val="0000EE"/>
              </w:rPr>
            </w:pPr>
            <w:hyperlink w:anchor="page39">
              <w:r>
                <w:rPr>
                  <w:rFonts w:ascii="Arial" w:cs="Arial" w:eastAsia="Arial" w:hAnsi="Arial"/>
                  <w:sz w:val="18"/>
                  <w:szCs w:val="18"/>
                  <w:color w:val="0000EE"/>
                </w:rPr>
                <w:t>the Sarbanes-Oxley Act of 2002. ††</w:t>
              </w:r>
            </w:hyperlink>
          </w:p>
        </w:tc>
        <w:tc>
          <w:tcPr>
            <w:tcW w:w="1280" w:type="dxa"/>
            <w:vAlign w:val="bottom"/>
          </w:tcPr>
          <w:p>
            <w:pPr>
              <w:ind w:left="200"/>
              <w:spacing w:after="0" w:line="196" w:lineRule="exact"/>
              <w:rPr>
                <w:sz w:val="20"/>
                <w:szCs w:val="20"/>
                <w:color w:val="auto"/>
              </w:rPr>
            </w:pPr>
            <w:r>
              <w:rPr>
                <w:rFonts w:ascii="Arial" w:cs="Arial" w:eastAsia="Arial" w:hAnsi="Arial"/>
                <w:sz w:val="18"/>
                <w:szCs w:val="18"/>
                <w:color w:val="auto"/>
                <w:w w:val="90"/>
              </w:rPr>
              <w:t>Filed herewith.</w:t>
            </w:r>
          </w:p>
        </w:tc>
      </w:tr>
      <w:tr>
        <w:trPr>
          <w:trHeight w:val="20"/>
        </w:trPr>
        <w:tc>
          <w:tcPr>
            <w:tcW w:w="820" w:type="dxa"/>
            <w:vAlign w:val="bottom"/>
          </w:tcPr>
          <w:p>
            <w:pPr>
              <w:spacing w:after="0" w:line="20" w:lineRule="exact"/>
              <w:rPr>
                <w:sz w:val="1"/>
                <w:szCs w:val="1"/>
                <w:color w:val="auto"/>
              </w:rPr>
            </w:pPr>
          </w:p>
        </w:tc>
        <w:tc>
          <w:tcPr>
            <w:tcW w:w="2580" w:type="dxa"/>
            <w:vAlign w:val="bottom"/>
            <w:shd w:val="clear" w:color="auto" w:fill="0000EE"/>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r>
    </w:tbl>
    <w:p>
      <w:pPr>
        <w:spacing w:after="0" w:line="161" w:lineRule="exact"/>
        <w:rPr>
          <w:sz w:val="20"/>
          <w:szCs w:val="20"/>
          <w:color w:val="auto"/>
        </w:rPr>
      </w:pPr>
    </w:p>
    <w:p>
      <w:pPr>
        <w:ind w:left="880" w:right="3699" w:hanging="824"/>
        <w:spacing w:after="0" w:line="284" w:lineRule="auto"/>
        <w:tabs>
          <w:tab w:leader="none" w:pos="880" w:val="left"/>
        </w:tabs>
        <w:numPr>
          <w:ilvl w:val="0"/>
          <w:numId w:val="9"/>
        </w:numPr>
        <w:rPr>
          <w:rFonts w:ascii="Arial" w:cs="Arial" w:eastAsia="Arial" w:hAnsi="Arial"/>
          <w:sz w:val="16"/>
          <w:szCs w:val="16"/>
          <w:color w:val="auto"/>
        </w:rPr>
      </w:pPr>
      <w:r>
        <w:rPr>
          <w:rFonts w:ascii="Arial" w:cs="Arial" w:eastAsia="Arial" w:hAnsi="Arial"/>
          <w:sz w:val="16"/>
          <w:szCs w:val="16"/>
          <w:color w:val="auto"/>
        </w:rPr>
        <w:t>The following financial statements from the Company’s Quarterly Report on Form 10-Q for the quarter ended March 31, 2021, formatted in Inline XBRL: (i) Consolidated Income Statements, (ii) Consolidated Statements of Comprehensive Income, (iii) Consolidated Balance Sheets, (iv) Consolidated Statements of Stockholders’ Equity, (v) Consolidated</w:t>
      </w:r>
    </w:p>
    <w:tbl>
      <w:tblPr>
        <w:tblLayout w:type="fixed"/>
        <w:tblInd w:w="60" w:type="dxa"/>
        <w:tblCellMar>
          <w:top w:w="0" w:type="dxa"/>
          <w:left w:w="0" w:type="dxa"/>
          <w:bottom w:w="0" w:type="dxa"/>
          <w:right w:w="0" w:type="dxa"/>
        </w:tblCellMar>
      </w:tblPr>
      <w:tr>
        <w:trPr>
          <w:trHeight w:val="206"/>
        </w:trPr>
        <w:tc>
          <w:tcPr>
            <w:tcW w:w="540" w:type="dxa"/>
            <w:vAlign w:val="bottom"/>
          </w:tcPr>
          <w:p>
            <w:pPr>
              <w:spacing w:after="0"/>
              <w:rPr>
                <w:sz w:val="17"/>
                <w:szCs w:val="17"/>
                <w:color w:val="auto"/>
              </w:rPr>
            </w:pPr>
          </w:p>
        </w:tc>
        <w:tc>
          <w:tcPr>
            <w:tcW w:w="4780" w:type="dxa"/>
            <w:vAlign w:val="bottom"/>
          </w:tcPr>
          <w:p>
            <w:pPr>
              <w:ind w:left="280"/>
              <w:spacing w:after="0" w:line="206" w:lineRule="exact"/>
              <w:rPr>
                <w:sz w:val="20"/>
                <w:szCs w:val="20"/>
                <w:color w:val="auto"/>
              </w:rPr>
            </w:pPr>
            <w:r>
              <w:rPr>
                <w:rFonts w:ascii="Arial" w:cs="Arial" w:eastAsia="Arial" w:hAnsi="Arial"/>
                <w:sz w:val="18"/>
                <w:szCs w:val="18"/>
                <w:color w:val="auto"/>
                <w:w w:val="96"/>
              </w:rPr>
              <w:t>Statements of Cash Flows, and (vi) Notes to Consolidated</w:t>
            </w:r>
          </w:p>
        </w:tc>
        <w:tc>
          <w:tcPr>
            <w:tcW w:w="1240" w:type="dxa"/>
            <w:vAlign w:val="bottom"/>
          </w:tcPr>
          <w:p>
            <w:pPr>
              <w:spacing w:after="0"/>
              <w:rPr>
                <w:sz w:val="17"/>
                <w:szCs w:val="17"/>
                <w:color w:val="auto"/>
              </w:rPr>
            </w:pPr>
          </w:p>
        </w:tc>
      </w:tr>
      <w:tr>
        <w:trPr>
          <w:trHeight w:val="216"/>
        </w:trPr>
        <w:tc>
          <w:tcPr>
            <w:tcW w:w="540" w:type="dxa"/>
            <w:vAlign w:val="bottom"/>
          </w:tcPr>
          <w:p>
            <w:pPr>
              <w:spacing w:after="0"/>
              <w:rPr>
                <w:sz w:val="18"/>
                <w:szCs w:val="18"/>
                <w:color w:val="auto"/>
              </w:rPr>
            </w:pPr>
          </w:p>
        </w:tc>
        <w:tc>
          <w:tcPr>
            <w:tcW w:w="4780" w:type="dxa"/>
            <w:vAlign w:val="bottom"/>
          </w:tcPr>
          <w:p>
            <w:pPr>
              <w:ind w:left="280"/>
              <w:spacing w:after="0"/>
              <w:rPr>
                <w:sz w:val="20"/>
                <w:szCs w:val="20"/>
                <w:color w:val="auto"/>
              </w:rPr>
            </w:pPr>
            <w:r>
              <w:rPr>
                <w:rFonts w:ascii="Arial" w:cs="Arial" w:eastAsia="Arial" w:hAnsi="Arial"/>
                <w:sz w:val="18"/>
                <w:szCs w:val="18"/>
                <w:color w:val="auto"/>
                <w:w w:val="94"/>
              </w:rPr>
              <w:t>Financial Statements tagged as blocks of text and including</w:t>
            </w:r>
          </w:p>
        </w:tc>
        <w:tc>
          <w:tcPr>
            <w:tcW w:w="1240" w:type="dxa"/>
            <w:vAlign w:val="bottom"/>
          </w:tcPr>
          <w:p>
            <w:pPr>
              <w:spacing w:after="0"/>
              <w:rPr>
                <w:sz w:val="18"/>
                <w:szCs w:val="18"/>
                <w:color w:val="auto"/>
              </w:rPr>
            </w:pPr>
          </w:p>
        </w:tc>
      </w:tr>
      <w:tr>
        <w:trPr>
          <w:trHeight w:val="230"/>
        </w:trPr>
        <w:tc>
          <w:tcPr>
            <w:tcW w:w="540" w:type="dxa"/>
            <w:vAlign w:val="bottom"/>
          </w:tcPr>
          <w:p>
            <w:pPr>
              <w:spacing w:after="0"/>
              <w:rPr>
                <w:sz w:val="20"/>
                <w:szCs w:val="20"/>
                <w:color w:val="auto"/>
              </w:rPr>
            </w:pPr>
          </w:p>
        </w:tc>
        <w:tc>
          <w:tcPr>
            <w:tcW w:w="4780" w:type="dxa"/>
            <w:vAlign w:val="bottom"/>
          </w:tcPr>
          <w:p>
            <w:pPr>
              <w:ind w:left="280"/>
              <w:spacing w:after="0"/>
              <w:rPr>
                <w:sz w:val="20"/>
                <w:szCs w:val="20"/>
                <w:color w:val="auto"/>
              </w:rPr>
            </w:pPr>
            <w:r>
              <w:rPr>
                <w:rFonts w:ascii="Arial" w:cs="Arial" w:eastAsia="Arial" w:hAnsi="Arial"/>
                <w:sz w:val="18"/>
                <w:szCs w:val="18"/>
                <w:color w:val="auto"/>
              </w:rPr>
              <w:t>detailed tags.</w:t>
            </w:r>
          </w:p>
        </w:tc>
        <w:tc>
          <w:tcPr>
            <w:tcW w:w="1240" w:type="dxa"/>
            <w:vAlign w:val="bottom"/>
          </w:tcPr>
          <w:p>
            <w:pPr>
              <w:ind w:left="160"/>
              <w:spacing w:after="0"/>
              <w:rPr>
                <w:sz w:val="20"/>
                <w:szCs w:val="20"/>
                <w:color w:val="auto"/>
              </w:rPr>
            </w:pPr>
            <w:r>
              <w:rPr>
                <w:rFonts w:ascii="Arial" w:cs="Arial" w:eastAsia="Arial" w:hAnsi="Arial"/>
                <w:sz w:val="18"/>
                <w:szCs w:val="18"/>
                <w:color w:val="auto"/>
                <w:w w:val="90"/>
              </w:rPr>
              <w:t>Filed herewith.</w:t>
            </w:r>
          </w:p>
        </w:tc>
      </w:tr>
      <w:tr>
        <w:trPr>
          <w:trHeight w:val="350"/>
        </w:trPr>
        <w:tc>
          <w:tcPr>
            <w:tcW w:w="540" w:type="dxa"/>
            <w:vAlign w:val="bottom"/>
          </w:tcPr>
          <w:p>
            <w:pPr>
              <w:jc w:val="right"/>
              <w:ind w:right="190"/>
              <w:spacing w:after="0"/>
              <w:rPr>
                <w:sz w:val="20"/>
                <w:szCs w:val="20"/>
                <w:color w:val="auto"/>
              </w:rPr>
            </w:pPr>
            <w:r>
              <w:rPr>
                <w:rFonts w:ascii="Arial" w:cs="Arial" w:eastAsia="Arial" w:hAnsi="Arial"/>
                <w:sz w:val="18"/>
                <w:szCs w:val="18"/>
                <w:color w:val="auto"/>
                <w:w w:val="79"/>
              </w:rPr>
              <w:t>104</w:t>
            </w:r>
          </w:p>
        </w:tc>
        <w:tc>
          <w:tcPr>
            <w:tcW w:w="4780" w:type="dxa"/>
            <w:vAlign w:val="bottom"/>
          </w:tcPr>
          <w:p>
            <w:pPr>
              <w:ind w:left="280"/>
              <w:spacing w:after="0"/>
              <w:rPr>
                <w:sz w:val="20"/>
                <w:szCs w:val="20"/>
                <w:color w:val="auto"/>
              </w:rPr>
            </w:pPr>
            <w:r>
              <w:rPr>
                <w:rFonts w:ascii="Arial" w:cs="Arial" w:eastAsia="Arial" w:hAnsi="Arial"/>
                <w:sz w:val="18"/>
                <w:szCs w:val="18"/>
                <w:color w:val="auto"/>
                <w:w w:val="98"/>
              </w:rPr>
              <w:t>The cover page from the Company’s Quarterly Report on</w:t>
            </w:r>
          </w:p>
        </w:tc>
        <w:tc>
          <w:tcPr>
            <w:tcW w:w="1240" w:type="dxa"/>
            <w:vAlign w:val="bottom"/>
          </w:tcPr>
          <w:p>
            <w:pPr>
              <w:spacing w:after="0"/>
              <w:rPr>
                <w:sz w:val="24"/>
                <w:szCs w:val="24"/>
                <w:color w:val="auto"/>
              </w:rPr>
            </w:pPr>
          </w:p>
        </w:tc>
      </w:tr>
      <w:tr>
        <w:trPr>
          <w:trHeight w:val="216"/>
        </w:trPr>
        <w:tc>
          <w:tcPr>
            <w:tcW w:w="540" w:type="dxa"/>
            <w:vAlign w:val="bottom"/>
          </w:tcPr>
          <w:p>
            <w:pPr>
              <w:spacing w:after="0"/>
              <w:rPr>
                <w:sz w:val="18"/>
                <w:szCs w:val="18"/>
                <w:color w:val="auto"/>
              </w:rPr>
            </w:pPr>
          </w:p>
        </w:tc>
        <w:tc>
          <w:tcPr>
            <w:tcW w:w="4780" w:type="dxa"/>
            <w:vAlign w:val="bottom"/>
          </w:tcPr>
          <w:p>
            <w:pPr>
              <w:ind w:left="280"/>
              <w:spacing w:after="0"/>
              <w:rPr>
                <w:sz w:val="20"/>
                <w:szCs w:val="20"/>
                <w:color w:val="auto"/>
              </w:rPr>
            </w:pPr>
            <w:r>
              <w:rPr>
                <w:rFonts w:ascii="Arial" w:cs="Arial" w:eastAsia="Arial" w:hAnsi="Arial"/>
                <w:sz w:val="18"/>
                <w:szCs w:val="18"/>
                <w:color w:val="auto"/>
                <w:w w:val="94"/>
              </w:rPr>
              <w:t>Form 10-Q for the quarter ended March 31, 2021, formatted</w:t>
            </w:r>
          </w:p>
        </w:tc>
        <w:tc>
          <w:tcPr>
            <w:tcW w:w="1240" w:type="dxa"/>
            <w:vAlign w:val="bottom"/>
          </w:tcPr>
          <w:p>
            <w:pPr>
              <w:spacing w:after="0"/>
              <w:rPr>
                <w:sz w:val="18"/>
                <w:szCs w:val="18"/>
                <w:color w:val="auto"/>
              </w:rPr>
            </w:pPr>
          </w:p>
        </w:tc>
      </w:tr>
      <w:tr>
        <w:trPr>
          <w:trHeight w:val="230"/>
        </w:trPr>
        <w:tc>
          <w:tcPr>
            <w:tcW w:w="540" w:type="dxa"/>
            <w:vAlign w:val="bottom"/>
          </w:tcPr>
          <w:p>
            <w:pPr>
              <w:spacing w:after="0"/>
              <w:rPr>
                <w:sz w:val="20"/>
                <w:szCs w:val="20"/>
                <w:color w:val="auto"/>
              </w:rPr>
            </w:pPr>
          </w:p>
        </w:tc>
        <w:tc>
          <w:tcPr>
            <w:tcW w:w="4780" w:type="dxa"/>
            <w:vAlign w:val="bottom"/>
          </w:tcPr>
          <w:p>
            <w:pPr>
              <w:ind w:left="280"/>
              <w:spacing w:after="0"/>
              <w:rPr>
                <w:sz w:val="20"/>
                <w:szCs w:val="20"/>
                <w:color w:val="auto"/>
              </w:rPr>
            </w:pPr>
            <w:r>
              <w:rPr>
                <w:rFonts w:ascii="Arial" w:cs="Arial" w:eastAsia="Arial" w:hAnsi="Arial"/>
                <w:sz w:val="18"/>
                <w:szCs w:val="18"/>
                <w:color w:val="auto"/>
              </w:rPr>
              <w:t>in Inline XBRL (included as Exhibit 101).</w:t>
            </w:r>
          </w:p>
        </w:tc>
        <w:tc>
          <w:tcPr>
            <w:tcW w:w="1240" w:type="dxa"/>
            <w:vAlign w:val="bottom"/>
          </w:tcPr>
          <w:p>
            <w:pPr>
              <w:ind w:left="160"/>
              <w:spacing w:after="0"/>
              <w:rPr>
                <w:sz w:val="20"/>
                <w:szCs w:val="20"/>
                <w:color w:val="auto"/>
              </w:rPr>
            </w:pPr>
            <w:r>
              <w:rPr>
                <w:rFonts w:ascii="Arial" w:cs="Arial" w:eastAsia="Arial" w:hAnsi="Arial"/>
                <w:sz w:val="18"/>
                <w:szCs w:val="18"/>
                <w:color w:val="auto"/>
                <w:w w:val="90"/>
              </w:rPr>
              <w:t>Filed herewith.</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68580</wp:posOffset>
            </wp:positionV>
            <wp:extent cx="1414145" cy="1714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2">
                      <a:extLst>
                        <a:ext uri="{28A0092B-C50C-407E-A947-70E740481C1C}"/>
                      </a:extLst>
                    </a:blip>
                    <a:srcRect/>
                    <a:stretch>
                      <a:fillRect/>
                    </a:stretch>
                  </pic:blipFill>
                  <pic:spPr bwMode="auto">
                    <a:xfrm>
                      <a:off x="0" y="0"/>
                      <a:ext cx="1414145" cy="17145"/>
                    </a:xfrm>
                    <a:prstGeom prst="rect">
                      <a:avLst/>
                    </a:prstGeom>
                    <a:noFill/>
                  </pic:spPr>
                </pic:pic>
              </a:graphicData>
            </a:graphic>
          </wp:anchor>
        </w:drawing>
      </w:r>
    </w:p>
    <w:p>
      <w:pPr>
        <w:spacing w:after="0" w:line="182" w:lineRule="exact"/>
        <w:rPr>
          <w:sz w:val="20"/>
          <w:szCs w:val="20"/>
          <w:color w:val="auto"/>
        </w:rPr>
      </w:pPr>
    </w:p>
    <w:p>
      <w:pPr>
        <w:ind w:left="380" w:right="199" w:hanging="330"/>
        <w:spacing w:after="0" w:line="259" w:lineRule="auto"/>
        <w:tabs>
          <w:tab w:leader="none" w:pos="368" w:val="left"/>
        </w:tabs>
        <w:numPr>
          <w:ilvl w:val="0"/>
          <w:numId w:val="10"/>
        </w:numPr>
        <w:rPr>
          <w:rFonts w:ascii="Arial" w:cs="Arial" w:eastAsia="Arial" w:hAnsi="Arial"/>
          <w:sz w:val="18"/>
          <w:szCs w:val="18"/>
          <w:color w:val="auto"/>
        </w:rPr>
      </w:pPr>
      <w:r>
        <w:rPr>
          <w:rFonts w:ascii="Arial" w:cs="Arial" w:eastAsia="Arial" w:hAnsi="Arial"/>
          <w:sz w:val="18"/>
          <w:szCs w:val="18"/>
          <w:color w:val="auto"/>
        </w:rPr>
        <w:t>This certification is being furnished solely to accompany this report pursuant to 18 U.S.C. Section 1350, and is not being filed for purposes of Section 18 of the Exchange Act, and is not to be incorporated by reference into any filings of the Company, whether made before or after the date hereof, regardless of any general incorporation language in such filing.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540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3">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34" w:name="page35"/>
    <w:bookmarkEnd w:id="34"/>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left="60" w:right="199" w:firstLine="648"/>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80" w:lineRule="exact"/>
        <w:rPr>
          <w:sz w:val="20"/>
          <w:szCs w:val="20"/>
          <w:color w:val="auto"/>
        </w:rPr>
      </w:pPr>
    </w:p>
    <w:tbl>
      <w:tblPr>
        <w:tblLayout w:type="fixed"/>
        <w:tblInd w:w="60" w:type="dxa"/>
        <w:tblCellMar>
          <w:top w:w="0" w:type="dxa"/>
          <w:left w:w="0" w:type="dxa"/>
          <w:bottom w:w="0" w:type="dxa"/>
          <w:right w:w="0" w:type="dxa"/>
        </w:tblCellMar>
      </w:tblPr>
      <w:tr>
        <w:trPr>
          <w:trHeight w:val="234"/>
        </w:trPr>
        <w:tc>
          <w:tcPr>
            <w:tcW w:w="2940" w:type="dxa"/>
            <w:vAlign w:val="bottom"/>
          </w:tcPr>
          <w:p>
            <w:pPr>
              <w:spacing w:after="0"/>
              <w:rPr>
                <w:sz w:val="20"/>
                <w:szCs w:val="20"/>
                <w:color w:val="auto"/>
              </w:rPr>
            </w:pPr>
          </w:p>
        </w:tc>
        <w:tc>
          <w:tcPr>
            <w:tcW w:w="5960" w:type="dxa"/>
            <w:vAlign w:val="bottom"/>
            <w:gridSpan w:val="2"/>
          </w:tcPr>
          <w:p>
            <w:pPr>
              <w:ind w:left="1600"/>
              <w:spacing w:after="0"/>
              <w:rPr>
                <w:sz w:val="20"/>
                <w:szCs w:val="20"/>
                <w:color w:val="auto"/>
              </w:rPr>
            </w:pPr>
            <w:r>
              <w:rPr>
                <w:rFonts w:ascii="Arial" w:cs="Arial" w:eastAsia="Arial" w:hAnsi="Arial"/>
                <w:sz w:val="18"/>
                <w:szCs w:val="18"/>
                <w:b w:val="1"/>
                <w:bCs w:val="1"/>
                <w:color w:val="auto"/>
              </w:rPr>
              <w:t>GRAND CANYON EDUCATION, INC.</w:t>
            </w:r>
          </w:p>
        </w:tc>
      </w:tr>
      <w:tr>
        <w:trPr>
          <w:trHeight w:val="432"/>
        </w:trPr>
        <w:tc>
          <w:tcPr>
            <w:tcW w:w="2940" w:type="dxa"/>
            <w:vAlign w:val="bottom"/>
          </w:tcPr>
          <w:p>
            <w:pPr>
              <w:spacing w:after="0"/>
              <w:rPr>
                <w:sz w:val="20"/>
                <w:szCs w:val="20"/>
                <w:color w:val="auto"/>
              </w:rPr>
            </w:pPr>
            <w:r>
              <w:rPr>
                <w:rFonts w:ascii="Arial" w:cs="Arial" w:eastAsia="Arial" w:hAnsi="Arial"/>
                <w:sz w:val="18"/>
                <w:szCs w:val="18"/>
                <w:color w:val="auto"/>
              </w:rPr>
              <w:t>Date: May 5, 2021</w:t>
            </w:r>
          </w:p>
        </w:tc>
        <w:tc>
          <w:tcPr>
            <w:tcW w:w="5960" w:type="dxa"/>
            <w:vAlign w:val="bottom"/>
            <w:gridSpan w:val="2"/>
          </w:tcPr>
          <w:p>
            <w:pPr>
              <w:ind w:left="1600"/>
              <w:spacing w:after="0"/>
              <w:rPr>
                <w:sz w:val="20"/>
                <w:szCs w:val="20"/>
                <w:color w:val="auto"/>
              </w:rPr>
            </w:pPr>
            <w:r>
              <w:rPr>
                <w:rFonts w:ascii="Arial" w:cs="Arial" w:eastAsia="Arial" w:hAnsi="Arial"/>
                <w:sz w:val="18"/>
                <w:szCs w:val="18"/>
                <w:color w:val="auto"/>
              </w:rPr>
              <w:t>By: /s/ Daniel E. Bachus</w:t>
            </w:r>
          </w:p>
        </w:tc>
      </w:tr>
      <w:tr>
        <w:trPr>
          <w:trHeight w:val="20"/>
        </w:trPr>
        <w:tc>
          <w:tcPr>
            <w:tcW w:w="2940" w:type="dxa"/>
            <w:vAlign w:val="bottom"/>
          </w:tcPr>
          <w:p>
            <w:pPr>
              <w:spacing w:after="0" w:line="20" w:lineRule="exact"/>
              <w:rPr>
                <w:sz w:val="1"/>
                <w:szCs w:val="1"/>
                <w:color w:val="auto"/>
              </w:rPr>
            </w:pPr>
          </w:p>
        </w:tc>
        <w:tc>
          <w:tcPr>
            <w:tcW w:w="1920" w:type="dxa"/>
            <w:vAlign w:val="bottom"/>
          </w:tcPr>
          <w:p>
            <w:pPr>
              <w:spacing w:after="0" w:line="20" w:lineRule="exact"/>
              <w:rPr>
                <w:sz w:val="1"/>
                <w:szCs w:val="1"/>
                <w:color w:val="auto"/>
              </w:rPr>
            </w:pPr>
          </w:p>
        </w:tc>
        <w:tc>
          <w:tcPr>
            <w:tcW w:w="4040" w:type="dxa"/>
            <w:vAlign w:val="bottom"/>
            <w:shd w:val="clear" w:color="auto" w:fill="000000"/>
          </w:tcPr>
          <w:p>
            <w:pPr>
              <w:spacing w:after="0" w:line="20" w:lineRule="exact"/>
              <w:rPr>
                <w:sz w:val="1"/>
                <w:szCs w:val="1"/>
                <w:color w:val="auto"/>
              </w:rPr>
            </w:pPr>
          </w:p>
        </w:tc>
      </w:tr>
      <w:tr>
        <w:trPr>
          <w:trHeight w:val="182"/>
        </w:trPr>
        <w:tc>
          <w:tcPr>
            <w:tcW w:w="2940" w:type="dxa"/>
            <w:vAlign w:val="bottom"/>
          </w:tcPr>
          <w:p>
            <w:pPr>
              <w:spacing w:after="0"/>
              <w:rPr>
                <w:sz w:val="15"/>
                <w:szCs w:val="15"/>
                <w:color w:val="auto"/>
              </w:rPr>
            </w:pPr>
          </w:p>
        </w:tc>
        <w:tc>
          <w:tcPr>
            <w:tcW w:w="5960" w:type="dxa"/>
            <w:vAlign w:val="bottom"/>
            <w:gridSpan w:val="2"/>
          </w:tcPr>
          <w:p>
            <w:pPr>
              <w:ind w:left="1600"/>
              <w:spacing w:after="0" w:line="182" w:lineRule="exact"/>
              <w:rPr>
                <w:sz w:val="20"/>
                <w:szCs w:val="20"/>
                <w:color w:val="auto"/>
              </w:rPr>
            </w:pPr>
            <w:r>
              <w:rPr>
                <w:rFonts w:ascii="Arial" w:cs="Arial" w:eastAsia="Arial" w:hAnsi="Arial"/>
                <w:sz w:val="18"/>
                <w:szCs w:val="18"/>
                <w:color w:val="auto"/>
              </w:rPr>
              <w:t>Daniel E. Bachus</w:t>
            </w:r>
          </w:p>
        </w:tc>
      </w:tr>
      <w:tr>
        <w:trPr>
          <w:trHeight w:val="216"/>
        </w:trPr>
        <w:tc>
          <w:tcPr>
            <w:tcW w:w="2940" w:type="dxa"/>
            <w:vAlign w:val="bottom"/>
          </w:tcPr>
          <w:p>
            <w:pPr>
              <w:spacing w:after="0"/>
              <w:rPr>
                <w:sz w:val="18"/>
                <w:szCs w:val="18"/>
                <w:color w:val="auto"/>
              </w:rPr>
            </w:pPr>
          </w:p>
        </w:tc>
        <w:tc>
          <w:tcPr>
            <w:tcW w:w="5960" w:type="dxa"/>
            <w:vAlign w:val="bottom"/>
            <w:gridSpan w:val="2"/>
          </w:tcPr>
          <w:p>
            <w:pPr>
              <w:ind w:left="1600"/>
              <w:spacing w:after="0"/>
              <w:rPr>
                <w:sz w:val="20"/>
                <w:szCs w:val="20"/>
                <w:color w:val="auto"/>
              </w:rPr>
            </w:pPr>
            <w:r>
              <w:rPr>
                <w:rFonts w:ascii="Arial" w:cs="Arial" w:eastAsia="Arial" w:hAnsi="Arial"/>
                <w:sz w:val="18"/>
                <w:szCs w:val="18"/>
                <w:color w:val="auto"/>
              </w:rPr>
              <w:t>Chief Financial Officer</w:t>
            </w:r>
          </w:p>
        </w:tc>
      </w:tr>
      <w:tr>
        <w:trPr>
          <w:trHeight w:val="230"/>
        </w:trPr>
        <w:tc>
          <w:tcPr>
            <w:tcW w:w="2940" w:type="dxa"/>
            <w:vAlign w:val="bottom"/>
          </w:tcPr>
          <w:p>
            <w:pPr>
              <w:spacing w:after="0"/>
              <w:rPr>
                <w:sz w:val="20"/>
                <w:szCs w:val="20"/>
                <w:color w:val="auto"/>
              </w:rPr>
            </w:pPr>
          </w:p>
        </w:tc>
        <w:tc>
          <w:tcPr>
            <w:tcW w:w="5960" w:type="dxa"/>
            <w:vAlign w:val="bottom"/>
            <w:gridSpan w:val="2"/>
          </w:tcPr>
          <w:p>
            <w:pPr>
              <w:ind w:left="1600"/>
              <w:spacing w:after="0"/>
              <w:rPr>
                <w:sz w:val="20"/>
                <w:szCs w:val="20"/>
                <w:color w:val="auto"/>
              </w:rPr>
            </w:pPr>
            <w:r>
              <w:rPr>
                <w:rFonts w:ascii="Arial" w:cs="Arial" w:eastAsia="Arial" w:hAnsi="Arial"/>
                <w:sz w:val="18"/>
                <w:szCs w:val="18"/>
                <w:color w:val="auto"/>
              </w:rPr>
              <w:t>(Principal Financial Officer)</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603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4">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35" w:name="page36"/>
    <w:bookmarkEnd w:id="35"/>
    <w:p>
      <w:pPr>
        <w:ind w:left="9000"/>
        <w:spacing w:after="0"/>
        <w:rPr>
          <w:sz w:val="20"/>
          <w:szCs w:val="20"/>
          <w:color w:val="auto"/>
        </w:rPr>
      </w:pPr>
      <w:r>
        <w:rPr>
          <w:rFonts w:ascii="Arial" w:cs="Arial" w:eastAsia="Arial" w:hAnsi="Arial"/>
          <w:sz w:val="16"/>
          <w:szCs w:val="16"/>
          <w:b w:val="1"/>
          <w:bCs w:val="1"/>
          <w:color w:val="auto"/>
        </w:rPr>
        <w:t>Exhibit 31.1</w:t>
      </w:r>
    </w:p>
    <w:p>
      <w:pPr>
        <w:spacing w:after="0" w:line="24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 RULES 13a-14(a) and 15d-14(a),</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 SECTION 302 0F THE SARBANES-OXLEY ACT OF 2002</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I, Brian E. Mueller, certify that:</w:t>
      </w:r>
    </w:p>
    <w:p>
      <w:pPr>
        <w:spacing w:after="0" w:line="225" w:lineRule="exact"/>
        <w:rPr>
          <w:sz w:val="20"/>
          <w:szCs w:val="20"/>
          <w:color w:val="auto"/>
        </w:rPr>
      </w:pPr>
    </w:p>
    <w:p>
      <w:pPr>
        <w:ind w:left="520" w:hanging="188"/>
        <w:spacing w:after="0"/>
        <w:tabs>
          <w:tab w:leader="none" w:pos="520" w:val="left"/>
        </w:tabs>
        <w:numPr>
          <w:ilvl w:val="0"/>
          <w:numId w:val="11"/>
        </w:numPr>
        <w:rPr>
          <w:rFonts w:ascii="Arial" w:cs="Arial" w:eastAsia="Arial" w:hAnsi="Arial"/>
          <w:sz w:val="17"/>
          <w:szCs w:val="17"/>
          <w:color w:val="auto"/>
        </w:rPr>
      </w:pPr>
      <w:r>
        <w:rPr>
          <w:rFonts w:ascii="Arial" w:cs="Arial" w:eastAsia="Arial" w:hAnsi="Arial"/>
          <w:sz w:val="17"/>
          <w:szCs w:val="17"/>
          <w:color w:val="auto"/>
        </w:rPr>
        <w:t>I have reviewed this Quarterly Report on Form 10-Q for the quarter ending March 31, 2021 of Grand Canyon Education, Inc.;</w:t>
      </w:r>
    </w:p>
    <w:p>
      <w:pPr>
        <w:spacing w:after="0" w:line="236" w:lineRule="exact"/>
        <w:rPr>
          <w:rFonts w:ascii="Arial" w:cs="Arial" w:eastAsia="Arial" w:hAnsi="Arial"/>
          <w:sz w:val="17"/>
          <w:szCs w:val="17"/>
          <w:color w:val="auto"/>
        </w:rPr>
      </w:pPr>
    </w:p>
    <w:p>
      <w:pPr>
        <w:ind w:right="500" w:firstLine="332"/>
        <w:spacing w:after="0" w:line="263" w:lineRule="auto"/>
        <w:tabs>
          <w:tab w:leader="none" w:pos="504" w:val="left"/>
        </w:tabs>
        <w:numPr>
          <w:ilvl w:val="0"/>
          <w:numId w:val="11"/>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83" w:lineRule="exact"/>
        <w:rPr>
          <w:rFonts w:ascii="Arial" w:cs="Arial" w:eastAsia="Arial" w:hAnsi="Arial"/>
          <w:sz w:val="18"/>
          <w:szCs w:val="18"/>
          <w:color w:val="auto"/>
        </w:rPr>
      </w:pPr>
    </w:p>
    <w:p>
      <w:pPr>
        <w:ind w:right="100" w:firstLine="332"/>
        <w:spacing w:after="0" w:line="263" w:lineRule="auto"/>
        <w:tabs>
          <w:tab w:leader="none" w:pos="504" w:val="left"/>
        </w:tabs>
        <w:numPr>
          <w:ilvl w:val="0"/>
          <w:numId w:val="11"/>
        </w:numPr>
        <w:rPr>
          <w:rFonts w:ascii="Arial" w:cs="Arial" w:eastAsia="Arial" w:hAnsi="Arial"/>
          <w:sz w:val="18"/>
          <w:szCs w:val="18"/>
          <w:color w:val="auto"/>
        </w:rPr>
      </w:pPr>
      <w:r>
        <w:rPr>
          <w:rFonts w:ascii="Arial" w:cs="Arial" w:eastAsia="Arial" w:hAnsi="Arial"/>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83" w:lineRule="exact"/>
        <w:rPr>
          <w:rFonts w:ascii="Arial" w:cs="Arial" w:eastAsia="Arial" w:hAnsi="Arial"/>
          <w:sz w:val="18"/>
          <w:szCs w:val="18"/>
          <w:color w:val="auto"/>
        </w:rPr>
      </w:pPr>
    </w:p>
    <w:p>
      <w:pPr>
        <w:ind w:right="500" w:firstLine="332"/>
        <w:spacing w:after="0" w:line="263" w:lineRule="auto"/>
        <w:tabs>
          <w:tab w:leader="none" w:pos="504"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83" w:lineRule="exact"/>
        <w:rPr>
          <w:rFonts w:ascii="Arial" w:cs="Arial" w:eastAsia="Arial" w:hAnsi="Arial"/>
          <w:sz w:val="18"/>
          <w:szCs w:val="18"/>
          <w:color w:val="auto"/>
        </w:rPr>
      </w:pPr>
    </w:p>
    <w:p>
      <w:pPr>
        <w:jc w:val="both"/>
        <w:ind w:right="100" w:firstLine="527"/>
        <w:spacing w:after="0" w:line="286" w:lineRule="auto"/>
        <w:tabs>
          <w:tab w:leader="none" w:pos="703" w:val="left"/>
        </w:tabs>
        <w:numPr>
          <w:ilvl w:val="1"/>
          <w:numId w:val="11"/>
        </w:numPr>
        <w:rPr>
          <w:rFonts w:ascii="Arial" w:cs="Arial" w:eastAsia="Arial" w:hAnsi="Arial"/>
          <w:sz w:val="17"/>
          <w:szCs w:val="17"/>
          <w:color w:val="auto"/>
        </w:rPr>
      </w:pPr>
      <w:r>
        <w:rPr>
          <w:rFonts w:ascii="Arial" w:cs="Arial" w:eastAsia="Arial" w:hAnsi="Arial"/>
          <w:sz w:val="17"/>
          <w:szCs w:val="17"/>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65" w:lineRule="exact"/>
        <w:rPr>
          <w:rFonts w:ascii="Arial" w:cs="Arial" w:eastAsia="Arial" w:hAnsi="Arial"/>
          <w:sz w:val="17"/>
          <w:szCs w:val="17"/>
          <w:color w:val="auto"/>
        </w:rPr>
      </w:pPr>
    </w:p>
    <w:p>
      <w:pPr>
        <w:ind w:right="120" w:firstLine="527"/>
        <w:spacing w:after="0" w:line="263" w:lineRule="auto"/>
        <w:tabs>
          <w:tab w:leader="none" w:pos="713" w:val="left"/>
        </w:tabs>
        <w:numPr>
          <w:ilvl w:val="1"/>
          <w:numId w:val="11"/>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83" w:lineRule="exact"/>
        <w:rPr>
          <w:rFonts w:ascii="Arial" w:cs="Arial" w:eastAsia="Arial" w:hAnsi="Arial"/>
          <w:sz w:val="18"/>
          <w:szCs w:val="18"/>
          <w:color w:val="auto"/>
        </w:rPr>
      </w:pPr>
    </w:p>
    <w:p>
      <w:pPr>
        <w:ind w:right="220" w:firstLine="527"/>
        <w:spacing w:after="0" w:line="263" w:lineRule="auto"/>
        <w:tabs>
          <w:tab w:leader="none" w:pos="703" w:val="left"/>
        </w:tabs>
        <w:numPr>
          <w:ilvl w:val="1"/>
          <w:numId w:val="11"/>
        </w:numPr>
        <w:rPr>
          <w:rFonts w:ascii="Arial" w:cs="Arial" w:eastAsia="Arial" w:hAnsi="Arial"/>
          <w:sz w:val="18"/>
          <w:szCs w:val="18"/>
          <w:color w:val="auto"/>
        </w:rPr>
      </w:pPr>
      <w:r>
        <w:rPr>
          <w:rFonts w:ascii="Arial" w:cs="Arial" w:eastAsia="Arial" w:hAnsi="Arial"/>
          <w:sz w:val="18"/>
          <w:szCs w:val="18"/>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83" w:lineRule="exact"/>
        <w:rPr>
          <w:rFonts w:ascii="Arial" w:cs="Arial" w:eastAsia="Arial" w:hAnsi="Arial"/>
          <w:sz w:val="18"/>
          <w:szCs w:val="18"/>
          <w:color w:val="auto"/>
        </w:rPr>
      </w:pPr>
    </w:p>
    <w:p>
      <w:pPr>
        <w:ind w:right="100" w:firstLine="527"/>
        <w:spacing w:after="0" w:line="263" w:lineRule="auto"/>
        <w:tabs>
          <w:tab w:leader="none" w:pos="713" w:val="left"/>
        </w:tabs>
        <w:numPr>
          <w:ilvl w:val="1"/>
          <w:numId w:val="11"/>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83" w:lineRule="exact"/>
        <w:rPr>
          <w:rFonts w:ascii="Arial" w:cs="Arial" w:eastAsia="Arial" w:hAnsi="Arial"/>
          <w:sz w:val="18"/>
          <w:szCs w:val="18"/>
          <w:color w:val="auto"/>
        </w:rPr>
      </w:pPr>
    </w:p>
    <w:p>
      <w:pPr>
        <w:ind w:right="240" w:firstLine="332"/>
        <w:spacing w:after="0" w:line="263" w:lineRule="auto"/>
        <w:tabs>
          <w:tab w:leader="none" w:pos="504"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83" w:lineRule="exact"/>
        <w:rPr>
          <w:rFonts w:ascii="Arial" w:cs="Arial" w:eastAsia="Arial" w:hAnsi="Arial"/>
          <w:sz w:val="18"/>
          <w:szCs w:val="18"/>
          <w:color w:val="auto"/>
        </w:rPr>
      </w:pPr>
    </w:p>
    <w:p>
      <w:pPr>
        <w:ind w:right="40" w:firstLine="527"/>
        <w:spacing w:after="0" w:line="342" w:lineRule="auto"/>
        <w:tabs>
          <w:tab w:leader="none" w:pos="703" w:val="left"/>
        </w:tabs>
        <w:numPr>
          <w:ilvl w:val="1"/>
          <w:numId w:val="11"/>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23" w:lineRule="exact"/>
        <w:rPr>
          <w:rFonts w:ascii="Arial" w:cs="Arial" w:eastAsia="Arial" w:hAnsi="Arial"/>
          <w:sz w:val="16"/>
          <w:szCs w:val="16"/>
          <w:color w:val="auto"/>
        </w:rPr>
      </w:pPr>
    </w:p>
    <w:p>
      <w:pPr>
        <w:ind w:firstLine="527"/>
        <w:spacing w:after="0" w:line="277" w:lineRule="auto"/>
        <w:tabs>
          <w:tab w:leader="none" w:pos="713" w:val="left"/>
        </w:tabs>
        <w:numPr>
          <w:ilvl w:val="1"/>
          <w:numId w:val="11"/>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84"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5080" w:type="dxa"/>
            <w:vAlign w:val="bottom"/>
          </w:tcPr>
          <w:p>
            <w:pPr>
              <w:spacing w:after="0"/>
              <w:rPr>
                <w:sz w:val="20"/>
                <w:szCs w:val="20"/>
                <w:color w:val="auto"/>
              </w:rPr>
            </w:pPr>
            <w:r>
              <w:rPr>
                <w:rFonts w:ascii="Arial" w:cs="Arial" w:eastAsia="Arial" w:hAnsi="Arial"/>
                <w:sz w:val="18"/>
                <w:szCs w:val="18"/>
                <w:color w:val="auto"/>
              </w:rPr>
              <w:t>Date: May 5, 2021</w:t>
            </w:r>
          </w:p>
        </w:tc>
        <w:tc>
          <w:tcPr>
            <w:tcW w:w="48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Brian E. Mueller</w:t>
            </w:r>
          </w:p>
        </w:tc>
      </w:tr>
      <w:tr>
        <w:trPr>
          <w:trHeight w:val="195"/>
        </w:trPr>
        <w:tc>
          <w:tcPr>
            <w:tcW w:w="5080" w:type="dxa"/>
            <w:vAlign w:val="bottom"/>
          </w:tcPr>
          <w:p>
            <w:pPr>
              <w:spacing w:after="0"/>
              <w:rPr>
                <w:sz w:val="16"/>
                <w:szCs w:val="16"/>
                <w:color w:val="auto"/>
              </w:rPr>
            </w:pPr>
          </w:p>
        </w:tc>
        <w:tc>
          <w:tcPr>
            <w:tcW w:w="4840" w:type="dxa"/>
            <w:vAlign w:val="bottom"/>
          </w:tcPr>
          <w:p>
            <w:pPr>
              <w:spacing w:after="0" w:line="195" w:lineRule="exact"/>
              <w:rPr>
                <w:sz w:val="20"/>
                <w:szCs w:val="20"/>
                <w:color w:val="auto"/>
              </w:rPr>
            </w:pPr>
            <w:r>
              <w:rPr>
                <w:rFonts w:ascii="Arial" w:cs="Arial" w:eastAsia="Arial" w:hAnsi="Arial"/>
                <w:sz w:val="18"/>
                <w:szCs w:val="18"/>
                <w:color w:val="auto"/>
              </w:rPr>
              <w:t>Brian E. Mueller</w:t>
            </w:r>
          </w:p>
        </w:tc>
      </w:tr>
      <w:tr>
        <w:trPr>
          <w:trHeight w:val="216"/>
        </w:trPr>
        <w:tc>
          <w:tcPr>
            <w:tcW w:w="5080" w:type="dxa"/>
            <w:vAlign w:val="bottom"/>
          </w:tcPr>
          <w:p>
            <w:pPr>
              <w:spacing w:after="0"/>
              <w:rPr>
                <w:sz w:val="18"/>
                <w:szCs w:val="18"/>
                <w:color w:val="auto"/>
              </w:rPr>
            </w:pPr>
          </w:p>
        </w:tc>
        <w:tc>
          <w:tcPr>
            <w:tcW w:w="4840" w:type="dxa"/>
            <w:vAlign w:val="bottom"/>
          </w:tcPr>
          <w:p>
            <w:pPr>
              <w:spacing w:after="0"/>
              <w:rPr>
                <w:sz w:val="20"/>
                <w:szCs w:val="20"/>
                <w:color w:val="auto"/>
              </w:rPr>
            </w:pPr>
            <w:r>
              <w:rPr>
                <w:rFonts w:ascii="Arial" w:cs="Arial" w:eastAsia="Arial" w:hAnsi="Arial"/>
                <w:sz w:val="18"/>
                <w:szCs w:val="18"/>
                <w:color w:val="auto"/>
              </w:rPr>
              <w:t>Chief Executive Officer</w:t>
            </w:r>
          </w:p>
        </w:tc>
      </w:tr>
      <w:tr>
        <w:trPr>
          <w:trHeight w:val="230"/>
        </w:trPr>
        <w:tc>
          <w:tcPr>
            <w:tcW w:w="5080" w:type="dxa"/>
            <w:vAlign w:val="bottom"/>
          </w:tcPr>
          <w:p>
            <w:pPr>
              <w:spacing w:after="0"/>
              <w:rPr>
                <w:sz w:val="20"/>
                <w:szCs w:val="20"/>
                <w:color w:val="auto"/>
              </w:rPr>
            </w:pPr>
          </w:p>
        </w:tc>
        <w:tc>
          <w:tcPr>
            <w:tcW w:w="4840" w:type="dxa"/>
            <w:vAlign w:val="bottom"/>
          </w:tcPr>
          <w:p>
            <w:pPr>
              <w:spacing w:after="0"/>
              <w:rPr>
                <w:sz w:val="20"/>
                <w:szCs w:val="20"/>
                <w:color w:val="auto"/>
              </w:rPr>
            </w:pPr>
            <w:r>
              <w:rPr>
                <w:rFonts w:ascii="Arial" w:cs="Arial" w:eastAsia="Arial" w:hAnsi="Arial"/>
                <w:sz w:val="18"/>
                <w:szCs w:val="18"/>
                <w:color w:val="auto"/>
              </w:rPr>
              <w:t>(Principal Executive Officer)</w:t>
            </w:r>
          </w:p>
        </w:tc>
      </w:tr>
      <w:tr>
        <w:trPr>
          <w:trHeight w:val="776"/>
        </w:trPr>
        <w:tc>
          <w:tcPr>
            <w:tcW w:w="5080" w:type="dxa"/>
            <w:vAlign w:val="bottom"/>
            <w:tcBorders>
              <w:bottom w:val="single" w:sz="8" w:color="auto"/>
            </w:tcBorders>
          </w:tcPr>
          <w:p>
            <w:pPr>
              <w:spacing w:after="0"/>
              <w:rPr>
                <w:sz w:val="24"/>
                <w:szCs w:val="24"/>
                <w:color w:val="auto"/>
              </w:rPr>
            </w:pPr>
          </w:p>
        </w:tc>
        <w:tc>
          <w:tcPr>
            <w:tcW w:w="4840" w:type="dxa"/>
            <w:vAlign w:val="bottom"/>
            <w:tcBorders>
              <w:bottom w:val="single" w:sz="8" w:color="auto"/>
            </w:tcBorders>
          </w:tcPr>
          <w:p>
            <w:pPr>
              <w:spacing w:after="0"/>
              <w:rPr>
                <w:sz w:val="24"/>
                <w:szCs w:val="24"/>
                <w:color w:val="auto"/>
              </w:rPr>
            </w:pPr>
          </w:p>
        </w:tc>
      </w:tr>
    </w:tbl>
    <w:p>
      <w:pPr>
        <w:sectPr>
          <w:pgSz w:w="11900" w:h="16838" w:orient="portrait"/>
          <w:cols w:equalWidth="0" w:num="1">
            <w:col w:w="9920"/>
          </w:cols>
          <w:pgMar w:left="980" w:top="121" w:right="999" w:bottom="1440" w:gutter="0" w:footer="0" w:header="0"/>
        </w:sectPr>
      </w:pPr>
    </w:p>
    <w:bookmarkStart w:id="36" w:name="page37"/>
    <w:bookmarkEnd w:id="36"/>
    <w:p>
      <w:pPr>
        <w:ind w:left="9000"/>
        <w:spacing w:after="0"/>
        <w:rPr>
          <w:sz w:val="20"/>
          <w:szCs w:val="20"/>
          <w:color w:val="auto"/>
        </w:rPr>
      </w:pPr>
      <w:r>
        <w:rPr>
          <w:rFonts w:ascii="Arial" w:cs="Arial" w:eastAsia="Arial" w:hAnsi="Arial"/>
          <w:sz w:val="16"/>
          <w:szCs w:val="16"/>
          <w:b w:val="1"/>
          <w:bCs w:val="1"/>
          <w:color w:val="auto"/>
        </w:rPr>
        <w:t>Exhibit 31.2</w:t>
      </w:r>
    </w:p>
    <w:p>
      <w:pPr>
        <w:spacing w:after="0" w:line="24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 RULES 13a-14(a) and 15d-14(a),</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 SECTION 302 0F THE SARBANES-OXLEY ACT OF 2002</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I, Daniel E. Bachus, certify that:</w:t>
      </w:r>
    </w:p>
    <w:p>
      <w:pPr>
        <w:spacing w:after="0" w:line="225" w:lineRule="exact"/>
        <w:rPr>
          <w:sz w:val="20"/>
          <w:szCs w:val="20"/>
          <w:color w:val="auto"/>
        </w:rPr>
      </w:pPr>
    </w:p>
    <w:p>
      <w:pPr>
        <w:ind w:left="520" w:hanging="188"/>
        <w:spacing w:after="0"/>
        <w:tabs>
          <w:tab w:leader="none" w:pos="520" w:val="left"/>
        </w:tabs>
        <w:numPr>
          <w:ilvl w:val="0"/>
          <w:numId w:val="12"/>
        </w:numPr>
        <w:rPr>
          <w:rFonts w:ascii="Arial" w:cs="Arial" w:eastAsia="Arial" w:hAnsi="Arial"/>
          <w:sz w:val="17"/>
          <w:szCs w:val="17"/>
          <w:color w:val="auto"/>
        </w:rPr>
      </w:pPr>
      <w:r>
        <w:rPr>
          <w:rFonts w:ascii="Arial" w:cs="Arial" w:eastAsia="Arial" w:hAnsi="Arial"/>
          <w:sz w:val="17"/>
          <w:szCs w:val="17"/>
          <w:color w:val="auto"/>
        </w:rPr>
        <w:t>I have reviewed this Quarterly Report on Form 10-Q for the quarter ending March 31, 2021 of Grand Canyon Education, Inc.;</w:t>
      </w:r>
    </w:p>
    <w:p>
      <w:pPr>
        <w:spacing w:after="0" w:line="236" w:lineRule="exact"/>
        <w:rPr>
          <w:rFonts w:ascii="Arial" w:cs="Arial" w:eastAsia="Arial" w:hAnsi="Arial"/>
          <w:sz w:val="17"/>
          <w:szCs w:val="17"/>
          <w:color w:val="auto"/>
        </w:rPr>
      </w:pPr>
    </w:p>
    <w:p>
      <w:pPr>
        <w:ind w:right="500" w:firstLine="332"/>
        <w:spacing w:after="0" w:line="263" w:lineRule="auto"/>
        <w:tabs>
          <w:tab w:leader="none" w:pos="504" w:val="left"/>
        </w:tabs>
        <w:numPr>
          <w:ilvl w:val="0"/>
          <w:numId w:val="12"/>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83" w:lineRule="exact"/>
        <w:rPr>
          <w:rFonts w:ascii="Arial" w:cs="Arial" w:eastAsia="Arial" w:hAnsi="Arial"/>
          <w:sz w:val="18"/>
          <w:szCs w:val="18"/>
          <w:color w:val="auto"/>
        </w:rPr>
      </w:pPr>
    </w:p>
    <w:p>
      <w:pPr>
        <w:ind w:right="100" w:firstLine="332"/>
        <w:spacing w:after="0" w:line="263" w:lineRule="auto"/>
        <w:tabs>
          <w:tab w:leader="none" w:pos="504" w:val="left"/>
        </w:tabs>
        <w:numPr>
          <w:ilvl w:val="0"/>
          <w:numId w:val="12"/>
        </w:numPr>
        <w:rPr>
          <w:rFonts w:ascii="Arial" w:cs="Arial" w:eastAsia="Arial" w:hAnsi="Arial"/>
          <w:sz w:val="18"/>
          <w:szCs w:val="18"/>
          <w:color w:val="auto"/>
        </w:rPr>
      </w:pPr>
      <w:r>
        <w:rPr>
          <w:rFonts w:ascii="Arial" w:cs="Arial" w:eastAsia="Arial" w:hAnsi="Arial"/>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83" w:lineRule="exact"/>
        <w:rPr>
          <w:rFonts w:ascii="Arial" w:cs="Arial" w:eastAsia="Arial" w:hAnsi="Arial"/>
          <w:sz w:val="18"/>
          <w:szCs w:val="18"/>
          <w:color w:val="auto"/>
        </w:rPr>
      </w:pPr>
    </w:p>
    <w:p>
      <w:pPr>
        <w:ind w:right="500" w:firstLine="332"/>
        <w:spacing w:after="0" w:line="263" w:lineRule="auto"/>
        <w:tabs>
          <w:tab w:leader="none" w:pos="504"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83" w:lineRule="exact"/>
        <w:rPr>
          <w:rFonts w:ascii="Arial" w:cs="Arial" w:eastAsia="Arial" w:hAnsi="Arial"/>
          <w:sz w:val="18"/>
          <w:szCs w:val="18"/>
          <w:color w:val="auto"/>
        </w:rPr>
      </w:pPr>
    </w:p>
    <w:p>
      <w:pPr>
        <w:jc w:val="both"/>
        <w:ind w:right="100" w:firstLine="527"/>
        <w:spacing w:after="0" w:line="286" w:lineRule="auto"/>
        <w:tabs>
          <w:tab w:leader="none" w:pos="703" w:val="left"/>
        </w:tabs>
        <w:numPr>
          <w:ilvl w:val="1"/>
          <w:numId w:val="12"/>
        </w:numPr>
        <w:rPr>
          <w:rFonts w:ascii="Arial" w:cs="Arial" w:eastAsia="Arial" w:hAnsi="Arial"/>
          <w:sz w:val="17"/>
          <w:szCs w:val="17"/>
          <w:color w:val="auto"/>
        </w:rPr>
      </w:pPr>
      <w:r>
        <w:rPr>
          <w:rFonts w:ascii="Arial" w:cs="Arial" w:eastAsia="Arial" w:hAnsi="Arial"/>
          <w:sz w:val="17"/>
          <w:szCs w:val="17"/>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65" w:lineRule="exact"/>
        <w:rPr>
          <w:rFonts w:ascii="Arial" w:cs="Arial" w:eastAsia="Arial" w:hAnsi="Arial"/>
          <w:sz w:val="17"/>
          <w:szCs w:val="17"/>
          <w:color w:val="auto"/>
        </w:rPr>
      </w:pPr>
    </w:p>
    <w:p>
      <w:pPr>
        <w:ind w:right="120" w:firstLine="527"/>
        <w:spacing w:after="0" w:line="263" w:lineRule="auto"/>
        <w:tabs>
          <w:tab w:leader="none" w:pos="713" w:val="left"/>
        </w:tabs>
        <w:numPr>
          <w:ilvl w:val="1"/>
          <w:numId w:val="12"/>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83" w:lineRule="exact"/>
        <w:rPr>
          <w:rFonts w:ascii="Arial" w:cs="Arial" w:eastAsia="Arial" w:hAnsi="Arial"/>
          <w:sz w:val="18"/>
          <w:szCs w:val="18"/>
          <w:color w:val="auto"/>
        </w:rPr>
      </w:pPr>
    </w:p>
    <w:p>
      <w:pPr>
        <w:ind w:right="220" w:firstLine="527"/>
        <w:spacing w:after="0" w:line="263" w:lineRule="auto"/>
        <w:tabs>
          <w:tab w:leader="none" w:pos="703" w:val="left"/>
        </w:tabs>
        <w:numPr>
          <w:ilvl w:val="1"/>
          <w:numId w:val="12"/>
        </w:numPr>
        <w:rPr>
          <w:rFonts w:ascii="Arial" w:cs="Arial" w:eastAsia="Arial" w:hAnsi="Arial"/>
          <w:sz w:val="18"/>
          <w:szCs w:val="18"/>
          <w:color w:val="auto"/>
        </w:rPr>
      </w:pPr>
      <w:r>
        <w:rPr>
          <w:rFonts w:ascii="Arial" w:cs="Arial" w:eastAsia="Arial" w:hAnsi="Arial"/>
          <w:sz w:val="18"/>
          <w:szCs w:val="18"/>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83" w:lineRule="exact"/>
        <w:rPr>
          <w:rFonts w:ascii="Arial" w:cs="Arial" w:eastAsia="Arial" w:hAnsi="Arial"/>
          <w:sz w:val="18"/>
          <w:szCs w:val="18"/>
          <w:color w:val="auto"/>
        </w:rPr>
      </w:pPr>
    </w:p>
    <w:p>
      <w:pPr>
        <w:ind w:right="100" w:firstLine="527"/>
        <w:spacing w:after="0" w:line="263" w:lineRule="auto"/>
        <w:tabs>
          <w:tab w:leader="none" w:pos="713" w:val="left"/>
        </w:tabs>
        <w:numPr>
          <w:ilvl w:val="1"/>
          <w:numId w:val="12"/>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83" w:lineRule="exact"/>
        <w:rPr>
          <w:rFonts w:ascii="Arial" w:cs="Arial" w:eastAsia="Arial" w:hAnsi="Arial"/>
          <w:sz w:val="18"/>
          <w:szCs w:val="18"/>
          <w:color w:val="auto"/>
        </w:rPr>
      </w:pPr>
    </w:p>
    <w:p>
      <w:pPr>
        <w:ind w:right="240" w:firstLine="332"/>
        <w:spacing w:after="0" w:line="263" w:lineRule="auto"/>
        <w:tabs>
          <w:tab w:leader="none" w:pos="504"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83" w:lineRule="exact"/>
        <w:rPr>
          <w:rFonts w:ascii="Arial" w:cs="Arial" w:eastAsia="Arial" w:hAnsi="Arial"/>
          <w:sz w:val="18"/>
          <w:szCs w:val="18"/>
          <w:color w:val="auto"/>
        </w:rPr>
      </w:pPr>
    </w:p>
    <w:p>
      <w:pPr>
        <w:ind w:right="40" w:firstLine="527"/>
        <w:spacing w:after="0" w:line="342" w:lineRule="auto"/>
        <w:tabs>
          <w:tab w:leader="none" w:pos="703" w:val="left"/>
        </w:tabs>
        <w:numPr>
          <w:ilvl w:val="1"/>
          <w:numId w:val="12"/>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23" w:lineRule="exact"/>
        <w:rPr>
          <w:rFonts w:ascii="Arial" w:cs="Arial" w:eastAsia="Arial" w:hAnsi="Arial"/>
          <w:sz w:val="16"/>
          <w:szCs w:val="16"/>
          <w:color w:val="auto"/>
        </w:rPr>
      </w:pPr>
    </w:p>
    <w:p>
      <w:pPr>
        <w:ind w:firstLine="527"/>
        <w:spacing w:after="0" w:line="277" w:lineRule="auto"/>
        <w:tabs>
          <w:tab w:leader="none" w:pos="713" w:val="left"/>
        </w:tabs>
        <w:numPr>
          <w:ilvl w:val="1"/>
          <w:numId w:val="12"/>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84"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5080" w:type="dxa"/>
            <w:vAlign w:val="bottom"/>
          </w:tcPr>
          <w:p>
            <w:pPr>
              <w:spacing w:after="0"/>
              <w:rPr>
                <w:sz w:val="20"/>
                <w:szCs w:val="20"/>
                <w:color w:val="auto"/>
              </w:rPr>
            </w:pPr>
            <w:r>
              <w:rPr>
                <w:rFonts w:ascii="Arial" w:cs="Arial" w:eastAsia="Arial" w:hAnsi="Arial"/>
                <w:sz w:val="18"/>
                <w:szCs w:val="18"/>
                <w:color w:val="auto"/>
              </w:rPr>
              <w:t>Date: May 5, 2021</w:t>
            </w:r>
          </w:p>
        </w:tc>
        <w:tc>
          <w:tcPr>
            <w:tcW w:w="48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Daniel E. Bachus</w:t>
            </w:r>
          </w:p>
        </w:tc>
      </w:tr>
      <w:tr>
        <w:trPr>
          <w:trHeight w:val="195"/>
        </w:trPr>
        <w:tc>
          <w:tcPr>
            <w:tcW w:w="5080" w:type="dxa"/>
            <w:vAlign w:val="bottom"/>
          </w:tcPr>
          <w:p>
            <w:pPr>
              <w:spacing w:after="0"/>
              <w:rPr>
                <w:sz w:val="16"/>
                <w:szCs w:val="16"/>
                <w:color w:val="auto"/>
              </w:rPr>
            </w:pPr>
          </w:p>
        </w:tc>
        <w:tc>
          <w:tcPr>
            <w:tcW w:w="4840" w:type="dxa"/>
            <w:vAlign w:val="bottom"/>
          </w:tcPr>
          <w:p>
            <w:pPr>
              <w:spacing w:after="0" w:line="195" w:lineRule="exact"/>
              <w:rPr>
                <w:sz w:val="20"/>
                <w:szCs w:val="20"/>
                <w:color w:val="auto"/>
              </w:rPr>
            </w:pPr>
            <w:r>
              <w:rPr>
                <w:rFonts w:ascii="Arial" w:cs="Arial" w:eastAsia="Arial" w:hAnsi="Arial"/>
                <w:sz w:val="18"/>
                <w:szCs w:val="18"/>
                <w:color w:val="auto"/>
              </w:rPr>
              <w:t>Daniel E. Bachus</w:t>
            </w:r>
          </w:p>
        </w:tc>
      </w:tr>
      <w:tr>
        <w:trPr>
          <w:trHeight w:val="216"/>
        </w:trPr>
        <w:tc>
          <w:tcPr>
            <w:tcW w:w="5080" w:type="dxa"/>
            <w:vAlign w:val="bottom"/>
          </w:tcPr>
          <w:p>
            <w:pPr>
              <w:spacing w:after="0"/>
              <w:rPr>
                <w:sz w:val="18"/>
                <w:szCs w:val="18"/>
                <w:color w:val="auto"/>
              </w:rPr>
            </w:pPr>
          </w:p>
        </w:tc>
        <w:tc>
          <w:tcPr>
            <w:tcW w:w="4840" w:type="dxa"/>
            <w:vAlign w:val="bottom"/>
          </w:tcPr>
          <w:p>
            <w:pPr>
              <w:spacing w:after="0"/>
              <w:rPr>
                <w:sz w:val="20"/>
                <w:szCs w:val="20"/>
                <w:color w:val="auto"/>
              </w:rPr>
            </w:pPr>
            <w:r>
              <w:rPr>
                <w:rFonts w:ascii="Arial" w:cs="Arial" w:eastAsia="Arial" w:hAnsi="Arial"/>
                <w:sz w:val="18"/>
                <w:szCs w:val="18"/>
                <w:color w:val="auto"/>
              </w:rPr>
              <w:t>Chief Financial Officer</w:t>
            </w:r>
          </w:p>
        </w:tc>
      </w:tr>
      <w:tr>
        <w:trPr>
          <w:trHeight w:val="230"/>
        </w:trPr>
        <w:tc>
          <w:tcPr>
            <w:tcW w:w="5080" w:type="dxa"/>
            <w:vAlign w:val="bottom"/>
          </w:tcPr>
          <w:p>
            <w:pPr>
              <w:spacing w:after="0"/>
              <w:rPr>
                <w:sz w:val="20"/>
                <w:szCs w:val="20"/>
                <w:color w:val="auto"/>
              </w:rPr>
            </w:pPr>
          </w:p>
        </w:tc>
        <w:tc>
          <w:tcPr>
            <w:tcW w:w="4840" w:type="dxa"/>
            <w:vAlign w:val="bottom"/>
          </w:tcPr>
          <w:p>
            <w:pPr>
              <w:spacing w:after="0"/>
              <w:rPr>
                <w:sz w:val="20"/>
                <w:szCs w:val="20"/>
                <w:color w:val="auto"/>
              </w:rPr>
            </w:pPr>
            <w:r>
              <w:rPr>
                <w:rFonts w:ascii="Arial" w:cs="Arial" w:eastAsia="Arial" w:hAnsi="Arial"/>
                <w:sz w:val="18"/>
                <w:szCs w:val="18"/>
                <w:color w:val="auto"/>
              </w:rPr>
              <w:t>(Principal Financial Officer)</w:t>
            </w:r>
          </w:p>
        </w:tc>
      </w:tr>
      <w:tr>
        <w:trPr>
          <w:trHeight w:val="776"/>
        </w:trPr>
        <w:tc>
          <w:tcPr>
            <w:tcW w:w="5080" w:type="dxa"/>
            <w:vAlign w:val="bottom"/>
            <w:tcBorders>
              <w:bottom w:val="single" w:sz="8" w:color="auto"/>
            </w:tcBorders>
          </w:tcPr>
          <w:p>
            <w:pPr>
              <w:spacing w:after="0"/>
              <w:rPr>
                <w:sz w:val="24"/>
                <w:szCs w:val="24"/>
                <w:color w:val="auto"/>
              </w:rPr>
            </w:pPr>
          </w:p>
        </w:tc>
        <w:tc>
          <w:tcPr>
            <w:tcW w:w="4840" w:type="dxa"/>
            <w:vAlign w:val="bottom"/>
            <w:tcBorders>
              <w:bottom w:val="single" w:sz="8" w:color="auto"/>
            </w:tcBorders>
          </w:tcPr>
          <w:p>
            <w:pPr>
              <w:spacing w:after="0"/>
              <w:rPr>
                <w:sz w:val="24"/>
                <w:szCs w:val="24"/>
                <w:color w:val="auto"/>
              </w:rPr>
            </w:pPr>
          </w:p>
        </w:tc>
      </w:tr>
    </w:tbl>
    <w:p>
      <w:pPr>
        <w:sectPr>
          <w:pgSz w:w="11900" w:h="16838" w:orient="portrait"/>
          <w:cols w:equalWidth="0" w:num="1">
            <w:col w:w="9920"/>
          </w:cols>
          <w:pgMar w:left="980" w:top="121" w:right="999" w:bottom="1440" w:gutter="0" w:footer="0" w:header="0"/>
        </w:sectPr>
      </w:pPr>
    </w:p>
    <w:bookmarkStart w:id="37" w:name="page38"/>
    <w:bookmarkEnd w:id="37"/>
    <w:p>
      <w:pPr>
        <w:jc w:val="right"/>
        <w:spacing w:after="0"/>
        <w:rPr>
          <w:sz w:val="20"/>
          <w:szCs w:val="20"/>
          <w:color w:val="auto"/>
        </w:rPr>
      </w:pPr>
      <w:r>
        <w:rPr>
          <w:rFonts w:ascii="Arial" w:cs="Arial" w:eastAsia="Arial" w:hAnsi="Arial"/>
          <w:sz w:val="18"/>
          <w:szCs w:val="18"/>
          <w:b w:val="1"/>
          <w:bCs w:val="1"/>
          <w:color w:val="auto"/>
        </w:rPr>
        <w:t>Exhibit 32.1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CHIEF EXECUTIVE OFFICER PURSUANT TO 18 U.S.C. SECTION 1350,</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 SECTION 906 OF THE SARBANES-OXLEY ACT OF 2002</w:t>
      </w:r>
    </w:p>
    <w:p>
      <w:pPr>
        <w:spacing w:after="0" w:line="211" w:lineRule="exact"/>
        <w:rPr>
          <w:sz w:val="20"/>
          <w:szCs w:val="20"/>
          <w:color w:val="auto"/>
        </w:rPr>
      </w:pPr>
    </w:p>
    <w:p>
      <w:pPr>
        <w:jc w:val="both"/>
        <w:ind w:right="360" w:firstLine="324"/>
        <w:spacing w:after="0" w:line="259" w:lineRule="auto"/>
        <w:rPr>
          <w:sz w:val="20"/>
          <w:szCs w:val="20"/>
          <w:color w:val="auto"/>
        </w:rPr>
      </w:pPr>
      <w:r>
        <w:rPr>
          <w:rFonts w:ascii="Arial" w:cs="Arial" w:eastAsia="Arial" w:hAnsi="Arial"/>
          <w:sz w:val="18"/>
          <w:szCs w:val="18"/>
          <w:color w:val="auto"/>
        </w:rPr>
        <w:t>In connection with the Quarterly Report on Form 10-Q of Grand Canyon Education, Inc. (the “Company”) for the quarter ended March 31, 2021 as filed with the Securities and Exchange Commission on the date hereof (the “Report”), I, Brian E. Mueller, Chief Executive Officer, of the Company, certify, pursuant to 18 U.S.C. Section 1350, as adopted pursuant to Section 906 of the Sarbanes-Oxley Act of 2002, that to the best of my knowledge:</w:t>
      </w:r>
    </w:p>
    <w:p>
      <w:pPr>
        <w:spacing w:after="0" w:line="187" w:lineRule="exact"/>
        <w:rPr>
          <w:sz w:val="20"/>
          <w:szCs w:val="20"/>
          <w:color w:val="auto"/>
        </w:rPr>
      </w:pPr>
    </w:p>
    <w:p>
      <w:pPr>
        <w:ind w:left="340" w:right="160" w:hanging="332"/>
        <w:spacing w:after="0" w:line="277" w:lineRule="auto"/>
        <w:tabs>
          <w:tab w:leader="none" w:pos="3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or 15(d) of the Securities Exchange Act of 1934, as amended (15 U.S.C. 78m or 78o); and</w:t>
      </w:r>
    </w:p>
    <w:p>
      <w:pPr>
        <w:spacing w:after="0" w:line="170" w:lineRule="exact"/>
        <w:rPr>
          <w:rFonts w:ascii="Arial" w:cs="Arial" w:eastAsia="Arial" w:hAnsi="Arial"/>
          <w:sz w:val="18"/>
          <w:szCs w:val="18"/>
          <w:color w:val="auto"/>
        </w:rPr>
      </w:pPr>
    </w:p>
    <w:p>
      <w:pPr>
        <w:ind w:left="340" w:right="180" w:hanging="332"/>
        <w:spacing w:after="0" w:line="277" w:lineRule="auto"/>
        <w:tabs>
          <w:tab w:leader="none" w:pos="3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 information contained in the Report fairly presents, in all material respects, the financial condition and results of operations of the Company.</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Date: May 5, 2021</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/s/ Brian E. Mueller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14605</wp:posOffset>
            </wp:positionV>
            <wp:extent cx="3086100" cy="825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5">
                      <a:extLst>
                        <a:ext uri="{28A0092B-C50C-407E-A947-70E740481C1C}"/>
                      </a:extLst>
                    </a:blip>
                    <a:srcRect/>
                    <a:stretch>
                      <a:fillRect/>
                    </a:stretch>
                  </pic:blipFill>
                  <pic:spPr bwMode="auto">
                    <a:xfrm>
                      <a:off x="0" y="0"/>
                      <a:ext cx="3086100" cy="8255"/>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Brian E. Mueller</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Chief Executive Officer (Principal Executive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485775</wp:posOffset>
            </wp:positionV>
            <wp:extent cx="6292215" cy="2540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6">
                      <a:extLst>
                        <a:ext uri="{28A0092B-C50C-407E-A947-70E740481C1C}"/>
                      </a:extLst>
                    </a:blip>
                    <a:srcRect/>
                    <a:stretch>
                      <a:fillRect/>
                    </a:stretch>
                  </pic:blipFill>
                  <pic:spPr bwMode="auto">
                    <a:xfrm>
                      <a:off x="0" y="0"/>
                      <a:ext cx="6292215" cy="25400"/>
                    </a:xfrm>
                    <a:prstGeom prst="rect">
                      <a:avLst/>
                    </a:prstGeom>
                    <a:noFill/>
                  </pic:spPr>
                </pic:pic>
              </a:graphicData>
            </a:graphic>
          </wp:anchor>
        </w:drawing>
      </w:r>
    </w:p>
    <w:p>
      <w:pPr>
        <w:sectPr>
          <w:pgSz w:w="11900" w:h="16838" w:orient="portrait"/>
          <w:cols w:equalWidth="0" w:num="1">
            <w:col w:w="9920"/>
          </w:cols>
          <w:pgMar w:left="980" w:top="121" w:right="999" w:bottom="1440" w:gutter="0" w:footer="0" w:header="0"/>
        </w:sectPr>
      </w:pPr>
    </w:p>
    <w:bookmarkStart w:id="38" w:name="page39"/>
    <w:bookmarkEnd w:id="38"/>
    <w:p>
      <w:pPr>
        <w:jc w:val="right"/>
        <w:spacing w:after="0"/>
        <w:rPr>
          <w:sz w:val="20"/>
          <w:szCs w:val="20"/>
          <w:color w:val="auto"/>
        </w:rPr>
      </w:pPr>
      <w:r>
        <w:rPr>
          <w:rFonts w:ascii="Arial" w:cs="Arial" w:eastAsia="Arial" w:hAnsi="Arial"/>
          <w:sz w:val="18"/>
          <w:szCs w:val="18"/>
          <w:b w:val="1"/>
          <w:bCs w:val="1"/>
          <w:color w:val="auto"/>
        </w:rPr>
        <w:t>Exhibit 32.2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CHIEF FINANCIAL OFFICER PURSUANT TO 18 U.S.C. SECTION 1350,</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 SECTION 906 OF THE SARBANES-OXLEY ACT OF 2002</w:t>
      </w:r>
    </w:p>
    <w:p>
      <w:pPr>
        <w:spacing w:after="0" w:line="211" w:lineRule="exact"/>
        <w:rPr>
          <w:sz w:val="20"/>
          <w:szCs w:val="20"/>
          <w:color w:val="auto"/>
        </w:rPr>
      </w:pPr>
    </w:p>
    <w:p>
      <w:pPr>
        <w:ind w:firstLine="324"/>
        <w:spacing w:after="0" w:line="259" w:lineRule="auto"/>
        <w:rPr>
          <w:sz w:val="20"/>
          <w:szCs w:val="20"/>
          <w:color w:val="auto"/>
        </w:rPr>
      </w:pPr>
      <w:r>
        <w:rPr>
          <w:rFonts w:ascii="Arial" w:cs="Arial" w:eastAsia="Arial" w:hAnsi="Arial"/>
          <w:sz w:val="18"/>
          <w:szCs w:val="18"/>
          <w:color w:val="auto"/>
        </w:rPr>
        <w:t>In connection with the Quarterly Report on Form 10Q of Grand Canyon Education, Inc. (the “Company”) for the quarter ended March 31, 2021 as filed with the Securities and Exchange Commission on the date hereof (the “Report”), I, Daniel E. Bachus, Chief Financial Officer, of the Company, certify, pursuant to 18 U.S.C. Section 1350, as adopted pursuant to Section 906 of the Sarbanes-Oxley Act of 2002, that to the best of my knowledge:</w:t>
      </w:r>
    </w:p>
    <w:p>
      <w:pPr>
        <w:spacing w:after="0" w:line="187" w:lineRule="exact"/>
        <w:rPr>
          <w:sz w:val="20"/>
          <w:szCs w:val="20"/>
          <w:color w:val="auto"/>
        </w:rPr>
      </w:pPr>
    </w:p>
    <w:p>
      <w:pPr>
        <w:ind w:left="340" w:right="160" w:hanging="332"/>
        <w:spacing w:after="0" w:line="277" w:lineRule="auto"/>
        <w:tabs>
          <w:tab w:leader="none" w:pos="34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or 15(d) of the Securities Exchange Act of 1934, as amended (15 U.S.C. 78m or 78o); and</w:t>
      </w:r>
    </w:p>
    <w:p>
      <w:pPr>
        <w:spacing w:after="0" w:line="170" w:lineRule="exact"/>
        <w:rPr>
          <w:rFonts w:ascii="Arial" w:cs="Arial" w:eastAsia="Arial" w:hAnsi="Arial"/>
          <w:sz w:val="18"/>
          <w:szCs w:val="18"/>
          <w:color w:val="auto"/>
        </w:rPr>
      </w:pPr>
    </w:p>
    <w:p>
      <w:pPr>
        <w:ind w:left="340" w:right="180" w:hanging="332"/>
        <w:spacing w:after="0" w:line="277" w:lineRule="auto"/>
        <w:tabs>
          <w:tab w:leader="none" w:pos="34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information contained in the Report fairly presents, in all material respects, the financial condition and results of operations of the Company.</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Date: May 5, 2021</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/s/ Daniel E. Bachus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14605</wp:posOffset>
            </wp:positionV>
            <wp:extent cx="3086100" cy="825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7">
                      <a:extLst>
                        <a:ext uri="{28A0092B-C50C-407E-A947-70E740481C1C}"/>
                      </a:extLst>
                    </a:blip>
                    <a:srcRect/>
                    <a:stretch>
                      <a:fillRect/>
                    </a:stretch>
                  </pic:blipFill>
                  <pic:spPr bwMode="auto">
                    <a:xfrm>
                      <a:off x="0" y="0"/>
                      <a:ext cx="3086100" cy="8255"/>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Daniel E. Bachus</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Chief Financial Officer (Principal Financial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485775</wp:posOffset>
            </wp:positionV>
            <wp:extent cx="6292215" cy="2540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8">
                      <a:extLst>
                        <a:ext uri="{28A0092B-C50C-407E-A947-70E740481C1C}"/>
                      </a:extLst>
                    </a:blip>
                    <a:srcRect/>
                    <a:stretch>
                      <a:fillRect/>
                    </a:stretch>
                  </pic:blipFill>
                  <pic:spPr bwMode="auto">
                    <a:xfrm>
                      <a:off x="0" y="0"/>
                      <a:ext cx="6292215" cy="25400"/>
                    </a:xfrm>
                    <a:prstGeom prst="rect">
                      <a:avLst/>
                    </a:prstGeom>
                    <a:noFill/>
                  </pic:spPr>
                </pic:pic>
              </a:graphicData>
            </a:graphic>
          </wp:anchor>
        </w:drawing>
      </w:r>
    </w:p>
    <w:sectPr>
      <w:pgSz w:w="11900" w:h="16838" w:orient="portrait"/>
      <w:cols w:equalWidth="0" w:num="1">
        <w:col w:w="9920"/>
      </w:cols>
      <w:pgMar w:left="980" w:top="121" w:right="99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79E2A9E3"/>
    <w:multiLevelType w:val="hybridMultilevel"/>
    <w:lvl w:ilvl="0">
      <w:lvlJc w:val="left"/>
      <w:lvlText w:val="☒"/>
      <w:numFmt w:val="bullet"/>
      <w:start w:val="1"/>
    </w:lvl>
  </w:abstractNum>
  <w:abstractNum w:abstractNumId="1">
    <w:nsid w:val="7545E146"/>
    <w:multiLevelType w:val="hybridMultilevel"/>
    <w:lvl w:ilvl="0">
      <w:lvlJc w:val="left"/>
      <w:lvlText w:val="☐"/>
      <w:numFmt w:val="bullet"/>
      <w:start w:val="1"/>
    </w:lvl>
  </w:abstractNum>
  <w:abstractNum w:abstractNumId="2">
    <w:nsid w:val="515F007C"/>
    <w:multiLevelType w:val="hybridMultilevel"/>
    <w:lvl w:ilvl="0">
      <w:lvlJc w:val="left"/>
      <w:lvlText w:val="%1"/>
      <w:numFmt w:val="decimal"/>
      <w:start w:val="1"/>
    </w:lvl>
    <w:lvl w:ilvl="1">
      <w:lvlJc w:val="left"/>
      <w:lvlText w:val="(%2)"/>
      <w:numFmt w:val="decimal"/>
      <w:start w:val="1"/>
    </w:lvl>
  </w:abstractNum>
  <w:abstractNum w:abstractNumId="3">
    <w:nsid w:val="5BD062C2"/>
    <w:multiLevelType w:val="hybridMultilevel"/>
    <w:lvl w:ilvl="0">
      <w:lvlJc w:val="left"/>
      <w:lvlText w:val="%1."/>
      <w:numFmt w:val="decimal"/>
      <w:start w:val="6"/>
    </w:lvl>
    <w:lvl w:ilvl="1">
      <w:lvlJc w:val="left"/>
      <w:lvlText w:val="%2"/>
      <w:numFmt w:val="decimal"/>
      <w:start w:val="1"/>
    </w:lvl>
  </w:abstractNum>
  <w:abstractNum w:abstractNumId="4">
    <w:nsid w:val="12200854"/>
    <w:multiLevelType w:val="hybridMultilevel"/>
    <w:lvl w:ilvl="0">
      <w:lvlJc w:val="left"/>
      <w:lvlText w:val="%1."/>
      <w:numFmt w:val="decimal"/>
      <w:start w:val="11"/>
    </w:lvl>
  </w:abstractNum>
  <w:abstractNum w:abstractNumId="5">
    <w:nsid w:val="4DB127F8"/>
    <w:multiLevelType w:val="hybridMultilevel"/>
    <w:lvl w:ilvl="0">
      <w:lvlJc w:val="left"/>
      <w:lvlText w:val="●"/>
      <w:numFmt w:val="bullet"/>
      <w:start w:val="1"/>
    </w:lvl>
  </w:abstractNum>
  <w:abstractNum w:abstractNumId="6">
    <w:nsid w:val="216231B"/>
    <w:multiLevelType w:val="hybridMultilevel"/>
    <w:lvl w:ilvl="0">
      <w:lvlJc w:val="left"/>
      <w:lvlText w:val="●"/>
      <w:numFmt w:val="bullet"/>
      <w:start w:val="1"/>
    </w:lvl>
  </w:abstractNum>
  <w:abstractNum w:abstractNumId="7">
    <w:nsid w:val="1F16E9E8"/>
    <w:multiLevelType w:val="hybridMultilevel"/>
    <w:lvl w:ilvl="0">
      <w:lvlJc w:val="left"/>
      <w:lvlText w:val="●"/>
      <w:numFmt w:val="bullet"/>
      <w:start w:val="1"/>
    </w:lvl>
  </w:abstractNum>
  <w:abstractNum w:abstractNumId="8">
    <w:nsid w:val="1190CDE7"/>
    <w:multiLevelType w:val="hybridMultilevel"/>
    <w:lvl w:ilvl="0">
      <w:lvlJc w:val="left"/>
      <w:lvlText w:val="%1"/>
      <w:numFmt w:val="decimal"/>
      <w:start w:val="101"/>
    </w:lvl>
  </w:abstractNum>
  <w:abstractNum w:abstractNumId="9">
    <w:nsid w:val="66EF438D"/>
    <w:multiLevelType w:val="hybridMultilevel"/>
    <w:lvl w:ilvl="0">
      <w:lvlJc w:val="left"/>
      <w:lvlText w:val="††"/>
      <w:numFmt w:val="bullet"/>
      <w:start w:val="1"/>
    </w:lvl>
  </w:abstractNum>
  <w:abstractNum w:abstractNumId="10">
    <w:nsid w:val="140E0F76"/>
    <w:multiLevelType w:val="hybridMultilevel"/>
    <w:lvl w:ilvl="0">
      <w:lvlJc w:val="left"/>
      <w:lvlText w:val="%1."/>
      <w:numFmt w:val="decimal"/>
      <w:start w:val="1"/>
    </w:lvl>
    <w:lvl w:ilvl="1">
      <w:lvlJc w:val="left"/>
      <w:lvlText w:val="%2)"/>
      <w:numFmt w:val="lowerLetter"/>
      <w:start w:val="1"/>
    </w:lvl>
  </w:abstractNum>
  <w:abstractNum w:abstractNumId="11">
    <w:nsid w:val="3352255A"/>
    <w:multiLevelType w:val="hybridMultilevel"/>
    <w:lvl w:ilvl="0">
      <w:lvlJc w:val="left"/>
      <w:lvlText w:val="%1."/>
      <w:numFmt w:val="decimal"/>
      <w:start w:val="1"/>
    </w:lvl>
    <w:lvl w:ilvl="1">
      <w:lvlJc w:val="left"/>
      <w:lvlText w:val="%2)"/>
      <w:numFmt w:val="lowerLetter"/>
      <w:start w:val="1"/>
    </w:lvl>
  </w:abstractNum>
  <w:abstractNum w:abstractNumId="12">
    <w:nsid w:val="109CF92E"/>
    <w:multiLevelType w:val="hybridMultilevel"/>
    <w:lvl w:ilvl="0">
      <w:lvlJc w:val="left"/>
      <w:lvlText w:val="(%1)"/>
      <w:numFmt w:val="decimal"/>
      <w:start w:val="1"/>
    </w:lvl>
  </w:abstractNum>
  <w:abstractNum w:abstractNumId="13">
    <w:nsid w:val="DED7263"/>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51" Type="http://schemas.openxmlformats.org/officeDocument/2006/relationships/image" Target="media/image41.png"/><Relationship Id="rId52" Type="http://schemas.openxmlformats.org/officeDocument/2006/relationships/image" Target="media/image42.png"/><Relationship Id="rId53" Type="http://schemas.openxmlformats.org/officeDocument/2006/relationships/image" Target="media/image43.png"/><Relationship Id="rId54" Type="http://schemas.openxmlformats.org/officeDocument/2006/relationships/image" Target="media/image44.png"/><Relationship Id="rId55" Type="http://schemas.openxmlformats.org/officeDocument/2006/relationships/image" Target="media/image45.png"/><Relationship Id="rId56" Type="http://schemas.openxmlformats.org/officeDocument/2006/relationships/image" Target="media/image46.png"/><Relationship Id="rId57" Type="http://schemas.openxmlformats.org/officeDocument/2006/relationships/image" Target="media/image47.png"/><Relationship Id="rId58" Type="http://schemas.openxmlformats.org/officeDocument/2006/relationships/image" Target="media/image48.png"/><Relationship Id="rId48" Type="http://schemas.openxmlformats.org/officeDocument/2006/relationships/hyperlink" Target="http://www.sec.gov/Archives/edgar/data/1434588/000155837019000782/lope-20181231ex31395dfc9.htm" TargetMode="External"/><Relationship Id="rId49" Type="http://schemas.openxmlformats.org/officeDocument/2006/relationships/hyperlink" Target="http://www.sec.gov/Archives/edgar/data/1434588/000119312514387149/d812440dex31.htm" TargetMode="External"/><Relationship Id="rId50" Type="http://schemas.openxmlformats.org/officeDocument/2006/relationships/hyperlink" Target="http://www.sec.gov/Archives/edgar/data/1434588/000095015308001671/p75463a2exv4w1.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2021-05-05T15:20:35Z</dcterms:created>
  <dcterms:modified xsi:type="dcterms:W3CDTF">2021-05-05T15:20:35Z</dcterms:modified>
</cp:coreProperties>
</file>