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460" w:hanging="4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7" w:lineRule="exact"/>
        <w:rPr>
          <w:rFonts w:ascii="MS PGothic" w:cs="MS PGothic" w:eastAsia="MS PGothic" w:hAnsi="MS PGothic"/>
          <w:sz w:val="18"/>
          <w:szCs w:val="18"/>
          <w:color w:val="auto"/>
        </w:rPr>
      </w:pPr>
    </w:p>
    <w:p>
      <w:pPr>
        <w:ind w:left="460" w:hanging="457"/>
        <w:spacing w:after="0" w:line="207" w:lineRule="exact"/>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22"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22" w:lineRule="exact"/>
        <w:rPr>
          <w:rFonts w:ascii="MS PGothic" w:cs="MS PGothic" w:eastAsia="MS PGothic" w:hAnsi="MS PGothic"/>
          <w:sz w:val="18"/>
          <w:szCs w:val="18"/>
          <w:color w:val="auto"/>
        </w:rPr>
      </w:pPr>
    </w:p>
    <w:p>
      <w:pPr>
        <w:ind w:left="460" w:hanging="4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460" w:hanging="457"/>
        <w:spacing w:after="0" w:line="207" w:lineRule="exact"/>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85"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460" w:hanging="457"/>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5" w:lineRule="exact"/>
        <w:rPr>
          <w:sz w:val="24"/>
          <w:szCs w:val="24"/>
          <w:color w:val="auto"/>
        </w:rPr>
      </w:pPr>
    </w:p>
    <w:p>
      <w:pPr>
        <w:ind w:left="460" w:hanging="457"/>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44" w:lineRule="exact"/>
        <w:rPr>
          <w:rFonts w:ascii="MS PGothic" w:cs="MS PGothic" w:eastAsia="MS PGothic" w:hAnsi="MS PGothic"/>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7" w:lineRule="exact"/>
        <w:rPr>
          <w:rFonts w:ascii="Arial" w:cs="Arial" w:eastAsia="Arial" w:hAnsi="Arial"/>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57" w:lineRule="exact"/>
        <w:rPr>
          <w:rFonts w:ascii="Arial" w:cs="Arial" w:eastAsia="Arial" w:hAnsi="Arial"/>
          <w:sz w:val="18"/>
          <w:szCs w:val="18"/>
          <w:color w:val="auto"/>
        </w:rPr>
      </w:pPr>
    </w:p>
    <w:p>
      <w:pPr>
        <w:ind w:left="900" w:right="160" w:hanging="438"/>
        <w:spacing w:after="0" w:line="223" w:lineRule="exact"/>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135" w:lineRule="exact"/>
        <w:rPr>
          <w:rFonts w:ascii="Arial" w:cs="Arial" w:eastAsia="Arial" w:hAnsi="Arial"/>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57" w:lineRule="exact"/>
        <w:rPr>
          <w:rFonts w:ascii="Arial" w:cs="Arial" w:eastAsia="Arial" w:hAnsi="Arial"/>
          <w:sz w:val="18"/>
          <w:szCs w:val="18"/>
          <w:color w:val="auto"/>
        </w:rPr>
      </w:pPr>
    </w:p>
    <w:p>
      <w:pPr>
        <w:ind w:left="900" w:hanging="438"/>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460" w:hanging="457"/>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144" w:lineRule="exact"/>
        <w:rPr>
          <w:rFonts w:ascii="MS PGothic" w:cs="MS PGothic" w:eastAsia="MS PGothic" w:hAnsi="MS PGothic"/>
          <w:sz w:val="18"/>
          <w:szCs w:val="18"/>
          <w:color w:val="auto"/>
        </w:rPr>
      </w:pPr>
    </w:p>
    <w:p>
      <w:pPr>
        <w:ind w:left="460" w:hanging="457"/>
        <w:spacing w:after="0" w:line="221" w:lineRule="exact"/>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43" w:lineRule="exact"/>
        <w:rPr>
          <w:rFonts w:ascii="Arial" w:cs="Arial" w:eastAsia="Arial" w:hAnsi="Arial"/>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57" w:lineRule="exact"/>
        <w:rPr>
          <w:rFonts w:ascii="Arial" w:cs="Arial" w:eastAsia="Arial" w:hAnsi="Arial"/>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57" w:lineRule="exact"/>
        <w:rPr>
          <w:rFonts w:ascii="Arial" w:cs="Arial" w:eastAsia="Arial" w:hAnsi="Arial"/>
          <w:sz w:val="18"/>
          <w:szCs w:val="18"/>
          <w:color w:val="auto"/>
        </w:rPr>
      </w:pPr>
    </w:p>
    <w:p>
      <w:pPr>
        <w:ind w:left="860" w:hanging="398"/>
        <w:spacing w:after="0"/>
        <w:tabs>
          <w:tab w:leader="none" w:pos="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550545</wp:posOffset>
            </wp:positionH>
            <wp:positionV relativeFrom="paragraph">
              <wp:posOffset>100330</wp:posOffset>
            </wp:positionV>
            <wp:extent cx="5205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-130175</wp:posOffset>
            </wp:positionV>
            <wp:extent cx="5205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-361950</wp:posOffset>
            </wp:positionV>
            <wp:extent cx="5205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-593090</wp:posOffset>
            </wp:positionV>
            <wp:extent cx="5205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05730"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-1545590</wp:posOffset>
            </wp:positionV>
            <wp:extent cx="5188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-1776730</wp:posOffset>
            </wp:positionV>
            <wp:extent cx="5188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-2008505</wp:posOffset>
            </wp:positionV>
            <wp:extent cx="5188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-2377440</wp:posOffset>
            </wp:positionV>
            <wp:extent cx="5188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567690</wp:posOffset>
            </wp:positionH>
            <wp:positionV relativeFrom="paragraph">
              <wp:posOffset>-2608580</wp:posOffset>
            </wp:positionV>
            <wp:extent cx="5188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8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392430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33" w:right="14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548630" cy="840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2600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(602) 247</w:t>
      </w:r>
      <w:r>
        <w:rPr>
          <w:rFonts w:ascii="MS PGothic" w:cs="MS PGothic" w:eastAsia="MS PGothic" w:hAnsi="MS PGothic"/>
          <w:sz w:val="18"/>
          <w:szCs w:val="18"/>
          <w:color w:val="auto"/>
        </w:rPr>
        <w:t>‑</w:t>
      </w:r>
      <w:r>
        <w:rPr>
          <w:rFonts w:ascii="Arial" w:cs="Arial" w:eastAsia="Arial" w:hAnsi="Arial"/>
          <w:sz w:val="18"/>
          <w:szCs w:val="18"/>
          <w:color w:val="auto"/>
        </w:rPr>
        <w:t>4400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26,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You are cordially invited to attend the 2019 Annual Meeting of Stockholders (the “Annual Meeting”) of Grand Canyon Education, Inc. (the “Company” or “GCE”) to be held at the offices of GCE located at 2600 W. Camelback Road, Phoenix, Arizona 85017, commencing at 9:00 a.m., Arizona time, on Thursday, June 13, 2019.</w:t>
      </w:r>
    </w:p>
    <w:p>
      <w:pPr>
        <w:spacing w:after="0" w:line="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April 18, 2019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Arizona time, prior to the meeting.</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This proxy statement is dated April 26, 2019, and is first being sent or made available to stockholders on or about May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June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74295</wp:posOffset>
            </wp:positionV>
            <wp:extent cx="2872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Thursday, June 13, 2019, at 9:00 a.m., Arizona time</w:t>
      </w:r>
    </w:p>
    <w:p>
      <w:pPr>
        <w:spacing w:after="0" w:line="225"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Grand Canyon Education, Inc. at 2600 W. Camelback Road, Phoenix, Arizona 85017.</w:t>
      </w:r>
    </w:p>
    <w:p>
      <w:pPr>
        <w:spacing w:after="0" w:line="225" w:lineRule="exact"/>
        <w:rPr>
          <w:sz w:val="20"/>
          <w:szCs w:val="20"/>
          <w:color w:val="auto"/>
        </w:rPr>
      </w:pPr>
    </w:p>
    <w:p>
      <w:pPr>
        <w:ind w:left="1740" w:right="300" w:hanging="1728"/>
        <w:spacing w:after="0" w:line="264" w:lineRule="auto"/>
        <w:tabs>
          <w:tab w:leader="none" w:pos="172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At the Annual Meeting, holders of our common stock will be asked to consider and vote upon the following proposals, all of which are discussed in greater detail in the accompanying proxy statement:</w:t>
      </w:r>
    </w:p>
    <w:p>
      <w:pPr>
        <w:spacing w:after="0" w:line="185" w:lineRule="exact"/>
        <w:rPr>
          <w:sz w:val="20"/>
          <w:szCs w:val="20"/>
          <w:color w:val="auto"/>
        </w:rPr>
      </w:pPr>
    </w:p>
    <w:p>
      <w:pPr>
        <w:ind w:left="2260" w:hanging="334"/>
        <w:spacing w:after="0" w:line="256"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a Board of Directors of five directors, each to serve until the 2020 annual meeting of stockholders or until his or her successor has been duly elected and qualified or until his or her earlier resignation or removal;</w:t>
      </w:r>
    </w:p>
    <w:p>
      <w:pPr>
        <w:ind w:left="2260" w:right="580" w:hanging="334"/>
        <w:spacing w:after="0" w:line="250"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ind w:left="2260" w:right="20" w:hanging="334"/>
        <w:spacing w:after="0" w:line="250"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our independent registered public accounting firm for the fiscal year ending December 31, 2019; and</w:t>
      </w:r>
    </w:p>
    <w:p>
      <w:pPr>
        <w:ind w:left="2260" w:right="660" w:hanging="334"/>
        <w:spacing w:after="0" w:line="261" w:lineRule="auto"/>
        <w:tabs>
          <w:tab w:leader="none" w:pos="22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adjournments or postponements thereof.</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1"/>
              </w:rPr>
              <w:t>Only stockholders of record at the close of business on April 18, 2019, the record date for the Annual</w:t>
            </w:r>
          </w:p>
        </w:tc>
      </w:tr>
      <w:tr>
        <w:trPr>
          <w:trHeight w:val="216"/>
        </w:trPr>
        <w:tc>
          <w:tcPr>
            <w:tcW w:w="1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6"/>
              </w:rPr>
              <w:t>Meeting, will be entitled to notice of and to vote at the Annual Meeting and any adjournments or</w:t>
            </w:r>
          </w:p>
        </w:tc>
      </w:tr>
      <w:tr>
        <w:trPr>
          <w:trHeight w:val="230"/>
        </w:trPr>
        <w:tc>
          <w:tcPr>
            <w:tcW w:w="1540" w:type="dxa"/>
            <w:vAlign w:val="bottom"/>
          </w:tcPr>
          <w:p>
            <w:pPr>
              <w:spacing w:after="0"/>
              <w:rPr>
                <w:sz w:val="20"/>
                <w:szCs w:val="20"/>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postponements thereof.</w:t>
            </w:r>
          </w:p>
        </w:tc>
      </w:tr>
      <w:tr>
        <w:trPr>
          <w:trHeight w:val="414"/>
        </w:trPr>
        <w:tc>
          <w:tcPr>
            <w:tcW w:w="1540" w:type="dxa"/>
            <w:vAlign w:val="bottom"/>
          </w:tcPr>
          <w:p>
            <w:pPr>
              <w:spacing w:after="0"/>
              <w:rPr>
                <w:sz w:val="20"/>
                <w:szCs w:val="20"/>
                <w:color w:val="auto"/>
              </w:rPr>
            </w:pPr>
            <w:r>
              <w:rPr>
                <w:rFonts w:ascii="Arial" w:cs="Arial" w:eastAsia="Arial" w:hAnsi="Arial"/>
                <w:sz w:val="18"/>
                <w:szCs w:val="18"/>
                <w:b w:val="1"/>
                <w:bCs w:val="1"/>
                <w:color w:val="auto"/>
              </w:rPr>
              <w:t>Delivery of Proxy</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4"/>
              </w:rPr>
              <w:t>Beginning on May 1, 2019, we began mailing a Notice of Internet Availability of Proxy Materials to</w:t>
            </w:r>
          </w:p>
        </w:tc>
      </w:t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Materials:</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our stockholders rather than a full paper set of the proxy materials. The Notice of Internet</w:t>
            </w:r>
          </w:p>
        </w:tc>
      </w:tr>
      <w:tr>
        <w:trPr>
          <w:trHeight w:val="216"/>
        </w:trPr>
        <w:tc>
          <w:tcPr>
            <w:tcW w:w="1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4"/>
              </w:rPr>
              <w:t>Availability of Proxy Materials contains instructions on how to access our proxy materials over the</w:t>
            </w:r>
          </w:p>
        </w:tc>
      </w:tr>
      <w:tr>
        <w:trPr>
          <w:trHeight w:val="230"/>
        </w:trPr>
        <w:tc>
          <w:tcPr>
            <w:tcW w:w="1540" w:type="dxa"/>
            <w:vAlign w:val="bottom"/>
          </w:tcPr>
          <w:p>
            <w:pPr>
              <w:spacing w:after="0"/>
              <w:rPr>
                <w:sz w:val="20"/>
                <w:szCs w:val="20"/>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1"/>
              </w:rPr>
              <w:t>Internet, as well as instructions on how stockholders may obtain a paper copy of our proxy materials.</w:t>
            </w:r>
          </w:p>
        </w:tc>
      </w:tr>
      <w:tr>
        <w:trPr>
          <w:trHeight w:val="414"/>
        </w:trPr>
        <w:tc>
          <w:tcPr>
            <w:tcW w:w="1540" w:type="dxa"/>
            <w:vAlign w:val="bottom"/>
          </w:tcPr>
          <w:p>
            <w:pPr>
              <w:spacing w:after="0"/>
              <w:rPr>
                <w:sz w:val="20"/>
                <w:szCs w:val="20"/>
                <w:color w:val="auto"/>
              </w:rPr>
            </w:pPr>
            <w:r>
              <w:rPr>
                <w:rFonts w:ascii="Arial" w:cs="Arial" w:eastAsia="Arial" w:hAnsi="Arial"/>
                <w:sz w:val="18"/>
                <w:szCs w:val="18"/>
                <w:b w:val="1"/>
                <w:bCs w:val="1"/>
                <w:color w:val="auto"/>
              </w:rPr>
              <w:t>Internet</w:t>
            </w:r>
          </w:p>
        </w:tc>
        <w:tc>
          <w:tcPr>
            <w:tcW w:w="7520" w:type="dxa"/>
            <w:vAlign w:val="bottom"/>
            <w:gridSpan w:val="2"/>
          </w:tcPr>
          <w:p>
            <w:pPr>
              <w:ind w:left="200"/>
              <w:spacing w:after="0"/>
              <w:rPr>
                <w:sz w:val="20"/>
                <w:szCs w:val="20"/>
                <w:color w:val="auto"/>
              </w:rPr>
            </w:pPr>
            <w:r>
              <w:rPr>
                <w:rFonts w:ascii="Arial" w:cs="Arial" w:eastAsia="Arial" w:hAnsi="Arial"/>
                <w:sz w:val="18"/>
                <w:szCs w:val="18"/>
                <w:b w:val="1"/>
                <w:bCs w:val="1"/>
                <w:color w:val="auto"/>
                <w:w w:val="97"/>
              </w:rPr>
              <w:t>Important Notice Regarding the Availability of Proxy Materials for the Annual Meeting of</w:t>
            </w:r>
          </w:p>
        </w:tc>
      </w:tr>
      <w:tr>
        <w:trPr>
          <w:trHeight w:val="216"/>
        </w:trPr>
        <w:tc>
          <w:tcPr>
            <w:tcW w:w="1540" w:type="dxa"/>
            <w:vAlign w:val="bottom"/>
          </w:tcPr>
          <w:p>
            <w:pPr>
              <w:spacing w:after="0"/>
              <w:rPr>
                <w:sz w:val="20"/>
                <w:szCs w:val="20"/>
                <w:color w:val="auto"/>
              </w:rPr>
            </w:pPr>
            <w:r>
              <w:rPr>
                <w:rFonts w:ascii="Arial" w:cs="Arial" w:eastAsia="Arial" w:hAnsi="Arial"/>
                <w:sz w:val="18"/>
                <w:szCs w:val="18"/>
                <w:b w:val="1"/>
                <w:bCs w:val="1"/>
                <w:color w:val="auto"/>
              </w:rPr>
              <w:t>Availability of</w:t>
            </w:r>
          </w:p>
        </w:tc>
        <w:tc>
          <w:tcPr>
            <w:tcW w:w="7520" w:type="dxa"/>
            <w:vAlign w:val="bottom"/>
            <w:gridSpan w:val="2"/>
          </w:tcPr>
          <w:p>
            <w:pPr>
              <w:ind w:left="200"/>
              <w:spacing w:after="0"/>
              <w:rPr>
                <w:sz w:val="20"/>
                <w:szCs w:val="20"/>
                <w:color w:val="auto"/>
              </w:rPr>
            </w:pPr>
            <w:r>
              <w:rPr>
                <w:rFonts w:ascii="Arial" w:cs="Arial" w:eastAsia="Arial" w:hAnsi="Arial"/>
                <w:sz w:val="18"/>
                <w:szCs w:val="18"/>
                <w:b w:val="1"/>
                <w:bCs w:val="1"/>
                <w:color w:val="auto"/>
                <w:w w:val="92"/>
              </w:rPr>
              <w:t>Stockholders to be Held on June 13, 2019</w:t>
            </w:r>
            <w:r>
              <w:rPr>
                <w:rFonts w:ascii="Arial" w:cs="Arial" w:eastAsia="Arial" w:hAnsi="Arial"/>
                <w:sz w:val="18"/>
                <w:szCs w:val="18"/>
                <w:color w:val="auto"/>
                <w:w w:val="92"/>
              </w:rPr>
              <w:t>. Our Proxy Statement is attached. Financial and other</w:t>
            </w:r>
          </w:p>
        </w:tc>
      </w:tr>
      <w:tr>
        <w:trPr>
          <w:trHeight w:val="220"/>
        </w:trPr>
        <w:tc>
          <w:tcPr>
            <w:tcW w:w="1540" w:type="dxa"/>
            <w:vAlign w:val="bottom"/>
          </w:tcPr>
          <w:p>
            <w:pPr>
              <w:spacing w:after="0"/>
              <w:rPr>
                <w:sz w:val="20"/>
                <w:szCs w:val="20"/>
                <w:color w:val="auto"/>
              </w:rPr>
            </w:pPr>
            <w:r>
              <w:rPr>
                <w:rFonts w:ascii="Arial" w:cs="Arial" w:eastAsia="Arial" w:hAnsi="Arial"/>
                <w:sz w:val="18"/>
                <w:szCs w:val="18"/>
                <w:b w:val="1"/>
                <w:bCs w:val="1"/>
                <w:color w:val="auto"/>
              </w:rPr>
              <w:t>Proxy Materials:</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information concerning Grand Canyon Education, Inc. is contained in our Annual Report to</w:t>
            </w:r>
          </w:p>
        </w:tc>
      </w:tr>
      <w:tr>
        <w:trPr>
          <w:trHeight w:val="216"/>
        </w:trPr>
        <w:tc>
          <w:tcPr>
            <w:tcW w:w="1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0"/>
              </w:rPr>
              <w:t>Stockholders for the fiscal year ended December 31, 2018. A complete set of proxy materials relating</w:t>
            </w:r>
          </w:p>
        </w:tc>
      </w:tr>
      <w:tr>
        <w:trPr>
          <w:trHeight w:val="216"/>
        </w:trPr>
        <w:tc>
          <w:tcPr>
            <w:tcW w:w="1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7"/>
              </w:rPr>
              <w:t>to our Annual Meeting is available on the Internet. These materials, consisting of the Notice of</w:t>
            </w:r>
          </w:p>
        </w:tc>
      </w:tr>
      <w:tr>
        <w:trPr>
          <w:trHeight w:val="216"/>
        </w:trPr>
        <w:tc>
          <w:tcPr>
            <w:tcW w:w="1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1"/>
              </w:rPr>
              <w:t>Annual Meeting, Proxy Statement, Proxy Card and Annual Report to Stockholders, are available and</w:t>
            </w:r>
          </w:p>
        </w:tc>
      </w:tr>
      <w:tr>
        <w:trPr>
          <w:trHeight w:val="230"/>
        </w:trPr>
        <w:tc>
          <w:tcPr>
            <w:tcW w:w="1540" w:type="dxa"/>
            <w:vAlign w:val="bottom"/>
          </w:tcPr>
          <w:p>
            <w:pPr>
              <w:spacing w:after="0"/>
              <w:rPr>
                <w:sz w:val="20"/>
                <w:szCs w:val="20"/>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 xml:space="preserve">may be viewed at </w:t>
            </w:r>
            <w:r>
              <w:rPr>
                <w:rFonts w:ascii="Arial" w:cs="Arial" w:eastAsia="Arial" w:hAnsi="Arial"/>
                <w:sz w:val="18"/>
                <w:szCs w:val="18"/>
                <w:i w:val="1"/>
                <w:iCs w:val="1"/>
                <w:color w:val="auto"/>
              </w:rPr>
              <w:t>www.edocumentview.com/LOPE</w:t>
            </w:r>
            <w:r>
              <w:rPr>
                <w:rFonts w:ascii="Arial" w:cs="Arial" w:eastAsia="Arial" w:hAnsi="Arial"/>
                <w:sz w:val="18"/>
                <w:szCs w:val="18"/>
                <w:color w:val="auto"/>
              </w:rPr>
              <w:t>.</w:t>
            </w:r>
          </w:p>
        </w:tc>
      </w:tr>
      <w:tr>
        <w:trPr>
          <w:trHeight w:val="418"/>
        </w:trPr>
        <w:tc>
          <w:tcPr>
            <w:tcW w:w="154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1"/>
              </w:rPr>
              <w:t>To make it easier for you to vote, Internet and telephone voting are available. The instructions on the</w:t>
            </w:r>
          </w:p>
        </w:tc>
      </w:tr>
      <w:tr>
        <w:trPr>
          <w:trHeight w:val="216"/>
        </w:trPr>
        <w:tc>
          <w:tcPr>
            <w:tcW w:w="1540" w:type="dxa"/>
            <w:vAlign w:val="bottom"/>
          </w:tcPr>
          <w:p>
            <w:pPr>
              <w:spacing w:after="0"/>
              <w:rPr>
                <w:sz w:val="18"/>
                <w:szCs w:val="18"/>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w w:val="99"/>
              </w:rPr>
              <w:t>Notice of Internet Availability of Proxy Materials or, if you received a paper copy of the proxy</w:t>
            </w:r>
          </w:p>
        </w:tc>
      </w:tr>
      <w:tr>
        <w:trPr>
          <w:trHeight w:val="230"/>
        </w:trPr>
        <w:tc>
          <w:tcPr>
            <w:tcW w:w="1540" w:type="dxa"/>
            <w:vAlign w:val="bottom"/>
          </w:tcPr>
          <w:p>
            <w:pPr>
              <w:spacing w:after="0"/>
              <w:rPr>
                <w:sz w:val="20"/>
                <w:szCs w:val="20"/>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materials, the proxy card describe how to use these convenient services.</w:t>
            </w:r>
          </w:p>
        </w:tc>
      </w:tr>
      <w:tr>
        <w:trPr>
          <w:trHeight w:val="446"/>
        </w:trPr>
        <w:tc>
          <w:tcPr>
            <w:tcW w:w="1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46"/>
        </w:trPr>
        <w:tc>
          <w:tcPr>
            <w:tcW w:w="1540" w:type="dxa"/>
            <w:vAlign w:val="bottom"/>
          </w:tcPr>
          <w:p>
            <w:pPr>
              <w:spacing w:after="0"/>
              <w:rPr>
                <w:sz w:val="20"/>
                <w:szCs w:val="20"/>
                <w:color w:val="auto"/>
              </w:rPr>
            </w:pPr>
            <w:r>
              <w:rPr>
                <w:rFonts w:ascii="Arial" w:cs="Arial" w:eastAsia="Arial" w:hAnsi="Arial"/>
                <w:sz w:val="18"/>
                <w:szCs w:val="18"/>
                <w:color w:val="auto"/>
              </w:rPr>
              <w:t>Phoenix, Arizona</w:t>
            </w:r>
          </w:p>
        </w:tc>
        <w:tc>
          <w:tcPr>
            <w:tcW w:w="300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1540" w:type="dxa"/>
            <w:vAlign w:val="bottom"/>
          </w:tcPr>
          <w:p>
            <w:pPr>
              <w:ind w:left="200"/>
              <w:spacing w:after="0" w:line="195" w:lineRule="exact"/>
              <w:rPr>
                <w:sz w:val="20"/>
                <w:szCs w:val="20"/>
                <w:color w:val="auto"/>
              </w:rPr>
            </w:pPr>
            <w:r>
              <w:rPr>
                <w:rFonts w:ascii="Arial" w:cs="Arial" w:eastAsia="Arial" w:hAnsi="Arial"/>
                <w:sz w:val="18"/>
                <w:szCs w:val="18"/>
                <w:color w:val="auto"/>
              </w:rPr>
              <w:t>April 26, 2019</w:t>
            </w: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30"/>
        </w:trPr>
        <w:tc>
          <w:tcPr>
            <w:tcW w:w="1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466"/>
        </w:trPr>
        <w:tc>
          <w:tcPr>
            <w:tcW w:w="1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4"/>
          </w:tcPr>
          <w:p>
            <w:pPr>
              <w:spacing w:after="0"/>
              <w:rPr>
                <w:rFonts w:ascii="Arial" w:cs="Arial" w:eastAsia="Arial" w:hAnsi="Arial"/>
                <w:sz w:val="18"/>
                <w:szCs w:val="18"/>
                <w:color w:val="0563C1"/>
                <w:w w:val="88"/>
              </w:rPr>
            </w:pPr>
            <w:hyperlink w:anchor="page4">
              <w:r>
                <w:rPr>
                  <w:rFonts w:ascii="Arial" w:cs="Arial" w:eastAsia="Arial" w:hAnsi="Arial"/>
                  <w:sz w:val="18"/>
                  <w:szCs w:val="18"/>
                  <w:color w:val="0563C1"/>
                  <w:w w:val="88"/>
                </w:rPr>
                <w:t>Table of Contents</w:t>
              </w:r>
            </w:hyperlink>
          </w:p>
        </w:tc>
        <w:tc>
          <w:tcPr>
            <w:tcW w:w="7180" w:type="dxa"/>
            <w:vAlign w:val="bottom"/>
            <w:gridSpan w:val="41"/>
          </w:tcPr>
          <w:p>
            <w:pPr>
              <w:spacing w:after="0"/>
              <w:rPr>
                <w:sz w:val="17"/>
                <w:szCs w:val="17"/>
                <w:color w:val="auto"/>
              </w:rPr>
            </w:pPr>
          </w:p>
        </w:tc>
        <w:tc>
          <w:tcPr>
            <w:tcW w:w="600" w:type="dxa"/>
            <w:vAlign w:val="bottom"/>
          </w:tcPr>
          <w:p>
            <w:pPr>
              <w:spacing w:after="0"/>
              <w:rPr>
                <w:sz w:val="17"/>
                <w:szCs w:val="17"/>
                <w:color w:val="auto"/>
              </w:rPr>
            </w:pPr>
          </w:p>
        </w:tc>
      </w:tr>
      <w:tr>
        <w:trPr>
          <w:trHeight w:val="790"/>
        </w:trPr>
        <w:tc>
          <w:tcPr>
            <w:tcW w:w="8460" w:type="dxa"/>
            <w:vAlign w:val="bottom"/>
            <w:gridSpan w:val="4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GENERAL INFORMATION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9"/>
        </w:trPr>
        <w:tc>
          <w:tcPr>
            <w:tcW w:w="520" w:type="dxa"/>
            <w:vAlign w:val="bottom"/>
          </w:tcPr>
          <w:p>
            <w:pPr>
              <w:spacing w:after="0"/>
              <w:rPr>
                <w:sz w:val="24"/>
                <w:szCs w:val="24"/>
                <w:color w:val="auto"/>
              </w:rPr>
            </w:pPr>
          </w:p>
        </w:tc>
        <w:tc>
          <w:tcPr>
            <w:tcW w:w="218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Notice of Internet Availability</w:t>
              </w:r>
            </w:hyperlink>
          </w:p>
        </w:tc>
        <w:tc>
          <w:tcPr>
            <w:tcW w:w="5760" w:type="dxa"/>
            <w:vAlign w:val="bottom"/>
            <w:gridSpan w:val="24"/>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18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Record Date and Quorum</w:t>
              </w:r>
            </w:hyperlink>
          </w:p>
        </w:tc>
        <w:tc>
          <w:tcPr>
            <w:tcW w:w="6080" w:type="dxa"/>
            <w:vAlign w:val="bottom"/>
            <w:gridSpan w:val="32"/>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2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Submission of Proxies; Revocation</w:t>
              </w:r>
            </w:hyperlink>
          </w:p>
        </w:tc>
        <w:tc>
          <w:tcPr>
            <w:tcW w:w="5400" w:type="dxa"/>
            <w:vAlign w:val="bottom"/>
            <w:gridSpan w:val="1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520" w:type="dxa"/>
            <w:vAlign w:val="bottom"/>
          </w:tcPr>
          <w:p>
            <w:pPr>
              <w:spacing w:after="0"/>
              <w:rPr>
                <w:sz w:val="17"/>
                <w:szCs w:val="17"/>
                <w:color w:val="auto"/>
              </w:rPr>
            </w:pPr>
          </w:p>
        </w:tc>
        <w:tc>
          <w:tcPr>
            <w:tcW w:w="26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Deadlines for Stockholder Proposals</w:t>
              </w:r>
            </w:hyperlink>
          </w:p>
        </w:tc>
        <w:tc>
          <w:tcPr>
            <w:tcW w:w="5300" w:type="dxa"/>
            <w:vAlign w:val="bottom"/>
            <w:gridSpan w:val="1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Quorum</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Vote Required</w:t>
              </w:r>
            </w:hyperlink>
          </w:p>
        </w:tc>
        <w:tc>
          <w:tcPr>
            <w:tcW w:w="6900" w:type="dxa"/>
            <w:vAlign w:val="bottom"/>
            <w:gridSpan w:val="40"/>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Adjournment or Postponement of Meeting</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20" w:type="dxa"/>
            <w:vAlign w:val="bottom"/>
          </w:tcPr>
          <w:p>
            <w:pPr>
              <w:spacing w:after="0"/>
              <w:rPr>
                <w:sz w:val="17"/>
                <w:szCs w:val="17"/>
                <w:color w:val="auto"/>
              </w:rPr>
            </w:pPr>
          </w:p>
        </w:tc>
        <w:tc>
          <w:tcPr>
            <w:tcW w:w="30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Expenses of Soliciting Proxies</w:t>
              </w:r>
            </w:hyperlink>
          </w:p>
        </w:tc>
        <w:tc>
          <w:tcPr>
            <w:tcW w:w="4880" w:type="dxa"/>
            <w:vAlign w:val="bottom"/>
            <w:gridSpan w:val="1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9"/>
        </w:trPr>
        <w:tc>
          <w:tcPr>
            <w:tcW w:w="4320" w:type="dxa"/>
            <w:vAlign w:val="bottom"/>
            <w:tcBorders>
              <w:bottom w:val="single" w:sz="8" w:color="0000EE"/>
            </w:tcBorders>
            <w:gridSpan w:val="38"/>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CORPORATE GOVERNANCE AND BOARD MATTERS</w:t>
              </w:r>
            </w:hyperlink>
          </w:p>
        </w:tc>
        <w:tc>
          <w:tcPr>
            <w:tcW w:w="4140" w:type="dxa"/>
            <w:vAlign w:val="bottom"/>
            <w:gridSpan w:val="7"/>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99"/>
        </w:trPr>
        <w:tc>
          <w:tcPr>
            <w:tcW w:w="520" w:type="dxa"/>
            <w:vAlign w:val="bottom"/>
          </w:tcPr>
          <w:p>
            <w:pPr>
              <w:spacing w:after="0"/>
              <w:rPr>
                <w:sz w:val="24"/>
                <w:szCs w:val="24"/>
                <w:color w:val="auto"/>
              </w:rPr>
            </w:pPr>
          </w:p>
        </w:tc>
        <w:tc>
          <w:tcPr>
            <w:tcW w:w="25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Corporate Governance Philosophy</w:t>
              </w:r>
            </w:hyperlink>
          </w:p>
        </w:tc>
        <w:tc>
          <w:tcPr>
            <w:tcW w:w="5440" w:type="dxa"/>
            <w:vAlign w:val="bottom"/>
            <w:gridSpan w:val="2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196"/>
        </w:trPr>
        <w:tc>
          <w:tcPr>
            <w:tcW w:w="520" w:type="dxa"/>
            <w:vAlign w:val="bottom"/>
          </w:tcPr>
          <w:p>
            <w:pPr>
              <w:spacing w:after="0"/>
              <w:rPr>
                <w:sz w:val="17"/>
                <w:szCs w:val="17"/>
                <w:color w:val="auto"/>
              </w:rPr>
            </w:pPr>
          </w:p>
        </w:tc>
        <w:tc>
          <w:tcPr>
            <w:tcW w:w="324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 of Directors Meetings and Attendance</w:t>
              </w:r>
            </w:hyperlink>
          </w:p>
        </w:tc>
        <w:tc>
          <w:tcPr>
            <w:tcW w:w="4700" w:type="dxa"/>
            <w:vAlign w:val="bottom"/>
            <w:gridSpan w:val="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Independence</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Board Leadership Structure</w:t>
              </w:r>
            </w:hyperlink>
          </w:p>
        </w:tc>
        <w:tc>
          <w:tcPr>
            <w:tcW w:w="5940" w:type="dxa"/>
            <w:vAlign w:val="bottom"/>
            <w:gridSpan w:val="2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Committees of Our Board of Directors During 2018</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5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Changes in Committee Composition in 2019</w:t>
              </w:r>
            </w:hyperlink>
          </w:p>
        </w:tc>
        <w:tc>
          <w:tcPr>
            <w:tcW w:w="520" w:type="dxa"/>
            <w:vAlign w:val="bottom"/>
            <w:tcBorders>
              <w:top w:val="single" w:sz="8" w:color="0000EE"/>
            </w:tcBorders>
            <w:gridSpan w:val="2"/>
          </w:tcPr>
          <w:p>
            <w:pPr>
              <w:spacing w:after="0"/>
              <w:rPr>
                <w:sz w:val="17"/>
                <w:szCs w:val="17"/>
                <w:color w:val="auto"/>
              </w:rPr>
            </w:pPr>
          </w:p>
        </w:tc>
        <w:tc>
          <w:tcPr>
            <w:tcW w:w="4200" w:type="dxa"/>
            <w:vAlign w:val="bottom"/>
            <w:gridSpan w:val="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520" w:type="dxa"/>
            <w:vAlign w:val="bottom"/>
          </w:tcPr>
          <w:p>
            <w:pPr>
              <w:spacing w:after="0"/>
              <w:rPr>
                <w:sz w:val="17"/>
                <w:szCs w:val="17"/>
                <w:color w:val="auto"/>
              </w:rPr>
            </w:pPr>
          </w:p>
        </w:tc>
        <w:tc>
          <w:tcPr>
            <w:tcW w:w="12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Code of Conduct</w:t>
              </w:r>
            </w:hyperlink>
          </w:p>
        </w:tc>
        <w:tc>
          <w:tcPr>
            <w:tcW w:w="6700" w:type="dxa"/>
            <w:vAlign w:val="bottom"/>
            <w:gridSpan w:val="3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Oversight</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1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Director Nomination Process</w:t>
              </w:r>
            </w:hyperlink>
          </w:p>
        </w:tc>
        <w:tc>
          <w:tcPr>
            <w:tcW w:w="5820" w:type="dxa"/>
            <w:vAlign w:val="bottom"/>
            <w:gridSpan w:val="2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2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Annual Elections of Directors</w:t>
              </w:r>
            </w:hyperlink>
          </w:p>
        </w:tc>
        <w:tc>
          <w:tcPr>
            <w:tcW w:w="5780" w:type="dxa"/>
            <w:vAlign w:val="bottom"/>
            <w:gridSpan w:val="2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Policy on Majority Voting</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Committee Interlocks and Insider Participation</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520" w:type="dxa"/>
            <w:vAlign w:val="bottom"/>
          </w:tcPr>
          <w:p>
            <w:pPr>
              <w:spacing w:after="0"/>
              <w:rPr>
                <w:sz w:val="17"/>
                <w:szCs w:val="17"/>
                <w:color w:val="auto"/>
              </w:rPr>
            </w:pPr>
          </w:p>
        </w:tc>
        <w:tc>
          <w:tcPr>
            <w:tcW w:w="4180" w:type="dxa"/>
            <w:vAlign w:val="bottom"/>
            <w:tcBorders>
              <w:top w:val="single" w:sz="8" w:color="0000EE"/>
              <w:bottom w:val="single" w:sz="8" w:color="0000EE"/>
            </w:tcBorders>
            <w:gridSpan w:val="38"/>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Stockholder Communications with the Board of Directors</w:t>
              </w:r>
            </w:hyperlink>
          </w:p>
        </w:tc>
        <w:tc>
          <w:tcPr>
            <w:tcW w:w="280" w:type="dxa"/>
            <w:vAlign w:val="bottom"/>
            <w:tcBorders>
              <w:top w:val="single" w:sz="8" w:color="0000EE"/>
            </w:tcBorders>
            <w:gridSpan w:val="2"/>
          </w:tcPr>
          <w:p>
            <w:pPr>
              <w:spacing w:after="0"/>
              <w:rPr>
                <w:sz w:val="17"/>
                <w:szCs w:val="17"/>
                <w:color w:val="auto"/>
              </w:rPr>
            </w:pPr>
          </w:p>
        </w:tc>
        <w:tc>
          <w:tcPr>
            <w:tcW w:w="3480" w:type="dxa"/>
            <w:vAlign w:val="bottom"/>
            <w:gridSpan w:val="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52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Stock Ownership Policy</w:t>
              </w:r>
            </w:hyperlink>
          </w:p>
        </w:tc>
        <w:tc>
          <w:tcPr>
            <w:tcW w:w="6180" w:type="dxa"/>
            <w:vAlign w:val="bottom"/>
            <w:gridSpan w:val="33"/>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520" w:type="dxa"/>
            <w:vAlign w:val="bottom"/>
          </w:tcPr>
          <w:p>
            <w:pPr>
              <w:spacing w:after="0"/>
              <w:rPr>
                <w:sz w:val="17"/>
                <w:szCs w:val="17"/>
                <w:color w:val="auto"/>
              </w:rPr>
            </w:pPr>
          </w:p>
        </w:tc>
        <w:tc>
          <w:tcPr>
            <w:tcW w:w="288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Anti-Hedging and Anti-Pledging Policy</w:t>
              </w:r>
            </w:hyperlink>
          </w:p>
        </w:tc>
        <w:tc>
          <w:tcPr>
            <w:tcW w:w="5060" w:type="dxa"/>
            <w:vAlign w:val="bottom"/>
            <w:gridSpan w:val="14"/>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20" w:type="dxa"/>
            <w:vAlign w:val="bottom"/>
          </w:tcPr>
          <w:p>
            <w:pPr>
              <w:spacing w:after="0"/>
              <w:rPr>
                <w:sz w:val="17"/>
                <w:szCs w:val="17"/>
                <w:color w:val="auto"/>
              </w:rPr>
            </w:pPr>
          </w:p>
        </w:tc>
        <w:tc>
          <w:tcPr>
            <w:tcW w:w="19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Compensation of Directors</w:t>
              </w:r>
            </w:hyperlink>
          </w:p>
        </w:tc>
        <w:tc>
          <w:tcPr>
            <w:tcW w:w="5980" w:type="dxa"/>
            <w:vAlign w:val="bottom"/>
            <w:gridSpan w:val="29"/>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520" w:type="dxa"/>
            <w:vAlign w:val="bottom"/>
          </w:tcPr>
          <w:p>
            <w:pPr>
              <w:spacing w:after="0"/>
              <w:rPr>
                <w:sz w:val="17"/>
                <w:szCs w:val="17"/>
                <w:color w:val="auto"/>
              </w:rPr>
            </w:pPr>
          </w:p>
        </w:tc>
        <w:tc>
          <w:tcPr>
            <w:tcW w:w="210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2018 Director Compensation</w:t>
              </w:r>
            </w:hyperlink>
          </w:p>
        </w:tc>
        <w:tc>
          <w:tcPr>
            <w:tcW w:w="5840" w:type="dxa"/>
            <w:vAlign w:val="bottom"/>
            <w:gridSpan w:val="27"/>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99"/>
        </w:trPr>
        <w:tc>
          <w:tcPr>
            <w:tcW w:w="8460" w:type="dxa"/>
            <w:vAlign w:val="bottom"/>
            <w:gridSpan w:val="4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PROPOSAL NO. 1 ELECTION OF DIRECTORS</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9"/>
        </w:trPr>
        <w:tc>
          <w:tcPr>
            <w:tcW w:w="52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32"/>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Composition of our Board of Directors</w:t>
              </w:r>
            </w:hyperlink>
          </w:p>
        </w:tc>
        <w:tc>
          <w:tcPr>
            <w:tcW w:w="4820" w:type="dxa"/>
            <w:vAlign w:val="bottom"/>
            <w:gridSpan w:val="1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5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Directors and Director Nominees</w:t>
              </w:r>
            </w:hyperlink>
          </w:p>
        </w:tc>
        <w:tc>
          <w:tcPr>
            <w:tcW w:w="400" w:type="dxa"/>
            <w:vAlign w:val="bottom"/>
            <w:tcBorders>
              <w:top w:val="single" w:sz="8" w:color="0000EE"/>
            </w:tcBorders>
            <w:gridSpan w:val="6"/>
          </w:tcPr>
          <w:p>
            <w:pPr>
              <w:spacing w:after="0"/>
              <w:rPr>
                <w:sz w:val="17"/>
                <w:szCs w:val="17"/>
                <w:color w:val="auto"/>
              </w:rPr>
            </w:pPr>
          </w:p>
        </w:tc>
        <w:tc>
          <w:tcPr>
            <w:tcW w:w="5140" w:type="dxa"/>
            <w:vAlign w:val="bottom"/>
            <w:gridSpan w:val="16"/>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399"/>
        </w:trPr>
        <w:tc>
          <w:tcPr>
            <w:tcW w:w="8460" w:type="dxa"/>
            <w:vAlign w:val="bottom"/>
            <w:gridSpan w:val="4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PROPOSAL NO. 2 ADVISORY VOTE TO APPROVE NAMED EXECUTIVE OFFICER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9"/>
        </w:trPr>
        <w:tc>
          <w:tcPr>
            <w:tcW w:w="1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EXECUTIVE OFFICERS</w:t>
              </w:r>
            </w:hyperlink>
          </w:p>
        </w:tc>
        <w:tc>
          <w:tcPr>
            <w:tcW w:w="6120" w:type="dxa"/>
            <w:vAlign w:val="bottom"/>
            <w:tcBorders>
              <w:top w:val="single" w:sz="8" w:color="0000EE"/>
            </w:tcBorders>
            <w:gridSpan w:val="35"/>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8460" w:type="dxa"/>
            <w:vAlign w:val="bottom"/>
            <w:gridSpan w:val="4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EXECUTIVE COMPENSATION</w:t>
              </w:r>
            </w:hyperlink>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700" w:type="dxa"/>
            <w:vAlign w:val="bottom"/>
            <w:gridSpan w:val="8"/>
            <w:shd w:val="clear" w:color="auto" w:fill="0000EE"/>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9"/>
        </w:trPr>
        <w:tc>
          <w:tcPr>
            <w:tcW w:w="520" w:type="dxa"/>
            <w:vAlign w:val="bottom"/>
          </w:tcPr>
          <w:p>
            <w:pPr>
              <w:spacing w:after="0"/>
              <w:rPr>
                <w:sz w:val="24"/>
                <w:szCs w:val="24"/>
                <w:color w:val="auto"/>
              </w:rPr>
            </w:pPr>
          </w:p>
        </w:tc>
        <w:tc>
          <w:tcPr>
            <w:tcW w:w="286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Compensation Discussion and Analysis</w:t>
              </w:r>
            </w:hyperlink>
          </w:p>
        </w:tc>
        <w:tc>
          <w:tcPr>
            <w:tcW w:w="5080" w:type="dxa"/>
            <w:vAlign w:val="bottom"/>
            <w:gridSpan w:val="15"/>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Clawback Policy</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200" w:type="dxa"/>
            <w:vAlign w:val="bottom"/>
            <w:gridSpan w:val="1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20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Compensation of Named Executive Officers</w:t>
              </w:r>
            </w:hyperlink>
          </w:p>
        </w:tc>
        <w:tc>
          <w:tcPr>
            <w:tcW w:w="4740" w:type="dxa"/>
            <w:vAlign w:val="bottom"/>
            <w:gridSpan w:val="11"/>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520" w:type="dxa"/>
            <w:vAlign w:val="bottom"/>
          </w:tcPr>
          <w:p>
            <w:pPr>
              <w:spacing w:after="0"/>
              <w:rPr>
                <w:sz w:val="17"/>
                <w:szCs w:val="17"/>
                <w:color w:val="auto"/>
              </w:rPr>
            </w:pPr>
          </w:p>
        </w:tc>
        <w:tc>
          <w:tcPr>
            <w:tcW w:w="262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Executive Employment Agreements</w:t>
              </w:r>
            </w:hyperlink>
          </w:p>
        </w:tc>
        <w:tc>
          <w:tcPr>
            <w:tcW w:w="5320" w:type="dxa"/>
            <w:vAlign w:val="bottom"/>
            <w:gridSpan w:val="18"/>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Potential Payments upon Termination or Change in Control</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520" w:type="dxa"/>
            <w:vAlign w:val="bottom"/>
          </w:tcPr>
          <w:p>
            <w:pPr>
              <w:spacing w:after="0"/>
              <w:rPr>
                <w:sz w:val="17"/>
                <w:szCs w:val="17"/>
                <w:color w:val="auto"/>
              </w:rPr>
            </w:pPr>
          </w:p>
        </w:tc>
        <w:tc>
          <w:tcPr>
            <w:tcW w:w="4280" w:type="dxa"/>
            <w:vAlign w:val="bottom"/>
            <w:tcBorders>
              <w:top w:val="single" w:sz="8" w:color="0000EE"/>
            </w:tcBorders>
            <w:gridSpan w:val="3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Compensation Committee Report</w:t>
              </w:r>
            </w:hyperlink>
          </w:p>
        </w:tc>
        <w:tc>
          <w:tcPr>
            <w:tcW w:w="3660" w:type="dxa"/>
            <w:vAlign w:val="bottom"/>
            <w:gridSpan w:val="5"/>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5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80" w:type="dxa"/>
            <w:vAlign w:val="bottom"/>
            <w:gridSpan w:val="22"/>
            <w:shd w:val="clear" w:color="auto" w:fill="0000EE"/>
          </w:tcPr>
          <w:p>
            <w:pPr>
              <w:spacing w:after="0" w:line="20" w:lineRule="exact"/>
              <w:rPr>
                <w:sz w:val="1"/>
                <w:szCs w:val="1"/>
                <w:color w:val="auto"/>
              </w:rPr>
            </w:pPr>
          </w:p>
        </w:tc>
        <w:tc>
          <w:tcPr>
            <w:tcW w:w="3280" w:type="dxa"/>
            <w:vAlign w:val="bottom"/>
            <w:gridSpan w:val="1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99"/>
        </w:trPr>
        <w:tc>
          <w:tcPr>
            <w:tcW w:w="7800" w:type="dxa"/>
            <w:vAlign w:val="bottom"/>
            <w:tcBorders>
              <w:bottom w:val="single" w:sz="8" w:color="0000EE"/>
            </w:tcBorders>
            <w:gridSpan w:val="43"/>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PROPOSAL NO. 3 RATIFICATION OF INDEPENDENT REGISTERED PUBLIC ACCOUNTING FIRM</w:t>
              </w:r>
            </w:hyperlink>
          </w:p>
        </w:tc>
        <w:tc>
          <w:tcPr>
            <w:tcW w:w="66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99"/>
        </w:trPr>
        <w:tc>
          <w:tcPr>
            <w:tcW w:w="52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Fees</w:t>
              </w:r>
            </w:hyperlink>
          </w:p>
        </w:tc>
        <w:tc>
          <w:tcPr>
            <w:tcW w:w="7600" w:type="dxa"/>
            <w:vAlign w:val="bottom"/>
            <w:gridSpan w:val="43"/>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196"/>
        </w:trPr>
        <w:tc>
          <w:tcPr>
            <w:tcW w:w="520" w:type="dxa"/>
            <w:vAlign w:val="bottom"/>
          </w:tcPr>
          <w:p>
            <w:pPr>
              <w:spacing w:after="0"/>
              <w:rPr>
                <w:sz w:val="17"/>
                <w:szCs w:val="17"/>
                <w:color w:val="auto"/>
              </w:rPr>
            </w:pPr>
          </w:p>
        </w:tc>
        <w:tc>
          <w:tcPr>
            <w:tcW w:w="7940" w:type="dxa"/>
            <w:vAlign w:val="bottom"/>
            <w:gridSpan w:val="44"/>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Approval of Independent Registered Public Accounting firm Services and Fees</w:t>
              </w:r>
            </w:hyperlink>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71"/>
        </w:trPr>
        <w:tc>
          <w:tcPr>
            <w:tcW w:w="520" w:type="dxa"/>
            <w:vAlign w:val="bottom"/>
            <w:tcBorders>
              <w:bottom w:val="single" w:sz="8" w:color="auto"/>
            </w:tcBorders>
          </w:tcPr>
          <w:p>
            <w:pPr>
              <w:spacing w:after="0"/>
              <w:rPr>
                <w:sz w:val="23"/>
                <w:szCs w:val="23"/>
                <w:color w:val="auto"/>
              </w:rPr>
            </w:pPr>
          </w:p>
        </w:tc>
        <w:tc>
          <w:tcPr>
            <w:tcW w:w="340" w:type="dxa"/>
            <w:vAlign w:val="bottom"/>
            <w:tcBorders>
              <w:top w:val="single" w:sz="8" w:color="0000EE"/>
              <w:bottom w:val="single" w:sz="8" w:color="auto"/>
            </w:tcBorders>
          </w:tcPr>
          <w:p>
            <w:pPr>
              <w:spacing w:after="0"/>
              <w:rPr>
                <w:sz w:val="23"/>
                <w:szCs w:val="23"/>
                <w:color w:val="auto"/>
              </w:rPr>
            </w:pPr>
          </w:p>
        </w:tc>
        <w:tc>
          <w:tcPr>
            <w:tcW w:w="260" w:type="dxa"/>
            <w:vAlign w:val="bottom"/>
            <w:tcBorders>
              <w:top w:val="single" w:sz="8" w:color="0000EE"/>
              <w:bottom w:val="single" w:sz="8" w:color="auto"/>
            </w:tcBorders>
          </w:tcPr>
          <w:p>
            <w:pPr>
              <w:spacing w:after="0"/>
              <w:rPr>
                <w:sz w:val="23"/>
                <w:szCs w:val="23"/>
                <w:color w:val="auto"/>
              </w:rPr>
            </w:pPr>
          </w:p>
        </w:tc>
        <w:tc>
          <w:tcPr>
            <w:tcW w:w="160" w:type="dxa"/>
            <w:vAlign w:val="bottom"/>
            <w:tcBorders>
              <w:top w:val="single" w:sz="8" w:color="0000EE"/>
              <w:bottom w:val="single" w:sz="8" w:color="auto"/>
            </w:tcBorders>
          </w:tcPr>
          <w:p>
            <w:pPr>
              <w:spacing w:after="0"/>
              <w:rPr>
                <w:sz w:val="23"/>
                <w:szCs w:val="23"/>
                <w:color w:val="auto"/>
              </w:rPr>
            </w:pPr>
          </w:p>
        </w:tc>
        <w:tc>
          <w:tcPr>
            <w:tcW w:w="28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14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140" w:type="dxa"/>
            <w:vAlign w:val="bottom"/>
            <w:tcBorders>
              <w:top w:val="single" w:sz="8" w:color="0000EE"/>
              <w:bottom w:val="single" w:sz="8" w:color="auto"/>
            </w:tcBorders>
          </w:tcPr>
          <w:p>
            <w:pPr>
              <w:spacing w:after="0"/>
              <w:rPr>
                <w:sz w:val="23"/>
                <w:szCs w:val="23"/>
                <w:color w:val="auto"/>
              </w:rPr>
            </w:pPr>
          </w:p>
        </w:tc>
        <w:tc>
          <w:tcPr>
            <w:tcW w:w="22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12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20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80" w:type="dxa"/>
            <w:vAlign w:val="bottom"/>
            <w:tcBorders>
              <w:top w:val="single" w:sz="8" w:color="0000EE"/>
              <w:bottom w:val="single" w:sz="8" w:color="auto"/>
            </w:tcBorders>
          </w:tcPr>
          <w:p>
            <w:pPr>
              <w:spacing w:after="0"/>
              <w:rPr>
                <w:sz w:val="23"/>
                <w:szCs w:val="23"/>
                <w:color w:val="auto"/>
              </w:rPr>
            </w:pPr>
          </w:p>
        </w:tc>
        <w:tc>
          <w:tcPr>
            <w:tcW w:w="40" w:type="dxa"/>
            <w:vAlign w:val="bottom"/>
            <w:tcBorders>
              <w:top w:val="single" w:sz="8" w:color="0000EE"/>
              <w:bottom w:val="single" w:sz="8" w:color="auto"/>
            </w:tcBorders>
          </w:tcPr>
          <w:p>
            <w:pPr>
              <w:spacing w:after="0"/>
              <w:rPr>
                <w:sz w:val="23"/>
                <w:szCs w:val="23"/>
                <w:color w:val="auto"/>
              </w:rPr>
            </w:pPr>
          </w:p>
        </w:tc>
        <w:tc>
          <w:tcPr>
            <w:tcW w:w="8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160" w:type="dxa"/>
            <w:vAlign w:val="bottom"/>
            <w:tcBorders>
              <w:top w:val="single" w:sz="8" w:color="0000EE"/>
              <w:bottom w:val="single" w:sz="8" w:color="auto"/>
            </w:tcBorders>
          </w:tcPr>
          <w:p>
            <w:pPr>
              <w:spacing w:after="0"/>
              <w:rPr>
                <w:sz w:val="23"/>
                <w:szCs w:val="23"/>
                <w:color w:val="auto"/>
              </w:rPr>
            </w:pPr>
          </w:p>
        </w:tc>
        <w:tc>
          <w:tcPr>
            <w:tcW w:w="6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180" w:type="dxa"/>
            <w:vAlign w:val="bottom"/>
            <w:tcBorders>
              <w:top w:val="single" w:sz="8" w:color="0000EE"/>
              <w:bottom w:val="single" w:sz="8" w:color="auto"/>
            </w:tcBorders>
          </w:tcPr>
          <w:p>
            <w:pPr>
              <w:spacing w:after="0"/>
              <w:rPr>
                <w:sz w:val="23"/>
                <w:szCs w:val="23"/>
                <w:color w:val="auto"/>
              </w:rPr>
            </w:pPr>
          </w:p>
        </w:tc>
        <w:tc>
          <w:tcPr>
            <w:tcW w:w="60" w:type="dxa"/>
            <w:vAlign w:val="bottom"/>
            <w:tcBorders>
              <w:top w:val="single" w:sz="8" w:color="0000EE"/>
              <w:bottom w:val="single" w:sz="8" w:color="auto"/>
            </w:tcBorders>
          </w:tcPr>
          <w:p>
            <w:pPr>
              <w:spacing w:after="0"/>
              <w:rPr>
                <w:sz w:val="23"/>
                <w:szCs w:val="23"/>
                <w:color w:val="auto"/>
              </w:rPr>
            </w:pPr>
          </w:p>
        </w:tc>
        <w:tc>
          <w:tcPr>
            <w:tcW w:w="8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20" w:type="dxa"/>
            <w:vAlign w:val="bottom"/>
            <w:tcBorders>
              <w:top w:val="single" w:sz="8" w:color="0000EE"/>
              <w:bottom w:val="single" w:sz="8" w:color="auto"/>
            </w:tcBorders>
          </w:tcPr>
          <w:p>
            <w:pPr>
              <w:spacing w:after="0"/>
              <w:rPr>
                <w:sz w:val="23"/>
                <w:szCs w:val="23"/>
                <w:color w:val="auto"/>
              </w:rPr>
            </w:pPr>
          </w:p>
        </w:tc>
        <w:tc>
          <w:tcPr>
            <w:tcW w:w="500" w:type="dxa"/>
            <w:vAlign w:val="bottom"/>
            <w:tcBorders>
              <w:top w:val="single" w:sz="8" w:color="0000EE"/>
              <w:bottom w:val="single" w:sz="8" w:color="auto"/>
            </w:tcBorders>
          </w:tcPr>
          <w:p>
            <w:pPr>
              <w:spacing w:after="0"/>
              <w:rPr>
                <w:sz w:val="23"/>
                <w:szCs w:val="23"/>
                <w:color w:val="auto"/>
              </w:rPr>
            </w:pPr>
          </w:p>
        </w:tc>
        <w:tc>
          <w:tcPr>
            <w:tcW w:w="60" w:type="dxa"/>
            <w:vAlign w:val="bottom"/>
            <w:tcBorders>
              <w:top w:val="single" w:sz="8" w:color="0000EE"/>
              <w:bottom w:val="single" w:sz="8" w:color="auto"/>
            </w:tcBorders>
          </w:tcPr>
          <w:p>
            <w:pPr>
              <w:spacing w:after="0"/>
              <w:rPr>
                <w:sz w:val="23"/>
                <w:szCs w:val="23"/>
                <w:color w:val="auto"/>
              </w:rPr>
            </w:pPr>
          </w:p>
        </w:tc>
        <w:tc>
          <w:tcPr>
            <w:tcW w:w="38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auto"/>
            </w:tcBorders>
          </w:tcPr>
          <w:p>
            <w:pPr>
              <w:spacing w:after="0"/>
              <w:rPr>
                <w:sz w:val="23"/>
                <w:szCs w:val="23"/>
                <w:color w:val="auto"/>
              </w:rPr>
            </w:pPr>
          </w:p>
        </w:tc>
        <w:tc>
          <w:tcPr>
            <w:tcW w:w="180" w:type="dxa"/>
            <w:vAlign w:val="bottom"/>
            <w:tcBorders>
              <w:top w:val="single" w:sz="8" w:color="0000EE"/>
              <w:bottom w:val="single" w:sz="8" w:color="auto"/>
            </w:tcBorders>
          </w:tcPr>
          <w:p>
            <w:pPr>
              <w:spacing w:after="0"/>
              <w:rPr>
                <w:sz w:val="23"/>
                <w:szCs w:val="23"/>
                <w:color w:val="auto"/>
              </w:rPr>
            </w:pPr>
          </w:p>
        </w:tc>
        <w:tc>
          <w:tcPr>
            <w:tcW w:w="1240" w:type="dxa"/>
            <w:vAlign w:val="bottom"/>
            <w:tcBorders>
              <w:top w:val="single" w:sz="8" w:color="0000EE"/>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r>
    </w:tbl>
    <w:p>
      <w:pPr>
        <w:sectPr>
          <w:pgSz w:w="11900" w:h="16838" w:orient="portrait"/>
          <w:cols w:equalWidth="0" w:num="1">
            <w:col w:w="9060"/>
          </w:cols>
          <w:pgMar w:left="1420" w:top="108" w:right="14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4">
              <w:r>
                <w:rPr>
                  <w:rFonts w:ascii="Arial" w:cs="Arial" w:eastAsia="Arial" w:hAnsi="Arial"/>
                  <w:sz w:val="18"/>
                  <w:szCs w:val="18"/>
                  <w:color w:val="0563C1"/>
                  <w:w w:val="88"/>
                </w:rPr>
                <w:t>Table of Contents</w:t>
              </w:r>
            </w:hyperlink>
          </w:p>
        </w:tc>
        <w:tc>
          <w:tcPr>
            <w:tcW w:w="686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r>
      <w:tr>
        <w:trPr>
          <w:trHeight w:val="777"/>
        </w:trPr>
        <w:tc>
          <w:tcPr>
            <w:tcW w:w="520" w:type="dxa"/>
            <w:vAlign w:val="bottom"/>
          </w:tcPr>
          <w:p>
            <w:pPr>
              <w:spacing w:after="0"/>
              <w:rPr>
                <w:sz w:val="24"/>
                <w:szCs w:val="24"/>
                <w:color w:val="auto"/>
              </w:rPr>
            </w:pPr>
          </w:p>
        </w:tc>
        <w:tc>
          <w:tcPr>
            <w:tcW w:w="18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Audit Committee Report</w:t>
              </w:r>
            </w:hyperlink>
          </w:p>
        </w:tc>
        <w:tc>
          <w:tcPr>
            <w:tcW w:w="582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520" w:type="dxa"/>
            <w:vAlign w:val="bottom"/>
          </w:tcPr>
          <w:p>
            <w:pPr>
              <w:spacing w:after="0"/>
              <w:rPr>
                <w:sz w:val="17"/>
                <w:szCs w:val="17"/>
                <w:color w:val="auto"/>
              </w:rPr>
            </w:pPr>
          </w:p>
        </w:tc>
        <w:tc>
          <w:tcPr>
            <w:tcW w:w="68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Primary Responsibilities of the Audit Committee and the Audit Committee’s Activities in 2018</w:t>
              </w:r>
            </w:hyperlink>
          </w:p>
        </w:tc>
        <w:tc>
          <w:tcPr>
            <w:tcW w:w="7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412"/>
        </w:trPr>
        <w:tc>
          <w:tcPr>
            <w:tcW w:w="814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AUDIT COMMITTEE REPORT</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20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394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BENEFICIAL OWNERSHIP OF COMMON STOCK</w:t>
              </w:r>
            </w:hyperlink>
          </w:p>
        </w:tc>
        <w:tc>
          <w:tcPr>
            <w:tcW w:w="420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8140" w:type="dxa"/>
            <w:vAlign w:val="bottom"/>
            <w:gridSpan w:val="1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2"/>
        </w:trPr>
        <w:tc>
          <w:tcPr>
            <w:tcW w:w="520" w:type="dxa"/>
            <w:vAlign w:val="bottom"/>
            <w:tcBorders>
              <w:top w:val="single" w:sz="8" w:color="0000EE"/>
            </w:tcBorders>
          </w:tcPr>
          <w:p>
            <w:pPr>
              <w:spacing w:after="0"/>
              <w:rPr>
                <w:sz w:val="24"/>
                <w:szCs w:val="24"/>
                <w:color w:val="auto"/>
              </w:rPr>
            </w:pPr>
          </w:p>
        </w:tc>
        <w:tc>
          <w:tcPr>
            <w:tcW w:w="3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Policies and Procedures for Related Party Transactions</w:t>
              </w:r>
            </w:hyperlink>
          </w:p>
        </w:tc>
        <w:tc>
          <w:tcPr>
            <w:tcW w:w="380" w:type="dxa"/>
            <w:vAlign w:val="bottom"/>
            <w:tcBorders>
              <w:top w:val="single" w:sz="8" w:color="0000EE"/>
            </w:tcBorders>
          </w:tcPr>
          <w:p>
            <w:pPr>
              <w:spacing w:after="0"/>
              <w:rPr>
                <w:sz w:val="24"/>
                <w:szCs w:val="24"/>
                <w:color w:val="auto"/>
              </w:rPr>
            </w:pPr>
          </w:p>
        </w:tc>
        <w:tc>
          <w:tcPr>
            <w:tcW w:w="328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196"/>
        </w:trPr>
        <w:tc>
          <w:tcPr>
            <w:tcW w:w="520" w:type="dxa"/>
            <w:vAlign w:val="bottom"/>
          </w:tcPr>
          <w:p>
            <w:pPr>
              <w:spacing w:after="0"/>
              <w:rPr>
                <w:sz w:val="17"/>
                <w:szCs w:val="17"/>
                <w:color w:val="auto"/>
              </w:rPr>
            </w:pPr>
          </w:p>
        </w:tc>
        <w:tc>
          <w:tcPr>
            <w:tcW w:w="7620" w:type="dxa"/>
            <w:vAlign w:val="bottom"/>
            <w:gridSpan w:val="1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Certain Transactions</w:t>
              </w:r>
            </w:hyperlink>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5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2"/>
        </w:trPr>
        <w:tc>
          <w:tcPr>
            <w:tcW w:w="56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SECTION 16(a) BENEFICIAL OWNERSHIP REPORTING COMPLIANCE</w:t>
              </w:r>
            </w:hyperlink>
          </w:p>
        </w:tc>
        <w:tc>
          <w:tcPr>
            <w:tcW w:w="250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8140" w:type="dxa"/>
            <w:vAlign w:val="bottom"/>
            <w:gridSpan w:val="1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HOUSEHOLDING OF PROXY MATERIALS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3400" w:type="dxa"/>
            <w:vAlign w:val="bottom"/>
            <w:tcBorders>
              <w:top w:val="single" w:sz="8" w:color="0000EE"/>
            </w:tcBorders>
            <w:gridSpan w:val="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ADDITIONAL INFORMATION</w:t>
              </w:r>
            </w:hyperlink>
          </w:p>
        </w:tc>
        <w:tc>
          <w:tcPr>
            <w:tcW w:w="474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703"/>
        </w:trPr>
        <w:tc>
          <w:tcPr>
            <w:tcW w:w="52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1335405</wp:posOffset>
            </wp:positionV>
            <wp:extent cx="5754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358140</wp:posOffset>
            </wp:positionV>
            <wp:extent cx="5548630" cy="840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863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57543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right="200" w:firstLine="648"/>
        <w:spacing w:after="0" w:line="220" w:lineRule="exact"/>
        <w:rPr>
          <w:sz w:val="20"/>
          <w:szCs w:val="20"/>
          <w:color w:val="auto"/>
        </w:rPr>
      </w:pPr>
      <w:r>
        <w:rPr>
          <w:rFonts w:ascii="Arial" w:cs="Arial" w:eastAsia="Arial" w:hAnsi="Arial"/>
          <w:sz w:val="18"/>
          <w:szCs w:val="18"/>
          <w:i w:val="1"/>
          <w:iCs w:val="1"/>
          <w:color w:val="auto"/>
        </w:rPr>
        <w:t>This summary highlights information contained elsewhere in the Proxy Statement. This summary does not contain all of the information that you should consider, and you should read the entire Proxy Statement before voting. For more complete information regarding the Company’s 2018 performance, please review the Company’s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for the year ended December 31, 2018.</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w:t>
      </w:r>
    </w:p>
    <w:p>
      <w:pPr>
        <w:spacing w:after="0" w:line="22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6"/>
          <w:szCs w:val="16"/>
          <w:color w:val="auto"/>
        </w:rPr>
        <w:t>Thursday, June 13, 2019 9:00 a.m., Arizona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6"/>
          <w:szCs w:val="16"/>
          <w:color w:val="auto"/>
        </w:rPr>
        <w:t>April 18, 2019</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Grand Canyon Education, Inc.</w:t>
      </w:r>
    </w:p>
    <w:p>
      <w:pPr>
        <w:spacing w:after="0" w:line="2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2600 W. Camelback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Phoenix, Arizona 85017</w:t>
      </w:r>
    </w:p>
    <w:p>
      <w:pPr>
        <w:spacing w:after="0" w:line="207" w:lineRule="exact"/>
        <w:rPr>
          <w:sz w:val="20"/>
          <w:szCs w:val="20"/>
          <w:color w:val="auto"/>
        </w:rPr>
      </w:pPr>
    </w:p>
    <w:p>
      <w:pPr>
        <w:ind w:left="1620" w:right="20" w:hanging="1619"/>
        <w:spacing w:after="0" w:line="293" w:lineRule="auto"/>
        <w:tabs>
          <w:tab w:leader="none" w:pos="160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Please help us save time and administrative costs by submitting your proxy through the Internet or by telephone. Each method is generally available 24 hours a day and will ensure that your voting instructions are confirmed and posted immediately. Stockholders of record as of April 18, 2019 may cast their votes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279400</wp:posOffset>
            </wp:positionV>
            <wp:extent cx="591820" cy="557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1820" cy="557530"/>
                    </a:xfrm>
                    <a:prstGeom prst="rect">
                      <a:avLst/>
                    </a:prstGeom>
                    <a:noFill/>
                  </pic:spPr>
                </pic:pic>
              </a:graphicData>
            </a:graphic>
          </wp:anchor>
        </w:drawing>
        <w:drawing>
          <wp:anchor simplePos="0" relativeHeight="251657728" behindDoc="1" locked="0" layoutInCell="0" allowOverlap="1">
            <wp:simplePos x="0" y="0"/>
            <wp:positionH relativeFrom="column">
              <wp:posOffset>2025650</wp:posOffset>
            </wp:positionH>
            <wp:positionV relativeFrom="paragraph">
              <wp:posOffset>313690</wp:posOffset>
            </wp:positionV>
            <wp:extent cx="300355" cy="523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355" cy="52324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339090</wp:posOffset>
            </wp:positionV>
            <wp:extent cx="437515"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7515" cy="497205"/>
                    </a:xfrm>
                    <a:prstGeom prst="rect">
                      <a:avLst/>
                    </a:prstGeom>
                    <a:noFill/>
                  </pic:spPr>
                </pic:pic>
              </a:graphicData>
            </a:graphic>
          </wp:anchor>
        </w:drawing>
        <w:drawing>
          <wp:anchor simplePos="0" relativeHeight="251657728" behindDoc="1" locked="0" layoutInCell="0" allowOverlap="1">
            <wp:simplePos x="0" y="0"/>
            <wp:positionH relativeFrom="column">
              <wp:posOffset>4821555</wp:posOffset>
            </wp:positionH>
            <wp:positionV relativeFrom="paragraph">
              <wp:posOffset>125095</wp:posOffset>
            </wp:positionV>
            <wp:extent cx="540385" cy="711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0385" cy="7118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20"/>
        <w:spacing w:after="0"/>
        <w:rPr>
          <w:sz w:val="20"/>
          <w:szCs w:val="20"/>
          <w:color w:val="auto"/>
        </w:rPr>
      </w:pPr>
      <w:r>
        <w:rPr>
          <w:rFonts w:ascii="Arial" w:cs="Arial" w:eastAsia="Arial" w:hAnsi="Arial"/>
          <w:sz w:val="15"/>
          <w:szCs w:val="15"/>
          <w:b w:val="1"/>
          <w:bCs w:val="1"/>
          <w:color w:val="3C5F52"/>
        </w:rPr>
        <w:t>Internet</w:t>
      </w:r>
    </w:p>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i w:val="1"/>
          <w:iCs w:val="1"/>
          <w:color w:val="auto"/>
        </w:rPr>
        <w:t>www.investorvote.com/LOPE</w:t>
      </w:r>
      <w:r>
        <w:rPr>
          <w:rFonts w:ascii="Arial" w:cs="Arial" w:eastAsia="Arial" w:hAnsi="Arial"/>
          <w:sz w:val="14"/>
          <w:szCs w:val="14"/>
          <w:color w:val="auto"/>
        </w:rPr>
        <w:t>, 24 hours a day, seven days a week, through 11:00 p.m. (PT) on June 12, 2019.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F52"/>
        </w:rPr>
        <w:t>Phone</w:t>
      </w:r>
    </w:p>
    <w:p>
      <w:pPr>
        <w:spacing w:after="0" w:line="6" w:lineRule="exact"/>
        <w:rPr>
          <w:sz w:val="20"/>
          <w:szCs w:val="20"/>
          <w:color w:val="auto"/>
        </w:rPr>
      </w:pPr>
    </w:p>
    <w:p>
      <w:pPr>
        <w:jc w:val="both"/>
        <w:spacing w:after="0" w:line="165" w:lineRule="exact"/>
        <w:rPr>
          <w:sz w:val="20"/>
          <w:szCs w:val="20"/>
          <w:color w:val="auto"/>
        </w:rPr>
      </w:pPr>
      <w:r>
        <w:rPr>
          <w:rFonts w:ascii="Arial" w:cs="Arial" w:eastAsia="Arial" w:hAnsi="Arial"/>
          <w:sz w:val="15"/>
          <w:szCs w:val="15"/>
          <w:color w:val="auto"/>
        </w:rPr>
        <w:t>Call 1</w:t>
      </w:r>
      <w:r>
        <w:rPr>
          <w:rFonts w:ascii="MS PGothic" w:cs="MS PGothic" w:eastAsia="MS PGothic" w:hAnsi="MS PGothic"/>
          <w:sz w:val="15"/>
          <w:szCs w:val="15"/>
          <w:color w:val="auto"/>
        </w:rPr>
        <w:t>‑</w:t>
      </w:r>
      <w:r>
        <w:rPr>
          <w:rFonts w:ascii="Arial" w:cs="Arial" w:eastAsia="Arial" w:hAnsi="Arial"/>
          <w:sz w:val="15"/>
          <w:szCs w:val="15"/>
          <w:color w:val="auto"/>
        </w:rPr>
        <w:t>800</w:t>
      </w:r>
      <w:r>
        <w:rPr>
          <w:rFonts w:ascii="MS PGothic" w:cs="MS PGothic" w:eastAsia="MS PGothic" w:hAnsi="MS PGothic"/>
          <w:sz w:val="15"/>
          <w:szCs w:val="15"/>
          <w:color w:val="auto"/>
        </w:rPr>
        <w:t>‑</w:t>
      </w:r>
      <w:r>
        <w:rPr>
          <w:rFonts w:ascii="Arial" w:cs="Arial" w:eastAsia="Arial" w:hAnsi="Arial"/>
          <w:sz w:val="15"/>
          <w:szCs w:val="15"/>
          <w:color w:val="auto"/>
        </w:rPr>
        <w:t>652</w:t>
      </w:r>
      <w:r>
        <w:rPr>
          <w:rFonts w:ascii="MS PGothic" w:cs="MS PGothic" w:eastAsia="MS PGothic" w:hAnsi="MS PGothic"/>
          <w:sz w:val="15"/>
          <w:szCs w:val="15"/>
          <w:color w:val="auto"/>
        </w:rPr>
        <w:t>‑</w:t>
      </w:r>
      <w:r>
        <w:rPr>
          <w:rFonts w:ascii="Arial" w:cs="Arial" w:eastAsia="Arial" w:hAnsi="Arial"/>
          <w:sz w:val="15"/>
          <w:szCs w:val="15"/>
          <w:color w:val="auto"/>
        </w:rPr>
        <w:t>VOTE (8683), 24 hours a day, seven days a week, through 11:00 p.m. (PT) on June 12, 2019. Please have available your notice card. Follow the simple instructions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F52"/>
        </w:rPr>
        <w:t>Mail</w:t>
      </w:r>
    </w:p>
    <w:p>
      <w:pPr>
        <w:spacing w:after="0" w:line="6"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Mark, sign and date your proxy card. Return it in the enclosed postage-paid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F52"/>
        </w:rPr>
        <w:t>In Person</w:t>
      </w:r>
    </w:p>
    <w:p>
      <w:pPr>
        <w:spacing w:after="0" w:line="6"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If you plan to attend the meeting in person, you will need to bring a picture ID and proof of ownership of Grand Canyon Education, Inc. common stock as of the record date.</w:t>
      </w:r>
    </w:p>
    <w:p>
      <w:pPr>
        <w:spacing w:after="0" w:line="357" w:lineRule="exact"/>
        <w:rPr>
          <w:sz w:val="20"/>
          <w:szCs w:val="20"/>
          <w:color w:val="auto"/>
        </w:rPr>
      </w:pPr>
    </w:p>
    <w:p>
      <w:pPr>
        <w:sectPr>
          <w:pgSz w:w="11900" w:h="16838" w:orient="portrait"/>
          <w:cols w:equalWidth="0" w:num="4">
            <w:col w:w="2160" w:space="220"/>
            <w:col w:w="2100" w:space="200"/>
            <w:col w:w="2080" w:space="220"/>
            <w:col w:w="2080"/>
          </w:cols>
          <w:pgMar w:left="1420" w:top="125" w:right="141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MATTERS TO BE VOTED UPON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are being asked to vote on the following matters at the Annual Meeting: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2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Proposal</w:t>
            </w:r>
          </w:p>
        </w:tc>
        <w:tc>
          <w:tcPr>
            <w:tcW w:w="3060" w:type="dxa"/>
            <w:vAlign w:val="bottom"/>
            <w:tcBorders>
              <w:top w:val="single" w:sz="8" w:color="auto"/>
            </w:tcBorders>
          </w:tcPr>
          <w:p>
            <w:pPr>
              <w:ind w:left="680"/>
              <w:spacing w:after="0"/>
              <w:rPr>
                <w:sz w:val="20"/>
                <w:szCs w:val="20"/>
                <w:color w:val="auto"/>
              </w:rPr>
            </w:pPr>
            <w:r>
              <w:rPr>
                <w:rFonts w:ascii="Arial" w:cs="Arial" w:eastAsia="Arial" w:hAnsi="Arial"/>
                <w:sz w:val="16"/>
                <w:szCs w:val="16"/>
                <w:b w:val="1"/>
                <w:bCs w:val="1"/>
                <w:i w:val="1"/>
                <w:iCs w:val="1"/>
                <w:color w:val="auto"/>
              </w:rPr>
              <w:t>Description</w:t>
            </w:r>
          </w:p>
        </w:tc>
        <w:tc>
          <w:tcPr>
            <w:tcW w:w="2880" w:type="dxa"/>
            <w:vAlign w:val="bottom"/>
            <w:tcBorders>
              <w:top w:val="single" w:sz="8" w:color="auto"/>
            </w:tcBorders>
          </w:tcPr>
          <w:p>
            <w:pPr>
              <w:ind w:left="1580"/>
              <w:spacing w:after="0"/>
              <w:rPr>
                <w:sz w:val="20"/>
                <w:szCs w:val="20"/>
                <w:color w:val="auto"/>
              </w:rPr>
            </w:pPr>
            <w:r>
              <w:rPr>
                <w:rFonts w:ascii="Arial" w:cs="Arial" w:eastAsia="Arial" w:hAnsi="Arial"/>
                <w:sz w:val="16"/>
                <w:szCs w:val="16"/>
                <w:b w:val="1"/>
                <w:bCs w:val="1"/>
                <w:i w:val="1"/>
                <w:iCs w:val="1"/>
                <w:color w:val="auto"/>
              </w:rPr>
              <w:t>Board</w:t>
            </w:r>
          </w:p>
        </w:tc>
        <w:tc>
          <w:tcPr>
            <w:tcW w:w="1700" w:type="dxa"/>
            <w:vAlign w:val="bottom"/>
            <w:tcBorders>
              <w:top w:val="single" w:sz="8" w:color="auto"/>
            </w:tcBorders>
          </w:tcPr>
          <w:p>
            <w:pPr>
              <w:ind w:left="140"/>
              <w:spacing w:after="0"/>
              <w:rPr>
                <w:sz w:val="20"/>
                <w:szCs w:val="20"/>
                <w:color w:val="auto"/>
              </w:rPr>
            </w:pPr>
            <w:r>
              <w:rPr>
                <w:rFonts w:ascii="Arial" w:cs="Arial" w:eastAsia="Arial" w:hAnsi="Arial"/>
                <w:sz w:val="16"/>
                <w:szCs w:val="16"/>
                <w:b w:val="1"/>
                <w:bCs w:val="1"/>
                <w:i w:val="1"/>
                <w:iCs w:val="1"/>
                <w:color w:val="auto"/>
              </w:rPr>
              <w:t>Page Reference for</w:t>
            </w:r>
          </w:p>
        </w:tc>
      </w:tr>
      <w:tr>
        <w:trPr>
          <w:trHeight w:val="206"/>
        </w:trPr>
        <w:tc>
          <w:tcPr>
            <w:tcW w:w="14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80" w:type="dxa"/>
            <w:vAlign w:val="bottom"/>
          </w:tcPr>
          <w:p>
            <w:pPr>
              <w:ind w:left="1580"/>
              <w:spacing w:after="0"/>
              <w:rPr>
                <w:sz w:val="20"/>
                <w:szCs w:val="20"/>
                <w:color w:val="auto"/>
              </w:rPr>
            </w:pPr>
            <w:r>
              <w:rPr>
                <w:rFonts w:ascii="Arial" w:cs="Arial" w:eastAsia="Arial" w:hAnsi="Arial"/>
                <w:sz w:val="16"/>
                <w:szCs w:val="16"/>
                <w:b w:val="1"/>
                <w:bCs w:val="1"/>
                <w:i w:val="1"/>
                <w:iCs w:val="1"/>
                <w:color w:val="auto"/>
                <w:w w:val="95"/>
              </w:rPr>
              <w:t>Recommendation</w:t>
            </w:r>
          </w:p>
        </w:tc>
        <w:tc>
          <w:tcPr>
            <w:tcW w:w="170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Further Information:</w:t>
            </w:r>
          </w:p>
        </w:tc>
      </w:tr>
    </w:tbl>
    <w:p>
      <w:pPr>
        <w:spacing w:after="0" w:line="6" w:lineRule="exact"/>
        <w:rPr>
          <w:sz w:val="20"/>
          <w:szCs w:val="20"/>
          <w:color w:val="auto"/>
        </w:rPr>
      </w:pPr>
    </w:p>
    <w:p>
      <w:pPr>
        <w:sectPr>
          <w:pgSz w:w="11900" w:h="16838" w:orient="portrait"/>
          <w:cols w:equalWidth="0" w:num="1">
            <w:col w:w="9060"/>
          </w:cols>
          <w:pgMar w:left="1420" w:top="125" w:right="1419" w:bottom="1440" w:gutter="0" w:footer="0" w:header="0"/>
        </w:sectPr>
      </w:pPr>
    </w:p>
    <w:p>
      <w:pPr>
        <w:spacing w:after="0" w:line="4" w:lineRule="exact"/>
        <w:rPr>
          <w:sz w:val="20"/>
          <w:szCs w:val="20"/>
          <w:color w:val="auto"/>
        </w:rPr>
      </w:pPr>
    </w:p>
    <w:p>
      <w:pPr>
        <w:jc w:val="both"/>
        <w:ind w:left="320" w:hanging="187"/>
        <w:spacing w:after="0" w:line="369" w:lineRule="auto"/>
        <w:tabs>
          <w:tab w:leader="none" w:pos="328" w:val="left"/>
        </w:tabs>
        <w:numPr>
          <w:ilvl w:val="0"/>
          <w:numId w:val="5"/>
        </w:numPr>
        <w:rPr>
          <w:rFonts w:ascii="Arial" w:cs="Arial" w:eastAsia="Arial" w:hAnsi="Arial"/>
          <w:sz w:val="14"/>
          <w:szCs w:val="14"/>
          <w:b w:val="1"/>
          <w:bCs w:val="1"/>
          <w:color w:val="auto"/>
        </w:rPr>
      </w:pPr>
      <w:r>
        <w:rPr>
          <w:rFonts w:ascii="Arial" w:cs="Arial" w:eastAsia="Arial" w:hAnsi="Arial"/>
          <w:sz w:val="14"/>
          <w:szCs w:val="14"/>
          <w:i w:val="1"/>
          <w:iCs w:val="1"/>
          <w:color w:val="auto"/>
        </w:rPr>
        <w:t>To elect five directors to our Board of Directors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940" w:val="left"/>
        </w:tabs>
        <w:rPr>
          <w:sz w:val="20"/>
          <w:szCs w:val="20"/>
          <w:color w:val="auto"/>
        </w:rPr>
      </w:pPr>
      <w:r>
        <w:rPr>
          <w:rFonts w:ascii="Arial" w:cs="Arial" w:eastAsia="Arial" w:hAnsi="Arial"/>
          <w:sz w:val="16"/>
          <w:szCs w:val="16"/>
          <w:color w:val="auto"/>
        </w:rPr>
        <w:t>The Board and the Nominating and Corporate</w:t>
      </w:r>
      <w:r>
        <w:rPr>
          <w:sz w:val="20"/>
          <w:szCs w:val="20"/>
          <w:color w:val="auto"/>
        </w:rPr>
        <w:tab/>
      </w:r>
      <w:r>
        <w:rPr>
          <w:rFonts w:ascii="Arial" w:cs="Arial" w:eastAsia="Arial" w:hAnsi="Arial"/>
          <w:sz w:val="15"/>
          <w:szCs w:val="15"/>
          <w:b w:val="1"/>
          <w:bCs w:val="1"/>
          <w:color w:val="auto"/>
        </w:rPr>
        <w:t xml:space="preserve">“FOR” </w:t>
      </w:r>
      <w:r>
        <w:rPr>
          <w:rFonts w:ascii="Arial" w:cs="Arial" w:eastAsia="Arial" w:hAnsi="Arial"/>
          <w:sz w:val="15"/>
          <w:szCs w:val="15"/>
          <w:color w:val="auto"/>
        </w:rPr>
        <w:t>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-116205</wp:posOffset>
            </wp:positionV>
            <wp:extent cx="5754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6" w:lineRule="exact"/>
        <w:rPr>
          <w:sz w:val="20"/>
          <w:szCs w:val="20"/>
          <w:color w:val="auto"/>
        </w:rPr>
      </w:pPr>
    </w:p>
    <w:p>
      <w:pPr>
        <w:spacing w:after="0"/>
        <w:tabs>
          <w:tab w:leader="none" w:pos="3940" w:val="left"/>
        </w:tabs>
        <w:rPr>
          <w:sz w:val="20"/>
          <w:szCs w:val="20"/>
          <w:color w:val="auto"/>
        </w:rPr>
      </w:pPr>
      <w:r>
        <w:rPr>
          <w:rFonts w:ascii="Arial" w:cs="Arial" w:eastAsia="Arial" w:hAnsi="Arial"/>
          <w:sz w:val="16"/>
          <w:szCs w:val="16"/>
          <w:color w:val="auto"/>
        </w:rPr>
        <w:t>Governance Committee believe that the five director</w:t>
      </w:r>
      <w:r>
        <w:rPr>
          <w:sz w:val="20"/>
          <w:szCs w:val="20"/>
          <w:color w:val="auto"/>
        </w:rPr>
        <w:tab/>
      </w:r>
      <w:r>
        <w:rPr>
          <w:rFonts w:ascii="Arial" w:cs="Arial" w:eastAsia="Arial" w:hAnsi="Arial"/>
          <w:sz w:val="14"/>
          <w:szCs w:val="14"/>
          <w:color w:val="auto"/>
        </w:rPr>
        <w:t>director nominee</w:t>
      </w:r>
    </w:p>
    <w:p>
      <w:pPr>
        <w:spacing w:after="0" w:line="19" w:lineRule="exact"/>
        <w:rPr>
          <w:sz w:val="20"/>
          <w:szCs w:val="20"/>
          <w:color w:val="auto"/>
        </w:rPr>
      </w:pPr>
    </w:p>
    <w:p>
      <w:pPr>
        <w:ind w:right="3240"/>
        <w:spacing w:after="0" w:line="270" w:lineRule="auto"/>
        <w:rPr>
          <w:sz w:val="20"/>
          <w:szCs w:val="20"/>
          <w:color w:val="auto"/>
        </w:rPr>
      </w:pPr>
      <w:r>
        <w:rPr>
          <w:rFonts w:ascii="Arial" w:cs="Arial" w:eastAsia="Arial" w:hAnsi="Arial"/>
          <w:sz w:val="16"/>
          <w:szCs w:val="16"/>
          <w:color w:val="auto"/>
        </w:rPr>
        <w:t>nominees possess the necessary qualifications, attributes, skills and experiences to provide quality advice and counsel to the Company’s management and effectively oversee the business and long-term interests of our stockholders.</w:t>
      </w:r>
    </w:p>
    <w:p>
      <w:pPr>
        <w:spacing w:after="0" w:line="173" w:lineRule="exact"/>
        <w:rPr>
          <w:sz w:val="20"/>
          <w:szCs w:val="20"/>
          <w:color w:val="auto"/>
        </w:rPr>
      </w:pPr>
    </w:p>
    <w:p>
      <w:pPr>
        <w:sectPr>
          <w:pgSz w:w="11900" w:h="16838" w:orient="portrait"/>
          <w:cols w:equalWidth="0" w:num="2">
            <w:col w:w="1900" w:space="200"/>
            <w:col w:w="6960"/>
          </w:cols>
          <w:pgMar w:left="1420" w:top="125" w:right="1419" w:bottom="1440" w:gutter="0" w:footer="0" w:header="0"/>
          <w:type w:val="continuous"/>
        </w:sectPr>
      </w:pPr>
    </w:p>
    <w:p>
      <w:pPr>
        <w:ind w:left="140"/>
        <w:spacing w:after="0"/>
        <w:tabs>
          <w:tab w:leader="none" w:pos="2080" w:val="left"/>
          <w:tab w:leader="none" w:pos="6040" w:val="left"/>
        </w:tabs>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i w:val="1"/>
          <w:iCs w:val="1"/>
          <w:color w:val="auto"/>
        </w:rPr>
        <w:t>To approve, on an</w:t>
      </w:r>
      <w:r>
        <w:rPr>
          <w:sz w:val="20"/>
          <w:szCs w:val="20"/>
          <w:color w:val="auto"/>
        </w:rPr>
        <w:tab/>
      </w:r>
      <w:r>
        <w:rPr>
          <w:rFonts w:ascii="Arial" w:cs="Arial" w:eastAsia="Arial" w:hAnsi="Arial"/>
          <w:sz w:val="16"/>
          <w:szCs w:val="16"/>
          <w:color w:val="auto"/>
        </w:rPr>
        <w:t>The Company seeks the approval, on an advisory, basis,</w:t>
      </w:r>
      <w:r>
        <w:rPr>
          <w:sz w:val="20"/>
          <w:szCs w:val="20"/>
          <w:color w:val="auto"/>
        </w:rPr>
        <w:tab/>
      </w:r>
      <w:r>
        <w:rPr>
          <w:rFonts w:ascii="Arial" w:cs="Arial" w:eastAsia="Arial" w:hAnsi="Arial"/>
          <w:sz w:val="16"/>
          <w:szCs w:val="16"/>
          <w:b w:val="1"/>
          <w:bCs w:val="1"/>
          <w:color w:val="auto"/>
        </w:rPr>
        <w:t>“FOR”</w:t>
      </w:r>
    </w:p>
    <w:p>
      <w:pPr>
        <w:spacing w:after="0" w:line="26" w:lineRule="exact"/>
        <w:rPr>
          <w:sz w:val="20"/>
          <w:szCs w:val="20"/>
          <w:color w:val="auto"/>
        </w:rPr>
      </w:pPr>
    </w:p>
    <w:p>
      <w:pPr>
        <w:ind w:left="320"/>
        <w:spacing w:after="0"/>
        <w:tabs>
          <w:tab w:leader="none" w:pos="2080" w:val="left"/>
        </w:tabs>
        <w:rPr>
          <w:sz w:val="20"/>
          <w:szCs w:val="20"/>
          <w:color w:val="auto"/>
        </w:rPr>
      </w:pPr>
      <w:r>
        <w:rPr>
          <w:rFonts w:ascii="Arial" w:cs="Arial" w:eastAsia="Arial" w:hAnsi="Arial"/>
          <w:sz w:val="16"/>
          <w:szCs w:val="16"/>
          <w:i w:val="1"/>
          <w:iCs w:val="1"/>
          <w:color w:val="auto"/>
        </w:rPr>
        <w:t>advisory basis, the</w:t>
      </w:r>
      <w:r>
        <w:rPr>
          <w:sz w:val="20"/>
          <w:szCs w:val="20"/>
          <w:color w:val="auto"/>
        </w:rPr>
        <w:tab/>
      </w:r>
      <w:r>
        <w:rPr>
          <w:rFonts w:ascii="Arial" w:cs="Arial" w:eastAsia="Arial" w:hAnsi="Arial"/>
          <w:sz w:val="14"/>
          <w:szCs w:val="14"/>
          <w:color w:val="auto"/>
        </w:rPr>
        <w:t>of the compensation of its named executive officers as</w:t>
      </w:r>
    </w:p>
    <w:p>
      <w:pPr>
        <w:spacing w:after="0" w:line="19" w:lineRule="exact"/>
        <w:rPr>
          <w:sz w:val="20"/>
          <w:szCs w:val="20"/>
          <w:color w:val="auto"/>
        </w:rPr>
      </w:pPr>
    </w:p>
    <w:p>
      <w:pPr>
        <w:ind w:left="320"/>
        <w:spacing w:after="0"/>
        <w:tabs>
          <w:tab w:leader="none" w:pos="2080" w:val="left"/>
        </w:tabs>
        <w:rPr>
          <w:sz w:val="20"/>
          <w:szCs w:val="20"/>
          <w:color w:val="auto"/>
        </w:rPr>
      </w:pPr>
      <w:r>
        <w:rPr>
          <w:rFonts w:ascii="Arial" w:cs="Arial" w:eastAsia="Arial" w:hAnsi="Arial"/>
          <w:sz w:val="16"/>
          <w:szCs w:val="16"/>
          <w:i w:val="1"/>
          <w:iCs w:val="1"/>
          <w:color w:val="auto"/>
        </w:rPr>
        <w:t>compensation of our</w:t>
      </w:r>
      <w:r>
        <w:rPr>
          <w:sz w:val="20"/>
          <w:szCs w:val="20"/>
          <w:color w:val="auto"/>
        </w:rPr>
        <w:tab/>
      </w:r>
      <w:r>
        <w:rPr>
          <w:rFonts w:ascii="Arial" w:cs="Arial" w:eastAsia="Arial" w:hAnsi="Arial"/>
          <w:sz w:val="14"/>
          <w:szCs w:val="14"/>
          <w:color w:val="auto"/>
        </w:rPr>
        <w:t xml:space="preserve">described in the </w:t>
      </w:r>
      <w:r>
        <w:rPr>
          <w:rFonts w:ascii="Arial" w:cs="Arial" w:eastAsia="Arial" w:hAnsi="Arial"/>
          <w:sz w:val="14"/>
          <w:szCs w:val="14"/>
          <w:i w:val="1"/>
          <w:iCs w:val="1"/>
          <w:color w:val="auto"/>
        </w:rPr>
        <w:t>Compensation Discussion and Analysis</w:t>
      </w:r>
    </w:p>
    <w:p>
      <w:pPr>
        <w:spacing w:after="0" w:line="19" w:lineRule="exact"/>
        <w:rPr>
          <w:sz w:val="20"/>
          <w:szCs w:val="20"/>
          <w:color w:val="auto"/>
        </w:rPr>
      </w:pPr>
    </w:p>
    <w:p>
      <w:pPr>
        <w:ind w:left="320"/>
        <w:spacing w:after="0"/>
        <w:tabs>
          <w:tab w:leader="none" w:pos="2080" w:val="left"/>
        </w:tabs>
        <w:rPr>
          <w:sz w:val="20"/>
          <w:szCs w:val="20"/>
          <w:color w:val="auto"/>
        </w:rPr>
      </w:pPr>
      <w:r>
        <w:rPr>
          <w:rFonts w:ascii="Arial" w:cs="Arial" w:eastAsia="Arial" w:hAnsi="Arial"/>
          <w:sz w:val="16"/>
          <w:szCs w:val="16"/>
          <w:i w:val="1"/>
          <w:iCs w:val="1"/>
          <w:color w:val="auto"/>
        </w:rPr>
        <w:t>named executive</w:t>
      </w:r>
      <w:r>
        <w:rPr>
          <w:sz w:val="20"/>
          <w:szCs w:val="20"/>
          <w:color w:val="auto"/>
        </w:rPr>
        <w:tab/>
      </w:r>
      <w:r>
        <w:rPr>
          <w:rFonts w:ascii="Arial" w:cs="Arial" w:eastAsia="Arial" w:hAnsi="Arial"/>
          <w:sz w:val="14"/>
          <w:szCs w:val="14"/>
          <w:color w:val="auto"/>
        </w:rPr>
        <w:t>section and the related tables.</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officers.</w:t>
      </w:r>
    </w:p>
    <w:p>
      <w:pPr>
        <w:sectPr>
          <w:pgSz w:w="11900" w:h="16838" w:orient="portrait"/>
          <w:cols w:equalWidth="0" w:num="1">
            <w:col w:w="9060"/>
          </w:cols>
          <w:pgMar w:left="1420" w:top="125" w:right="1419" w:bottom="1440" w:gutter="0" w:footer="0" w:header="0"/>
          <w:type w:val="continuous"/>
        </w:sectPr>
      </w:pPr>
    </w:p>
    <w:p>
      <w:pPr>
        <w:spacing w:after="0" w:line="217" w:lineRule="exact"/>
        <w:rPr>
          <w:sz w:val="20"/>
          <w:szCs w:val="20"/>
          <w:color w:val="auto"/>
        </w:rPr>
      </w:pPr>
    </w:p>
    <w:p>
      <w:pPr>
        <w:ind w:left="320" w:hanging="187"/>
        <w:spacing w:after="0" w:line="293" w:lineRule="auto"/>
        <w:tabs>
          <w:tab w:leader="none" w:pos="328" w:val="left"/>
        </w:tabs>
        <w:numPr>
          <w:ilvl w:val="0"/>
          <w:numId w:val="6"/>
        </w:numPr>
        <w:rPr>
          <w:rFonts w:ascii="Arial" w:cs="Arial" w:eastAsia="Arial" w:hAnsi="Arial"/>
          <w:sz w:val="15"/>
          <w:szCs w:val="15"/>
          <w:b w:val="1"/>
          <w:bCs w:val="1"/>
          <w:color w:val="auto"/>
        </w:rPr>
      </w:pPr>
      <w:r>
        <w:rPr>
          <w:rFonts w:ascii="Arial" w:cs="Arial" w:eastAsia="Arial" w:hAnsi="Arial"/>
          <w:sz w:val="15"/>
          <w:szCs w:val="15"/>
          <w:i w:val="1"/>
          <w:iCs w:val="1"/>
          <w:color w:val="auto"/>
        </w:rPr>
        <w:t>To ratify the appointment of KPMG LLP as our independent registered public accounting firm.</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tabs>
          <w:tab w:leader="none" w:pos="3940" w:val="left"/>
        </w:tabs>
        <w:rPr>
          <w:sz w:val="20"/>
          <w:szCs w:val="20"/>
          <w:color w:val="auto"/>
        </w:rPr>
      </w:pPr>
      <w:r>
        <w:rPr>
          <w:rFonts w:ascii="Arial" w:cs="Arial" w:eastAsia="Arial" w:hAnsi="Arial"/>
          <w:sz w:val="16"/>
          <w:szCs w:val="16"/>
          <w:color w:val="auto"/>
        </w:rPr>
        <w:t>The Audit Committee and the Board believe that the</w:t>
      </w:r>
      <w:r>
        <w:rPr>
          <w:sz w:val="20"/>
          <w:szCs w:val="20"/>
          <w:color w:val="auto"/>
        </w:rPr>
        <w:tab/>
      </w:r>
      <w:r>
        <w:rPr>
          <w:rFonts w:ascii="Arial" w:cs="Arial" w:eastAsia="Arial" w:hAnsi="Arial"/>
          <w:sz w:val="16"/>
          <w:szCs w:val="16"/>
          <w:b w:val="1"/>
          <w:bCs w:val="1"/>
          <w:color w:val="auto"/>
        </w:rPr>
        <w:t>“FOR”</w:t>
      </w:r>
    </w:p>
    <w:p>
      <w:pPr>
        <w:spacing w:after="0" w:line="26" w:lineRule="exact"/>
        <w:rPr>
          <w:sz w:val="20"/>
          <w:szCs w:val="20"/>
          <w:color w:val="auto"/>
        </w:rPr>
      </w:pPr>
    </w:p>
    <w:p>
      <w:pPr>
        <w:ind w:right="3260"/>
        <w:spacing w:after="0" w:line="290" w:lineRule="auto"/>
        <w:rPr>
          <w:sz w:val="20"/>
          <w:szCs w:val="20"/>
          <w:color w:val="auto"/>
        </w:rPr>
      </w:pPr>
      <w:r>
        <w:rPr>
          <w:rFonts w:ascii="Arial" w:cs="Arial" w:eastAsia="Arial" w:hAnsi="Arial"/>
          <w:sz w:val="15"/>
          <w:szCs w:val="15"/>
          <w:color w:val="auto"/>
        </w:rPr>
        <w:t>retention of KPMG LLP to serve as our independent registered public accounting firm for the fiscal year ending December 31, 2019 is in the best interests of the Company and its stockholders and we are asking our stockholders to ratify the Audit Committee’s selection of KPMG LLP to serve in that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-1330960</wp:posOffset>
            </wp:positionH>
            <wp:positionV relativeFrom="paragraph">
              <wp:posOffset>118745</wp:posOffset>
            </wp:positionV>
            <wp:extent cx="5754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880" w:space="220"/>
            <w:col w:w="6960"/>
          </w:cols>
          <w:pgMar w:left="1420" w:top="125" w:right="141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DIRECTOR NOMINEES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summary information regarding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5754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Age</w:t>
            </w: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Director</w:t>
            </w:r>
          </w:p>
        </w:tc>
        <w:tc>
          <w:tcPr>
            <w:tcW w:w="31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Primary Occupation</w:t>
            </w:r>
          </w:p>
        </w:tc>
        <w:tc>
          <w:tcPr>
            <w:tcW w:w="2000" w:type="dxa"/>
            <w:vAlign w:val="bottom"/>
            <w:gridSpan w:val="3"/>
            <w:vMerge w:val="restart"/>
          </w:tcPr>
          <w:p>
            <w:pPr>
              <w:jc w:val="center"/>
              <w:ind w:left="43"/>
              <w:spacing w:after="0"/>
              <w:rPr>
                <w:sz w:val="20"/>
                <w:szCs w:val="20"/>
                <w:color w:val="auto"/>
              </w:rPr>
            </w:pPr>
            <w:r>
              <w:rPr>
                <w:rFonts w:ascii="Arial" w:cs="Arial" w:eastAsia="Arial" w:hAnsi="Arial"/>
                <w:sz w:val="14"/>
                <w:szCs w:val="14"/>
                <w:b w:val="1"/>
                <w:bCs w:val="1"/>
                <w:color w:val="auto"/>
                <w:w w:val="92"/>
              </w:rPr>
              <w:t>Committee Memberships</w:t>
            </w:r>
            <w:r>
              <w:rPr>
                <w:rFonts w:ascii="Arial" w:cs="Arial" w:eastAsia="Arial" w:hAnsi="Arial"/>
                <w:sz w:val="14"/>
                <w:szCs w:val="14"/>
                <w:b w:val="1"/>
                <w:bCs w:val="1"/>
                <w:color w:val="auto"/>
                <w:w w:val="92"/>
                <w:vertAlign w:val="superscript"/>
              </w:rPr>
              <w:t>(1)</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Other Public</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Since</w:t>
            </w:r>
          </w:p>
        </w:tc>
        <w:tc>
          <w:tcPr>
            <w:tcW w:w="3160" w:type="dxa"/>
            <w:vAlign w:val="bottom"/>
            <w:tcBorders>
              <w:bottom w:val="single" w:sz="8" w:color="auto"/>
            </w:tcBorders>
            <w:vMerge w:val="continue"/>
          </w:tcPr>
          <w:p>
            <w:pPr>
              <w:spacing w:after="0"/>
              <w:rPr>
                <w:sz w:val="14"/>
                <w:szCs w:val="14"/>
                <w:color w:val="auto"/>
              </w:rPr>
            </w:pPr>
          </w:p>
        </w:tc>
        <w:tc>
          <w:tcPr>
            <w:tcW w:w="2000" w:type="dxa"/>
            <w:vAlign w:val="bottom"/>
            <w:tcBorders>
              <w:bottom w:val="single" w:sz="8" w:color="auto"/>
            </w:tcBorders>
            <w:gridSpan w:val="3"/>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Company Boards</w:t>
            </w:r>
          </w:p>
        </w:tc>
        <w:tc>
          <w:tcPr>
            <w:tcW w:w="0" w:type="dxa"/>
            <w:vAlign w:val="bottom"/>
          </w:tcPr>
          <w:p>
            <w:pPr>
              <w:spacing w:after="0"/>
              <w:rPr>
                <w:sz w:val="1"/>
                <w:szCs w:val="1"/>
                <w:color w:val="auto"/>
              </w:rPr>
            </w:pPr>
          </w:p>
        </w:tc>
      </w:tr>
      <w:tr>
        <w:trPr>
          <w:trHeight w:val="200"/>
        </w:trPr>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00" w:type="dxa"/>
            <w:vAlign w:val="bottom"/>
          </w:tcPr>
          <w:p>
            <w:pPr>
              <w:ind w:left="200"/>
              <w:spacing w:after="0"/>
              <w:rPr>
                <w:sz w:val="20"/>
                <w:szCs w:val="20"/>
                <w:color w:val="auto"/>
              </w:rPr>
            </w:pPr>
            <w:r>
              <w:rPr>
                <w:rFonts w:ascii="Arial" w:cs="Arial" w:eastAsia="Arial" w:hAnsi="Arial"/>
                <w:sz w:val="16"/>
                <w:szCs w:val="16"/>
                <w:i w:val="1"/>
                <w:iCs w:val="1"/>
                <w:color w:val="auto"/>
                <w:w w:val="74"/>
              </w:rPr>
              <w:t>A</w:t>
            </w:r>
          </w:p>
        </w:tc>
        <w:tc>
          <w:tcPr>
            <w:tcW w:w="700" w:type="dxa"/>
            <w:vAlign w:val="bottom"/>
          </w:tcPr>
          <w:p>
            <w:pPr>
              <w:jc w:val="right"/>
              <w:spacing w:after="0"/>
              <w:rPr>
                <w:sz w:val="20"/>
                <w:szCs w:val="20"/>
                <w:color w:val="auto"/>
              </w:rPr>
            </w:pPr>
            <w:r>
              <w:rPr>
                <w:rFonts w:ascii="Arial" w:cs="Arial" w:eastAsia="Arial" w:hAnsi="Arial"/>
                <w:sz w:val="16"/>
                <w:szCs w:val="16"/>
                <w:i w:val="1"/>
                <w:iCs w:val="1"/>
                <w:color w:val="auto"/>
              </w:rPr>
              <w:t>C</w:t>
            </w:r>
          </w:p>
        </w:tc>
        <w:tc>
          <w:tcPr>
            <w:tcW w:w="1000" w:type="dxa"/>
            <w:vAlign w:val="bottom"/>
          </w:tcPr>
          <w:p>
            <w:pPr>
              <w:jc w:val="center"/>
              <w:ind w:left="399"/>
              <w:spacing w:after="0"/>
              <w:rPr>
                <w:sz w:val="20"/>
                <w:szCs w:val="20"/>
                <w:color w:val="auto"/>
              </w:rPr>
            </w:pPr>
            <w:r>
              <w:rPr>
                <w:rFonts w:ascii="Arial" w:cs="Arial" w:eastAsia="Arial" w:hAnsi="Arial"/>
                <w:sz w:val="16"/>
                <w:szCs w:val="16"/>
                <w:i w:val="1"/>
                <w:iCs w:val="1"/>
                <w:color w:val="auto"/>
                <w:w w:val="89"/>
              </w:rPr>
              <w:t>NCG</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20"/>
                <w:szCs w:val="20"/>
                <w:color w:val="auto"/>
              </w:rPr>
            </w:pPr>
            <w:r>
              <w:rPr>
                <w:rFonts w:ascii="Arial" w:cs="Arial" w:eastAsia="Arial" w:hAnsi="Arial"/>
                <w:sz w:val="16"/>
                <w:szCs w:val="16"/>
                <w:color w:val="auto"/>
              </w:rPr>
              <w:t>Brian E. Mueller*</w:t>
            </w:r>
          </w:p>
        </w:tc>
        <w:tc>
          <w:tcPr>
            <w:tcW w:w="560" w:type="dxa"/>
            <w:vAlign w:val="bottom"/>
          </w:tcPr>
          <w:p>
            <w:pPr>
              <w:ind w:left="220"/>
              <w:spacing w:after="0"/>
              <w:rPr>
                <w:sz w:val="20"/>
                <w:szCs w:val="20"/>
                <w:color w:val="auto"/>
              </w:rPr>
            </w:pPr>
            <w:r>
              <w:rPr>
                <w:rFonts w:ascii="Arial" w:cs="Arial" w:eastAsia="Arial" w:hAnsi="Arial"/>
                <w:sz w:val="16"/>
                <w:szCs w:val="16"/>
                <w:color w:val="auto"/>
              </w:rPr>
              <w:t>65</w:t>
            </w:r>
          </w:p>
        </w:tc>
        <w:tc>
          <w:tcPr>
            <w:tcW w:w="720" w:type="dxa"/>
            <w:vAlign w:val="bottom"/>
          </w:tcPr>
          <w:p>
            <w:pPr>
              <w:ind w:left="100"/>
              <w:spacing w:after="0"/>
              <w:rPr>
                <w:sz w:val="20"/>
                <w:szCs w:val="20"/>
                <w:color w:val="auto"/>
              </w:rPr>
            </w:pPr>
            <w:r>
              <w:rPr>
                <w:rFonts w:ascii="Arial" w:cs="Arial" w:eastAsia="Arial" w:hAnsi="Arial"/>
                <w:sz w:val="16"/>
                <w:szCs w:val="16"/>
                <w:color w:val="auto"/>
              </w:rPr>
              <w:t>2009</w:t>
            </w:r>
          </w:p>
        </w:tc>
        <w:tc>
          <w:tcPr>
            <w:tcW w:w="3160" w:type="dxa"/>
            <w:vAlign w:val="bottom"/>
          </w:tcPr>
          <w:p>
            <w:pPr>
              <w:ind w:left="100"/>
              <w:spacing w:after="0"/>
              <w:rPr>
                <w:sz w:val="20"/>
                <w:szCs w:val="20"/>
                <w:color w:val="auto"/>
              </w:rPr>
            </w:pPr>
            <w:r>
              <w:rPr>
                <w:rFonts w:ascii="Arial" w:cs="Arial" w:eastAsia="Arial" w:hAnsi="Arial"/>
                <w:sz w:val="16"/>
                <w:szCs w:val="16"/>
                <w:color w:val="auto"/>
              </w:rPr>
              <w:t>Chairman of the Board of Directors and</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8"/>
              </w:rPr>
              <w:t>None</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Arial" w:cs="Arial" w:eastAsia="Arial" w:hAnsi="Arial"/>
                <w:sz w:val="16"/>
                <w:szCs w:val="16"/>
                <w:color w:val="auto"/>
              </w:rPr>
              <w:t>Chief Executive Officer, Grand Canyon</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Arial" w:cs="Arial" w:eastAsia="Arial" w:hAnsi="Arial"/>
                <w:sz w:val="16"/>
                <w:szCs w:val="16"/>
                <w:color w:val="auto"/>
              </w:rPr>
              <w:t>Education, Inc.</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0"/>
                <w:szCs w:val="20"/>
                <w:color w:val="auto"/>
              </w:rPr>
            </w:pPr>
            <w:r>
              <w:rPr>
                <w:rFonts w:ascii="Arial" w:cs="Arial" w:eastAsia="Arial" w:hAnsi="Arial"/>
                <w:sz w:val="16"/>
                <w:szCs w:val="16"/>
                <w:color w:val="auto"/>
              </w:rPr>
              <w:t>Sara R. Dial</w:t>
            </w:r>
            <w:r>
              <w:rPr>
                <w:rFonts w:ascii="Arial" w:cs="Arial" w:eastAsia="Arial" w:hAnsi="Arial"/>
                <w:sz w:val="17"/>
                <w:szCs w:val="17"/>
                <w:color w:val="auto"/>
                <w:vertAlign w:val="superscript"/>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55</w:t>
            </w:r>
          </w:p>
        </w:tc>
        <w:tc>
          <w:tcPr>
            <w:tcW w:w="720" w:type="dxa"/>
            <w:vAlign w:val="bottom"/>
          </w:tcPr>
          <w:p>
            <w:pPr>
              <w:ind w:left="100"/>
              <w:spacing w:after="0"/>
              <w:rPr>
                <w:sz w:val="20"/>
                <w:szCs w:val="20"/>
                <w:color w:val="auto"/>
              </w:rPr>
            </w:pPr>
            <w:r>
              <w:rPr>
                <w:rFonts w:ascii="Arial" w:cs="Arial" w:eastAsia="Arial" w:hAnsi="Arial"/>
                <w:sz w:val="16"/>
                <w:szCs w:val="16"/>
                <w:color w:val="auto"/>
              </w:rPr>
              <w:t>2013</w:t>
            </w:r>
          </w:p>
        </w:tc>
        <w:tc>
          <w:tcPr>
            <w:tcW w:w="3160" w:type="dxa"/>
            <w:vAlign w:val="bottom"/>
          </w:tcPr>
          <w:p>
            <w:pPr>
              <w:ind w:left="100"/>
              <w:spacing w:after="0"/>
              <w:rPr>
                <w:sz w:val="20"/>
                <w:szCs w:val="20"/>
                <w:color w:val="auto"/>
              </w:rPr>
            </w:pPr>
            <w:r>
              <w:rPr>
                <w:rFonts w:ascii="Arial" w:cs="Arial" w:eastAsia="Arial" w:hAnsi="Arial"/>
                <w:sz w:val="16"/>
                <w:szCs w:val="16"/>
                <w:color w:val="auto"/>
                <w:w w:val="98"/>
              </w:rPr>
              <w:t>President and Chief Executive Officer, Sara</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Arial" w:cs="Arial" w:eastAsia="Arial" w:hAnsi="Arial"/>
                <w:sz w:val="16"/>
                <w:szCs w:val="16"/>
                <w:color w:val="auto"/>
              </w:rPr>
              <w:t>Dial &amp; Associates</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0"/>
                <w:szCs w:val="20"/>
                <w:color w:val="auto"/>
              </w:rPr>
            </w:pPr>
            <w:r>
              <w:rPr>
                <w:rFonts w:ascii="Arial" w:cs="Arial" w:eastAsia="Arial" w:hAnsi="Arial"/>
                <w:sz w:val="16"/>
                <w:szCs w:val="16"/>
                <w:color w:val="auto"/>
              </w:rPr>
              <w:t>Jack A. Henry</w:t>
            </w:r>
            <w:r>
              <w:rPr>
                <w:rFonts w:ascii="Arial" w:cs="Arial" w:eastAsia="Arial" w:hAnsi="Arial"/>
                <w:sz w:val="17"/>
                <w:szCs w:val="17"/>
                <w:color w:val="auto"/>
                <w:vertAlign w:val="superscript"/>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75</w:t>
            </w:r>
          </w:p>
        </w:tc>
        <w:tc>
          <w:tcPr>
            <w:tcW w:w="720" w:type="dxa"/>
            <w:vAlign w:val="bottom"/>
          </w:tcPr>
          <w:p>
            <w:pPr>
              <w:ind w:left="100"/>
              <w:spacing w:after="0"/>
              <w:rPr>
                <w:sz w:val="20"/>
                <w:szCs w:val="20"/>
                <w:color w:val="auto"/>
              </w:rPr>
            </w:pPr>
            <w:r>
              <w:rPr>
                <w:rFonts w:ascii="Arial" w:cs="Arial" w:eastAsia="Arial" w:hAnsi="Arial"/>
                <w:sz w:val="16"/>
                <w:szCs w:val="16"/>
                <w:color w:val="auto"/>
              </w:rPr>
              <w:t>2008</w:t>
            </w:r>
          </w:p>
        </w:tc>
        <w:tc>
          <w:tcPr>
            <w:tcW w:w="3160" w:type="dxa"/>
            <w:vAlign w:val="bottom"/>
          </w:tcPr>
          <w:p>
            <w:pPr>
              <w:ind w:left="100"/>
              <w:spacing w:after="0"/>
              <w:rPr>
                <w:sz w:val="20"/>
                <w:szCs w:val="20"/>
                <w:color w:val="auto"/>
              </w:rPr>
            </w:pPr>
            <w:r>
              <w:rPr>
                <w:rFonts w:ascii="Arial" w:cs="Arial" w:eastAsia="Arial" w:hAnsi="Arial"/>
                <w:sz w:val="16"/>
                <w:szCs w:val="16"/>
                <w:color w:val="auto"/>
                <w:w w:val="98"/>
              </w:rPr>
              <w:t>Managing Director, Sierra Blanca Ventures,</w:t>
            </w:r>
          </w:p>
        </w:tc>
        <w:tc>
          <w:tcPr>
            <w:tcW w:w="300" w:type="dxa"/>
            <w:vAlign w:val="bottom"/>
          </w:tcPr>
          <w:p>
            <w:pPr>
              <w:spacing w:after="0"/>
              <w:rPr>
                <w:sz w:val="24"/>
                <w:szCs w:val="24"/>
                <w:color w:val="auto"/>
              </w:rPr>
            </w:pPr>
          </w:p>
        </w:tc>
        <w:tc>
          <w:tcPr>
            <w:tcW w:w="700" w:type="dxa"/>
            <w:vAlign w:val="bottom"/>
          </w:tcPr>
          <w:p>
            <w:pPr>
              <w:jc w:val="right"/>
              <w:ind w:right="539"/>
              <w:spacing w:after="0"/>
              <w:rPr>
                <w:sz w:val="20"/>
                <w:szCs w:val="20"/>
                <w:color w:val="auto"/>
              </w:rPr>
            </w:pPr>
            <w:r>
              <w:rPr>
                <w:rFonts w:ascii="Arial" w:cs="Arial" w:eastAsia="Arial" w:hAnsi="Arial"/>
                <w:sz w:val="16"/>
                <w:szCs w:val="16"/>
                <w:color w:val="auto"/>
                <w:w w:val="95"/>
              </w:rPr>
              <w:t>*</w:t>
            </w:r>
          </w:p>
        </w:tc>
        <w:tc>
          <w:tcPr>
            <w:tcW w:w="10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160" w:type="dxa"/>
            <w:vAlign w:val="bottom"/>
          </w:tcPr>
          <w:p>
            <w:pPr>
              <w:ind w:left="100"/>
              <w:spacing w:after="0"/>
              <w:rPr>
                <w:sz w:val="20"/>
                <w:szCs w:val="20"/>
                <w:color w:val="auto"/>
              </w:rPr>
            </w:pPr>
            <w:r>
              <w:rPr>
                <w:rFonts w:ascii="Arial" w:cs="Arial" w:eastAsia="Arial" w:hAnsi="Arial"/>
                <w:sz w:val="16"/>
                <w:szCs w:val="16"/>
                <w:color w:val="auto"/>
              </w:rPr>
              <w:t>LLC</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1400" w:type="dxa"/>
            <w:vAlign w:val="bottom"/>
          </w:tcPr>
          <w:p>
            <w:pPr>
              <w:spacing w:after="0"/>
              <w:rPr>
                <w:sz w:val="20"/>
                <w:szCs w:val="20"/>
                <w:color w:val="auto"/>
              </w:rPr>
            </w:pPr>
            <w:r>
              <w:rPr>
                <w:rFonts w:ascii="Arial" w:cs="Arial" w:eastAsia="Arial" w:hAnsi="Arial"/>
                <w:sz w:val="16"/>
                <w:szCs w:val="16"/>
                <w:color w:val="auto"/>
              </w:rPr>
              <w:t>Kevin F. Warren</w:t>
            </w:r>
            <w:r>
              <w:rPr>
                <w:rFonts w:ascii="Arial" w:cs="Arial" w:eastAsia="Arial" w:hAnsi="Arial"/>
                <w:sz w:val="17"/>
                <w:szCs w:val="17"/>
                <w:color w:val="auto"/>
                <w:vertAlign w:val="superscript"/>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55</w:t>
            </w:r>
          </w:p>
        </w:tc>
        <w:tc>
          <w:tcPr>
            <w:tcW w:w="720" w:type="dxa"/>
            <w:vAlign w:val="bottom"/>
          </w:tcPr>
          <w:p>
            <w:pPr>
              <w:ind w:left="100"/>
              <w:spacing w:after="0"/>
              <w:rPr>
                <w:sz w:val="20"/>
                <w:szCs w:val="20"/>
                <w:color w:val="auto"/>
              </w:rPr>
            </w:pPr>
            <w:r>
              <w:rPr>
                <w:rFonts w:ascii="Arial" w:cs="Arial" w:eastAsia="Arial" w:hAnsi="Arial"/>
                <w:sz w:val="16"/>
                <w:szCs w:val="16"/>
                <w:color w:val="auto"/>
              </w:rPr>
              <w:t>2012</w:t>
            </w:r>
          </w:p>
        </w:tc>
        <w:tc>
          <w:tcPr>
            <w:tcW w:w="3160" w:type="dxa"/>
            <w:vAlign w:val="bottom"/>
          </w:tcPr>
          <w:p>
            <w:pPr>
              <w:ind w:left="100"/>
              <w:spacing w:after="0"/>
              <w:rPr>
                <w:sz w:val="20"/>
                <w:szCs w:val="20"/>
                <w:color w:val="auto"/>
              </w:rPr>
            </w:pPr>
            <w:r>
              <w:rPr>
                <w:rFonts w:ascii="Arial" w:cs="Arial" w:eastAsia="Arial" w:hAnsi="Arial"/>
                <w:sz w:val="16"/>
                <w:szCs w:val="16"/>
                <w:color w:val="auto"/>
              </w:rPr>
              <w:t>Chief Operating Officer, Minnesota Vikings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jc w:val="right"/>
              <w:ind w:right="839"/>
              <w:spacing w:after="0"/>
              <w:rPr>
                <w:sz w:val="20"/>
                <w:szCs w:val="20"/>
                <w:color w:val="auto"/>
              </w:rPr>
            </w:pPr>
            <w:r>
              <w:rPr>
                <w:rFonts w:ascii="Arial" w:cs="Arial" w:eastAsia="Arial" w:hAnsi="Arial"/>
                <w:sz w:val="16"/>
                <w:szCs w:val="16"/>
                <w:color w:val="auto"/>
                <w:w w:val="95"/>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351"/>
        </w:trPr>
        <w:tc>
          <w:tcPr>
            <w:tcW w:w="1400" w:type="dxa"/>
            <w:vAlign w:val="bottom"/>
          </w:tcPr>
          <w:p>
            <w:pPr>
              <w:spacing w:after="0"/>
              <w:rPr>
                <w:sz w:val="20"/>
                <w:szCs w:val="20"/>
                <w:color w:val="auto"/>
              </w:rPr>
            </w:pPr>
            <w:r>
              <w:rPr>
                <w:rFonts w:ascii="Arial" w:cs="Arial" w:eastAsia="Arial" w:hAnsi="Arial"/>
                <w:sz w:val="16"/>
                <w:szCs w:val="16"/>
                <w:color w:val="auto"/>
              </w:rPr>
              <w:t>David J. Johnson</w:t>
            </w:r>
            <w:r>
              <w:rPr>
                <w:rFonts w:ascii="Arial" w:cs="Arial" w:eastAsia="Arial" w:hAnsi="Arial"/>
                <w:sz w:val="17"/>
                <w:szCs w:val="17"/>
                <w:color w:val="auto"/>
                <w:vertAlign w:val="superscript"/>
              </w:rPr>
              <w:t>+</w:t>
            </w:r>
          </w:p>
        </w:tc>
        <w:tc>
          <w:tcPr>
            <w:tcW w:w="560" w:type="dxa"/>
            <w:vAlign w:val="bottom"/>
          </w:tcPr>
          <w:p>
            <w:pPr>
              <w:ind w:left="220"/>
              <w:spacing w:after="0"/>
              <w:rPr>
                <w:sz w:val="20"/>
                <w:szCs w:val="20"/>
                <w:color w:val="auto"/>
              </w:rPr>
            </w:pPr>
            <w:r>
              <w:rPr>
                <w:rFonts w:ascii="Arial" w:cs="Arial" w:eastAsia="Arial" w:hAnsi="Arial"/>
                <w:sz w:val="16"/>
                <w:szCs w:val="16"/>
                <w:color w:val="auto"/>
              </w:rPr>
              <w:t>72</w:t>
            </w:r>
          </w:p>
        </w:tc>
        <w:tc>
          <w:tcPr>
            <w:tcW w:w="720" w:type="dxa"/>
            <w:vAlign w:val="bottom"/>
          </w:tcPr>
          <w:p>
            <w:pPr>
              <w:ind w:left="100"/>
              <w:spacing w:after="0"/>
              <w:rPr>
                <w:sz w:val="20"/>
                <w:szCs w:val="20"/>
                <w:color w:val="auto"/>
              </w:rPr>
            </w:pPr>
            <w:r>
              <w:rPr>
                <w:rFonts w:ascii="Arial" w:cs="Arial" w:eastAsia="Arial" w:hAnsi="Arial"/>
                <w:sz w:val="16"/>
                <w:szCs w:val="16"/>
                <w:color w:val="auto"/>
              </w:rPr>
              <w:t>2008</w:t>
            </w:r>
          </w:p>
        </w:tc>
        <w:tc>
          <w:tcPr>
            <w:tcW w:w="3160" w:type="dxa"/>
            <w:vAlign w:val="bottom"/>
          </w:tcPr>
          <w:p>
            <w:pPr>
              <w:ind w:left="100"/>
              <w:spacing w:after="0"/>
              <w:rPr>
                <w:sz w:val="20"/>
                <w:szCs w:val="20"/>
                <w:color w:val="auto"/>
              </w:rPr>
            </w:pPr>
            <w:r>
              <w:rPr>
                <w:rFonts w:ascii="Arial" w:cs="Arial" w:eastAsia="Arial" w:hAnsi="Arial"/>
                <w:sz w:val="16"/>
                <w:szCs w:val="16"/>
                <w:color w:val="auto"/>
              </w:rPr>
              <w:t>Senior business executive (retired)</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52705</wp:posOffset>
            </wp:positionV>
            <wp:extent cx="14408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84"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Chair</w:t>
      </w:r>
    </w:p>
    <w:p>
      <w:pPr>
        <w:spacing w:after="0" w:line="23" w:lineRule="exact"/>
        <w:rPr>
          <w:sz w:val="20"/>
          <w:szCs w:val="20"/>
          <w:color w:val="auto"/>
        </w:rPr>
      </w:pPr>
    </w:p>
    <w:p>
      <w:pPr>
        <w:ind w:left="320" w:hanging="317"/>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Independent director</w:t>
      </w:r>
    </w:p>
    <w:p>
      <w:pPr>
        <w:spacing w:after="0" w:line="9" w:lineRule="exact"/>
        <w:rPr>
          <w:sz w:val="20"/>
          <w:szCs w:val="20"/>
          <w:color w:val="auto"/>
        </w:rPr>
      </w:pPr>
    </w:p>
    <w:p>
      <w:pPr>
        <w:ind w:left="320" w:hanging="317"/>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207" w:lineRule="exact"/>
        <w:rPr>
          <w:sz w:val="20"/>
          <w:szCs w:val="20"/>
          <w:color w:val="auto"/>
        </w:rPr>
      </w:pPr>
    </w:p>
    <w:p>
      <w:pPr>
        <w:ind w:left="320" w:hanging="317"/>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7"/>
          <w:szCs w:val="17"/>
          <w:color w:val="auto"/>
        </w:rPr>
        <w:t>= Audit Committee;</w:t>
      </w:r>
      <w:r>
        <w:rPr>
          <w:rFonts w:ascii="Arial" w:cs="Arial" w:eastAsia="Arial" w:hAnsi="Arial"/>
          <w:sz w:val="17"/>
          <w:szCs w:val="17"/>
          <w:b w:val="1"/>
          <w:bCs w:val="1"/>
          <w:color w:val="auto"/>
        </w:rPr>
        <w:t xml:space="preserve"> C=</w:t>
      </w:r>
      <w:r>
        <w:rPr>
          <w:rFonts w:ascii="Arial" w:cs="Arial" w:eastAsia="Arial" w:hAnsi="Arial"/>
          <w:sz w:val="17"/>
          <w:szCs w:val="17"/>
          <w:color w:val="auto"/>
        </w:rPr>
        <w:t>Compensation Committee; and</w:t>
      </w:r>
      <w:r>
        <w:rPr>
          <w:rFonts w:ascii="Arial" w:cs="Arial" w:eastAsia="Arial" w:hAnsi="Arial"/>
          <w:sz w:val="17"/>
          <w:szCs w:val="17"/>
          <w:b w:val="1"/>
          <w:bCs w:val="1"/>
          <w:color w:val="auto"/>
        </w:rPr>
        <w:t xml:space="preserve"> NCG</w:t>
      </w:r>
      <w:r>
        <w:rPr>
          <w:rFonts w:ascii="Arial" w:cs="Arial" w:eastAsia="Arial" w:hAnsi="Arial"/>
          <w:sz w:val="17"/>
          <w:szCs w:val="17"/>
          <w:color w:val="auto"/>
        </w:rPr>
        <w:t>=Nominating and Corporate Governance Committee</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448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7" w:name="page8"/>
    <w:bookmarkEnd w:id="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754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178" w:lineRule="exact"/>
        <w:rPr>
          <w:sz w:val="20"/>
          <w:szCs w:val="20"/>
          <w:color w:val="auto"/>
        </w:rPr>
      </w:pPr>
    </w:p>
    <w:p>
      <w:pPr>
        <w:ind w:right="939" w:firstLine="648"/>
        <w:spacing w:after="0" w:line="308" w:lineRule="auto"/>
        <w:rPr>
          <w:sz w:val="20"/>
          <w:szCs w:val="20"/>
          <w:color w:val="auto"/>
        </w:rPr>
      </w:pPr>
      <w:r>
        <w:rPr>
          <w:rFonts w:ascii="Arial" w:cs="Arial" w:eastAsia="Arial" w:hAnsi="Arial"/>
          <w:sz w:val="17"/>
          <w:szCs w:val="17"/>
          <w:color w:val="auto"/>
        </w:rPr>
        <w:t>We believe that effective corporate governance is critical to our ability to create long term value for our stockholders. The following highlights certain key aspects of our corporate governance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76200</wp:posOffset>
            </wp:positionV>
            <wp:extent cx="5608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p>
      <w:pPr>
        <w:spacing w:after="0" w:line="124" w:lineRule="exact"/>
        <w:rPr>
          <w:sz w:val="20"/>
          <w:szCs w:val="20"/>
          <w:color w:val="auto"/>
        </w:rPr>
      </w:pPr>
    </w:p>
    <w:p>
      <w:pPr>
        <w:ind w:left="520" w:right="160"/>
        <w:spacing w:after="0" w:line="293" w:lineRule="auto"/>
        <w:rPr>
          <w:sz w:val="20"/>
          <w:szCs w:val="20"/>
          <w:color w:val="auto"/>
        </w:rPr>
      </w:pPr>
      <w:r>
        <w:rPr>
          <w:rFonts w:ascii="Arial" w:cs="Arial" w:eastAsia="Arial" w:hAnsi="Arial"/>
          <w:sz w:val="16"/>
          <w:szCs w:val="16"/>
          <w:b w:val="1"/>
          <w:bCs w:val="1"/>
          <w:i w:val="1"/>
          <w:iCs w:val="1"/>
          <w:color w:val="auto"/>
        </w:rPr>
        <w:t>We Have An Independent Board</w:t>
      </w:r>
      <w:r>
        <w:rPr>
          <w:rFonts w:ascii="Arial" w:cs="Arial" w:eastAsia="Arial" w:hAnsi="Arial"/>
          <w:sz w:val="16"/>
          <w:szCs w:val="16"/>
          <w:color w:val="auto"/>
        </w:rPr>
        <w:t>. Four of our five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nominees are independent.</w:t>
      </w:r>
    </w:p>
    <w:p>
      <w:pPr>
        <w:spacing w:after="0" w:line="361" w:lineRule="exact"/>
        <w:rPr>
          <w:sz w:val="20"/>
          <w:szCs w:val="20"/>
          <w:color w:val="auto"/>
        </w:rPr>
      </w:pPr>
    </w:p>
    <w:p>
      <w:pPr>
        <w:ind w:left="520"/>
        <w:spacing w:after="0" w:line="273" w:lineRule="auto"/>
        <w:rPr>
          <w:sz w:val="20"/>
          <w:szCs w:val="20"/>
          <w:color w:val="auto"/>
        </w:rPr>
      </w:pPr>
      <w:r>
        <w:rPr>
          <w:rFonts w:ascii="Arial" w:cs="Arial" w:eastAsia="Arial" w:hAnsi="Arial"/>
          <w:sz w:val="16"/>
          <w:szCs w:val="16"/>
          <w:b w:val="1"/>
          <w:bCs w:val="1"/>
          <w:i w:val="1"/>
          <w:iCs w:val="1"/>
          <w:color w:val="auto"/>
        </w:rPr>
        <w:t>We Have Majority Voting for Directors</w:t>
      </w:r>
      <w:r>
        <w:rPr>
          <w:rFonts w:ascii="Arial" w:cs="Arial" w:eastAsia="Arial" w:hAnsi="Arial"/>
          <w:sz w:val="16"/>
          <w:szCs w:val="16"/>
          <w:color w:val="auto"/>
        </w:rPr>
        <w:t>. We have adopted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voting for directors pursuant to which nominees who fail to achieve an affirmative majority of votes cast must submit their resignation.</w:t>
      </w:r>
    </w:p>
    <w:p>
      <w:pPr>
        <w:spacing w:after="0" w:line="176"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b w:val="1"/>
          <w:bCs w:val="1"/>
          <w:i w:val="1"/>
          <w:iCs w:val="1"/>
          <w:color w:val="auto"/>
        </w:rPr>
        <w:t xml:space="preserve">We Hold Annual Elections for Directors. </w:t>
      </w:r>
      <w:r>
        <w:rPr>
          <w:rFonts w:ascii="Arial" w:cs="Arial" w:eastAsia="Arial" w:hAnsi="Arial"/>
          <w:sz w:val="16"/>
          <w:szCs w:val="16"/>
          <w:color w:val="auto"/>
        </w:rPr>
        <w:t>We do not have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staggered board.</w:t>
      </w:r>
    </w:p>
    <w:p>
      <w:pPr>
        <w:spacing w:after="0" w:line="361" w:lineRule="exact"/>
        <w:rPr>
          <w:sz w:val="20"/>
          <w:szCs w:val="20"/>
          <w:color w:val="auto"/>
        </w:rPr>
      </w:pPr>
    </w:p>
    <w:p>
      <w:pPr>
        <w:ind w:left="520" w:right="600"/>
        <w:spacing w:after="0" w:line="329" w:lineRule="auto"/>
        <w:rPr>
          <w:sz w:val="20"/>
          <w:szCs w:val="20"/>
          <w:color w:val="auto"/>
        </w:rPr>
      </w:pPr>
      <w:r>
        <w:rPr>
          <w:rFonts w:ascii="Arial" w:cs="Arial" w:eastAsia="Arial" w:hAnsi="Arial"/>
          <w:sz w:val="15"/>
          <w:szCs w:val="15"/>
          <w:b w:val="1"/>
          <w:bCs w:val="1"/>
          <w:i w:val="1"/>
          <w:iCs w:val="1"/>
          <w:color w:val="auto"/>
        </w:rPr>
        <w:t>We Assess Board Performance</w:t>
      </w:r>
      <w:r>
        <w:rPr>
          <w:rFonts w:ascii="Arial" w:cs="Arial" w:eastAsia="Arial" w:hAnsi="Arial"/>
          <w:sz w:val="15"/>
          <w:szCs w:val="15"/>
          <w:color w:val="auto"/>
        </w:rPr>
        <w:t>. We conduct regular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evaluations of our Board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92075</wp:posOffset>
            </wp:positionV>
            <wp:extent cx="5608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08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59"/>
        <w:spacing w:after="0" w:line="335" w:lineRule="auto"/>
        <w:rPr>
          <w:sz w:val="20"/>
          <w:szCs w:val="20"/>
          <w:color w:val="auto"/>
        </w:rPr>
      </w:pPr>
      <w:r>
        <w:rPr>
          <w:rFonts w:ascii="Arial" w:cs="Arial" w:eastAsia="Arial" w:hAnsi="Arial"/>
          <w:sz w:val="14"/>
          <w:szCs w:val="14"/>
          <w:b w:val="1"/>
          <w:bCs w:val="1"/>
          <w:i w:val="1"/>
          <w:iCs w:val="1"/>
          <w:color w:val="auto"/>
        </w:rPr>
        <w:t>Our Independent Directors Meet Without Management</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independent directors meet regularly in executive sessions without management present.</w:t>
      </w:r>
    </w:p>
    <w:p>
      <w:pPr>
        <w:spacing w:after="0" w:line="136" w:lineRule="exact"/>
        <w:rPr>
          <w:sz w:val="20"/>
          <w:szCs w:val="20"/>
          <w:color w:val="auto"/>
        </w:rPr>
      </w:pPr>
    </w:p>
    <w:p>
      <w:pPr>
        <w:ind w:right="139"/>
        <w:spacing w:after="0" w:line="273" w:lineRule="auto"/>
        <w:rPr>
          <w:sz w:val="20"/>
          <w:szCs w:val="20"/>
          <w:color w:val="auto"/>
        </w:rPr>
      </w:pPr>
      <w:r>
        <w:rPr>
          <w:rFonts w:ascii="Arial" w:cs="Arial" w:eastAsia="Arial" w:hAnsi="Arial"/>
          <w:sz w:val="16"/>
          <w:szCs w:val="16"/>
          <w:b w:val="1"/>
          <w:bCs w:val="1"/>
          <w:i w:val="1"/>
          <w:iCs w:val="1"/>
          <w:color w:val="auto"/>
        </w:rPr>
        <w:t>We Have a Stock Ownership Policy</w:t>
      </w:r>
      <w:r>
        <w:rPr>
          <w:rFonts w:ascii="Arial" w:cs="Arial" w:eastAsia="Arial" w:hAnsi="Arial"/>
          <w:sz w:val="16"/>
          <w:szCs w:val="16"/>
          <w:color w:val="auto"/>
        </w:rPr>
        <w:t>. We require both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executive officers and our directors to maintain a meaningful ownership stake at levels specified in our stock ownership policy.</w:t>
      </w:r>
    </w:p>
    <w:p>
      <w:pPr>
        <w:spacing w:after="0" w:line="176" w:lineRule="exact"/>
        <w:rPr>
          <w:sz w:val="20"/>
          <w:szCs w:val="20"/>
          <w:color w:val="auto"/>
        </w:rPr>
      </w:pPr>
    </w:p>
    <w:p>
      <w:pPr>
        <w:jc w:val="both"/>
        <w:ind w:right="399"/>
        <w:spacing w:after="0" w:line="305" w:lineRule="auto"/>
        <w:rPr>
          <w:sz w:val="20"/>
          <w:szCs w:val="20"/>
          <w:color w:val="auto"/>
        </w:rPr>
      </w:pPr>
      <w:r>
        <w:rPr>
          <w:rFonts w:ascii="Arial" w:cs="Arial" w:eastAsia="Arial" w:hAnsi="Arial"/>
          <w:sz w:val="15"/>
          <w:szCs w:val="15"/>
          <w:b w:val="1"/>
          <w:bCs w:val="1"/>
          <w:i w:val="1"/>
          <w:iCs w:val="1"/>
          <w:color w:val="auto"/>
        </w:rPr>
        <w:t>Our Key Committees are Independent</w:t>
      </w:r>
      <w:r>
        <w:rPr>
          <w:rFonts w:ascii="Arial" w:cs="Arial" w:eastAsia="Arial" w:hAnsi="Arial"/>
          <w:sz w:val="15"/>
          <w:szCs w:val="15"/>
          <w:color w:val="auto"/>
        </w:rPr>
        <w:t>. We have fully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Audit, Compensation and Nominating and Corporate Governance Committees.</w:t>
      </w:r>
    </w:p>
    <w:p>
      <w:pPr>
        <w:spacing w:after="0" w:line="153" w:lineRule="exact"/>
        <w:rPr>
          <w:sz w:val="20"/>
          <w:szCs w:val="20"/>
          <w:color w:val="auto"/>
        </w:rPr>
      </w:pPr>
    </w:p>
    <w:p>
      <w:pPr>
        <w:ind w:right="339"/>
        <w:spacing w:after="0" w:line="293" w:lineRule="auto"/>
        <w:rPr>
          <w:sz w:val="20"/>
          <w:szCs w:val="20"/>
          <w:color w:val="auto"/>
        </w:rPr>
      </w:pPr>
      <w:r>
        <w:rPr>
          <w:rFonts w:ascii="Arial" w:cs="Arial" w:eastAsia="Arial" w:hAnsi="Arial"/>
          <w:sz w:val="16"/>
          <w:szCs w:val="16"/>
          <w:b w:val="1"/>
          <w:bCs w:val="1"/>
          <w:i w:val="1"/>
          <w:iCs w:val="1"/>
          <w:color w:val="auto"/>
        </w:rPr>
        <w:t xml:space="preserve">We Do Not Have a “Poison Pill.” </w:t>
      </w:r>
      <w:r>
        <w:rPr>
          <w:rFonts w:ascii="Arial" w:cs="Arial" w:eastAsia="Arial" w:hAnsi="Arial"/>
          <w:sz w:val="16"/>
          <w:szCs w:val="16"/>
          <w:color w:val="auto"/>
        </w:rPr>
        <w:t>We do not maintain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rights plan.</w:t>
      </w:r>
    </w:p>
    <w:p>
      <w:pPr>
        <w:spacing w:after="0" w:line="223" w:lineRule="exact"/>
        <w:rPr>
          <w:sz w:val="20"/>
          <w:szCs w:val="20"/>
          <w:color w:val="auto"/>
        </w:rPr>
      </w:pPr>
    </w:p>
    <w:p>
      <w:pPr>
        <w:sectPr>
          <w:pgSz w:w="11900" w:h="16838" w:orient="portrait"/>
          <w:cols w:equalWidth="0" w:num="2">
            <w:col w:w="4520" w:space="540"/>
            <w:col w:w="3979"/>
          </w:cols>
          <w:pgMar w:left="1420" w:top="125" w:right="1440"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8" w:name="page9"/>
    <w:bookmarkEnd w:id="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229" w:lineRule="exact"/>
        <w:rPr>
          <w:sz w:val="20"/>
          <w:szCs w:val="20"/>
          <w:color w:val="auto"/>
        </w:rPr>
      </w:pPr>
    </w:p>
    <w:p>
      <w:pPr>
        <w:ind w:right="359" w:firstLine="648"/>
        <w:spacing w:after="0" w:line="264" w:lineRule="auto"/>
        <w:rPr>
          <w:sz w:val="20"/>
          <w:szCs w:val="20"/>
          <w:color w:val="auto"/>
        </w:rPr>
      </w:pPr>
      <w:r>
        <w:rPr>
          <w:rFonts w:ascii="Arial" w:cs="Arial" w:eastAsia="Arial" w:hAnsi="Arial"/>
          <w:sz w:val="18"/>
          <w:szCs w:val="18"/>
          <w:color w:val="auto"/>
        </w:rPr>
        <w:t>The Company places tremendous value on attracting, developing and retaining talented employees by affording them an interesting and engaging work experience and opportunities for meaningful involvement in the surrounding community. Among the activities in which we and our employees participate are:</w:t>
      </w:r>
    </w:p>
    <w:p>
      <w:pPr>
        <w:sectPr>
          <w:pgSz w:w="11900" w:h="16838" w:orient="portrait"/>
          <w:cols w:equalWidth="0" w:num="1">
            <w:col w:w="9039"/>
          </w:cols>
          <w:pgMar w:left="1420" w:top="125" w:right="1440" w:bottom="1440" w:gutter="0" w:footer="0" w:header="0"/>
        </w:sectPr>
      </w:pPr>
    </w:p>
    <w:p>
      <w:pPr>
        <w:spacing w:after="0" w:line="195"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b w:val="1"/>
          <w:bCs w:val="1"/>
          <w:i w:val="1"/>
          <w:iCs w:val="1"/>
          <w:color w:val="auto"/>
        </w:rPr>
        <w:t>Improving Our Neighborhood</w:t>
      </w:r>
      <w:r>
        <w:rPr>
          <w:rFonts w:ascii="Arial" w:cs="Arial" w:eastAsia="Arial" w:hAnsi="Arial"/>
          <w:sz w:val="18"/>
          <w:szCs w:val="18"/>
          <w:color w:val="auto"/>
        </w:rPr>
        <w:t>. Together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Habitat for Humanity and in concert with our largest university partner, we are participating in the largest home renovation project in the country in the West Phoenix area surrounding GCU’s campus. As of December 31, 2018, 221 different projects have been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-976630</wp:posOffset>
            </wp:positionV>
            <wp:extent cx="5754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61"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b w:val="1"/>
          <w:bCs w:val="1"/>
          <w:i w:val="1"/>
          <w:iCs w:val="1"/>
          <w:color w:val="auto"/>
        </w:rPr>
        <w:t>Partnership with the City of Phoenix</w:t>
      </w:r>
      <w:r>
        <w:rPr>
          <w:rFonts w:ascii="Arial" w:cs="Arial" w:eastAsia="Arial" w:hAnsi="Arial"/>
          <w:sz w:val="18"/>
          <w:szCs w:val="18"/>
          <w:color w:val="auto"/>
        </w:rPr>
        <w:t>. We are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seventh year of a $1.6 million partnership with City of Phoenix Police Department that focuses on improving safety and reducing crime in the West Phoenix community. Since the initiation of this program, crime has decreased substantially in this area.</w:t>
      </w:r>
    </w:p>
    <w:p>
      <w:pPr>
        <w:spacing w:after="0" w:line="81"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b w:val="1"/>
          <w:bCs w:val="1"/>
          <w:i w:val="1"/>
          <w:iCs w:val="1"/>
          <w:color w:val="auto"/>
        </w:rPr>
        <w:t>Furthering Job Creation</w:t>
      </w:r>
      <w:r>
        <w:rPr>
          <w:rFonts w:ascii="Arial" w:cs="Arial" w:eastAsia="Arial" w:hAnsi="Arial"/>
          <w:sz w:val="16"/>
          <w:szCs w:val="16"/>
          <w:color w:val="auto"/>
        </w:rPr>
        <w:t>. At December 31,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employed approximately 3,500 persons (including 700 part-time employees and student workers), which is approximately three times more persons than were employed by GCE in comparable positions ten years ago. We have also helped launched a number of new business enterprises that have reduced costs for our largest university partner, provided management opportunities for recent GCU graduates and employment opportunities for students and neighborhood residents, while spurring economic growth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57543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99"/>
        <w:spacing w:after="0" w:line="291" w:lineRule="auto"/>
        <w:rPr>
          <w:sz w:val="20"/>
          <w:szCs w:val="20"/>
          <w:color w:val="auto"/>
        </w:rPr>
      </w:pPr>
      <w:r>
        <w:rPr>
          <w:rFonts w:ascii="Arial" w:cs="Arial" w:eastAsia="Arial" w:hAnsi="Arial"/>
          <w:sz w:val="16"/>
          <w:szCs w:val="16"/>
          <w:b w:val="1"/>
          <w:bCs w:val="1"/>
          <w:i w:val="1"/>
          <w:iCs w:val="1"/>
          <w:color w:val="auto"/>
        </w:rPr>
        <w:t>Continuing Community Involvement</w:t>
      </w:r>
      <w:r>
        <w:rPr>
          <w:rFonts w:ascii="Arial" w:cs="Arial" w:eastAsia="Arial" w:hAnsi="Arial"/>
          <w:sz w:val="16"/>
          <w:szCs w:val="16"/>
          <w:color w:val="auto"/>
        </w:rPr>
        <w:t>. GCE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partner in countless community events and projects throughout the year. The Company offers its full-time employees a maximum of 16 hours of PTO annually for community service. This time is used to volunteer at more than 40 approved charitable organizations.</w:t>
      </w:r>
    </w:p>
    <w:p>
      <w:pPr>
        <w:spacing w:after="0" w:line="59" w:lineRule="exact"/>
        <w:rPr>
          <w:sz w:val="20"/>
          <w:szCs w:val="20"/>
          <w:color w:val="auto"/>
        </w:rPr>
      </w:pPr>
    </w:p>
    <w:p>
      <w:pPr>
        <w:ind w:right="159"/>
        <w:spacing w:after="0" w:line="272" w:lineRule="auto"/>
        <w:rPr>
          <w:sz w:val="20"/>
          <w:szCs w:val="20"/>
          <w:color w:val="auto"/>
        </w:rPr>
      </w:pPr>
      <w:r>
        <w:rPr>
          <w:rFonts w:ascii="Arial" w:cs="Arial" w:eastAsia="Arial" w:hAnsi="Arial"/>
          <w:sz w:val="17"/>
          <w:szCs w:val="17"/>
          <w:b w:val="1"/>
          <w:bCs w:val="1"/>
          <w:i w:val="1"/>
          <w:iCs w:val="1"/>
          <w:color w:val="auto"/>
        </w:rPr>
        <w:t>Encouraging Employee Giving</w:t>
      </w:r>
      <w:r>
        <w:rPr>
          <w:rFonts w:ascii="Arial" w:cs="Arial" w:eastAsia="Arial" w:hAnsi="Arial"/>
          <w:sz w:val="17"/>
          <w:szCs w:val="17"/>
          <w:color w:val="auto"/>
        </w:rPr>
        <w:t>. We participate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Donate to Elevate, a program that encourages employees to contribute money in lieu of state income tax payments to benefit private schools in Arizona and the partnership with Habitat for Humanity, as well as local public schools and public charter schools.</w:t>
      </w:r>
    </w:p>
    <w:p>
      <w:pPr>
        <w:spacing w:after="0" w:line="70" w:lineRule="exact"/>
        <w:rPr>
          <w:sz w:val="20"/>
          <w:szCs w:val="20"/>
          <w:color w:val="auto"/>
        </w:rPr>
      </w:pPr>
    </w:p>
    <w:p>
      <w:pPr>
        <w:ind w:right="199"/>
        <w:spacing w:after="0" w:line="291" w:lineRule="auto"/>
        <w:rPr>
          <w:sz w:val="20"/>
          <w:szCs w:val="20"/>
          <w:color w:val="auto"/>
        </w:rPr>
      </w:pPr>
      <w:r>
        <w:rPr>
          <w:rFonts w:ascii="Arial" w:cs="Arial" w:eastAsia="Arial" w:hAnsi="Arial"/>
          <w:sz w:val="16"/>
          <w:szCs w:val="16"/>
          <w:b w:val="1"/>
          <w:bCs w:val="1"/>
          <w:i w:val="1"/>
          <w:iCs w:val="1"/>
          <w:color w:val="auto"/>
        </w:rPr>
        <w:t>Funding of Student Tuition Organizations</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contributes to private school tuition organizations and in 2018 increased its annual contribution to $3.7 million from $2.0 million in 2017. Financial contributions are allocated toward tuition assistance and awarding Arizona students with scholarships to attend Arizona private schools.</w:t>
      </w:r>
    </w:p>
    <w:p>
      <w:pPr>
        <w:spacing w:after="0" w:line="1260" w:lineRule="exact"/>
        <w:rPr>
          <w:sz w:val="20"/>
          <w:szCs w:val="20"/>
          <w:color w:val="auto"/>
        </w:rPr>
      </w:pPr>
    </w:p>
    <w:p>
      <w:pPr>
        <w:sectPr>
          <w:pgSz w:w="11900" w:h="16838" w:orient="portrait"/>
          <w:cols w:equalWidth="0" w:num="2">
            <w:col w:w="4400" w:space="720"/>
            <w:col w:w="3919"/>
          </w:cols>
          <w:pgMar w:left="1420" w:top="125" w:right="1440"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i w:val="1"/>
          <w:iCs w:val="1"/>
          <w:color w:val="auto"/>
        </w:rPr>
        <w:t>Our Diverse Workforce</w:t>
      </w:r>
    </w:p>
    <w:p>
      <w:pPr>
        <w:spacing w:after="0" w:line="225" w:lineRule="exact"/>
        <w:rPr>
          <w:sz w:val="20"/>
          <w:szCs w:val="20"/>
          <w:color w:val="auto"/>
        </w:rPr>
      </w:pPr>
    </w:p>
    <w:p>
      <w:pPr>
        <w:ind w:right="39" w:firstLine="648"/>
        <w:spacing w:after="0" w:line="279" w:lineRule="auto"/>
        <w:rPr>
          <w:sz w:val="20"/>
          <w:szCs w:val="20"/>
          <w:color w:val="auto"/>
        </w:rPr>
      </w:pPr>
      <w:r>
        <w:rPr>
          <w:rFonts w:ascii="Arial" w:cs="Arial" w:eastAsia="Arial" w:hAnsi="Arial"/>
          <w:sz w:val="17"/>
          <w:szCs w:val="17"/>
          <w:color w:val="auto"/>
        </w:rPr>
        <w:t>The Company believes that it must have the best talent, including individuals who possess a diverse range of experiences, backgrounds and skills that enable it to anticipate and meet the needs of the business and those of our university partners. Over time, we have hired, developed and retained a diverse workforce that reflects our surrounding community and that is a key component in the Company’s success and an important part of the Company’s culture.</w:t>
      </w:r>
    </w:p>
    <w:p>
      <w:pPr>
        <w:spacing w:after="0" w:line="171" w:lineRule="exact"/>
        <w:rPr>
          <w:sz w:val="20"/>
          <w:szCs w:val="20"/>
          <w:color w:val="auto"/>
        </w:rPr>
      </w:pPr>
    </w:p>
    <w:p>
      <w:pPr>
        <w:ind w:right="19" w:firstLine="648"/>
        <w:spacing w:after="0" w:line="264" w:lineRule="auto"/>
        <w:rPr>
          <w:sz w:val="20"/>
          <w:szCs w:val="20"/>
          <w:color w:val="auto"/>
        </w:rPr>
      </w:pPr>
      <w:r>
        <w:rPr>
          <w:rFonts w:ascii="Arial" w:cs="Arial" w:eastAsia="Arial" w:hAnsi="Arial"/>
          <w:sz w:val="18"/>
          <w:szCs w:val="18"/>
          <w:color w:val="auto"/>
        </w:rPr>
        <w:t>Our ability to attract, develop and retain diverse talent is reflected at both the Board and management levels. Our five-person Board includes two diverse members. In addition, of our top 352 positions in the Company, nearly 60% are held by women and other diverse persons, collectively.</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AWARENESS</w:t>
      </w:r>
    </w:p>
    <w:p>
      <w:pPr>
        <w:spacing w:after="0" w:line="229" w:lineRule="exact"/>
        <w:rPr>
          <w:sz w:val="20"/>
          <w:szCs w:val="20"/>
          <w:color w:val="auto"/>
        </w:rPr>
      </w:pPr>
    </w:p>
    <w:p>
      <w:pPr>
        <w:ind w:right="99" w:firstLine="648"/>
        <w:spacing w:after="0" w:line="273" w:lineRule="auto"/>
        <w:rPr>
          <w:sz w:val="20"/>
          <w:szCs w:val="20"/>
          <w:color w:val="auto"/>
        </w:rPr>
      </w:pPr>
      <w:r>
        <w:rPr>
          <w:rFonts w:ascii="Arial" w:cs="Arial" w:eastAsia="Arial" w:hAnsi="Arial"/>
          <w:sz w:val="17"/>
          <w:szCs w:val="17"/>
          <w:color w:val="auto"/>
        </w:rPr>
        <w:t>During the years in which we owned and operated Grand Canyon University, we invested more than $1.0 billion in campus construction projects. Following the Transaction (as defined below) on July 1, 2018, the Company now operates from a four-story 325,000 square foot administrative building, which includes office space for approximately 2,700 employees and a parking garage. We constructed these facilities in 2016 and, as with every one of our projects over the past ten years, we designed them to maximize energy efficiency and minimize electricity usage and environmental impact. Our headquarters building includes the following design features:</w:t>
      </w:r>
    </w:p>
    <w:p>
      <w:pPr>
        <w:sectPr>
          <w:pgSz w:w="11900" w:h="16838" w:orient="portrait"/>
          <w:cols w:equalWidth="0" w:num="1">
            <w:col w:w="9039"/>
          </w:cols>
          <w:pgMar w:left="1420" w:top="125" w:right="1440" w:bottom="1440" w:gutter="0" w:footer="0" w:header="0"/>
        </w:sectPr>
      </w:pPr>
    </w:p>
    <w:p>
      <w:pPr>
        <w:spacing w:after="0" w:line="192" w:lineRule="exact"/>
        <w:rPr>
          <w:sz w:val="20"/>
          <w:szCs w:val="20"/>
          <w:color w:val="auto"/>
        </w:rPr>
      </w:pPr>
    </w:p>
    <w:p>
      <w:pPr>
        <w:ind w:left="580" w:right="20"/>
        <w:spacing w:after="0" w:line="272" w:lineRule="auto"/>
        <w:rPr>
          <w:sz w:val="20"/>
          <w:szCs w:val="20"/>
          <w:color w:val="auto"/>
        </w:rPr>
      </w:pPr>
      <w:r>
        <w:rPr>
          <w:rFonts w:ascii="Arial" w:cs="Arial" w:eastAsia="Arial" w:hAnsi="Arial"/>
          <w:sz w:val="17"/>
          <w:szCs w:val="17"/>
          <w:b w:val="1"/>
          <w:bCs w:val="1"/>
          <w:i w:val="1"/>
          <w:iCs w:val="1"/>
          <w:color w:val="auto"/>
        </w:rPr>
        <w:t>North/South Building Orientation</w:t>
      </w:r>
      <w:r>
        <w:rPr>
          <w:rFonts w:ascii="Arial" w:cs="Arial" w:eastAsia="Arial" w:hAnsi="Arial"/>
          <w:sz w:val="17"/>
          <w:szCs w:val="17"/>
          <w:color w:val="auto"/>
        </w:rPr>
        <w:t>.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building is orientated with north/south exposure in order to minimize direct sun and thereby reduce power usage. Exterior courtyards were arranged to ensure summer shade thus creating outdoor areas that can be used by our employees throughout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-983615</wp:posOffset>
            </wp:positionV>
            <wp:extent cx="57543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50" w:lineRule="exact"/>
        <w:rPr>
          <w:sz w:val="20"/>
          <w:szCs w:val="20"/>
          <w:color w:val="auto"/>
        </w:rPr>
      </w:pPr>
    </w:p>
    <w:p>
      <w:pPr>
        <w:ind w:left="580" w:right="60"/>
        <w:spacing w:after="0" w:line="272" w:lineRule="auto"/>
        <w:rPr>
          <w:sz w:val="20"/>
          <w:szCs w:val="20"/>
          <w:color w:val="auto"/>
        </w:rPr>
      </w:pPr>
      <w:r>
        <w:rPr>
          <w:rFonts w:ascii="Arial" w:cs="Arial" w:eastAsia="Arial" w:hAnsi="Arial"/>
          <w:sz w:val="17"/>
          <w:szCs w:val="17"/>
          <w:b w:val="1"/>
          <w:bCs w:val="1"/>
          <w:i w:val="1"/>
          <w:iCs w:val="1"/>
          <w:color w:val="auto"/>
        </w:rPr>
        <w:t>Use of Window Glazing</w:t>
      </w:r>
      <w:r>
        <w:rPr>
          <w:rFonts w:ascii="Arial" w:cs="Arial" w:eastAsia="Arial" w:hAnsi="Arial"/>
          <w:sz w:val="17"/>
          <w:szCs w:val="17"/>
          <w:color w:val="auto"/>
        </w:rPr>
        <w:t>. Our building utilizes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5754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199"/>
        <w:spacing w:after="0" w:line="255" w:lineRule="auto"/>
        <w:rPr>
          <w:sz w:val="20"/>
          <w:szCs w:val="20"/>
          <w:color w:val="auto"/>
        </w:rPr>
      </w:pPr>
      <w:r>
        <w:rPr>
          <w:rFonts w:ascii="Arial" w:cs="Arial" w:eastAsia="Arial" w:hAnsi="Arial"/>
          <w:sz w:val="18"/>
          <w:szCs w:val="18"/>
          <w:b w:val="1"/>
          <w:bCs w:val="1"/>
          <w:i w:val="1"/>
          <w:iCs w:val="1"/>
          <w:color w:val="auto"/>
        </w:rPr>
        <w:t>Reducing Water Consumption</w:t>
      </w:r>
      <w:r>
        <w:rPr>
          <w:rFonts w:ascii="Arial" w:cs="Arial" w:eastAsia="Arial" w:hAnsi="Arial"/>
          <w:sz w:val="18"/>
          <w:szCs w:val="18"/>
          <w:color w:val="auto"/>
        </w:rPr>
        <w:t>. Water usage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another environmental factor for office space that is magnified by the Arizona sun. The Company’s office building utilizes a rooftop rain water collection system for irrigating the landscaping below, which significantly reduces our water consumption.</w:t>
      </w:r>
    </w:p>
    <w:p>
      <w:pPr>
        <w:spacing w:after="0" w:line="81" w:lineRule="exact"/>
        <w:rPr>
          <w:sz w:val="20"/>
          <w:szCs w:val="20"/>
          <w:color w:val="auto"/>
        </w:rPr>
      </w:pPr>
    </w:p>
    <w:p>
      <w:pPr>
        <w:ind w:right="99"/>
        <w:spacing w:after="0" w:line="276" w:lineRule="auto"/>
        <w:rPr>
          <w:sz w:val="20"/>
          <w:szCs w:val="20"/>
          <w:color w:val="auto"/>
        </w:rPr>
      </w:pPr>
      <w:r>
        <w:rPr>
          <w:rFonts w:ascii="Arial" w:cs="Arial" w:eastAsia="Arial" w:hAnsi="Arial"/>
          <w:sz w:val="17"/>
          <w:szCs w:val="17"/>
          <w:b w:val="1"/>
          <w:bCs w:val="1"/>
          <w:i w:val="1"/>
          <w:iCs w:val="1"/>
          <w:color w:val="auto"/>
        </w:rPr>
        <w:t>Other Design Features</w:t>
      </w:r>
      <w:r>
        <w:rPr>
          <w:rFonts w:ascii="Arial" w:cs="Arial" w:eastAsia="Arial" w:hAnsi="Arial"/>
          <w:sz w:val="17"/>
          <w:szCs w:val="17"/>
          <w:color w:val="auto"/>
        </w:rPr>
        <w:t>. Additional environment-friendly design features include low VOC paints, use of recycled building materials, interior and exterior LED light bulbs, and implementation of an energy-efficient VRF mechanical system.</w:t>
      </w:r>
    </w:p>
    <w:p>
      <w:pPr>
        <w:spacing w:after="0" w:line="617" w:lineRule="exact"/>
        <w:rPr>
          <w:sz w:val="20"/>
          <w:szCs w:val="20"/>
          <w:color w:val="auto"/>
        </w:rPr>
      </w:pPr>
    </w:p>
    <w:p>
      <w:pPr>
        <w:sectPr>
          <w:pgSz w:w="11900" w:h="16838" w:orient="portrait"/>
          <w:cols w:equalWidth="0" w:num="2">
            <w:col w:w="4400" w:space="720"/>
            <w:col w:w="3919"/>
          </w:cols>
          <w:pgMar w:left="1420" w:top="125" w:right="1440" w:bottom="1440" w:gutter="0" w:footer="0" w:header="0"/>
          <w:type w:val="continuous"/>
        </w:sectPr>
      </w:pPr>
    </w:p>
    <w:p>
      <w:pPr>
        <w:spacing w:after="0"/>
        <w:rPr>
          <w:sz w:val="20"/>
          <w:szCs w:val="20"/>
          <w:color w:val="auto"/>
        </w:rPr>
      </w:pPr>
      <w:r>
        <w:rPr>
          <w:rFonts w:ascii="Arial" w:cs="Arial" w:eastAsia="Arial" w:hAnsi="Arial"/>
          <w:sz w:val="16"/>
          <w:szCs w:val="16"/>
          <w:color w:val="auto"/>
        </w:rPr>
        <w:t>In addition to its efficient facilities, the Company undertakes other measures to minimize its environmental impact, including</w:t>
      </w:r>
    </w:p>
    <w:p>
      <w:pPr>
        <w:spacing w:after="0" w:line="46" w:lineRule="exact"/>
        <w:rPr>
          <w:sz w:val="20"/>
          <w:szCs w:val="20"/>
          <w:color w:val="auto"/>
        </w:rPr>
      </w:pPr>
    </w:p>
    <w:p>
      <w:pPr>
        <w:jc w:val="both"/>
        <w:ind w:right="619" w:firstLine="3"/>
        <w:spacing w:after="0" w:line="277"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its Trip Reduction Program, which provides incentives to employees who participate in carpooling or take public transportation to work, (2) providing a telecommute option for some positions, and (3) its participation in a recycling program aimed at minimizing the volume of waste products generated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9" w:lineRule="exact"/>
        <w:rPr>
          <w:sz w:val="20"/>
          <w:szCs w:val="20"/>
          <w:color w:val="auto"/>
        </w:rPr>
      </w:pPr>
    </w:p>
    <w:p>
      <w:pPr>
        <w:ind w:right="19"/>
        <w:spacing w:after="0" w:line="259" w:lineRule="auto"/>
        <w:rPr>
          <w:sz w:val="20"/>
          <w:szCs w:val="20"/>
          <w:color w:val="auto"/>
        </w:rPr>
      </w:pPr>
      <w:r>
        <w:rPr>
          <w:rFonts w:ascii="Arial" w:cs="Arial" w:eastAsia="Arial" w:hAnsi="Arial"/>
          <w:sz w:val="18"/>
          <w:szCs w:val="18"/>
          <w:color w:val="auto"/>
        </w:rPr>
        <w:t xml:space="preserve">Please see the </w:t>
      </w:r>
      <w:r>
        <w:rPr>
          <w:rFonts w:ascii="Arial" w:cs="Arial" w:eastAsia="Arial" w:hAnsi="Arial"/>
          <w:sz w:val="18"/>
          <w:szCs w:val="18"/>
          <w:i w:val="1"/>
          <w:iCs w:val="1"/>
          <w:color w:val="auto"/>
        </w:rPr>
        <w:t>General Information</w:t>
      </w:r>
      <w:r>
        <w:rPr>
          <w:rFonts w:ascii="Arial" w:cs="Arial" w:eastAsia="Arial" w:hAnsi="Arial"/>
          <w:sz w:val="18"/>
          <w:szCs w:val="18"/>
          <w:color w:val="auto"/>
        </w:rPr>
        <w:t xml:space="preserve"> section for important information about the proxy materials, voting, the annual meeting, Company documents, communications and the deadlines to submit stockholder proposals and director nominees for the 2020 Annual Meeting of Stockholders. Additional questions may be directed to our Corporate Counsel, Grand Canyon Education, Inc., 2600 W. Camelback Road, Phoenix, Arizona 85017.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Learn More About Our Company</w:t>
      </w:r>
    </w:p>
    <w:p>
      <w:pPr>
        <w:spacing w:after="0" w:line="229" w:lineRule="exact"/>
        <w:rPr>
          <w:sz w:val="20"/>
          <w:szCs w:val="20"/>
          <w:color w:val="auto"/>
        </w:rPr>
      </w:pPr>
    </w:p>
    <w:p>
      <w:pPr>
        <w:ind w:right="979"/>
        <w:spacing w:after="0" w:line="277" w:lineRule="auto"/>
        <w:rPr>
          <w:sz w:val="20"/>
          <w:szCs w:val="20"/>
          <w:color w:val="auto"/>
        </w:rPr>
      </w:pPr>
      <w:r>
        <w:rPr>
          <w:rFonts w:ascii="Arial" w:cs="Arial" w:eastAsia="Arial" w:hAnsi="Arial"/>
          <w:sz w:val="18"/>
          <w:szCs w:val="18"/>
          <w:color w:val="auto"/>
        </w:rPr>
        <w:t xml:space="preserve">You can learn more about the Company, view our governance materials and much more by visiting our website, </w:t>
      </w:r>
      <w:r>
        <w:rPr>
          <w:rFonts w:ascii="Arial" w:cs="Arial" w:eastAsia="Arial" w:hAnsi="Arial"/>
          <w:sz w:val="18"/>
          <w:szCs w:val="18"/>
          <w:i w:val="1"/>
          <w:iCs w:val="1"/>
          <w:color w:val="auto"/>
        </w:rPr>
        <w:t>www.gce.com</w:t>
      </w:r>
      <w:r>
        <w:rPr>
          <w:rFonts w:ascii="Arial" w:cs="Arial" w:eastAsia="Arial" w:hAnsi="Arial"/>
          <w:sz w:val="18"/>
          <w:szCs w:val="18"/>
          <w:color w:val="auto"/>
        </w:rPr>
        <w:t>.</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10" w:name="page11"/>
    <w:bookmarkEnd w:id="1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2600 West Camelback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74295</wp:posOffset>
            </wp:positionV>
            <wp:extent cx="14319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154940</wp:posOffset>
            </wp:positionV>
            <wp:extent cx="14319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enclosed proxy is being solicited by our Board of Directors for use in connection with the Annual Meeting to be held on Thursday, June 13, 2019, at the offices of Grand Canyon Education, Inc. located at 2600 W. Camelback Road, Phoenix, Arizona 85017, commencing at 9:00 a.m., Arizona time, and at any adjournment or postponement thereof.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first mailed to our stockholders on or about May 1, 2019,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7"/>
          <w:szCs w:val="17"/>
          <w:i w:val="1"/>
          <w:iCs w:val="1"/>
          <w:color w:val="auto"/>
        </w:rPr>
        <w:t>www.edocumentview.com/LOPE</w:t>
      </w:r>
      <w:r>
        <w:rPr>
          <w:rFonts w:ascii="Arial" w:cs="Arial" w:eastAsia="Arial" w:hAnsi="Arial"/>
          <w:sz w:val="17"/>
          <w:szCs w:val="17"/>
          <w:color w:val="auto"/>
        </w:rPr>
        <w:t xml:space="preserve"> or the Company’s Investor Relations website at </w:t>
      </w:r>
      <w:r>
        <w:rPr>
          <w:rFonts w:ascii="Arial" w:cs="Arial" w:eastAsia="Arial" w:hAnsi="Arial"/>
          <w:sz w:val="17"/>
          <w:szCs w:val="17"/>
          <w:i w:val="1"/>
          <w:iCs w:val="1"/>
          <w:color w:val="auto"/>
        </w:rPr>
        <w:t>www.gce.com</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Only stockholders of record at the close of business on April 18, 2019, will be entitled to notice of and to vote at the Annual Meeting and any adjournment or postponement thereof. At the close of business on the record date, we had approximately 48,247,361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229" w:lineRule="exact"/>
        <w:rPr>
          <w:sz w:val="20"/>
          <w:szCs w:val="20"/>
          <w:color w:val="auto"/>
        </w:rPr>
      </w:pPr>
    </w:p>
    <w:p>
      <w:pPr>
        <w:ind w:firstLine="648"/>
        <w:spacing w:after="0" w:line="217" w:lineRule="exact"/>
        <w:rPr>
          <w:sz w:val="20"/>
          <w:szCs w:val="20"/>
          <w:color w:val="auto"/>
        </w:rPr>
      </w:pPr>
      <w:r>
        <w:rPr>
          <w:rFonts w:ascii="Arial" w:cs="Arial" w:eastAsia="Arial" w:hAnsi="Arial"/>
          <w:sz w:val="16"/>
          <w:szCs w:val="16"/>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w:t>
      </w:r>
      <w:r>
        <w:rPr>
          <w:rFonts w:ascii="MS PGothic" w:cs="MS PGothic" w:eastAsia="MS PGothic" w:hAnsi="MS PGothic"/>
          <w:sz w:val="16"/>
          <w:szCs w:val="16"/>
          <w:color w:val="auto"/>
        </w:rPr>
        <w:t>‑</w:t>
      </w:r>
      <w:r>
        <w:rPr>
          <w:rFonts w:ascii="Arial" w:cs="Arial" w:eastAsia="Arial" w:hAnsi="Arial"/>
          <w:sz w:val="16"/>
          <w:szCs w:val="16"/>
          <w:color w:val="auto"/>
        </w:rPr>
        <w:t>8 of the Securities Exchange Act of 1934, as amended (the “Exchange Act”). To be timely, a proposal to be included in our proxy statement must be received at our principal executive offices, addressed to our Secretary, not less than 120 calendar days before the first anniversary of the date that our proxy statement was released to stockholders in connection with the previous year’s annual meeting. Accordingly, for a stockholder proposal to be included in our proxy materials for our 2020 Annual Meeting of Stockholders, the proposal must be received at our principal executive offices, addressed to our Secretary, not later than the close of business on January 1, 2020.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w:t>
      </w:r>
      <w:r>
        <w:rPr>
          <w:rFonts w:ascii="Arial" w:cs="Arial" w:eastAsia="Arial" w:hAnsi="Arial"/>
          <w:sz w:val="7"/>
          <w:szCs w:val="7"/>
          <w:color w:val="auto"/>
        </w:rPr>
        <w:t>th</w:t>
      </w:r>
      <w:r>
        <w:rPr>
          <w:rFonts w:ascii="Arial" w:cs="Arial" w:eastAsia="Arial" w:hAnsi="Arial"/>
          <w:sz w:val="16"/>
          <w:szCs w:val="16"/>
          <w:color w:val="auto"/>
        </w:rPr>
        <w:t xml:space="preserve"> day, nor later than the close of business on the 90</w:t>
      </w:r>
      <w:r>
        <w:rPr>
          <w:rFonts w:ascii="Arial" w:cs="Arial" w:eastAsia="Arial" w:hAnsi="Arial"/>
          <w:sz w:val="7"/>
          <w:szCs w:val="7"/>
          <w:color w:val="auto"/>
        </w:rPr>
        <w:t>th</w:t>
      </w:r>
      <w:r>
        <w:rPr>
          <w:rFonts w:ascii="Arial" w:cs="Arial" w:eastAsia="Arial" w:hAnsi="Arial"/>
          <w:sz w:val="16"/>
          <w:szCs w:val="16"/>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90</w:t>
      </w:r>
      <w:r>
        <w:rPr>
          <w:rFonts w:ascii="Arial" w:cs="Arial" w:eastAsia="Arial" w:hAnsi="Arial"/>
          <w:sz w:val="7"/>
          <w:szCs w:val="7"/>
          <w:color w:val="auto"/>
        </w:rPr>
        <w:t>th</w:t>
      </w:r>
      <w:r>
        <w:rPr>
          <w:rFonts w:ascii="Arial" w:cs="Arial" w:eastAsia="Arial" w:hAnsi="Arial"/>
          <w:sz w:val="16"/>
          <w:szCs w:val="16"/>
          <w:color w:val="auto"/>
        </w:rPr>
        <w:t xml:space="preserve"> day prior to the annual meeting or the 10</w:t>
      </w:r>
      <w:r>
        <w:rPr>
          <w:rFonts w:ascii="Arial" w:cs="Arial" w:eastAsia="Arial" w:hAnsi="Arial"/>
          <w:sz w:val="7"/>
          <w:szCs w:val="7"/>
          <w:color w:val="auto"/>
        </w:rPr>
        <w:t>th</w:t>
      </w:r>
      <w:r>
        <w:rPr>
          <w:rFonts w:ascii="Arial" w:cs="Arial" w:eastAsia="Arial" w:hAnsi="Arial"/>
          <w:sz w:val="16"/>
          <w:szCs w:val="16"/>
          <w:color w:val="auto"/>
        </w:rPr>
        <w:t xml:space="preserve"> day following the date on which public announcement of the date of such meeting is first made. For our 2020 Annual Meeting of Stockholders, proper notice of business that is not intended for inclusion in our proxy statement must be received not earlier than the close of business on February 13, 2020, nor later than the close of business on March 15, 2020.</w:t>
      </w:r>
    </w:p>
    <w:p>
      <w:pPr>
        <w:spacing w:after="0" w:line="214"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 xml:space="preserve">If you hold your shares in “street name,” and you do not give your bank, broker or other holder of record specific voting instructions for your shares, your record holder can vote your shares on routine matters, which include only the proposal to ratify the appointment of our independent registered public accounting firm (Proposal No. 3). However, your record holder cannot vote your shares without your specific instructions on the election of directors (Proposal No. 1), or on matters related to executive compensation, including the advisory vote described below on the compensation of our named executive officers (Proposal No. 2).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6"/>
          <w:szCs w:val="16"/>
          <w:b w:val="1"/>
          <w:bCs w:val="1"/>
          <w:color w:val="auto"/>
        </w:rPr>
        <w:t>We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encourage you to provide instructions to your bank, broker or other holder of record regarding the voting of your shares. </w:t>
      </w:r>
      <w:r>
        <w:rPr>
          <w:rFonts w:ascii="Arial" w:cs="Arial" w:eastAsia="Arial" w:hAnsi="Arial"/>
          <w:sz w:val="16"/>
          <w:szCs w:val="16"/>
          <w:color w:val="auto"/>
        </w:rPr>
        <w:t>Our stockholders have no dissenter’s or appraisal rights in connection with any of the proposals described herein.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vote required to approve each of the proposals presented in this Proxy Statement is set forth below:</w:t>
      </w:r>
    </w:p>
    <w:p>
      <w:pPr>
        <w:spacing w:after="0" w:line="225" w:lineRule="exact"/>
        <w:rPr>
          <w:sz w:val="20"/>
          <w:szCs w:val="20"/>
          <w:color w:val="auto"/>
        </w:rPr>
      </w:pPr>
    </w:p>
    <w:p>
      <w:pPr>
        <w:ind w:left="1300" w:hanging="325"/>
        <w:spacing w:after="0" w:line="293"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Election of Directors (Proposal No. 1)</w:t>
      </w:r>
      <w:r>
        <w:rPr>
          <w:rFonts w:ascii="Arial" w:cs="Arial" w:eastAsia="Arial" w:hAnsi="Arial"/>
          <w:sz w:val="16"/>
          <w:szCs w:val="16"/>
          <w:color w:val="auto"/>
        </w:rPr>
        <w:t>. The affirmative vote of a majority of the votes cast with respect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is required for the election to the Board of Directors of each of the nominees for director. For this purpose, “a majority of the votes cast” means that the number of votes cast “for” a nominee exceeds the number of votes cast “against” that nominee. Stockholders do not have the right to cumulate their votes in the election of directors. Abstentions and broker non-votes will have no effect on the outcome of the election because abstentions and broker non-votes are not considered to be votes cast.</w:t>
      </w:r>
    </w:p>
    <w:p>
      <w:pPr>
        <w:spacing w:after="0" w:line="164" w:lineRule="exact"/>
        <w:rPr>
          <w:rFonts w:ascii="Arial" w:cs="Arial" w:eastAsia="Arial" w:hAnsi="Arial"/>
          <w:sz w:val="16"/>
          <w:szCs w:val="16"/>
          <w:color w:val="auto"/>
        </w:rPr>
      </w:pPr>
    </w:p>
    <w:p>
      <w:pPr>
        <w:ind w:left="1300" w:right="100" w:hanging="325"/>
        <w:spacing w:after="0" w:line="271" w:lineRule="auto"/>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Approval, on an advisory basis, of the compensation of our named executive officers (Proposal No. 2). </w:t>
      </w:r>
      <w:r>
        <w:rPr>
          <w:rFonts w:ascii="Arial" w:cs="Arial" w:eastAsia="Arial" w:hAnsi="Arial"/>
          <w:sz w:val="17"/>
          <w:szCs w:val="17"/>
          <w:color w:val="auto"/>
        </w:rPr>
        <w:t>Approval, on an advisory basis, of the compensation of our named executive 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or Compensation Committee, the Board of Directors and the Compensation Committee will consider the voting results, along with other relevant factors, in connection with their ongoing evaluation of our compensation program.</w:t>
      </w:r>
    </w:p>
    <w:p>
      <w:pPr>
        <w:spacing w:after="0" w:line="178" w:lineRule="exact"/>
        <w:rPr>
          <w:rFonts w:ascii="Arial" w:cs="Arial" w:eastAsia="Arial" w:hAnsi="Arial"/>
          <w:sz w:val="17"/>
          <w:szCs w:val="17"/>
          <w:color w:val="auto"/>
        </w:rPr>
      </w:pPr>
    </w:p>
    <w:p>
      <w:pPr>
        <w:ind w:left="1300" w:right="100" w:hanging="325"/>
        <w:spacing w:after="0" w:line="255"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Ratification of the appointment of the Independent Registered Public Accounting Firm (Proposal No. 3). </w:t>
      </w:r>
      <w:r>
        <w:rPr>
          <w:rFonts w:ascii="Arial" w:cs="Arial" w:eastAsia="Arial" w:hAnsi="Arial"/>
          <w:sz w:val="18"/>
          <w:szCs w:val="18"/>
          <w:color w:val="auto"/>
        </w:rPr>
        <w:t>Approval of the proposal to ratify the Audit Committee’s appointment of KPMG LLP as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for the fiscal year ending December 31, 2019 requires 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22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17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of Directors strives to ensure the success and continuity of business of the Company through the selection of qualified management. It is also responsible for ensuring that the Company’s activities are conducted in a responsible and ethical manner. The Company is committed to having sound corporate governance principles.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our 2018 fiscal year, our Board of Directors held six meetings and each of our directors attended 100% of such meetings. We do not have a formal policy regarding attendance of our directors at annual meetings of our stockholders, but we do encourage each of our directors to attend. All of our directors attended our 2018 annual meeting in person or telephonically.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Board of Directors periodically reviews the independence of each director. During these reviews, our Board of Directors considers transactions and relationships between each director (and his or her immediate family and affiliates) and the Company and management to determine whether any such transactions or relationships are inconsistent with a determination that the director was independent. Our Board of Directors has affirmatively determined that each director other than Brian E. Mueller, who serves as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Company’s governance framework provides the Board with flexibility to select the appropriate Board leadership structure for the Company. In making leadership structure determinations, the Board considers many factors, including the specific needs of the business and what is in the best interests of the Company’s stockholders. Having the flexibility to select the appropriate structure based on the specific needs of the business is critical, and it is part of the judgment the Board believes it should exercise. The Board understands that Board leadership structure is an important topic for many stockholders, and the Board takes stockholder feedback into account when making determinations around Board leadership structure.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Our Board leadership structure comprises a “combined” Chairman of the Board and Chief Executive Officer, a lead independent director, Board committees led entirely by independent directors and active engagement by all directors. In selecting Mr. Mueller to serve as Chairman, the Board determined that having Mr. Mueller serve in the combined role provides certain synergies and efficiencies that can serve to enhance the functioning of the Board and serve the business and stockholders well over time. The Company operates in a complex business and regulatory environment, which requires a chief executive officer with deep knowledge of the business and the industry within which we operate. Because the Chief Executive Officer is the Board member closest to our complex business, he is best able to identify many of the business issues that need to be on the Board agenda, and, as Chairman of the Board, he can focus directors’ attention on the most critical business matters. Further, the Board believes that, at this time, a combined Chairman of the Board and Chief Executive Officer will facilitate timely and unfiltered communication with the Board on critical business and regulatory issues. The Board also believes that there are benefits in having the same person represent both the Company and the Board with regulators, stockholders and other stakeholders.</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accordance with our Corporate Governance Principles and Practices, in the event the positions of Chairman and Chief Executive Officer are held by the same person, or if the position of Chairman is also held by a non-independent person, a lead independent director is appointed annually by the affirmative vote of a majority of those directors who have been determined to be “independent” under applicable Nasdaq guidelines. The lead independent director, a position currently held by Ms. Sara Dial, has the following duties:</w:t>
      </w:r>
    </w:p>
    <w:p>
      <w:pPr>
        <w:spacing w:after="0" w:line="188" w:lineRule="exact"/>
        <w:rPr>
          <w:sz w:val="20"/>
          <w:szCs w:val="20"/>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Setting the agenda and serving as chairman for the executive sessions of the independent directors.</w:t>
      </w:r>
    </w:p>
    <w:p>
      <w:pPr>
        <w:spacing w:after="0" w:line="225" w:lineRule="exact"/>
        <w:rPr>
          <w:rFonts w:ascii="Arial" w:cs="Arial" w:eastAsia="Arial" w:hAnsi="Arial"/>
          <w:sz w:val="18"/>
          <w:szCs w:val="18"/>
          <w:color w:val="auto"/>
        </w:rPr>
      </w:pPr>
    </w:p>
    <w:p>
      <w:pPr>
        <w:ind w:left="980" w:right="520" w:hanging="329"/>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Serving as liaison between the Chairman and the independent directors, including, communicating to the Chairman, as appropriate, the results of executive sessions of the independent directors.</w:t>
      </w:r>
    </w:p>
    <w:p>
      <w:pPr>
        <w:spacing w:after="0" w:line="146" w:lineRule="exact"/>
        <w:rPr>
          <w:rFonts w:ascii="Arial" w:cs="Arial" w:eastAsia="Arial" w:hAnsi="Arial"/>
          <w:sz w:val="17"/>
          <w:szCs w:val="17"/>
          <w:color w:val="auto"/>
        </w:rPr>
      </w:pPr>
    </w:p>
    <w:p>
      <w:pPr>
        <w:ind w:left="980" w:right="68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Ensuring that independent directors have adequate opportunities to meet without management present, including authority to call meetings of the independent directors.</w:t>
      </w:r>
    </w:p>
    <w:p>
      <w:pPr>
        <w:spacing w:after="0" w:line="170" w:lineRule="exact"/>
        <w:rPr>
          <w:rFonts w:ascii="Arial" w:cs="Arial" w:eastAsia="Arial" w:hAnsi="Arial"/>
          <w:sz w:val="18"/>
          <w:szCs w:val="18"/>
          <w:color w:val="auto"/>
        </w:rPr>
      </w:pPr>
    </w:p>
    <w:p>
      <w:pPr>
        <w:ind w:left="980" w:right="340" w:hanging="329"/>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Serving as designated contact for communication to independent directors as required by the Securities and Exchange Commission and the Nasdaq Stock Market’s listing standards, including being available for consultation and direct communication with major stockholders.</w:t>
      </w:r>
    </w:p>
    <w:p>
      <w:pPr>
        <w:spacing w:after="0" w:line="181" w:lineRule="exact"/>
        <w:rPr>
          <w:rFonts w:ascii="Arial" w:cs="Arial" w:eastAsia="Arial" w:hAnsi="Arial"/>
          <w:sz w:val="18"/>
          <w:szCs w:val="18"/>
          <w:color w:val="auto"/>
        </w:rPr>
      </w:pPr>
    </w:p>
    <w:p>
      <w:pPr>
        <w:ind w:left="980" w:right="400" w:hanging="329"/>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the agenda and information sent in connection with Board meetings and ensuring that the other independent directors also have an opportunity to provide input on the agenda.</w:t>
      </w:r>
    </w:p>
    <w:p>
      <w:pPr>
        <w:spacing w:after="0" w:line="170"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meeting schedules to assure that there is sufficient time for discussion of all agenda items.</w:t>
      </w:r>
    </w:p>
    <w:p>
      <w:pPr>
        <w:spacing w:after="0" w:line="225"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Chairing Board meetings if the Chairman is unable to attend.</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Importantly, all of our directors play an active role in overseeing the Company’s business both at the Board and committee levels. As part of each regularly scheduled Board meeting, the independent directors meet in executive session without the Chief Executive Officer present. These sessions allow our independent directors to discuss issues of importance to the Company, including the business and affairs of the Company as well as matters concerning management, without any member of management present.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 During 2018</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Board of Directors directs the management of our business affairs, as provided by Delaware law, and conducts its business through meetings of the Board of Directors. Our Board of Directors has established three standing committees: an Audit Committee, a Compensation Committee, and a Nominating and Corporate Governance Committee. During 2018, each director attended 100%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written charters for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spacing w:after="0" w:line="277" w:lineRule="auto"/>
        <w:rPr>
          <w:sz w:val="20"/>
          <w:szCs w:val="20"/>
          <w:color w:val="auto"/>
        </w:rPr>
      </w:pPr>
      <w:r>
        <w:rPr>
          <w:rFonts w:ascii="Arial" w:cs="Arial" w:eastAsia="Arial" w:hAnsi="Arial"/>
          <w:sz w:val="18"/>
          <w:szCs w:val="18"/>
          <w:color w:val="auto"/>
        </w:rPr>
        <w:t xml:space="preserve">each of the standing committees, which are available in the Corporate Governance section of the Investor Relations page on our website at </w:t>
      </w:r>
      <w:r>
        <w:rPr>
          <w:rFonts w:ascii="Arial" w:cs="Arial" w:eastAsia="Arial" w:hAnsi="Arial"/>
          <w:sz w:val="18"/>
          <w:szCs w:val="18"/>
          <w:i w:val="1"/>
          <w:iCs w:val="1"/>
          <w:color w:val="auto"/>
        </w:rPr>
        <w:t>www.gce.com.</w:t>
      </w:r>
    </w:p>
    <w:p>
      <w:pPr>
        <w:spacing w:after="0" w:line="170" w:lineRule="exact"/>
        <w:rPr>
          <w:sz w:val="20"/>
          <w:szCs w:val="20"/>
          <w:color w:val="auto"/>
        </w:rPr>
      </w:pPr>
    </w:p>
    <w:p>
      <w:pPr>
        <w:ind w:right="39" w:firstLine="648"/>
        <w:spacing w:after="0" w:line="287"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During 2018, our Audit Committee consisted of Messrs. Jack A. Henry (chair), Kevin F. Warren,</w:t>
      </w:r>
      <w:r>
        <w:rPr>
          <w:rFonts w:ascii="Arial" w:cs="Arial" w:eastAsia="Arial" w:hAnsi="Arial"/>
          <w:sz w:val="16"/>
          <w:szCs w:val="16"/>
          <w:i w:val="1"/>
          <w:iCs w:val="1"/>
          <w:color w:val="auto"/>
        </w:rPr>
        <w:t xml:space="preserve"> </w:t>
      </w:r>
      <w:r>
        <w:rPr>
          <w:rFonts w:ascii="Arial" w:cs="Arial" w:eastAsia="Arial" w:hAnsi="Arial"/>
          <w:sz w:val="16"/>
          <w:szCs w:val="16"/>
          <w:color w:val="auto"/>
        </w:rPr>
        <w:t>and David J. Johnson, each of whom our Board of Directors determined to be “independent,” as defined under and required by the rules of the Nasdaq Stock Market and the federal securities laws. Our Audit Committee met seven times during 2018. Our Audit Committee is directly responsible for, among other things, the appointment, compensation and related audit fee negotiations, retention, and oversight, including selection of the lead engagement partner, and tenure of our independent registered public accounting firm. The oversight includes reviewing the plans and results of the audit engagement with the firm, approving and negotiating any additional professional services provided by the firm and reviewing the independence of the firm. The Audit Committee is also responsible for discussing the effectiveness of the internal controls over financial reporting, review of significant accounting policies, and discussion of significant judgements or accounting estimates during the audit with the firm and relevant financial management. Our Board of Directors determined that each of Messrs. Henry, Warren and Johnson qualified as an “audit committee financial expert,” as defined under applicable federal securities laws.</w:t>
      </w:r>
    </w:p>
    <w:p>
      <w:pPr>
        <w:spacing w:after="0" w:line="173" w:lineRule="exact"/>
        <w:rPr>
          <w:sz w:val="20"/>
          <w:szCs w:val="20"/>
          <w:color w:val="auto"/>
        </w:rPr>
      </w:pPr>
    </w:p>
    <w:p>
      <w:pPr>
        <w:ind w:right="259" w:firstLine="648"/>
        <w:spacing w:after="0" w:line="272"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During 2018, our Compensation Committee consisted of Messrs. Kevin F. Warren</w:t>
      </w:r>
      <w:r>
        <w:rPr>
          <w:rFonts w:ascii="Arial" w:cs="Arial" w:eastAsia="Arial" w:hAnsi="Arial"/>
          <w:sz w:val="17"/>
          <w:szCs w:val="17"/>
          <w:i w:val="1"/>
          <w:iCs w:val="1"/>
          <w:color w:val="auto"/>
        </w:rPr>
        <w:t xml:space="preserve"> </w:t>
      </w:r>
      <w:r>
        <w:rPr>
          <w:rFonts w:ascii="Arial" w:cs="Arial" w:eastAsia="Arial" w:hAnsi="Arial"/>
          <w:sz w:val="17"/>
          <w:szCs w:val="17"/>
          <w:color w:val="auto"/>
        </w:rPr>
        <w:t>(chair), Jack A. Henry, and Ms. Sara R. Dial, each of whom the Board of Directors determined to be “independent,” as defined under and required by the rules of the Nasdaq Stock Market. Our Compensation Committee met five times during 2018.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7"/>
          <w:szCs w:val="17"/>
          <w:i w:val="1"/>
          <w:iCs w:val="1"/>
          <w:color w:val="auto"/>
        </w:rPr>
        <w:t>.</w:t>
      </w:r>
    </w:p>
    <w:p>
      <w:pPr>
        <w:spacing w:after="0" w:line="178" w:lineRule="exact"/>
        <w:rPr>
          <w:sz w:val="20"/>
          <w:szCs w:val="20"/>
          <w:color w:val="auto"/>
        </w:rPr>
      </w:pPr>
    </w:p>
    <w:p>
      <w:pPr>
        <w:ind w:right="39" w:firstLine="648"/>
        <w:spacing w:after="0" w:line="302"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and most recently in 2016, the Compensation Committee has engaged Mercer from time to time as its compensation consultant and advisor to:</w:t>
      </w:r>
    </w:p>
    <w:p>
      <w:pPr>
        <w:spacing w:after="0" w:line="154" w:lineRule="exact"/>
        <w:rPr>
          <w:sz w:val="20"/>
          <w:szCs w:val="20"/>
          <w:color w:val="auto"/>
        </w:rPr>
      </w:pPr>
    </w:p>
    <w:p>
      <w:pPr>
        <w:ind w:left="1300" w:right="419" w:hanging="325"/>
        <w:spacing w:after="0" w:line="308"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Provide recommendations regarding executive compensation consistent with the Company’s business needs, pay philosophy, market trends and latest legal and regulatory considerations;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119" w:firstLine="648"/>
        <w:spacing w:after="0" w:line="289"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During 2018, our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consisted of Ms. Sara R. Dial (chair), and Messrs. David J. Johnson and Kevin F. Warren, each of whom our Board of Directors determined to be “independent,” as defined under and required by the rules of the Nasdaq Stock Market. Our Nominating and Corporate Governance Committee met four times during 2018.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Committee Composition in 2019</w:t>
      </w:r>
    </w:p>
    <w:p>
      <w:pPr>
        <w:spacing w:after="0" w:line="229" w:lineRule="exact"/>
        <w:rPr>
          <w:sz w:val="20"/>
          <w:szCs w:val="20"/>
          <w:color w:val="auto"/>
        </w:rPr>
      </w:pPr>
    </w:p>
    <w:p>
      <w:pPr>
        <w:ind w:right="99" w:firstLine="648"/>
        <w:spacing w:after="0" w:line="279" w:lineRule="auto"/>
        <w:rPr>
          <w:sz w:val="20"/>
          <w:szCs w:val="20"/>
          <w:color w:val="auto"/>
        </w:rPr>
      </w:pPr>
      <w:r>
        <w:rPr>
          <w:rFonts w:ascii="Arial" w:cs="Arial" w:eastAsia="Arial" w:hAnsi="Arial"/>
          <w:sz w:val="17"/>
          <w:szCs w:val="17"/>
          <w:color w:val="auto"/>
        </w:rPr>
        <w:t>The Nominating and Corporate Governance Committee is responsible for reviewing and recommending to the Board the assignment of directors to various committees. The Nominating and Corporate Governance Committee will also recommend to the Board, subject to applicable membership requirements and as practical, an appropriate rotation process to ensure diversity of Board member experience and variety of exposure to the affairs of the Company. Given</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current size of the Board, and the consistent attendance of each director at all meetings of each Board committee, whether as a member or invited guest, on January 29, 2019, the Nominating and Corporate Governance Committee recommended, and the Board approved, the appointments of Ms. Dial to the Audit Committee, Mr. Henry to the Nominating and Corporate Governance Committee and Mr. Johnson to the Compensation Committee, in each case as additional members of such committees, with such appointments to be effective immediately following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8"/>
          <w:szCs w:val="18"/>
          <w:i w:val="1"/>
          <w:iCs w:val="1"/>
          <w:color w:val="auto"/>
        </w:rPr>
        <w:t>www.gce.com.</w:t>
      </w:r>
      <w:r>
        <w:rPr>
          <w:rFonts w:ascii="Arial" w:cs="Arial" w:eastAsia="Arial" w:hAnsi="Arial"/>
          <w:sz w:val="18"/>
          <w:szCs w:val="18"/>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cyber security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makes such selections pursuant to the following process:</w:t>
      </w:r>
    </w:p>
    <w:p>
      <w:pPr>
        <w:spacing w:after="0" w:line="170" w:lineRule="exact"/>
        <w:rPr>
          <w:sz w:val="20"/>
          <w:szCs w:val="20"/>
          <w:color w:val="auto"/>
        </w:rPr>
      </w:pPr>
    </w:p>
    <w:p>
      <w:pPr>
        <w:ind w:left="130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181" w:lineRule="exact"/>
        <w:rPr>
          <w:rFonts w:ascii="Arial" w:cs="Arial" w:eastAsia="Arial" w:hAnsi="Arial"/>
          <w:sz w:val="18"/>
          <w:szCs w:val="18"/>
          <w:color w:val="auto"/>
        </w:rPr>
      </w:pPr>
    </w:p>
    <w:p>
      <w:pPr>
        <w:ind w:left="1300" w:right="440" w:hanging="325"/>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 of the candidates’ qualifications by our Nominating and Corporate Governance Committee to determine which candidates best meet our Board of Directors’ required and desired criteria;</w:t>
      </w:r>
    </w:p>
    <w:p>
      <w:pPr>
        <w:spacing w:after="0" w:line="123" w:lineRule="exact"/>
        <w:rPr>
          <w:rFonts w:ascii="Arial" w:cs="Arial" w:eastAsia="Arial" w:hAnsi="Arial"/>
          <w:sz w:val="16"/>
          <w:szCs w:val="16"/>
          <w:color w:val="auto"/>
        </w:rPr>
      </w:pPr>
    </w:p>
    <w:p>
      <w:pPr>
        <w:ind w:left="1300" w:right="22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181" w:lineRule="exact"/>
        <w:rPr>
          <w:rFonts w:ascii="Arial" w:cs="Arial" w:eastAsia="Arial" w:hAnsi="Arial"/>
          <w:sz w:val="18"/>
          <w:szCs w:val="18"/>
          <w:color w:val="auto"/>
        </w:rPr>
      </w:pPr>
    </w:p>
    <w:p>
      <w:pPr>
        <w:ind w:left="1300" w:hanging="325"/>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3" w:lineRule="auto"/>
        <w:rPr>
          <w:sz w:val="20"/>
          <w:szCs w:val="20"/>
          <w:color w:val="auto"/>
        </w:rPr>
      </w:pPr>
      <w:r>
        <w:rPr>
          <w:rFonts w:ascii="Arial" w:cs="Arial" w:eastAsia="Arial" w:hAnsi="Arial"/>
          <w:sz w:val="17"/>
          <w:szCs w:val="17"/>
          <w:color w:val="auto"/>
        </w:rPr>
        <w:t>Although our Nominating and Corporate Governance Committee will review each candidate’s qualifications 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178" w:lineRule="exact"/>
        <w:rPr>
          <w:sz w:val="20"/>
          <w:szCs w:val="20"/>
          <w:color w:val="auto"/>
        </w:rPr>
      </w:pPr>
    </w:p>
    <w:p>
      <w:pPr>
        <w:ind w:left="1300" w:right="20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70" w:lineRule="exact"/>
        <w:rPr>
          <w:rFonts w:ascii="Arial" w:cs="Arial" w:eastAsia="Arial" w:hAnsi="Arial"/>
          <w:sz w:val="18"/>
          <w:szCs w:val="18"/>
          <w:color w:val="auto"/>
        </w:rPr>
      </w:pPr>
    </w:p>
    <w:p>
      <w:pPr>
        <w:ind w:left="1300" w:right="20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170"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170" w:lineRule="exact"/>
        <w:rPr>
          <w:rFonts w:ascii="Arial" w:cs="Arial" w:eastAsia="Arial" w:hAnsi="Arial"/>
          <w:sz w:val="18"/>
          <w:szCs w:val="18"/>
          <w:color w:val="auto"/>
        </w:rPr>
      </w:pPr>
    </w:p>
    <w:p>
      <w:pPr>
        <w:ind w:left="1300" w:right="58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170"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170" w:lineRule="exact"/>
        <w:rPr>
          <w:rFonts w:ascii="Arial" w:cs="Arial" w:eastAsia="Arial" w:hAnsi="Arial"/>
          <w:sz w:val="18"/>
          <w:szCs w:val="18"/>
          <w:color w:val="auto"/>
        </w:rPr>
      </w:pPr>
    </w:p>
    <w:p>
      <w:pPr>
        <w:ind w:left="1300" w:right="120" w:hanging="325"/>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director/proposed nominee, by virtue of particular technical expertise, experience or specialized skill relevant to our current or future business, will add specific value as a Board member; and</w:t>
      </w:r>
    </w:p>
    <w:p>
      <w:pPr>
        <w:spacing w:after="0" w:line="123" w:lineRule="exact"/>
        <w:rPr>
          <w:rFonts w:ascii="Arial" w:cs="Arial" w:eastAsia="Arial" w:hAnsi="Arial"/>
          <w:sz w:val="16"/>
          <w:szCs w:val="16"/>
          <w:color w:val="auto"/>
        </w:rPr>
      </w:pPr>
    </w:p>
    <w:p>
      <w:pPr>
        <w:ind w:left="1300" w:right="280" w:hanging="325"/>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93"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Corporate Counsel, Grand Canyon Education, Inc., 2600 W.</w:t>
      </w:r>
    </w:p>
    <w:p>
      <w:pPr>
        <w:ind w:right="60"/>
        <w:spacing w:after="0" w:line="268" w:lineRule="auto"/>
        <w:rPr>
          <w:sz w:val="20"/>
          <w:szCs w:val="20"/>
          <w:color w:val="auto"/>
        </w:rPr>
      </w:pPr>
      <w:r>
        <w:rPr>
          <w:rFonts w:ascii="Arial" w:cs="Arial" w:eastAsia="Arial" w:hAnsi="Arial"/>
          <w:sz w:val="17"/>
          <w:szCs w:val="17"/>
          <w:color w:val="auto"/>
        </w:rPr>
        <w:t>Camelback Road, Phoenix, Arizona 85017. Submissions must be received at the Company’s principal executive offices not earlier than the close of business on the 120</w:t>
      </w:r>
      <w:r>
        <w:rPr>
          <w:rFonts w:ascii="Arial" w:cs="Arial" w:eastAsia="Arial" w:hAnsi="Arial"/>
          <w:sz w:val="8"/>
          <w:szCs w:val="8"/>
          <w:color w:val="auto"/>
        </w:rPr>
        <w:t>th</w:t>
      </w:r>
      <w:r>
        <w:rPr>
          <w:rFonts w:ascii="Arial" w:cs="Arial" w:eastAsia="Arial" w:hAnsi="Arial"/>
          <w:sz w:val="17"/>
          <w:szCs w:val="17"/>
          <w:color w:val="auto"/>
        </w:rPr>
        <w:t xml:space="preserve"> day, nor later than the close of business on the 90</w:t>
      </w:r>
      <w:r>
        <w:rPr>
          <w:rFonts w:ascii="Arial" w:cs="Arial" w:eastAsia="Arial" w:hAnsi="Arial"/>
          <w:sz w:val="8"/>
          <w:szCs w:val="8"/>
          <w:color w:val="auto"/>
        </w:rPr>
        <w:t>th</w:t>
      </w:r>
      <w:r>
        <w:rPr>
          <w:rFonts w:ascii="Arial" w:cs="Arial" w:eastAsia="Arial" w:hAnsi="Arial"/>
          <w:sz w:val="17"/>
          <w:szCs w:val="17"/>
          <w:color w:val="auto"/>
        </w:rPr>
        <w:t xml:space="preserve">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at the Company’s principal executive offices not later than the close of business on the later of the 90th day prior to the annual meeting or the 10th day following the date on which public announcement of the date of such meeting is first made. For our 2020 Annual Meeting of Stockholders, stockholder nominations must be received not earlier than the close of business on February 13, 2020, and not later than the close of business on March 15, 2020.</w:t>
      </w:r>
    </w:p>
    <w:p>
      <w:pPr>
        <w:spacing w:after="0" w:line="18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Each submission must set forth: (i) the name and address of the stockholder who intends to make the nomination, or the beneficial owner, if any, on whose behalf the nomination is being made and of the person or persons to be nominated;</w:t>
      </w:r>
    </w:p>
    <w:p>
      <w:pPr>
        <w:ind w:left="4440" w:right="1740" w:hanging="4437"/>
        <w:spacing w:after="0" w:line="762" w:lineRule="auto"/>
        <w:tabs>
          <w:tab w:leader="none" w:pos="2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stock of the Company entitled to vote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w:t>
      </w:r>
    </w:p>
    <w:p>
      <w:pPr>
        <w:ind w:right="60" w:firstLine="3"/>
        <w:spacing w:after="0" w:line="281" w:lineRule="auto"/>
        <w:tabs>
          <w:tab w:leader="none" w:pos="3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days after the record date for notice of the meeting to disclose such interests as of such record date: (A) the class and number of shares of the Company that are owned beneficially and of record by the stockholder or any such beneficial owner;</w:t>
      </w:r>
    </w:p>
    <w:p>
      <w:pPr>
        <w:spacing w:after="0" w:line="1" w:lineRule="exact"/>
        <w:rPr>
          <w:rFonts w:ascii="Arial" w:cs="Arial" w:eastAsia="Arial" w:hAnsi="Arial"/>
          <w:sz w:val="16"/>
          <w:szCs w:val="16"/>
          <w:color w:val="auto"/>
        </w:rPr>
      </w:pPr>
    </w:p>
    <w:p>
      <w:pPr>
        <w:spacing w:after="0" w:line="283" w:lineRule="auto"/>
        <w:rPr>
          <w:rFonts w:ascii="Arial" w:cs="Arial" w:eastAsia="Arial" w:hAnsi="Arial"/>
          <w:sz w:val="16"/>
          <w:szCs w:val="16"/>
          <w:color w:val="auto"/>
        </w:rPr>
      </w:pPr>
      <w:r>
        <w:rPr>
          <w:rFonts w:ascii="Arial" w:cs="Arial" w:eastAsia="Arial" w:hAnsi="Arial"/>
          <w:sz w:val="16"/>
          <w:szCs w:val="16"/>
          <w:color w:val="auto"/>
        </w:rPr>
        <w:t>(B) any derivative instrument directly or indirectly owned beneficially 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was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Elections of Directors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directors are elected each year at the annual meeting of stockholders to hold office until the next annual meeting of stockholders and until their successors are duly elected and qualified. Because term limits may cause the loss of experience and expertise important to the optimal operation of the Board, we currently do not impose limits on the number of terms a director may serve. The Nominating and Corporate Governance Committee, however, does evaluate the qualifications and performance of each incumbent director before recommending the nomination of that director for an additional 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Majority Voting</w:t>
      </w:r>
    </w:p>
    <w:p>
      <w:pPr>
        <w:spacing w:after="0" w:line="22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Pursuant to our bylaws, at any meeting of stockholders for the election of one or more directors at which a quorum is present, each director must be elected by the vote of a majority of the votes cast with respect to the director, provided that if the number of nominees exceeds the number of directors to be elected, the directors will be elected by the vote of a plurality of the votes cast by the stockholders entitled to vote at the election. For purposes of the foregoing, a majority of the votes cast means that the number of votes cast “for” a director exceeds the number of votes cast “against” that director. Under our Corporate Governance Principles and Practices, the Board may nominate for election or re-election as director only candidates who agree to execute, in connection with their nomination, irrevocable resignations that will be effective upon</w:t>
      </w:r>
    </w:p>
    <w:p>
      <w:pPr>
        <w:spacing w:after="0" w:line="3" w:lineRule="exact"/>
        <w:rPr>
          <w:sz w:val="20"/>
          <w:szCs w:val="20"/>
          <w:color w:val="auto"/>
        </w:rPr>
      </w:pPr>
    </w:p>
    <w:p>
      <w:pPr>
        <w:ind w:left="4440" w:right="3340" w:hanging="4437"/>
        <w:spacing w:after="0" w:line="762" w:lineRule="auto"/>
        <w:tabs>
          <w:tab w:leader="none" w:pos="25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receive a majority vote in an uncontested election at an annual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meeting and (2) the Board’s acceptance of such resignation within ninety (90) days following certification of the stockholder vote. If a director then serving on the Board of Directors does not receive the required majority vote, the director must tender his or her resignation to the Board. Within ninety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the committee’s recommendation and publicly disclose its decision and the rationale behind it.</w:t>
      </w:r>
    </w:p>
    <w:p>
      <w:pPr>
        <w:spacing w:after="0" w:line="16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addition, pursuant to our Corporate Governance Principles and Practices, a Board member, including the Chief Executive Officer, who ceases to be actively employed in his or her principal business or profession, or experiences other changed circumstances that could pose a conflict of interest, diminish his or her effectiveness as a Board member, or otherwise be detrimental to the Company, is expected to offer his or her resignation to the Board. The Board in its discretion will determine whether such member should continue to serve as a director for an unexpired term or any future terms.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During 2018, Messrs. Warren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2600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Policy</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Board of Directors believes that each outside director and executive officer should develop a meaningful ownership position in the Company. Effective January 26, 2017, the Board of Directors adopted a stock ownership policy which included a stock ownership policy for our executive officers and an updated stock ownership policy for our outside directors. This policy, which is set forth in our Corporate Governance Principles and Practices and available on the Corporate Governance section of the Investor Relations page on our website at </w:t>
      </w:r>
      <w:r>
        <w:rPr>
          <w:rFonts w:ascii="Arial" w:cs="Arial" w:eastAsia="Arial" w:hAnsi="Arial"/>
          <w:sz w:val="18"/>
          <w:szCs w:val="18"/>
          <w:i w:val="1"/>
          <w:iCs w:val="1"/>
          <w:color w:val="auto"/>
        </w:rPr>
        <w:t>www.gce.com</w:t>
      </w:r>
      <w:r>
        <w:rPr>
          <w:rFonts w:ascii="Arial" w:cs="Arial" w:eastAsia="Arial" w:hAnsi="Arial"/>
          <w:sz w:val="18"/>
          <w:szCs w:val="18"/>
          <w:color w:val="auto"/>
        </w:rPr>
        <w:t>, establishes the following ownership levels for each category of person covered by the policy: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40" w:type="dxa"/>
            <w:vAlign w:val="bottom"/>
            <w:tcBorders>
              <w:top w:val="single" w:sz="8" w:color="auto"/>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8"/>
              </w:rPr>
              <w:t>Covered Person</w:t>
            </w:r>
          </w:p>
        </w:tc>
        <w:tc>
          <w:tcPr>
            <w:tcW w:w="1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Required Salary Multiple</w:t>
            </w:r>
          </w:p>
        </w:tc>
        <w:tc>
          <w:tcPr>
            <w:tcW w:w="200" w:type="dxa"/>
            <w:vAlign w:val="bottom"/>
            <w:tcBorders>
              <w:top w:val="single" w:sz="8" w:color="auto"/>
              <w:right w:val="single" w:sz="8" w:color="auto"/>
            </w:tcBorders>
          </w:tcPr>
          <w:p>
            <w:pPr>
              <w:spacing w:after="0"/>
              <w:rPr>
                <w:sz w:val="19"/>
                <w:szCs w:val="19"/>
                <w:color w:val="auto"/>
              </w:rPr>
            </w:pPr>
          </w:p>
        </w:tc>
        <w:tc>
          <w:tcPr>
            <w:tcW w:w="880" w:type="dxa"/>
            <w:vAlign w:val="bottom"/>
          </w:tcPr>
          <w:p>
            <w:pPr>
              <w:spacing w:after="0"/>
              <w:rPr>
                <w:sz w:val="19"/>
                <w:szCs w:val="19"/>
                <w:color w:val="auto"/>
              </w:rPr>
            </w:pPr>
          </w:p>
        </w:tc>
      </w:tr>
      <w:tr>
        <w:trPr>
          <w:trHeight w:val="345"/>
        </w:trPr>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ind w:left="70"/>
              <w:spacing w:after="0"/>
              <w:rPr>
                <w:sz w:val="20"/>
                <w:szCs w:val="20"/>
                <w:color w:val="auto"/>
              </w:rPr>
            </w:pPr>
            <w:r>
              <w:rPr>
                <w:rFonts w:ascii="Arial" w:cs="Arial" w:eastAsia="Arial" w:hAnsi="Arial"/>
                <w:sz w:val="18"/>
                <w:szCs w:val="18"/>
                <w:color w:val="auto"/>
                <w:w w:val="92"/>
              </w:rPr>
              <w:t>Chairman and Chief Executive Officer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7"/>
              </w:rPr>
              <w:t>5x base salary</w:t>
            </w:r>
          </w:p>
        </w:tc>
        <w:tc>
          <w:tcPr>
            <w:tcW w:w="880" w:type="dxa"/>
            <w:vAlign w:val="bottom"/>
          </w:tcPr>
          <w:p>
            <w:pPr>
              <w:spacing w:after="0"/>
              <w:rPr>
                <w:sz w:val="24"/>
                <w:szCs w:val="24"/>
                <w:color w:val="auto"/>
              </w:rPr>
            </w:pPr>
          </w:p>
        </w:tc>
      </w:tr>
      <w:tr>
        <w:trPr>
          <w:trHeight w:val="351"/>
        </w:trPr>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jc w:val="center"/>
              <w:ind w:left="70"/>
              <w:spacing w:after="0"/>
              <w:rPr>
                <w:sz w:val="20"/>
                <w:szCs w:val="20"/>
                <w:color w:val="auto"/>
              </w:rPr>
            </w:pPr>
            <w:r>
              <w:rPr>
                <w:rFonts w:ascii="Arial" w:cs="Arial" w:eastAsia="Arial" w:hAnsi="Arial"/>
                <w:sz w:val="18"/>
                <w:szCs w:val="18"/>
                <w:color w:val="auto"/>
                <w:w w:val="93"/>
              </w:rPr>
              <w:t>All other Named Executive Officers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87"/>
              </w:rPr>
              <w:t>3x base salary</w:t>
            </w:r>
          </w:p>
        </w:tc>
        <w:tc>
          <w:tcPr>
            <w:tcW w:w="880" w:type="dxa"/>
            <w:vAlign w:val="bottom"/>
          </w:tcPr>
          <w:p>
            <w:pPr>
              <w:spacing w:after="0"/>
              <w:rPr>
                <w:sz w:val="24"/>
                <w:szCs w:val="24"/>
                <w:color w:val="auto"/>
              </w:rPr>
            </w:pPr>
          </w:p>
        </w:tc>
      </w:tr>
      <w:tr>
        <w:trPr>
          <w:trHeight w:val="337"/>
        </w:trPr>
        <w:tc>
          <w:tcPr>
            <w:tcW w:w="94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ind w:left="1160"/>
              <w:spacing w:after="0"/>
              <w:rPr>
                <w:sz w:val="20"/>
                <w:szCs w:val="20"/>
                <w:color w:val="auto"/>
              </w:rPr>
            </w:pPr>
            <w:r>
              <w:rPr>
                <w:rFonts w:ascii="Arial" w:cs="Arial" w:eastAsia="Arial" w:hAnsi="Arial"/>
                <w:sz w:val="18"/>
                <w:szCs w:val="18"/>
                <w:color w:val="auto"/>
              </w:rPr>
              <w:t>Outside Directors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0"/>
              </w:rPr>
              <w:t>3x annual cash retainer (exclusive of any</w:t>
            </w:r>
          </w:p>
        </w:tc>
        <w:tc>
          <w:tcPr>
            <w:tcW w:w="880" w:type="dxa"/>
            <w:vAlign w:val="bottom"/>
          </w:tcPr>
          <w:p>
            <w:pPr>
              <w:spacing w:after="0"/>
              <w:rPr>
                <w:sz w:val="24"/>
                <w:szCs w:val="24"/>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9"/>
              </w:rPr>
              <w:t>cash retainer payable for service as lead</w:t>
            </w:r>
          </w:p>
        </w:tc>
        <w:tc>
          <w:tcPr>
            <w:tcW w:w="880" w:type="dxa"/>
            <w:vAlign w:val="bottom"/>
          </w:tcPr>
          <w:p>
            <w:pPr>
              <w:spacing w:after="0"/>
              <w:rPr>
                <w:sz w:val="18"/>
                <w:szCs w:val="18"/>
                <w:color w:val="auto"/>
              </w:rPr>
            </w:pPr>
          </w:p>
        </w:tc>
      </w:tr>
      <w:tr>
        <w:trPr>
          <w:trHeight w:val="216"/>
        </w:trPr>
        <w:tc>
          <w:tcPr>
            <w:tcW w:w="9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0"/>
              </w:rPr>
              <w:t>director, chairperson of the Board or</w:t>
            </w:r>
          </w:p>
        </w:tc>
        <w:tc>
          <w:tcPr>
            <w:tcW w:w="880" w:type="dxa"/>
            <w:vAlign w:val="bottom"/>
          </w:tcPr>
          <w:p>
            <w:pPr>
              <w:spacing w:after="0"/>
              <w:rPr>
                <w:sz w:val="18"/>
                <w:szCs w:val="18"/>
                <w:color w:val="auto"/>
              </w:rPr>
            </w:pPr>
          </w:p>
        </w:tc>
      </w:tr>
      <w:tr>
        <w:trPr>
          <w:trHeight w:val="230"/>
        </w:trPr>
        <w:tc>
          <w:tcPr>
            <w:tcW w:w="940" w:type="dxa"/>
            <w:vAlign w:val="bottom"/>
            <w:tcBorders>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right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91"/>
              </w:rPr>
              <w:t>any committee thereof)</w:t>
            </w:r>
          </w:p>
        </w:tc>
        <w:tc>
          <w:tcPr>
            <w:tcW w:w="880" w:type="dxa"/>
            <w:vAlign w:val="bottom"/>
          </w:tcPr>
          <w:p>
            <w:pPr>
              <w:spacing w:after="0"/>
              <w:rPr>
                <w:sz w:val="20"/>
                <w:szCs w:val="20"/>
                <w:color w:val="auto"/>
              </w:rPr>
            </w:pPr>
          </w:p>
        </w:tc>
      </w:tr>
      <w:tr>
        <w:trPr>
          <w:trHeight w:val="642"/>
        </w:trPr>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w:t>
            </w: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Under the policy, the following may be used in determining share ownership for purposes of the ownership requirement:</w:t>
      </w:r>
    </w:p>
    <w:p>
      <w:pPr>
        <w:spacing w:after="0" w:line="170" w:lineRule="exact"/>
        <w:rPr>
          <w:sz w:val="20"/>
          <w:szCs w:val="20"/>
          <w:color w:val="auto"/>
        </w:rPr>
      </w:pPr>
    </w:p>
    <w:p>
      <w:pPr>
        <w:jc w:val="both"/>
        <w:ind w:left="1300" w:right="380" w:hanging="325"/>
        <w:spacing w:after="0" w:line="286"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owned directly (including shares acquired through open market purchases or acquired and held upon, or subject to, vesting of restricted stock, restricted stock units or performance-based awards, and shares received and held upon exercise of stock option awards);</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owned jointly with or separately by the director’s spouse;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held in trust for the benefit of the Covered Person, or one or more family members of the Covered Person;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held in qualified or nonqualified savings, profit-sharing, or deferred compensation accounts;</w:t>
      </w:r>
    </w:p>
    <w:p>
      <w:pPr>
        <w:spacing w:after="0" w:line="236" w:lineRule="exact"/>
        <w:rPr>
          <w:rFonts w:ascii="Arial" w:cs="Arial" w:eastAsia="Arial" w:hAnsi="Arial"/>
          <w:sz w:val="17"/>
          <w:szCs w:val="17"/>
          <w:color w:val="auto"/>
        </w:rPr>
      </w:pPr>
    </w:p>
    <w:p>
      <w:pPr>
        <w:ind w:left="1300" w:right="380" w:hanging="325"/>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underlying vested but unexercised stock options (based on the excess of the market price of the stock over the exercise price and after deducting any tax withholding obligations); and</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underlying vested but unexercised warrants.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Each person covered by the policy is expected to achieve the target ownership threshold within five years of the later of (i) January 26, 2017 and (ii) the date such person first becomes subject to the policy. The Compensation Committee will receive periodic reports of the ownership achieved by each covered person. Until such time as the covered person satisfies the share ownership requirement, the achievement level of share ownership will be determined by reference to the average closing stock price of the shares during the fiscal year ended immediately prior to the determination date. Once the share ownership requirement has been satisfied, future declines in share price will not impact the covered person’s compliance with this guideline, as long as the covered person holds the number of shares he or she had at the time he or she achieved the required ownership level. As of December 31, 2018, all persons covered by the policy were in compliance with the stock ownership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and Anti-Pledging Policy</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connection with its initial public offering in 2008, the Company adopted an insider trading policy that includes restrictions and limitations on the ability of the Company’s directors, officers and other employees to engage in transactions involving the hedging and pledging of Company stock. Under the policy, hedging or monetization transactions, such as zero-cost collars and forward sale contracts, which allow an employee to lock in much of the value of his or her stock holdings, often in exchange for all or part of the potential for upside appreciation in the stock, and thus to continue to own Company stock without the full risks and rewards of ownership, are prohibited. In addition, the policy addresses the practices of holding Company stock in a margin account, under which the securities may be sold by the broker without the customer’s consent if the customer fails to meet a margin call, and of pledging Company stock as collateral for a loan, in which event the securities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of the Company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wishing to enter into such an arrangement must first receive pre-approval for the proposed transaction from the Company’s compliance officer in accordance with the pre-approval procedures set forth in the policy.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We have a compensation program in place for our non-employee directors that utilizes annual retainers and restricted stock grants. New non-employee directors, upon appointment or election to the Board of Directors, receive an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award of restricted stock under our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Director Compensation</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 provides information regarding the compensation paid to the persons who served as non-employee directors in 2018:</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Fees Earned or</w:t>
            </w:r>
          </w:p>
        </w:tc>
        <w:tc>
          <w:tcPr>
            <w:tcW w:w="1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w w:val="92"/>
              </w:rPr>
              <w:t xml:space="preserve">Paid in Cash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4"/>
                <w:szCs w:val="14"/>
                <w:b w:val="1"/>
                <w:bCs w:val="1"/>
                <w:color w:val="auto"/>
                <w:w w:val="92"/>
                <w:vertAlign w:val="superscript"/>
              </w:rPr>
              <w:t>(1)</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Sara R. Dial</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103,333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Jack A. Henry</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David J. Johnson</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right="80" w:hanging="317"/>
        <w:spacing w:after="0" w:line="264"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table provides a breakdown of the cash compensation paid to our non-employee directors in 2018 in respect of their annual retainers for service on the Board of Directors, for service on Board committees, and for services as a Board committee chair or as lead independent director:</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Board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Board</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Chair</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4"/>
              </w:rPr>
              <w:t>Directors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3"/>
              </w:rPr>
              <w:t>Committee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Annual</w:t>
            </w:r>
          </w:p>
        </w:tc>
        <w:tc>
          <w:tcPr>
            <w:tcW w:w="140" w:type="dxa"/>
            <w:vAlign w:val="bottom"/>
          </w:tcPr>
          <w:p>
            <w:pPr>
              <w:spacing w:after="0"/>
              <w:rPr>
                <w:sz w:val="12"/>
                <w:szCs w:val="12"/>
                <w:color w:val="auto"/>
              </w:rPr>
            </w:pP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vMerge w:val="continue"/>
          </w:tcPr>
          <w:p>
            <w:pPr>
              <w:spacing w:after="0"/>
              <w:rPr>
                <w:sz w:val="14"/>
                <w:szCs w:val="14"/>
                <w:color w:val="auto"/>
              </w:rPr>
            </w:pPr>
          </w:p>
        </w:tc>
        <w:tc>
          <w:tcPr>
            <w:tcW w:w="118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4"/>
              </w:rPr>
              <w:t>Annual Retainer</w:t>
            </w:r>
          </w:p>
        </w:tc>
        <w:tc>
          <w:tcPr>
            <w:tcW w:w="122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3"/>
              </w:rPr>
              <w:t>Annual Retainers</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Retainer</w:t>
            </w: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Sara R. Dial</w:t>
            </w:r>
            <w:r>
              <w:rPr>
                <w:rFonts w:ascii="Arial" w:cs="Arial" w:eastAsia="Arial" w:hAnsi="Arial"/>
                <w:sz w:val="8"/>
                <w:szCs w:val="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43,333</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$ 103,333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Jack A. Henry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Kevin F. Warren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David J. Johnson</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4" w:lineRule="exact"/>
        <w:rPr>
          <w:sz w:val="20"/>
          <w:szCs w:val="20"/>
          <w:color w:val="auto"/>
        </w:rPr>
      </w:pPr>
    </w:p>
    <w:p>
      <w:pPr>
        <w:ind w:left="320" w:right="20" w:hanging="317"/>
        <w:spacing w:after="0" w:line="255"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the shares of restricted stock granted during the fiscal year as computed in accordance with ASC 718. For each director, the number of shares granted was determined by dividing the grant date value of the award, $75,000, by $112.96, the closing price of the company’s common stock on June 13, 2018, the date of grant, rounded up to the nearest whole share. Each director held 664 unvested shares at December 31, 2018. These shares will vest on the earlier of the one year anniversary of the date of grant or immediately prior to the 2019 annual meeting of stockholders.</w:t>
      </w:r>
    </w:p>
    <w:p>
      <w:pPr>
        <w:spacing w:after="0" w:line="193" w:lineRule="exact"/>
        <w:rPr>
          <w:rFonts w:ascii="Arial" w:cs="Arial" w:eastAsia="Arial" w:hAnsi="Arial"/>
          <w:sz w:val="18"/>
          <w:szCs w:val="18"/>
          <w:color w:val="auto"/>
        </w:rPr>
      </w:pPr>
    </w:p>
    <w:p>
      <w:pPr>
        <w:ind w:left="320" w:right="400" w:hanging="317"/>
        <w:spacing w:after="0" w:line="277"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for Ms. Dial includes the additional annual retainer of $33,333 that she received in her capacity as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4" w:lineRule="exact"/>
        <w:rPr>
          <w:sz w:val="20"/>
          <w:szCs w:val="20"/>
          <w:color w:val="auto"/>
        </w:rPr>
      </w:pPr>
    </w:p>
    <w:p>
      <w:pPr>
        <w:ind w:left="540"/>
        <w:spacing w:after="0"/>
        <w:tabs>
          <w:tab w:leader="none" w:pos="2700" w:val="left"/>
        </w:tabs>
        <w:rPr>
          <w:sz w:val="20"/>
          <w:szCs w:val="20"/>
          <w:color w:val="auto"/>
        </w:rPr>
      </w:pPr>
      <w:r>
        <w:rPr>
          <w:rFonts w:ascii="Arial" w:cs="Arial" w:eastAsia="Arial" w:hAnsi="Arial"/>
          <w:sz w:val="18"/>
          <w:szCs w:val="18"/>
          <w:b w:val="1"/>
          <w:bCs w:val="1"/>
          <w:i w:val="1"/>
          <w:iCs w:val="1"/>
          <w:color w:val="auto"/>
        </w:rPr>
        <w:t>What am I voting on?</w:t>
      </w:r>
      <w:r>
        <w:rPr>
          <w:sz w:val="20"/>
          <w:szCs w:val="20"/>
          <w:color w:val="auto"/>
        </w:rPr>
        <w:tab/>
      </w:r>
      <w:r>
        <w:rPr>
          <w:rFonts w:ascii="Arial" w:cs="Arial" w:eastAsia="Arial" w:hAnsi="Arial"/>
          <w:sz w:val="16"/>
          <w:szCs w:val="16"/>
          <w:color w:val="auto"/>
        </w:rPr>
        <w:t>Stockholders are being asked to elect five directors to serve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754370" cy="2075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075180"/>
                    </a:xfrm>
                    <a:prstGeom prst="rect">
                      <a:avLst/>
                    </a:prstGeom>
                    <a:noFill/>
                  </pic:spPr>
                </pic:pic>
              </a:graphicData>
            </a:graphic>
          </wp:anchor>
        </w:drawing>
      </w:r>
    </w:p>
    <w:p>
      <w:pPr>
        <w:spacing w:after="0" w:line="201" w:lineRule="exact"/>
        <w:rPr>
          <w:sz w:val="20"/>
          <w:szCs w:val="20"/>
          <w:color w:val="auto"/>
        </w:rPr>
      </w:pPr>
    </w:p>
    <w:p>
      <w:pPr>
        <w:ind w:left="2720" w:hanging="2173"/>
        <w:spacing w:after="0" w:line="274" w:lineRule="auto"/>
        <w:tabs>
          <w:tab w:leader="none" w:pos="2700" w:val="left"/>
        </w:tabs>
        <w:rPr>
          <w:sz w:val="20"/>
          <w:szCs w:val="20"/>
          <w:color w:val="auto"/>
        </w:rPr>
      </w:pPr>
      <w:r>
        <w:rPr>
          <w:rFonts w:ascii="Arial" w:cs="Arial" w:eastAsia="Arial" w:hAnsi="Arial"/>
          <w:sz w:val="18"/>
          <w:szCs w:val="18"/>
          <w:b w:val="1"/>
          <w:bCs w:val="1"/>
          <w:i w:val="1"/>
          <w:iCs w:val="1"/>
          <w:color w:val="auto"/>
        </w:rPr>
        <w:t>Voting recommendation:</w:t>
      </w:r>
      <w:r>
        <w:rPr>
          <w:sz w:val="20"/>
          <w:szCs w:val="20"/>
          <w:color w:val="auto"/>
        </w:rPr>
        <w:tab/>
      </w:r>
      <w:r>
        <w:rPr>
          <w:rFonts w:ascii="Arial" w:cs="Arial" w:eastAsia="Arial" w:hAnsi="Arial"/>
          <w:sz w:val="17"/>
          <w:szCs w:val="17"/>
          <w:color w:val="auto"/>
        </w:rPr>
        <w:t>Our Board of Directors unanimous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the election of each director nominee. The Board and the Nominating and Corporate Governance Committee believe that the five director nominees each possess the necessary qualifications, attributes, skills and experiences to provide quality advice and counsel to the Company’s management and effectively oversee the business and the long-term interests of our stockholders.</w:t>
      </w:r>
    </w:p>
    <w:p>
      <w:pPr>
        <w:spacing w:after="0" w:line="178" w:lineRule="exact"/>
        <w:rPr>
          <w:sz w:val="20"/>
          <w:szCs w:val="20"/>
          <w:color w:val="auto"/>
        </w:rPr>
      </w:pPr>
    </w:p>
    <w:p>
      <w:pPr>
        <w:ind w:left="2720" w:right="20" w:hanging="2173"/>
        <w:spacing w:after="0" w:line="293" w:lineRule="auto"/>
        <w:tabs>
          <w:tab w:leader="none" w:pos="2700" w:val="left"/>
        </w:tabs>
        <w:rPr>
          <w:sz w:val="20"/>
          <w:szCs w:val="20"/>
          <w:color w:val="auto"/>
        </w:rPr>
      </w:pPr>
      <w:r>
        <w:rPr>
          <w:rFonts w:ascii="Arial" w:cs="Arial" w:eastAsia="Arial" w:hAnsi="Arial"/>
          <w:sz w:val="18"/>
          <w:szCs w:val="18"/>
          <w:b w:val="1"/>
          <w:bCs w:val="1"/>
          <w:i w:val="1"/>
          <w:iCs w:val="1"/>
          <w:color w:val="auto"/>
        </w:rPr>
        <w:t>Vote required:</w:t>
      </w:r>
      <w:r>
        <w:rPr>
          <w:sz w:val="20"/>
          <w:szCs w:val="20"/>
          <w:color w:val="auto"/>
        </w:rPr>
        <w:tab/>
      </w:r>
      <w:r>
        <w:rPr>
          <w:rFonts w:ascii="Arial" w:cs="Arial" w:eastAsia="Arial" w:hAnsi="Arial"/>
          <w:sz w:val="16"/>
          <w:szCs w:val="16"/>
          <w:color w:val="auto"/>
        </w:rPr>
        <w:t>The affirmative vote of a majority of the votes cast at the Annual Meeting is required for the election of each director. Stockholders of the Company are not permitted to cumulate their votes for the election of directors. Abstentions and broker non-votes will have no effect on the results of the election of directors. Unless contrary instructions are given, shares represented by proxies solicited by the Board of Directors will be voted for the election of each of the director nominees identified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bylaws provide that our business will be managed by or under the direction of the Board of Directors. The number of directors constituting our Board of Directors is determined from time to time by our Board of Directors. Currently, our Board of Directors consists of five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five persons named below for election as directors. Proxies solicited by our Board of Directors will, unless otherwise directed, be voted to elect the five nominees named below to constitute the entire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2180" w:type="dxa"/>
            <w:vAlign w:val="bottom"/>
          </w:tcPr>
          <w:p>
            <w:pPr>
              <w:ind w:left="84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4"/>
                <w:szCs w:val="14"/>
                <w:color w:val="auto"/>
              </w:rPr>
            </w:pPr>
          </w:p>
        </w:tc>
        <w:tc>
          <w:tcPr>
            <w:tcW w:w="3780" w:type="dxa"/>
            <w:vAlign w:val="bottom"/>
          </w:tcPr>
          <w:p>
            <w:pPr>
              <w:ind w:left="1140"/>
              <w:spacing w:after="0"/>
              <w:rPr>
                <w:sz w:val="20"/>
                <w:szCs w:val="20"/>
                <w:color w:val="auto"/>
              </w:rPr>
            </w:pPr>
            <w:r>
              <w:rPr>
                <w:rFonts w:ascii="Arial" w:cs="Arial" w:eastAsia="Arial" w:hAnsi="Arial"/>
                <w:sz w:val="14"/>
                <w:szCs w:val="14"/>
                <w:b w:val="1"/>
                <w:bCs w:val="1"/>
                <w:color w:val="auto"/>
              </w:rPr>
              <w:t>Committee Membership</w:t>
            </w:r>
          </w:p>
        </w:tc>
      </w:tr>
      <w:tr>
        <w:trPr>
          <w:trHeight w:val="195"/>
        </w:trPr>
        <w:tc>
          <w:tcPr>
            <w:tcW w:w="1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Brian E. Mueller</w:t>
            </w:r>
          </w:p>
        </w:tc>
        <w:tc>
          <w:tcPr>
            <w:tcW w:w="20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65</w:t>
            </w:r>
          </w:p>
        </w:tc>
        <w:tc>
          <w:tcPr>
            <w:tcW w:w="180" w:type="dxa"/>
            <w:vAlign w:val="bottom"/>
            <w:tcBorders>
              <w:top w:val="single" w:sz="8" w:color="CCEEFF"/>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Chairman and Chief</w:t>
            </w:r>
          </w:p>
        </w:tc>
        <w:tc>
          <w:tcPr>
            <w:tcW w:w="180" w:type="dxa"/>
            <w:vAlign w:val="bottom"/>
            <w:tcBorders>
              <w:top w:val="single" w:sz="8" w:color="CCEEFF"/>
            </w:tcBorders>
            <w:shd w:val="clear" w:color="auto" w:fill="CCEEFF"/>
          </w:tcPr>
          <w:p>
            <w:pPr>
              <w:spacing w:after="0"/>
              <w:rPr>
                <w:sz w:val="16"/>
                <w:szCs w:val="16"/>
                <w:color w:val="auto"/>
              </w:rPr>
            </w:pPr>
          </w:p>
        </w:tc>
        <w:tc>
          <w:tcPr>
            <w:tcW w:w="3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None</w:t>
            </w:r>
          </w:p>
        </w:tc>
      </w:tr>
      <w:tr>
        <w:trPr>
          <w:trHeight w:val="230"/>
        </w:trPr>
        <w:tc>
          <w:tcPr>
            <w:tcW w:w="1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Executive Officer</w:t>
            </w:r>
          </w:p>
        </w:tc>
        <w:tc>
          <w:tcPr>
            <w:tcW w:w="18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r>
      <w:tr>
        <w:trPr>
          <w:trHeight w:val="202"/>
        </w:trPr>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Sara R. Dial</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9"/>
              </w:rPr>
              <w:t>55</w:t>
            </w:r>
          </w:p>
        </w:tc>
        <w:tc>
          <w:tcPr>
            <w:tcW w:w="1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9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Nominating and Corporate Governance (chair); and</w:t>
            </w: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5"/>
              </w:rPr>
              <w:t>(Lead Independent Director)</w:t>
            </w: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A. Henry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Audit (chair); and Compensation</w:t>
            </w:r>
          </w:p>
        </w:tc>
      </w:tr>
      <w:tr>
        <w:trPr>
          <w:trHeight w:val="202"/>
        </w:trPr>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Kevin F. Warren</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89"/>
              </w:rPr>
              <w:t>55</w:t>
            </w:r>
          </w:p>
        </w:tc>
        <w:tc>
          <w:tcPr>
            <w:tcW w:w="180" w:type="dxa"/>
            <w:vAlign w:val="bottom"/>
          </w:tcPr>
          <w:p>
            <w:pPr>
              <w:spacing w:after="0"/>
              <w:rPr>
                <w:sz w:val="17"/>
                <w:szCs w:val="17"/>
                <w:color w:val="auto"/>
              </w:rPr>
            </w:pPr>
          </w:p>
        </w:tc>
        <w:tc>
          <w:tcPr>
            <w:tcW w:w="2180" w:type="dxa"/>
            <w:vAlign w:val="bottom"/>
          </w:tcPr>
          <w:p>
            <w:pPr>
              <w:spacing w:after="0" w:line="201" w:lineRule="exact"/>
              <w:rPr>
                <w:sz w:val="20"/>
                <w:szCs w:val="20"/>
                <w:color w:val="auto"/>
              </w:rPr>
            </w:pPr>
            <w:r>
              <w:rPr>
                <w:rFonts w:ascii="Arial" w:cs="Arial" w:eastAsia="Arial" w:hAnsi="Arial"/>
                <w:sz w:val="18"/>
                <w:szCs w:val="18"/>
                <w:color w:val="auto"/>
              </w:rPr>
              <w:t>Director</w:t>
            </w:r>
          </w:p>
        </w:tc>
        <w:tc>
          <w:tcPr>
            <w:tcW w:w="396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5"/>
              </w:rPr>
              <w:t>Compensation (chair); Nominating and Corporate</w:t>
            </w:r>
          </w:p>
        </w:tc>
      </w:tr>
      <w:tr>
        <w:trPr>
          <w:trHeight w:val="230"/>
        </w:trPr>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960" w:type="dxa"/>
            <w:vAlign w:val="bottom"/>
            <w:gridSpan w:val="2"/>
          </w:tcPr>
          <w:p>
            <w:pPr>
              <w:ind w:left="180"/>
              <w:spacing w:after="0"/>
              <w:rPr>
                <w:sz w:val="20"/>
                <w:szCs w:val="20"/>
                <w:color w:val="auto"/>
              </w:rPr>
            </w:pPr>
            <w:r>
              <w:rPr>
                <w:rFonts w:ascii="Arial" w:cs="Arial" w:eastAsia="Arial" w:hAnsi="Arial"/>
                <w:sz w:val="18"/>
                <w:szCs w:val="18"/>
                <w:color w:val="auto"/>
              </w:rPr>
              <w:t>Governance; and Audit</w:t>
            </w: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3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Nominating and Corporate Governance; and Audit</w:t>
            </w:r>
          </w:p>
        </w:tc>
      </w:tr>
      <w:tr>
        <w:trPr>
          <w:trHeight w:val="864"/>
        </w:trPr>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tcPr>
          <w:p>
            <w:pPr>
              <w:ind w:left="152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29"/>
        </w:trPr>
        <w:tc>
          <w:tcPr>
            <w:tcW w:w="1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280" w:firstLine="648"/>
        <w:spacing w:after="0" w:line="267" w:lineRule="auto"/>
        <w:rPr>
          <w:sz w:val="20"/>
          <w:szCs w:val="20"/>
          <w:color w:val="auto"/>
        </w:rPr>
      </w:pPr>
      <w:r>
        <w:rPr>
          <w:rFonts w:ascii="Arial" w:cs="Arial" w:eastAsia="Arial" w:hAnsi="Arial"/>
          <w:sz w:val="17"/>
          <w:szCs w:val="17"/>
          <w:i w:val="1"/>
          <w:iCs w:val="1"/>
          <w:color w:val="auto"/>
        </w:rPr>
        <w:t xml:space="preserve">Brian E. Mueller </w:t>
      </w:r>
      <w:r>
        <w:rPr>
          <w:rFonts w:ascii="Arial" w:cs="Arial" w:eastAsia="Arial" w:hAnsi="Arial"/>
          <w:sz w:val="17"/>
          <w:szCs w:val="17"/>
          <w:color w:val="auto"/>
        </w:rPr>
        <w:t>has been serving as our Chief Executive Officer since July 1, 2008,</w:t>
      </w:r>
      <w:r>
        <w:rPr>
          <w:rFonts w:ascii="Arial" w:cs="Arial" w:eastAsia="Arial" w:hAnsi="Arial"/>
          <w:sz w:val="17"/>
          <w:szCs w:val="17"/>
          <w:i w:val="1"/>
          <w:iCs w:val="1"/>
          <w:color w:val="auto"/>
        </w:rPr>
        <w:t xml:space="preserve"> </w:t>
      </w:r>
      <w:r>
        <w:rPr>
          <w:rFonts w:ascii="Arial" w:cs="Arial" w:eastAsia="Arial" w:hAnsi="Arial"/>
          <w:sz w:val="17"/>
          <w:szCs w:val="17"/>
          <w:color w:val="auto"/>
        </w:rPr>
        <w:t>as a director since March 2009, and as the Chairman of our Board since January 2017. Since July 1, 2018, Mr. Mueller has also served as the President of Grand Canyon University, an independent non-profit entity that is our largest university partner. From 2012 to 2018, Mr. Mueller served as the President of Grand Canyon University when it was owned and operated by the Company. Mr. Mueller also serves as the President of the Grand Canyon University Foundation, a foundation formed to benefit public charities, since its formation in 2010 and as the President of GCU Community Fund, an entity formed to provide seed funding for entrepreneurial ventures initiated by GCU’s students, since its formation in 2014. See Policies and Procedures for Related Party Transactions. From 1987 to 2008, Mr. Mueller was employed by Apollo Education Group, Inc., a for-profit, postsecondary education 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-3442335</wp:posOffset>
            </wp:positionV>
            <wp:extent cx="1235075" cy="16465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62" w:lineRule="exact"/>
        <w:rPr>
          <w:sz w:val="20"/>
          <w:szCs w:val="20"/>
          <w:color w:val="auto"/>
        </w:rPr>
      </w:pPr>
    </w:p>
    <w:p>
      <w:pPr>
        <w:jc w:val="center"/>
        <w:ind w:left="2180"/>
        <w:spacing w:after="0"/>
        <w:rPr>
          <w:sz w:val="20"/>
          <w:szCs w:val="20"/>
          <w:color w:val="auto"/>
        </w:rPr>
      </w:pPr>
      <w:r>
        <w:rPr>
          <w:rFonts w:ascii="Arial" w:cs="Arial" w:eastAsia="Arial" w:hAnsi="Arial"/>
          <w:sz w:val="18"/>
          <w:szCs w:val="18"/>
          <w:i w:val="1"/>
          <w:iCs w:val="1"/>
          <w:color w:val="auto"/>
        </w:rPr>
        <w:t xml:space="preserve">Sara R. Dial </w:t>
      </w:r>
      <w:r>
        <w:rPr>
          <w:rFonts w:ascii="Arial" w:cs="Arial" w:eastAsia="Arial" w:hAnsi="Arial"/>
          <w:sz w:val="18"/>
          <w:szCs w:val="18"/>
          <w:color w:val="auto"/>
        </w:rPr>
        <w:t>has been serving as a member of our Board of Directors since</w:t>
      </w:r>
    </w:p>
    <w:p>
      <w:pPr>
        <w:spacing w:after="0" w:line="23" w:lineRule="exact"/>
        <w:rPr>
          <w:sz w:val="20"/>
          <w:szCs w:val="20"/>
          <w:color w:val="auto"/>
        </w:rPr>
      </w:pPr>
    </w:p>
    <w:p>
      <w:pPr>
        <w:ind w:left="2280"/>
        <w:spacing w:after="0" w:line="266" w:lineRule="auto"/>
        <w:rPr>
          <w:sz w:val="20"/>
          <w:szCs w:val="20"/>
          <w:color w:val="auto"/>
        </w:rPr>
      </w:pPr>
      <w:r>
        <w:rPr>
          <w:rFonts w:ascii="Arial" w:cs="Arial" w:eastAsia="Arial" w:hAnsi="Arial"/>
          <w:sz w:val="17"/>
          <w:szCs w:val="17"/>
          <w:color w:val="auto"/>
        </w:rPr>
        <w:t>March 2013, and as the lead independent director since January 2017. Ms. Dial has served as President and Chief Executive Officer of Sara Dial &amp; Associates, an economic development consulting firm specializing in site selection and government relations since 1996. She has led high profile economic development initiatives in Arizona including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Currently, Ms. Dial is a director for Mobile Mini, Inc., a publicly traded provider of portable storage and specialty containment solutions, and she also sits on the local advisory board of BBVA Compass Bank. Ms. Dial was previously a member of the board of trustees at Seattle Pacific University. Ms. Dial is a graduate of Stanford University with a Bachelor of Arts degree in international relations. We believe Ms. Dial’s extensive experience with government, higher education and economic development provides a tremendous resource to our Board of Directors and management team, particularly in the areas of government relations, finance and corporate governance.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280" w:firstLine="648"/>
        <w:spacing w:after="0" w:line="268" w:lineRule="auto"/>
        <w:rPr>
          <w:sz w:val="20"/>
          <w:szCs w:val="20"/>
          <w:color w:val="auto"/>
        </w:rPr>
      </w:pPr>
      <w:r>
        <w:rPr>
          <w:rFonts w:ascii="Arial" w:cs="Arial" w:eastAsia="Arial" w:hAnsi="Arial"/>
          <w:sz w:val="17"/>
          <w:szCs w:val="17"/>
          <w:i w:val="1"/>
          <w:iCs w:val="1"/>
          <w:color w:val="auto"/>
        </w:rPr>
        <w:t xml:space="preserve">Jack A. Henry </w:t>
      </w:r>
      <w:r>
        <w:rPr>
          <w:rFonts w:ascii="Arial" w:cs="Arial" w:eastAsia="Arial" w:hAnsi="Arial"/>
          <w:sz w:val="17"/>
          <w:szCs w:val="17"/>
          <w:color w:val="auto"/>
        </w:rPr>
        <w:t>has been serving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2008. Since 2000, Mr. Henry has served as the Managing 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 of directors and as chair of the audit committee of TPI Composites, Inc., a manufacturer of composite wind blades, and on the boards of directors and audit committees of several private companies. He is past President of the Arizona Chapter of the National Association of Corporate Directors having served in that capacity for 15 years.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-1931035</wp:posOffset>
            </wp:positionV>
            <wp:extent cx="1235075" cy="1646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65" w:lineRule="exact"/>
        <w:rPr>
          <w:sz w:val="20"/>
          <w:szCs w:val="20"/>
          <w:color w:val="auto"/>
        </w:rPr>
      </w:pPr>
    </w:p>
    <w:p>
      <w:pPr>
        <w:ind w:left="2280" w:right="40" w:firstLine="648"/>
        <w:spacing w:after="0" w:line="283" w:lineRule="auto"/>
        <w:rPr>
          <w:sz w:val="20"/>
          <w:szCs w:val="20"/>
          <w:color w:val="auto"/>
        </w:rPr>
      </w:pPr>
      <w:r>
        <w:rPr>
          <w:rFonts w:ascii="Arial" w:cs="Arial" w:eastAsia="Arial" w:hAnsi="Arial"/>
          <w:sz w:val="16"/>
          <w:szCs w:val="16"/>
          <w:i w:val="1"/>
          <w:iCs w:val="1"/>
          <w:color w:val="auto"/>
        </w:rPr>
        <w:t xml:space="preserve">Kevin F. Warren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2012. Mr. Warren has served as a senior officer for the Minnesota Vikings, a National Football League franchise, since 2005 and currently serves as the club’s Chief Operating Officer, with responsibility for the day-to-day business operations. Prior to joining the Vikings, from 2003 to 2005, Mr. Warren worked with the international law firm of Greenberg 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Development &amp; Football Legal Counsel from 1997 to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-1367790</wp:posOffset>
            </wp:positionV>
            <wp:extent cx="1235075" cy="1646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ind w:left="2280" w:right="80"/>
        <w:spacing w:after="0" w:line="281" w:lineRule="auto"/>
        <w:rPr>
          <w:sz w:val="20"/>
          <w:szCs w:val="20"/>
          <w:color w:val="auto"/>
        </w:rPr>
      </w:pPr>
      <w:r>
        <w:rPr>
          <w:rFonts w:ascii="Arial" w:cs="Arial" w:eastAsia="Arial" w:hAnsi="Arial"/>
          <w:sz w:val="16"/>
          <w:szCs w:val="16"/>
          <w:color w:val="auto"/>
        </w:rPr>
        <w:t>Mr. Warren earned his bachelor’s degree in business administration from Grand Canyon University, his master’s degree in business administration from Arizona State University, and his Juris Doctor degree from the University of Notre Dame School of Law. We believe</w:t>
      </w:r>
    </w:p>
    <w:p>
      <w:pPr>
        <w:spacing w:after="0" w:line="2" w:lineRule="exact"/>
        <w:rPr>
          <w:sz w:val="20"/>
          <w:szCs w:val="20"/>
          <w:color w:val="auto"/>
        </w:rPr>
      </w:pPr>
    </w:p>
    <w:p>
      <w:pPr>
        <w:jc w:val="both"/>
        <w:ind w:left="2280" w:right="380"/>
        <w:spacing w:after="0" w:line="255" w:lineRule="auto"/>
        <w:rPr>
          <w:sz w:val="20"/>
          <w:szCs w:val="20"/>
          <w:color w:val="auto"/>
        </w:rPr>
      </w:pPr>
      <w:r>
        <w:rPr>
          <w:rFonts w:ascii="Arial" w:cs="Arial" w:eastAsia="Arial" w:hAnsi="Arial"/>
          <w:sz w:val="18"/>
          <w:szCs w:val="18"/>
          <w:color w:val="auto"/>
        </w:rPr>
        <w:t>Mr. Warren’s extensive experience with legal, financial and marketing matters provides a tremendous resource to our Board of Directors and management team, particularly in the areas of operations, finance and corporate governance.</w:t>
      </w:r>
    </w:p>
    <w:p>
      <w:pPr>
        <w:spacing w:after="0" w:line="190" w:lineRule="exact"/>
        <w:rPr>
          <w:sz w:val="20"/>
          <w:szCs w:val="20"/>
          <w:color w:val="auto"/>
        </w:rPr>
      </w:pPr>
    </w:p>
    <w:p>
      <w:pPr>
        <w:ind w:left="2280" w:right="40" w:firstLine="648"/>
        <w:spacing w:after="0" w:line="284"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serving as a member of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2008. From 1997 to 2006, Mr. Johnson served as Chief Executive Officer and Chairman of the Board of Directors of KinderCare Learning Centers, Inc., a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-819785</wp:posOffset>
            </wp:positionV>
            <wp:extent cx="1235075" cy="1646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ind w:left="2280" w:right="40"/>
        <w:spacing w:after="0" w:line="286" w:lineRule="auto"/>
        <w:rPr>
          <w:sz w:val="20"/>
          <w:szCs w:val="20"/>
          <w:color w:val="auto"/>
        </w:rPr>
      </w:pPr>
      <w:r>
        <w:rPr>
          <w:rFonts w:ascii="Arial" w:cs="Arial" w:eastAsia="Arial" w:hAnsi="Arial"/>
          <w:sz w:val="16"/>
          <w:szCs w:val="16"/>
          <w:color w:val="auto"/>
        </w:rPr>
        <w:t>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85" w:lineRule="exact"/>
        <w:rPr>
          <w:sz w:val="20"/>
          <w:szCs w:val="20"/>
          <w:color w:val="auto"/>
        </w:rPr>
      </w:pPr>
    </w:p>
    <w:p>
      <w:pPr>
        <w:ind w:right="120" w:firstLine="648"/>
        <w:spacing w:after="0" w:line="251"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five nominees listed above to constitute our Board of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ectPr>
          <w:pgSz w:w="11900" w:h="16838" w:orient="portrait"/>
          <w:cols w:equalWidth="0" w:num="1">
            <w:col w:w="9040"/>
          </w:cols>
          <w:pgMar w:left="1420" w:top="125" w:right="1439" w:bottom="1440" w:gutter="0" w:footer="0" w:header="0"/>
        </w:sectPr>
      </w:pPr>
    </w:p>
    <w:p>
      <w:pPr>
        <w:spacing w:after="0" w:line="224" w:lineRule="exact"/>
        <w:rPr>
          <w:sz w:val="20"/>
          <w:szCs w:val="20"/>
          <w:color w:val="auto"/>
        </w:rPr>
      </w:pPr>
    </w:p>
    <w:p>
      <w:pPr>
        <w:jc w:val="center"/>
        <w:ind w:left="540"/>
        <w:spacing w:after="0"/>
        <w:rPr>
          <w:sz w:val="20"/>
          <w:szCs w:val="20"/>
          <w:color w:val="auto"/>
        </w:rPr>
      </w:pPr>
      <w:r>
        <w:rPr>
          <w:rFonts w:ascii="Arial" w:cs="Arial" w:eastAsia="Arial" w:hAnsi="Arial"/>
          <w:sz w:val="16"/>
          <w:szCs w:val="16"/>
          <w:b w:val="1"/>
          <w:bCs w:val="1"/>
          <w:i w:val="1"/>
          <w:iCs w:val="1"/>
          <w:color w:val="auto"/>
        </w:rPr>
        <w:t>What am I voting 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Stockholders are being asked to approve, on an advisory basis, the compensation of the named executive officers as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and the related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-432435</wp:posOffset>
            </wp:positionV>
            <wp:extent cx="5754370" cy="1938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93802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2160" w:space="560"/>
            <w:col w:w="6320"/>
          </w:cols>
          <w:pgMar w:left="1420" w:top="125" w:right="1439" w:bottom="1440" w:gutter="0" w:footer="0" w:header="0"/>
          <w:type w:val="continuous"/>
        </w:sectPr>
      </w:pPr>
    </w:p>
    <w:p>
      <w:pPr>
        <w:ind w:left="2720" w:right="100" w:hanging="2173"/>
        <w:spacing w:after="0" w:line="276" w:lineRule="auto"/>
        <w:tabs>
          <w:tab w:leader="none" w:pos="2700" w:val="left"/>
        </w:tabs>
        <w:rPr>
          <w:sz w:val="20"/>
          <w:szCs w:val="20"/>
          <w:color w:val="auto"/>
        </w:rPr>
      </w:pPr>
      <w:r>
        <w:rPr>
          <w:rFonts w:ascii="Arial" w:cs="Arial" w:eastAsia="Arial" w:hAnsi="Arial"/>
          <w:sz w:val="18"/>
          <w:szCs w:val="18"/>
          <w:b w:val="1"/>
          <w:bCs w:val="1"/>
          <w:i w:val="1"/>
          <w:iCs w:val="1"/>
          <w:color w:val="auto"/>
        </w:rPr>
        <w:t>Voting recommendation:</w:t>
      </w:r>
      <w:r>
        <w:rPr>
          <w:sz w:val="20"/>
          <w:szCs w:val="20"/>
          <w:color w:val="auto"/>
        </w:rPr>
        <w:tab/>
      </w:r>
      <w:r>
        <w:rPr>
          <w:rFonts w:ascii="Arial" w:cs="Arial" w:eastAsia="Arial" w:hAnsi="Arial"/>
          <w:sz w:val="17"/>
          <w:szCs w:val="17"/>
          <w:color w:val="auto"/>
        </w:rPr>
        <w:t>Our Board of Directors unanimously recommends that you vote “FOR” the advisory vote to approve the compensation of our named executive officers. The Compensation Committee takes very seriously its role in the governance of the Company’s compensation programs and will take into account the outcome of the advisory vote when considering future executive compensation decisions.</w:t>
      </w:r>
    </w:p>
    <w:p>
      <w:pPr>
        <w:spacing w:after="0" w:line="173" w:lineRule="exact"/>
        <w:rPr>
          <w:sz w:val="20"/>
          <w:szCs w:val="20"/>
          <w:color w:val="auto"/>
        </w:rPr>
      </w:pPr>
    </w:p>
    <w:p>
      <w:pPr>
        <w:ind w:left="2720" w:hanging="2173"/>
        <w:spacing w:after="0" w:line="259" w:lineRule="auto"/>
        <w:tabs>
          <w:tab w:leader="none" w:pos="2700" w:val="left"/>
        </w:tabs>
        <w:rPr>
          <w:sz w:val="20"/>
          <w:szCs w:val="20"/>
          <w:color w:val="auto"/>
        </w:rPr>
      </w:pPr>
      <w:r>
        <w:rPr>
          <w:rFonts w:ascii="Arial" w:cs="Arial" w:eastAsia="Arial" w:hAnsi="Arial"/>
          <w:sz w:val="18"/>
          <w:szCs w:val="18"/>
          <w:b w:val="1"/>
          <w:bCs w:val="1"/>
          <w:i w:val="1"/>
          <w:iCs w:val="1"/>
          <w:color w:val="auto"/>
        </w:rPr>
        <w:t>Vote required:</w:t>
      </w:r>
      <w:r>
        <w:rPr>
          <w:sz w:val="20"/>
          <w:szCs w:val="20"/>
          <w:color w:val="auto"/>
        </w:rPr>
        <w:tab/>
      </w:r>
      <w:r>
        <w:rPr>
          <w:rFonts w:ascii="Arial" w:cs="Arial" w:eastAsia="Arial" w:hAnsi="Arial"/>
          <w:sz w:val="18"/>
          <w:szCs w:val="18"/>
          <w:color w:val="auto"/>
        </w:rPr>
        <w:t>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0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for a detailed discussion about our executive compensation programs, including information about the fiscal year 2018 compensation of our named executive officers.</w:t>
      </w:r>
    </w:p>
    <w:p>
      <w:pPr>
        <w:spacing w:after="0" w:line="18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xml:space="preserve"> section of this proxy statement provides a more detailed discussion of our executive compensation program. We believe that the compensation program we follow helps us achieve our principal compensation objectives.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type w:val="continuous"/>
        </w:sectPr>
      </w:pPr>
    </w:p>
    <w:bookmarkStart w:id="26" w:name="page27"/>
    <w:bookmarkEnd w:id="2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Stockholders will be asked at the Annual Meeting to approve the following resolution pursuant to this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2:</w:t>
      </w:r>
    </w:p>
    <w:p>
      <w:pPr>
        <w:spacing w:after="0" w:line="211" w:lineRule="exact"/>
        <w:rPr>
          <w:sz w:val="20"/>
          <w:szCs w:val="20"/>
          <w:color w:val="auto"/>
        </w:rPr>
      </w:pPr>
    </w:p>
    <w:p>
      <w:pPr>
        <w:ind w:right="739" w:firstLine="648"/>
        <w:spacing w:after="0" w:line="286" w:lineRule="auto"/>
        <w:rPr>
          <w:sz w:val="20"/>
          <w:szCs w:val="20"/>
          <w:color w:val="auto"/>
        </w:rPr>
      </w:pPr>
      <w:r>
        <w:rPr>
          <w:rFonts w:ascii="Arial" w:cs="Arial" w:eastAsia="Arial" w:hAnsi="Arial"/>
          <w:sz w:val="17"/>
          <w:szCs w:val="17"/>
          <w:color w:val="auto"/>
        </w:rPr>
        <w:t>“RESOLVED, that the stockholders of Grand Canyon Education, Inc. approve, on an advisory basis, the compensation of the Company’s named executive officers, disclosed pursuant to Item 402 of Regulation S-K in the Company’s definitive proxy statement for the 2019 Annual Meeting of Stockholders.”</w:t>
      </w:r>
    </w:p>
    <w:p>
      <w:pPr>
        <w:spacing w:after="0" w:line="162" w:lineRule="exact"/>
        <w:rPr>
          <w:sz w:val="20"/>
          <w:szCs w:val="20"/>
          <w:color w:val="auto"/>
        </w:rPr>
      </w:pPr>
    </w:p>
    <w:p>
      <w:pPr>
        <w:ind w:right="839" w:firstLine="648"/>
        <w:spacing w:after="0" w:line="313" w:lineRule="auto"/>
        <w:rPr>
          <w:sz w:val="20"/>
          <w:szCs w:val="20"/>
          <w:color w:val="auto"/>
        </w:rPr>
      </w:pPr>
      <w:r>
        <w:rPr>
          <w:rFonts w:ascii="Arial" w:cs="Arial" w:eastAsia="Arial" w:hAnsi="Arial"/>
          <w:sz w:val="17"/>
          <w:szCs w:val="17"/>
          <w:b w:val="1"/>
          <w:bCs w:val="1"/>
          <w:color w:val="auto"/>
        </w:rPr>
        <w:t xml:space="preserve">Our Board of Directors unanimously recommends that you vote </w:t>
      </w:r>
      <w:r>
        <w:rPr>
          <w:rFonts w:ascii="Arial" w:cs="Arial" w:eastAsia="Arial" w:hAnsi="Arial"/>
          <w:sz w:val="17"/>
          <w:szCs w:val="17"/>
          <w:b w:val="1"/>
          <w:bCs w:val="1"/>
          <w:u w:val="single" w:color="auto"/>
          <w:color w:val="auto"/>
        </w:rPr>
        <w:t>FOR</w:t>
      </w:r>
      <w:r>
        <w:rPr>
          <w:rFonts w:ascii="Arial" w:cs="Arial" w:eastAsia="Arial" w:hAnsi="Arial"/>
          <w:sz w:val="17"/>
          <w:szCs w:val="17"/>
          <w:b w:val="1"/>
          <w:bCs w:val="1"/>
          <w:color w:val="auto"/>
        </w:rPr>
        <w:t xml:space="preserve"> the resolution approving the compensation of our named executive officers as disclosed in this proxy statement.</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Brian E. Mueller, our Chairman and our Chief Executive Officer,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ind w:left="240"/>
              <w:spacing w:after="0"/>
              <w:rPr>
                <w:sz w:val="20"/>
                <w:szCs w:val="20"/>
                <w:color w:val="auto"/>
              </w:rPr>
            </w:pPr>
            <w:r>
              <w:rPr>
                <w:rFonts w:ascii="Arial" w:cs="Arial" w:eastAsia="Arial" w:hAnsi="Arial"/>
                <w:sz w:val="14"/>
                <w:szCs w:val="14"/>
                <w:b w:val="1"/>
                <w:bCs w:val="1"/>
                <w:color w:val="auto"/>
              </w:rPr>
              <w:t>Age</w:t>
            </w:r>
          </w:p>
        </w:tc>
        <w:tc>
          <w:tcPr>
            <w:tcW w:w="6560" w:type="dxa"/>
            <w:vAlign w:val="bottom"/>
            <w:gridSpan w:val="3"/>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CCEEFF"/>
            </w:tcBorders>
            <w:shd w:val="clear" w:color="auto" w:fill="CCEEFF"/>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720" w:type="dxa"/>
            <w:vAlign w:val="bottom"/>
          </w:tcPr>
          <w:p>
            <w:pPr>
              <w:ind w:left="260"/>
              <w:spacing w:after="0"/>
              <w:rPr>
                <w:sz w:val="20"/>
                <w:szCs w:val="20"/>
                <w:color w:val="auto"/>
              </w:rPr>
            </w:pPr>
            <w:r>
              <w:rPr>
                <w:rFonts w:ascii="Arial" w:cs="Arial" w:eastAsia="Arial" w:hAnsi="Arial"/>
                <w:sz w:val="18"/>
                <w:szCs w:val="18"/>
                <w:color w:val="auto"/>
              </w:rPr>
              <w:t>48</w:t>
            </w:r>
          </w:p>
        </w:tc>
        <w:tc>
          <w:tcPr>
            <w:tcW w:w="656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65</w:t>
            </w:r>
          </w:p>
        </w:tc>
        <w:tc>
          <w:tcPr>
            <w:tcW w:w="6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Information Officer</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Dilek Marsh</w:t>
            </w:r>
          </w:p>
        </w:tc>
        <w:tc>
          <w:tcPr>
            <w:tcW w:w="720" w:type="dxa"/>
            <w:vAlign w:val="bottom"/>
          </w:tcPr>
          <w:p>
            <w:pPr>
              <w:ind w:left="260"/>
              <w:spacing w:after="0"/>
              <w:rPr>
                <w:sz w:val="20"/>
                <w:szCs w:val="20"/>
                <w:color w:val="auto"/>
              </w:rPr>
            </w:pPr>
            <w:r>
              <w:rPr>
                <w:rFonts w:ascii="Arial" w:cs="Arial" w:eastAsia="Arial" w:hAnsi="Arial"/>
                <w:sz w:val="18"/>
                <w:szCs w:val="18"/>
                <w:color w:val="auto"/>
              </w:rPr>
              <w:t>45</w:t>
            </w:r>
          </w:p>
        </w:tc>
        <w:tc>
          <w:tcPr>
            <w:tcW w:w="6560" w:type="dxa"/>
            <w:vAlign w:val="bottom"/>
            <w:gridSpan w:val="3"/>
          </w:tcPr>
          <w:p>
            <w:pPr>
              <w:ind w:left="180"/>
              <w:spacing w:after="0"/>
              <w:rPr>
                <w:sz w:val="20"/>
                <w:szCs w:val="20"/>
                <w:color w:val="auto"/>
              </w:rPr>
            </w:pPr>
            <w:r>
              <w:rPr>
                <w:rFonts w:ascii="Arial" w:cs="Arial" w:eastAsia="Arial" w:hAnsi="Arial"/>
                <w:sz w:val="18"/>
                <w:szCs w:val="18"/>
                <w:color w:val="auto"/>
              </w:rPr>
              <w:t>Chief Data Officer</w:t>
            </w:r>
          </w:p>
        </w:tc>
      </w:tr>
    </w:tbl>
    <w:p>
      <w:pPr>
        <w:spacing w:after="0" w:line="200" w:lineRule="exact"/>
        <w:rPr>
          <w:sz w:val="20"/>
          <w:szCs w:val="20"/>
          <w:color w:val="auto"/>
        </w:rPr>
      </w:pPr>
    </w:p>
    <w:p>
      <w:pPr>
        <w:spacing w:after="0" w:line="217" w:lineRule="exact"/>
        <w:rPr>
          <w:sz w:val="20"/>
          <w:szCs w:val="20"/>
          <w:color w:val="auto"/>
        </w:rPr>
      </w:pPr>
    </w:p>
    <w:p>
      <w:pPr>
        <w:ind w:left="2360" w:right="60" w:firstLine="648"/>
        <w:spacing w:after="0" w:line="286" w:lineRule="auto"/>
        <w:rPr>
          <w:sz w:val="20"/>
          <w:szCs w:val="20"/>
          <w:color w:val="auto"/>
        </w:rPr>
      </w:pPr>
      <w:r>
        <w:rPr>
          <w:rFonts w:ascii="Arial" w:cs="Arial" w:eastAsia="Arial" w:hAnsi="Arial"/>
          <w:sz w:val="16"/>
          <w:szCs w:val="16"/>
          <w:i w:val="1"/>
          <w:iCs w:val="1"/>
          <w:color w:val="auto"/>
        </w:rPr>
        <w:t xml:space="preserve">Dr. W. Stan Meyer </w:t>
      </w:r>
      <w:r>
        <w:rPr>
          <w:rFonts w:ascii="Arial" w:cs="Arial" w:eastAsia="Arial" w:hAnsi="Arial"/>
          <w:sz w:val="16"/>
          <w:szCs w:val="16"/>
          <w:color w:val="auto"/>
        </w:rPr>
        <w:t>has been serving as our Chief Operating Officer since July 26,</w:t>
      </w:r>
      <w:r>
        <w:rPr>
          <w:rFonts w:ascii="Arial" w:cs="Arial" w:eastAsia="Arial" w:hAnsi="Arial"/>
          <w:sz w:val="16"/>
          <w:szCs w:val="16"/>
          <w:i w:val="1"/>
          <w:iCs w:val="1"/>
          <w:color w:val="auto"/>
        </w:rPr>
        <w:t xml:space="preserve"> </w:t>
      </w:r>
      <w:r>
        <w:rPr>
          <w:rFonts w:ascii="Arial" w:cs="Arial" w:eastAsia="Arial" w:hAnsi="Arial"/>
          <w:sz w:val="16"/>
          <w:szCs w:val="16"/>
          <w:color w:val="auto"/>
        </w:rPr>
        <w:t>2012, having previously served in the position of Executive Vice President from June 2008 to July 2012. Dr. Meyer has been serving as a director of GCU Community Fund, an entity formed to provide seed funding for entrepreneurial ventures initiated by GCU’s students, since its formation in 2014.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-2078355</wp:posOffset>
            </wp:positionV>
            <wp:extent cx="1235075" cy="1646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49" w:lineRule="exact"/>
        <w:rPr>
          <w:sz w:val="20"/>
          <w:szCs w:val="20"/>
          <w:color w:val="auto"/>
        </w:rPr>
      </w:pPr>
    </w:p>
    <w:p>
      <w:pPr>
        <w:ind w:left="2360" w:right="40" w:firstLine="648"/>
        <w:spacing w:after="0" w:line="269" w:lineRule="auto"/>
        <w:rPr>
          <w:sz w:val="20"/>
          <w:szCs w:val="20"/>
          <w:color w:val="auto"/>
        </w:rPr>
      </w:pPr>
      <w:r>
        <w:rPr>
          <w:rFonts w:ascii="Arial" w:cs="Arial" w:eastAsia="Arial" w:hAnsi="Arial"/>
          <w:sz w:val="17"/>
          <w:szCs w:val="17"/>
          <w:i w:val="1"/>
          <w:iCs w:val="1"/>
          <w:color w:val="auto"/>
        </w:rPr>
        <w:t xml:space="preserve">Daniel E. Bachus </w:t>
      </w:r>
      <w:r>
        <w:rPr>
          <w:rFonts w:ascii="Arial" w:cs="Arial" w:eastAsia="Arial" w:hAnsi="Arial"/>
          <w:sz w:val="17"/>
          <w:szCs w:val="17"/>
          <w:color w:val="auto"/>
        </w:rPr>
        <w:t>has been serving as our Chief Financial Officer since July 1,</w:t>
      </w:r>
      <w:r>
        <w:rPr>
          <w:rFonts w:ascii="Arial" w:cs="Arial" w:eastAsia="Arial" w:hAnsi="Arial"/>
          <w:sz w:val="17"/>
          <w:szCs w:val="17"/>
          <w:i w:val="1"/>
          <w:iCs w:val="1"/>
          <w:color w:val="auto"/>
        </w:rPr>
        <w:t xml:space="preserve"> </w:t>
      </w:r>
      <w:r>
        <w:rPr>
          <w:rFonts w:ascii="Arial" w:cs="Arial" w:eastAsia="Arial" w:hAnsi="Arial"/>
          <w:sz w:val="17"/>
          <w:szCs w:val="17"/>
          <w:color w:val="auto"/>
        </w:rPr>
        <w:t>2008. Mr. Bachus has been serving as a director of GCU Community Fund, an entity formed to provide seed funding for entrepreneurial ventures initiated by GCU’s students, since its formation in 2014.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-1520825</wp:posOffset>
            </wp:positionV>
            <wp:extent cx="1235075" cy="16465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2360" w:firstLine="648"/>
        <w:spacing w:after="0" w:line="268"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2009. From 1998 to September 2009, Mr. Mildenhall was 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degree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-1931035</wp:posOffset>
            </wp:positionV>
            <wp:extent cx="1235075" cy="16465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165" w:lineRule="exact"/>
        <w:rPr>
          <w:sz w:val="20"/>
          <w:szCs w:val="20"/>
          <w:color w:val="auto"/>
        </w:rPr>
      </w:pPr>
    </w:p>
    <w:p>
      <w:pPr>
        <w:ind w:left="2360" w:right="100" w:firstLine="648"/>
        <w:spacing w:after="0" w:line="290" w:lineRule="auto"/>
        <w:rPr>
          <w:sz w:val="20"/>
          <w:szCs w:val="20"/>
          <w:color w:val="auto"/>
        </w:rPr>
      </w:pPr>
      <w:r>
        <w:rPr>
          <w:rFonts w:ascii="Arial" w:cs="Arial" w:eastAsia="Arial" w:hAnsi="Arial"/>
          <w:sz w:val="16"/>
          <w:szCs w:val="16"/>
          <w:i w:val="1"/>
          <w:iCs w:val="1"/>
          <w:color w:val="auto"/>
        </w:rPr>
        <w:t xml:space="preserve">Dilek Marsh </w:t>
      </w:r>
      <w:r>
        <w:rPr>
          <w:rFonts w:ascii="Arial" w:cs="Arial" w:eastAsia="Arial" w:hAnsi="Arial"/>
          <w:sz w:val="16"/>
          <w:szCs w:val="16"/>
          <w:color w:val="auto"/>
        </w:rPr>
        <w:t>has been serving as our Chief Data Officer since July 2018, having</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served in the position of Executive Vice President since July 2012 and Senior Vice President since August 2008. Ms. Marsh has been in higher education for the last 20 years. Ms. Marsh has served in information technology roles since 1999, including software development project management, business process design and business analytics. Ms. Marsh holds a Bachelor of Arts in Sociology from Bogazici University in Turkey, a Master of Arts in Anthropology from Arizona State University and a Master of Business administration in Technology Management from the University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-1119505</wp:posOffset>
            </wp:positionV>
            <wp:extent cx="1235075" cy="16465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3507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this section, we describe the material components of our executive compensation program for our named executive officers (the “named executive officers”), whose compensation is set forth in the 2018 Summary Compensation Table and other compensation tables contained in this Proxy Statement. We also provide an overview of our executive compensation philosophy and our overall program. In addition, we explain how and why the Compensation Committee of our Board arrived at the specific compensation decisions involving the named executive officers for 2018.</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2018, our named executive officers were:</w:t>
      </w:r>
    </w:p>
    <w:p>
      <w:pPr>
        <w:spacing w:after="0" w:line="225" w:lineRule="exact"/>
        <w:rPr>
          <w:sz w:val="20"/>
          <w:szCs w:val="20"/>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Brian E. Mueller, our Chief Executive Officer;</w:t>
      </w:r>
    </w:p>
    <w:p>
      <w:pPr>
        <w:spacing w:after="0" w:line="23" w:lineRule="exact"/>
        <w:rPr>
          <w:rFonts w:ascii="Arial" w:cs="Arial" w:eastAsia="Arial" w:hAnsi="Arial"/>
          <w:sz w:val="18"/>
          <w:szCs w:val="18"/>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W. Stan Meyer, our Chief Operating Officer;</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Daniel E. Bachus, our Chief Financial Officer;</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Joseph N. Mildenhall, our Chief Information Officer;</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Dilek Marsh, our Chief Data Officer; and</w:t>
      </w:r>
    </w:p>
    <w:p>
      <w:pPr>
        <w:spacing w:after="0" w:line="9" w:lineRule="exact"/>
        <w:rPr>
          <w:rFonts w:ascii="Arial" w:cs="Arial" w:eastAsia="Arial" w:hAnsi="Arial"/>
          <w:sz w:val="18"/>
          <w:szCs w:val="18"/>
          <w:color w:val="auto"/>
        </w:rPr>
      </w:pPr>
    </w:p>
    <w:p>
      <w:pPr>
        <w:ind w:left="1340" w:hanging="324"/>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Brian M. Roberts, our former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Roberts resigned from the Company, effective July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Business Highlights</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Our Business. </w:t>
      </w:r>
      <w:r>
        <w:rPr>
          <w:rFonts w:ascii="Arial" w:cs="Arial" w:eastAsia="Arial" w:hAnsi="Arial"/>
          <w:sz w:val="17"/>
          <w:szCs w:val="17"/>
          <w:color w:val="auto"/>
        </w:rPr>
        <w:t>Prior to July 1, 2018, GCE owned and operated Grand Canyon University (the “University”),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an Arizona non-profit corporation (“GCU”). As a result of this transaction (the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w:t>
      </w:r>
    </w:p>
    <w:p>
      <w:pPr>
        <w:spacing w:after="0" w:line="17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During the second half of 2018, GCE provided services to GCU, its sole university partner during 2018, that included technology and academic services, counseling services and support, marketing and communication services, and back office services such as accounting, reporting, tax, human resources, and procurement services.</w:t>
      </w:r>
    </w:p>
    <w:p>
      <w:pPr>
        <w:spacing w:after="0" w:line="166"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On December 17, 2018, we entered into a definitive agreement to acquire Orbis Education Services, LLC (“Orbis Education”). Orbis Education is an education services company that supports healthcare education programs for 17 universities across the United States. The acquisition of Orbis Education, which closed on January 22, 2019, is the first ever acquisition undertaken by GCE and provides to GCE its first university partners outside of GCU.</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a result of the Transaction, the Company no longer owns and operates an institution of higher education, but instead provides a bundle of services in support of its university partners. During the latter half of 2018, we successfully made the transition from being an owner-operator of an educational institution to being a services provider to university partners. With the acquisition of Orbis Education, we now operate as an education services provider to 18 different nonprofit institutions of higher education.</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2018 Performance Highlights</w:t>
      </w:r>
      <w:r>
        <w:rPr>
          <w:rFonts w:ascii="Arial" w:cs="Arial" w:eastAsia="Arial" w:hAnsi="Arial"/>
          <w:sz w:val="17"/>
          <w:szCs w:val="17"/>
          <w:color w:val="auto"/>
        </w:rPr>
        <w:t>. Our net revenue and operating income for the year ended December 31, 2018 were</w:t>
      </w:r>
      <w:r>
        <w:rPr>
          <w:rFonts w:ascii="Arial" w:cs="Arial" w:eastAsia="Arial" w:hAnsi="Arial"/>
          <w:sz w:val="17"/>
          <w:szCs w:val="17"/>
          <w:i w:val="1"/>
          <w:iCs w:val="1"/>
          <w:color w:val="auto"/>
        </w:rPr>
        <w:t xml:space="preserve"> </w:t>
      </w:r>
      <w:r>
        <w:rPr>
          <w:rFonts w:ascii="Arial" w:cs="Arial" w:eastAsia="Arial" w:hAnsi="Arial"/>
          <w:sz w:val="17"/>
          <w:szCs w:val="17"/>
          <w:color w:val="auto"/>
        </w:rPr>
        <w:t>$845.5 million and $258.1 million, respectively, representing decreases of 13.2% and 8.7%, respectively, over the year ended December 31, 2017. The reduction in our net revenue from 2017 to 2018 is driven by our transition from</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owning and operating a university to becoming an education services provider as of July 1, 2018. As an education services provider to GCU, the Company receives, as service revenue, 60% of GCU’s tuition and fee revenue and no longer has university related revenue, thus resulting in the decrease from the prior period. On a comparable basis, as adjusted net revenue for the year ended December 31, 2018 was $640.5 million, while as adjusted net revenue for the year ended December 31, 2017 was $584.5 million. For information on how we calculate as adjusted net revenue for comparison purposes, see “Item 7. </w:t>
      </w:r>
      <w:r>
        <w:rPr>
          <w:rFonts w:ascii="Arial" w:cs="Arial" w:eastAsia="Arial" w:hAnsi="Arial"/>
          <w:sz w:val="18"/>
          <w:szCs w:val="18"/>
          <w:i w:val="1"/>
          <w:iCs w:val="1"/>
          <w:color w:val="auto"/>
        </w:rPr>
        <w:t>Management’s Discussion and Analysis of Financial Condition and Results of Operation –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8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decisions made by the Compensation Committee and the Board on the compensation of our named executive officers reflect their successful execution of our transformation from owning and operating a university to becoming an education services provider, their role in the successful start to our services relationship with GCU, and their successful move to diversify the Company’s university partner base through the acquisition of Orbis Education, all of which helped position the Company for a successful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Practices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key aspects of our compensation policies and programs:</w:t>
      </w:r>
    </w:p>
    <w:p>
      <w:pPr>
        <w:sectPr>
          <w:pgSz w:w="11900" w:h="16838" w:orient="portrait"/>
          <w:cols w:equalWidth="0" w:num="1">
            <w:col w:w="9060"/>
          </w:cols>
          <w:pgMar w:left="1420" w:top="125" w:right="1419" w:bottom="1440" w:gutter="0" w:footer="0" w:header="0"/>
        </w:sectPr>
      </w:pPr>
    </w:p>
    <w:p>
      <w:pPr>
        <w:spacing w:after="0" w:line="239" w:lineRule="exact"/>
        <w:rPr>
          <w:sz w:val="20"/>
          <w:szCs w:val="20"/>
          <w:color w:val="auto"/>
        </w:rPr>
      </w:pPr>
    </w:p>
    <w:p>
      <w:pPr>
        <w:jc w:val="center"/>
        <w:ind w:left="24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wp:posOffset>
            </wp:positionV>
            <wp:extent cx="28816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ind w:left="300" w:right="140" w:hanging="256"/>
        <w:spacing w:after="0" w:line="278" w:lineRule="auto"/>
        <w:tabs>
          <w:tab w:leader="none" w:pos="300" w:val="left"/>
        </w:tabs>
        <w:numPr>
          <w:ilvl w:val="0"/>
          <w:numId w:val="2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Pay for Performance: </w:t>
      </w:r>
      <w:r>
        <w:rPr>
          <w:rFonts w:ascii="Arial" w:cs="Arial" w:eastAsia="Arial" w:hAnsi="Arial"/>
          <w:sz w:val="16"/>
          <w:szCs w:val="16"/>
          <w:color w:val="auto"/>
        </w:rPr>
        <w:t>A significant portion of our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is based on achievement of key financial metrics that are disclosed to our stockholders.</w:t>
      </w:r>
    </w:p>
    <w:p>
      <w:pPr>
        <w:spacing w:after="0" w:line="170" w:lineRule="exact"/>
        <w:rPr>
          <w:rFonts w:ascii="MS PGothic" w:cs="MS PGothic" w:eastAsia="MS PGothic" w:hAnsi="MS PGothic"/>
          <w:sz w:val="16"/>
          <w:szCs w:val="16"/>
          <w:color w:val="auto"/>
        </w:rPr>
      </w:pPr>
    </w:p>
    <w:p>
      <w:pPr>
        <w:ind w:left="300" w:right="20" w:hanging="256"/>
        <w:spacing w:after="0" w:line="273" w:lineRule="auto"/>
        <w:tabs>
          <w:tab w:leader="none" w:pos="300" w:val="left"/>
        </w:tabs>
        <w:numPr>
          <w:ilvl w:val="0"/>
          <w:numId w:val="24"/>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Seek Alignment with Our Stockholders</w:t>
      </w:r>
      <w:r>
        <w:rPr>
          <w:rFonts w:ascii="Arial" w:cs="Arial" w:eastAsia="Arial" w:hAnsi="Arial"/>
          <w:sz w:val="16"/>
          <w:szCs w:val="16"/>
          <w:color w:val="auto"/>
        </w:rPr>
        <w:t>. We require both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executive officers and our directors to maintain a meaningful ownership stake at levels specified in our stock ownership policy.</w:t>
      </w:r>
    </w:p>
    <w:p>
      <w:pPr>
        <w:spacing w:after="0" w:line="378" w:lineRule="exact"/>
        <w:rPr>
          <w:rFonts w:ascii="MS PGothic" w:cs="MS PGothic" w:eastAsia="MS PGothic" w:hAnsi="MS PGothic"/>
          <w:sz w:val="16"/>
          <w:szCs w:val="16"/>
          <w:color w:val="auto"/>
        </w:rPr>
      </w:pPr>
    </w:p>
    <w:p>
      <w:pPr>
        <w:ind w:left="300" w:hanging="256"/>
        <w:spacing w:after="0" w:line="293" w:lineRule="auto"/>
        <w:tabs>
          <w:tab w:leader="none" w:pos="300" w:val="left"/>
        </w:tabs>
        <w:numPr>
          <w:ilvl w:val="0"/>
          <w:numId w:val="24"/>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 xml:space="preserve">We Balance Our Incentive Compensation: </w:t>
      </w:r>
      <w:r>
        <w:rPr>
          <w:rFonts w:ascii="Arial" w:cs="Arial" w:eastAsia="Arial" w:hAnsi="Arial"/>
          <w:sz w:val="15"/>
          <w:szCs w:val="15"/>
          <w:color w:val="auto"/>
        </w:rPr>
        <w:t>Our incentive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programs provide a balance of short-term cash incentives that are based on achievement of annual financial metrics and time-based equity incentives that vest over five years and provide value based on long-term performance.</w:t>
      </w:r>
    </w:p>
    <w:p>
      <w:pPr>
        <w:spacing w:after="0" w:line="162" w:lineRule="exact"/>
        <w:rPr>
          <w:rFonts w:ascii="MS PGothic" w:cs="MS PGothic" w:eastAsia="MS PGothic" w:hAnsi="MS PGothic"/>
          <w:sz w:val="15"/>
          <w:szCs w:val="15"/>
          <w:color w:val="auto"/>
        </w:rPr>
      </w:pPr>
    </w:p>
    <w:p>
      <w:pPr>
        <w:ind w:left="300" w:hanging="256"/>
        <w:spacing w:after="0" w:line="324" w:lineRule="auto"/>
        <w:tabs>
          <w:tab w:leader="none" w:pos="300" w:val="left"/>
        </w:tabs>
        <w:numPr>
          <w:ilvl w:val="0"/>
          <w:numId w:val="24"/>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We Can Claw Back Compensation</w:t>
      </w:r>
      <w:r>
        <w:rPr>
          <w:rFonts w:ascii="Arial" w:cs="Arial" w:eastAsia="Arial" w:hAnsi="Arial"/>
          <w:sz w:val="14"/>
          <w:szCs w:val="14"/>
          <w:color w:val="auto"/>
        </w:rPr>
        <w:t>: We have the ability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recoup incentive compensation if the Company’s financial results are restated or materially misstated due in whole or in part to misconduct by one or more of our named executive officers.</w:t>
      </w:r>
    </w:p>
    <w:p>
      <w:pPr>
        <w:spacing w:after="0" w:line="143" w:lineRule="exact"/>
        <w:rPr>
          <w:rFonts w:ascii="MS PGothic" w:cs="MS PGothic" w:eastAsia="MS PGothic" w:hAnsi="MS PGothic"/>
          <w:sz w:val="14"/>
          <w:szCs w:val="14"/>
          <w:color w:val="auto"/>
        </w:rPr>
      </w:pPr>
    </w:p>
    <w:p>
      <w:pPr>
        <w:ind w:left="300" w:right="240" w:hanging="239"/>
        <w:spacing w:after="0" w:line="297" w:lineRule="auto"/>
        <w:tabs>
          <w:tab w:leader="none" w:pos="300" w:val="left"/>
        </w:tabs>
        <w:numPr>
          <w:ilvl w:val="1"/>
          <w:numId w:val="24"/>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 xml:space="preserve">We Retain an Independent Compensation Consultant: </w:t>
      </w:r>
      <w:r>
        <w:rPr>
          <w:rFonts w:ascii="Arial" w:cs="Arial" w:eastAsia="Arial" w:hAnsi="Arial"/>
          <w:sz w:val="15"/>
          <w:szCs w:val="15"/>
          <w:color w:val="auto"/>
        </w:rPr>
        <w:t>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Compensation Committee engages an independent consultant from time to time to provide guidance on peer group composition and compensation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57543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529"/>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20320</wp:posOffset>
            </wp:positionV>
            <wp:extent cx="2727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ind w:left="249" w:right="320" w:hanging="249"/>
        <w:spacing w:after="0" w:line="278" w:lineRule="auto"/>
        <w:tabs>
          <w:tab w:leader="none" w:pos="249"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We Do Not Have Tax Gross-Ups: </w:t>
      </w:r>
      <w:r>
        <w:rPr>
          <w:rFonts w:ascii="Arial" w:cs="Arial" w:eastAsia="Arial" w:hAnsi="Arial"/>
          <w:sz w:val="16"/>
          <w:szCs w:val="16"/>
          <w:color w:val="auto"/>
        </w:rPr>
        <w:t>We do not provide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gross-ups on any severance, change-in-control or other payments.</w:t>
      </w:r>
    </w:p>
    <w:p>
      <w:pPr>
        <w:spacing w:after="0" w:line="170" w:lineRule="exact"/>
        <w:rPr>
          <w:rFonts w:ascii="MS PGothic" w:cs="MS PGothic" w:eastAsia="MS PGothic" w:hAnsi="MS PGothic"/>
          <w:sz w:val="16"/>
          <w:szCs w:val="16"/>
          <w:color w:val="auto"/>
        </w:rPr>
      </w:pPr>
    </w:p>
    <w:p>
      <w:pPr>
        <w:ind w:left="249" w:right="200" w:hanging="249"/>
        <w:spacing w:after="0" w:line="271" w:lineRule="auto"/>
        <w:tabs>
          <w:tab w:leader="none" w:pos="249"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Permit Hedging, Short Sales, or Pledging</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insider trading policy, our officers and directors are prohibited from hedging, effecting short sales of, and (except in extremely limited circumstances) pledging our stock.</w:t>
      </w:r>
    </w:p>
    <w:p>
      <w:pPr>
        <w:spacing w:after="0" w:line="176" w:lineRule="exact"/>
        <w:rPr>
          <w:rFonts w:ascii="MS PGothic" w:cs="MS PGothic" w:eastAsia="MS PGothic" w:hAnsi="MS PGothic"/>
          <w:sz w:val="16"/>
          <w:szCs w:val="16"/>
          <w:color w:val="auto"/>
        </w:rPr>
      </w:pPr>
    </w:p>
    <w:p>
      <w:pPr>
        <w:ind w:left="249" w:hanging="249"/>
        <w:spacing w:after="0"/>
        <w:tabs>
          <w:tab w:leader="none" w:pos="249"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Automatically Increase Salaries or</w:t>
      </w:r>
    </w:p>
    <w:p>
      <w:pPr>
        <w:spacing w:after="0" w:line="32" w:lineRule="exact"/>
        <w:rPr>
          <w:rFonts w:ascii="MS PGothic" w:cs="MS PGothic" w:eastAsia="MS PGothic" w:hAnsi="MS PGothic"/>
          <w:sz w:val="16"/>
          <w:szCs w:val="16"/>
          <w:color w:val="auto"/>
        </w:rPr>
      </w:pPr>
    </w:p>
    <w:p>
      <w:pPr>
        <w:ind w:left="249" w:right="40"/>
        <w:spacing w:after="0" w:line="267" w:lineRule="auto"/>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Bonuses</w:t>
      </w:r>
      <w:r>
        <w:rPr>
          <w:rFonts w:ascii="Arial" w:cs="Arial" w:eastAsia="Arial" w:hAnsi="Arial"/>
          <w:sz w:val="16"/>
          <w:szCs w:val="16"/>
          <w:color w:val="auto"/>
        </w:rPr>
        <w:t>: Since 2013, we have raised the base salary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only once, and those of our other named executive officers only twice, and bonuses are strictly performance based.</w:t>
      </w:r>
    </w:p>
    <w:p>
      <w:pPr>
        <w:spacing w:after="0" w:line="180" w:lineRule="exact"/>
        <w:rPr>
          <w:rFonts w:ascii="MS PGothic" w:cs="MS PGothic" w:eastAsia="MS PGothic" w:hAnsi="MS PGothic"/>
          <w:sz w:val="16"/>
          <w:szCs w:val="16"/>
          <w:color w:val="auto"/>
        </w:rPr>
      </w:pPr>
    </w:p>
    <w:p>
      <w:pPr>
        <w:ind w:left="249" w:right="220" w:hanging="249"/>
        <w:spacing w:after="0" w:line="369" w:lineRule="auto"/>
        <w:tabs>
          <w:tab w:leader="none" w:pos="249" w:val="left"/>
        </w:tabs>
        <w:numPr>
          <w:ilvl w:val="0"/>
          <w:numId w:val="25"/>
        </w:numPr>
        <w:rPr>
          <w:rFonts w:ascii="MS PGothic" w:cs="MS PGothic" w:eastAsia="MS PGothic" w:hAnsi="MS PGothic"/>
          <w:sz w:val="14"/>
          <w:szCs w:val="14"/>
          <w:color w:val="auto"/>
        </w:rPr>
      </w:pPr>
      <w:r>
        <w:rPr>
          <w:rFonts w:ascii="Arial" w:cs="Arial" w:eastAsia="Arial" w:hAnsi="Arial"/>
          <w:sz w:val="14"/>
          <w:szCs w:val="14"/>
          <w:b w:val="1"/>
          <w:bCs w:val="1"/>
          <w:i w:val="1"/>
          <w:iCs w:val="1"/>
          <w:color w:val="auto"/>
        </w:rPr>
        <w:t>We Do Not Provide Excessive Perquisites</w:t>
      </w:r>
      <w:r>
        <w:rPr>
          <w:rFonts w:ascii="Arial" w:cs="Arial" w:eastAsia="Arial" w:hAnsi="Arial"/>
          <w:sz w:val="14"/>
          <w:szCs w:val="14"/>
          <w:color w:val="auto"/>
        </w:rPr>
        <w:t>: Our named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officers receive limited perquisites and benefits.</w:t>
      </w:r>
    </w:p>
    <w:p>
      <w:pPr>
        <w:spacing w:after="0" w:line="200" w:lineRule="exact"/>
        <w:rPr>
          <w:rFonts w:ascii="MS PGothic" w:cs="MS PGothic" w:eastAsia="MS PGothic" w:hAnsi="MS PGothic"/>
          <w:sz w:val="14"/>
          <w:szCs w:val="14"/>
          <w:color w:val="auto"/>
        </w:rPr>
      </w:pPr>
    </w:p>
    <w:p>
      <w:pPr>
        <w:spacing w:after="0" w:line="317" w:lineRule="exact"/>
        <w:rPr>
          <w:rFonts w:ascii="MS PGothic" w:cs="MS PGothic" w:eastAsia="MS PGothic" w:hAnsi="MS PGothic"/>
          <w:sz w:val="14"/>
          <w:szCs w:val="14"/>
          <w:color w:val="auto"/>
        </w:rPr>
      </w:pPr>
    </w:p>
    <w:p>
      <w:pPr>
        <w:ind w:left="249" w:hanging="249"/>
        <w:spacing w:after="0"/>
        <w:tabs>
          <w:tab w:leader="none" w:pos="249" w:val="left"/>
        </w:tabs>
        <w:numPr>
          <w:ilvl w:val="0"/>
          <w:numId w:val="2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We Do Not Provide for Change of Control</w:t>
      </w:r>
    </w:p>
    <w:p>
      <w:pPr>
        <w:spacing w:after="0" w:line="32" w:lineRule="exact"/>
        <w:rPr>
          <w:rFonts w:ascii="MS PGothic" w:cs="MS PGothic" w:eastAsia="MS PGothic" w:hAnsi="MS PGothic"/>
          <w:sz w:val="16"/>
          <w:szCs w:val="16"/>
          <w:color w:val="auto"/>
        </w:rPr>
      </w:pPr>
    </w:p>
    <w:p>
      <w:pPr>
        <w:ind w:left="249"/>
        <w:spacing w:after="0" w:line="348" w:lineRule="auto"/>
        <w:rPr>
          <w:rFonts w:ascii="MS PGothic" w:cs="MS PGothic" w:eastAsia="MS PGothic" w:hAnsi="MS PGothic"/>
          <w:sz w:val="16"/>
          <w:szCs w:val="16"/>
          <w:color w:val="auto"/>
        </w:rPr>
      </w:pPr>
      <w:r>
        <w:rPr>
          <w:rFonts w:ascii="Arial" w:cs="Arial" w:eastAsia="Arial" w:hAnsi="Arial"/>
          <w:sz w:val="14"/>
          <w:szCs w:val="14"/>
          <w:b w:val="1"/>
          <w:bCs w:val="1"/>
          <w:i w:val="1"/>
          <w:iCs w:val="1"/>
          <w:color w:val="auto"/>
        </w:rPr>
        <w:t>Acceleration</w:t>
      </w:r>
      <w:r>
        <w:rPr>
          <w:rFonts w:ascii="Arial" w:cs="Arial" w:eastAsia="Arial" w:hAnsi="Arial"/>
          <w:sz w:val="14"/>
          <w:szCs w:val="14"/>
          <w:color w:val="auto"/>
        </w:rPr>
        <w:t>. We do not provide “single-trigger” accelerated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vesting of equity-based awards upon a change in control.</w:t>
      </w:r>
    </w:p>
    <w:p>
      <w:pPr>
        <w:spacing w:after="0" w:line="352" w:lineRule="exact"/>
        <w:rPr>
          <w:sz w:val="20"/>
          <w:szCs w:val="20"/>
          <w:color w:val="auto"/>
        </w:rPr>
      </w:pPr>
    </w:p>
    <w:p>
      <w:pPr>
        <w:sectPr>
          <w:pgSz w:w="11900" w:h="16838" w:orient="portrait"/>
          <w:cols w:equalWidth="0" w:num="2">
            <w:col w:w="4540" w:space="271"/>
            <w:col w:w="4249"/>
          </w:cols>
          <w:pgMar w:left="1420" w:top="125" w:right="141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Response to Advisory Vote on Executive Compensation</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We have held stockholder advisory votes on the compensation of our named executive officers, commonly referred to as a Say-on-Pay vote, since 2011 and, in each case, our stockholders approved the compensation of our named executive officers by wide margins, including receiving the support of 93.0% of shares voted in 2018. As we evaluated our compensation practices for 2018 and into 2019 in light of such votes, we gave great consideration to the strong support our stockholders expressed for our current compensation philosophy and practices. As a result, our Compensation Committee retained our general approach to executive compensation in 2018 and into 2019, as discussed below.</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 practices that are considered standard for good corporate governance and executive compensation, including:</w:t>
      </w:r>
    </w:p>
    <w:p>
      <w:pPr>
        <w:spacing w:after="0" w:line="188" w:lineRule="exact"/>
        <w:rPr>
          <w:sz w:val="20"/>
          <w:szCs w:val="20"/>
          <w:color w:val="auto"/>
        </w:rPr>
      </w:pPr>
    </w:p>
    <w:p>
      <w:pPr>
        <w:ind w:left="1300" w:right="200" w:hanging="325"/>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Strong alignment between company-wide performance and payouts under our annual cash incentive plan (“Annual Cash Incentive Plan”);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225" w:lineRule="exact"/>
        <w:rPr>
          <w:rFonts w:ascii="Arial" w:cs="Arial" w:eastAsia="Arial" w:hAnsi="Arial"/>
          <w:sz w:val="18"/>
          <w:szCs w:val="18"/>
          <w:color w:val="auto"/>
        </w:rPr>
      </w:pPr>
    </w:p>
    <w:p>
      <w:pPr>
        <w:ind w:left="1300" w:right="80" w:hanging="325"/>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a tool to retain key personnel, all stock-based awards are subject to five-year vesting periods, with 20% of each grant vesting annually on each of the first five anniversaries of the date of grant;</w:t>
      </w:r>
    </w:p>
    <w:p>
      <w:pPr>
        <w:spacing w:after="0" w:line="146" w:lineRule="exact"/>
        <w:rPr>
          <w:rFonts w:ascii="Arial" w:cs="Arial" w:eastAsia="Arial" w:hAnsi="Arial"/>
          <w:sz w:val="17"/>
          <w:szCs w:val="17"/>
          <w:color w:val="auto"/>
        </w:rPr>
      </w:pPr>
    </w:p>
    <w:p>
      <w:pPr>
        <w:ind w:left="1300" w:right="280" w:hanging="325"/>
        <w:spacing w:after="0" w:line="308"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Severance arrangements with our named executive officers that are limited to one year of compensation (base salary and target bonus) and benefits and limited acceleration of vesting; and</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light of the foregoing factors and practices, we believe our executive compensation in fiscal year 2018 appropriately reflected the economic and regulatory environments, the performance of the Company and the relationship with market compensation necessary to retain and motivate our executives, and that the continuation of these practices in 2019 is appropriate given the continued regulatory, economic and competitive challenges that we expect to face.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Note About the Compensation of Our Management Team</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Over the years, the Compensation Committee has periodically engaged Mercer to provide recommendations regarding executive compensation consistent with the Company’s business needs, pay philosophy, market trends and latest legal and regulatory considerations; provide market data for base salary, short-term incentive and long-term incentive decisions; and advise the Compensation Committee as to best practices. Typically, analyses of peer group data show that our named executive officers are compensated below their peers. The reasons for this are twofold:</w:t>
      </w:r>
    </w:p>
    <w:p>
      <w:pPr>
        <w:spacing w:after="0" w:line="173" w:lineRule="exact"/>
        <w:rPr>
          <w:sz w:val="20"/>
          <w:szCs w:val="20"/>
          <w:color w:val="auto"/>
        </w:rPr>
      </w:pPr>
    </w:p>
    <w:p>
      <w:pPr>
        <w:ind w:left="700" w:right="420" w:hanging="333"/>
        <w:spacing w:after="0" w:line="31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of our executive officers as of December 31, 2018 has been with the Company for a decade or more and, overall, our top management ranks have been extremely stable over time. This means that the compensation structure has not been forced to re-set due to the hiring of new management level personnel; and</w:t>
      </w:r>
    </w:p>
    <w:p>
      <w:pPr>
        <w:spacing w:after="0" w:line="146" w:lineRule="exact"/>
        <w:rPr>
          <w:rFonts w:ascii="Arial" w:cs="Arial" w:eastAsia="Arial" w:hAnsi="Arial"/>
          <w:sz w:val="16"/>
          <w:szCs w:val="16"/>
          <w:color w:val="auto"/>
        </w:rPr>
      </w:pPr>
    </w:p>
    <w:p>
      <w:pPr>
        <w:ind w:left="700" w:right="240" w:hanging="333"/>
        <w:spacing w:after="0" w:line="312"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area of compensation, our senior executives firmly believe that compensation should be based on performance: thus, base salaries should be relatively stable, cash bonuses should reflect annual performance, and equity incentives should provide value only if that value is shared by all of our stockholders.</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This belief has been backed up by actions. Between December 31, 2010 and the date of this Proxy Statement - a period during which the Company’s market capitalization increased by 534% (or nearly $4.8 billion), from $895.6 million to $5.675 billion - our Chief Executive Officer, Chief Operating Officer, Chief Financial Officer and Chief Information Officer have accepted base salary increases of only $40,000 each. In addition, the grant date value of their annual long-term equity incentive grants substantially lags behind peers. The Compensation Committee applauds the leadership and performance of our executive management team and the example they set for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2018 Executive Compensation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purpose of this Compensation Discussion and Analysis is to provide information about each material element of compensation that we pay or award to, or that is earned by, our named executive officers.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This Compensation Discussion and Analysis addresses and explains the compensation practices we followed in 2018, the numerical and related information contained in the summary compensation and related tables presented below, and actions we have taken regarding executive compensation since the end of our 2018 fiscal year. Specifically, this Compensation Discussion and Analysis addresses:</w:t>
      </w:r>
    </w:p>
    <w:p>
      <w:pPr>
        <w:spacing w:after="0" w:line="187" w:lineRule="exact"/>
        <w:rPr>
          <w:sz w:val="20"/>
          <w:szCs w:val="20"/>
          <w:color w:val="auto"/>
        </w:rPr>
      </w:pPr>
    </w:p>
    <w:p>
      <w:pPr>
        <w:ind w:left="1300" w:right="24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70" w:lineRule="exact"/>
        <w:rPr>
          <w:rFonts w:ascii="Arial" w:cs="Arial" w:eastAsia="Arial" w:hAnsi="Arial"/>
          <w:sz w:val="18"/>
          <w:szCs w:val="18"/>
          <w:color w:val="auto"/>
        </w:rPr>
      </w:pPr>
    </w:p>
    <w:p>
      <w:pPr>
        <w:ind w:left="130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What our compensation program is designed to reward (also described in the section entitled “Objectives of Compensation Programs”);</w:t>
      </w:r>
    </w:p>
    <w:p>
      <w:pPr>
        <w:spacing w:after="0" w:line="170" w:lineRule="exact"/>
        <w:rPr>
          <w:rFonts w:ascii="Arial" w:cs="Arial" w:eastAsia="Arial" w:hAnsi="Arial"/>
          <w:sz w:val="18"/>
          <w:szCs w:val="18"/>
          <w:color w:val="auto"/>
        </w:rPr>
      </w:pPr>
    </w:p>
    <w:p>
      <w:pPr>
        <w:ind w:left="1300" w:right="56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70" w:lineRule="exact"/>
        <w:rPr>
          <w:rFonts w:ascii="Arial" w:cs="Arial" w:eastAsia="Arial" w:hAnsi="Arial"/>
          <w:sz w:val="18"/>
          <w:szCs w:val="18"/>
          <w:color w:val="auto"/>
        </w:rPr>
      </w:pPr>
    </w:p>
    <w:p>
      <w:pPr>
        <w:ind w:left="1300" w:right="220" w:hanging="325"/>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170" w:lineRule="exact"/>
        <w:rPr>
          <w:rFonts w:ascii="Arial" w:cs="Arial" w:eastAsia="Arial" w:hAnsi="Arial"/>
          <w:sz w:val="18"/>
          <w:szCs w:val="18"/>
          <w:color w:val="auto"/>
        </w:rPr>
      </w:pPr>
    </w:p>
    <w:p>
      <w:pPr>
        <w:ind w:left="1300" w:right="320" w:hanging="325"/>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How amounts and formulas for pay are calculated and determined (also described with each element of compensation, including base pay, short-term incentives and long-term incentives); and</w:t>
      </w:r>
    </w:p>
    <w:p>
      <w:pPr>
        <w:spacing w:after="0" w:line="146" w:lineRule="exact"/>
        <w:rPr>
          <w:rFonts w:ascii="Arial" w:cs="Arial" w:eastAsia="Arial" w:hAnsi="Arial"/>
          <w:sz w:val="17"/>
          <w:szCs w:val="17"/>
          <w:color w:val="auto"/>
        </w:rPr>
      </w:pPr>
    </w:p>
    <w:p>
      <w:pPr>
        <w:ind w:left="1300" w:hanging="325"/>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How each compensation element and our decisions regarding that element fit into our overall compensation objectives and affect decisions regarding other elements (described with each element of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5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 Committees of Our Board of Directors — Compensation Committee.”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Compensation philosophy. </w:t>
      </w:r>
      <w:r>
        <w:rPr>
          <w:rFonts w:ascii="Arial" w:cs="Arial" w:eastAsia="Arial" w:hAnsi="Arial"/>
          <w:sz w:val="17"/>
          <w:szCs w:val="17"/>
          <w:color w:val="auto"/>
        </w:rPr>
        <w:t>Under our compensation philosophy, a named executive officer’s total compensation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vary based on our overall 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Compensation objectives. </w:t>
      </w:r>
      <w:r>
        <w:rPr>
          <w:rFonts w:ascii="Arial" w:cs="Arial" w:eastAsia="Arial" w:hAnsi="Arial"/>
          <w:sz w:val="18"/>
          <w:szCs w:val="18"/>
          <w:color w:val="auto"/>
        </w:rPr>
        <w:t>We believe that the compensation program we follow helps us achieve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170" w:lineRule="exact"/>
        <w:rPr>
          <w:sz w:val="20"/>
          <w:szCs w:val="20"/>
          <w:color w:val="auto"/>
        </w:rPr>
      </w:pPr>
    </w:p>
    <w:p>
      <w:pPr>
        <w:ind w:left="1300" w:right="60" w:hanging="325"/>
        <w:spacing w:after="0" w:line="279"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total compensation should 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171" w:lineRule="exact"/>
        <w:rPr>
          <w:rFonts w:ascii="Arial" w:cs="Arial" w:eastAsia="Arial" w:hAnsi="Arial"/>
          <w:sz w:val="17"/>
          <w:szCs w:val="17"/>
          <w:color w:val="auto"/>
        </w:rPr>
      </w:pPr>
    </w:p>
    <w:p>
      <w:pPr>
        <w:ind w:left="1300" w:right="40" w:hanging="325"/>
        <w:spacing w:after="0" w:line="273"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competitive and cost effective. </w:t>
      </w:r>
      <w:r>
        <w:rPr>
          <w:rFonts w:ascii="Arial" w:cs="Arial" w:eastAsia="Arial" w:hAnsi="Arial"/>
          <w:sz w:val="17"/>
          <w:szCs w:val="17"/>
          <w:color w:val="auto"/>
        </w:rPr>
        <w:t>We believe that our compensation program should</w:t>
      </w:r>
      <w:r>
        <w:rPr>
          <w:rFonts w:ascii="Arial" w:cs="Arial" w:eastAsia="Arial" w:hAnsi="Arial"/>
          <w:sz w:val="17"/>
          <w:szCs w:val="17"/>
          <w:i w:val="1"/>
          <w:iCs w:val="1"/>
          <w:color w:val="auto"/>
        </w:rPr>
        <w:t xml:space="preserve"> </w:t>
      </w:r>
      <w:r>
        <w:rPr>
          <w:rFonts w:ascii="Arial" w:cs="Arial" w:eastAsia="Arial" w:hAnsi="Arial"/>
          <w:sz w:val="17"/>
          <w:szCs w:val="17"/>
          <w:color w:val="auto"/>
        </w:rPr>
        <w:t>foster an innovative, high integrity, 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7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 xml:space="preserve">Company compensation policies. </w:t>
      </w:r>
      <w:r>
        <w:rPr>
          <w:rFonts w:ascii="Arial" w:cs="Arial" w:eastAsia="Arial" w:hAnsi="Arial"/>
          <w:sz w:val="17"/>
          <w:szCs w:val="17"/>
          <w:color w:val="auto"/>
        </w:rPr>
        <w:t>During 2018, our named executive officers’ total in-service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base salaries, cash bonuses, share-based compensation, and other benefits generally available to all employees. With regard to these components, we adhere to the following compensation policies:</w:t>
      </w:r>
    </w:p>
    <w:p>
      <w:pPr>
        <w:spacing w:after="0" w:line="166" w:lineRule="exact"/>
        <w:rPr>
          <w:sz w:val="20"/>
          <w:szCs w:val="20"/>
          <w:color w:val="auto"/>
        </w:rPr>
      </w:pPr>
    </w:p>
    <w:p>
      <w:pPr>
        <w:ind w:left="1300" w:right="60" w:hanging="325"/>
        <w:spacing w:after="0" w:line="25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the opportunity for its 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188" w:lineRule="exact"/>
        <w:rPr>
          <w:rFonts w:ascii="Arial" w:cs="Arial" w:eastAsia="Arial" w:hAnsi="Arial"/>
          <w:sz w:val="18"/>
          <w:szCs w:val="18"/>
          <w:color w:val="auto"/>
        </w:rPr>
      </w:pPr>
    </w:p>
    <w:p>
      <w:pPr>
        <w:ind w:left="1300" w:hanging="325"/>
        <w:spacing w:after="0" w:line="25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Base salaries should generally be the largest component of cash compensation</w:t>
      </w:r>
      <w:r>
        <w:rPr>
          <w:rFonts w:ascii="Arial" w:cs="Arial" w:eastAsia="Arial" w:hAnsi="Arial"/>
          <w:sz w:val="18"/>
          <w:szCs w:val="18"/>
          <w:color w:val="auto"/>
        </w:rPr>
        <w:t>.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generally reflect our view that base salaries reflect compensation for the named executive officers to perform the essential elements of their respective jobs, and that cash bonuses are a reward for superior company performance. In this regard, absent clear outperformance of financial goals, for all of our named executive officers other than our Chief Executive Officer, base salary should generally be the largest component of cash compensation.</w:t>
      </w:r>
    </w:p>
    <w:p>
      <w:pPr>
        <w:spacing w:after="0" w:line="193" w:lineRule="exact"/>
        <w:rPr>
          <w:rFonts w:ascii="Arial" w:cs="Arial" w:eastAsia="Arial" w:hAnsi="Arial"/>
          <w:sz w:val="18"/>
          <w:szCs w:val="18"/>
          <w:color w:val="auto"/>
        </w:rPr>
      </w:pPr>
    </w:p>
    <w:p>
      <w:pPr>
        <w:ind w:left="1300" w:right="140" w:hanging="325"/>
        <w:spacing w:after="0" w:line="27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Cash incentives should be linked to performance. </w:t>
      </w:r>
      <w:r>
        <w:rPr>
          <w:rFonts w:ascii="Arial" w:cs="Arial" w:eastAsia="Arial" w:hAnsi="Arial"/>
          <w:sz w:val="17"/>
          <w:szCs w:val="17"/>
          <w:color w:val="auto"/>
        </w:rPr>
        <w:t>Under our Annual Cash Incentive Plan, bonuses paid to</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are based on overall company financial performance, but are subject to reduction based on the Compensation Committee’s assessment of the particular named executive officer’s personal performance and contribution to our overall results.</w:t>
      </w:r>
    </w:p>
    <w:p>
      <w:pPr>
        <w:spacing w:after="0" w:line="171" w:lineRule="exact"/>
        <w:rPr>
          <w:rFonts w:ascii="Arial" w:cs="Arial" w:eastAsia="Arial" w:hAnsi="Arial"/>
          <w:sz w:val="17"/>
          <w:szCs w:val="17"/>
          <w:color w:val="auto"/>
        </w:rPr>
      </w:pPr>
    </w:p>
    <w:p>
      <w:pPr>
        <w:ind w:left="1300" w:right="360" w:hanging="325"/>
        <w:spacing w:after="0" w:line="259"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Equity awards should be utilized as a means to retain key management and to align their interests with those of our stockholders. </w:t>
      </w:r>
      <w:r>
        <w:rPr>
          <w:rFonts w:ascii="Arial" w:cs="Arial" w:eastAsia="Arial" w:hAnsi="Arial"/>
          <w:sz w:val="18"/>
          <w:szCs w:val="18"/>
          <w:color w:val="auto"/>
        </w:rPr>
        <w:t>We utilize time-based equity awards that vest ratably over five years.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a long vesting period encourages retention and focuses our management team on the long-term interests of our Company and stockholders.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Elements of In-Service Compensation. </w:t>
      </w:r>
      <w:r>
        <w:rPr>
          <w:rFonts w:ascii="Arial" w:cs="Arial" w:eastAsia="Arial" w:hAnsi="Arial"/>
          <w:sz w:val="16"/>
          <w:szCs w:val="16"/>
          <w:color w:val="auto"/>
        </w:rPr>
        <w:t>For our 2018 fiscal year, our executive compensation mix included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salaries, performance-based cash bonuses, share-based compensation with vesting periods, and other benefits generally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available to all employees. We seek to compensate our named executive officers at levels that eliminate the need for material perquisites and enable each individual officer to provide for his or her own needs, and in 2018, we did not provide any perquisites to our named executive officers. We generally determine the nature and amount of each element of compensation as follows:</w:t>
      </w:r>
    </w:p>
    <w:p>
      <w:pPr>
        <w:spacing w:after="0" w:line="187" w:lineRule="exact"/>
        <w:rPr>
          <w:sz w:val="20"/>
          <w:szCs w:val="20"/>
          <w:color w:val="auto"/>
        </w:rPr>
      </w:pPr>
    </w:p>
    <w:p>
      <w:pPr>
        <w:ind w:left="1300" w:right="40" w:hanging="325"/>
        <w:spacing w:after="0" w:line="288"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We typically agree upon a base salary with a named executive officer at the time of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The amount of base salary agreed upon, which is not at risk, reflects our views as to 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 named executive officer’s scope of responsibility. We also consider qualitative criteria, such as education and experience requirements, complexity, and scope or impact of the position compared to other executive positions internally.</w:t>
      </w:r>
    </w:p>
    <w:p>
      <w:pPr>
        <w:spacing w:after="0" w:line="169" w:lineRule="exact"/>
        <w:rPr>
          <w:rFonts w:ascii="Arial" w:cs="Arial" w:eastAsia="Arial" w:hAnsi="Arial"/>
          <w:sz w:val="16"/>
          <w:szCs w:val="16"/>
          <w:color w:val="auto"/>
        </w:rPr>
      </w:pPr>
    </w:p>
    <w:p>
      <w:pPr>
        <w:ind w:left="1300" w:hanging="325"/>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based on our success in a given year. For 2018, we awarded performance-related bonuses under our Annual Cash Incentive Plan. The operation of this plan as it relates to our named executive officers is described in more detail below.</w:t>
      </w:r>
    </w:p>
    <w:p>
      <w:pPr>
        <w:spacing w:after="0" w:line="186" w:lineRule="exact"/>
        <w:rPr>
          <w:rFonts w:ascii="Arial" w:cs="Arial" w:eastAsia="Arial" w:hAnsi="Arial"/>
          <w:sz w:val="18"/>
          <w:szCs w:val="18"/>
          <w:color w:val="auto"/>
        </w:rPr>
      </w:pPr>
    </w:p>
    <w:p>
      <w:pPr>
        <w:ind w:left="1300" w:right="80" w:hanging="325"/>
        <w:spacing w:after="0" w:line="25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Prior to June 2017, the Company made grants of restricted stock and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its 2008 Equity Incentive Plan (the “2008 Plan”). In January 2017, the Board of Directors approved, and at the Company’s 2017 annual meeting of stockholders held on June 14, 2017, the Company’s stockholders adopted a 2017 Equity Incentive Plan (the “2017 Plan”) under which a maximum of 3,000,000 shares may be granted. In 2018, our named executive officers received grants of restricted stock under the 2017 plan, as part of an overall, annual equity incentive grant made to Company employees.</w:t>
      </w:r>
    </w:p>
    <w:p>
      <w:pPr>
        <w:spacing w:after="0" w:line="189" w:lineRule="exact"/>
        <w:rPr>
          <w:rFonts w:ascii="Arial" w:cs="Arial" w:eastAsia="Arial" w:hAnsi="Arial"/>
          <w:sz w:val="18"/>
          <w:szCs w:val="18"/>
          <w:color w:val="auto"/>
        </w:rPr>
      </w:pPr>
    </w:p>
    <w:p>
      <w:pPr>
        <w:ind w:left="1300" w:right="20" w:hanging="325"/>
        <w:spacing w:after="0" w:line="289"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We offer other employee benefits to named executive officers for the purpose of meeting current and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health and security needs for 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tuition benefits for a spouse or up to two children with no more than two participants receiving the benefits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67"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 xml:space="preserve">Elements of Post-Termination Compensation and Benefits. </w:t>
      </w:r>
      <w:r>
        <w:rPr>
          <w:rFonts w:ascii="Arial" w:cs="Arial" w:eastAsia="Arial" w:hAnsi="Arial"/>
          <w:sz w:val="16"/>
          <w:szCs w:val="16"/>
          <w:color w:val="auto"/>
        </w:rPr>
        <w:t>The employment agreements of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provide for post-termination salary and benefit continuation in the event of a termination by us without Cause (as defined below) or by the executive for Good Reason (as defined below) or in the event of any such termination within twelve</w:t>
      </w:r>
    </w:p>
    <w:p>
      <w:pPr>
        <w:ind w:right="20" w:firstLine="3"/>
        <w:spacing w:after="0" w:line="269" w:lineRule="auto"/>
        <w:tabs>
          <w:tab w:leader="none" w:pos="345" w:val="left"/>
        </w:tabs>
        <w:numPr>
          <w:ilvl w:val="0"/>
          <w:numId w:val="32"/>
        </w:numPr>
        <w:rPr>
          <w:rFonts w:ascii="Arial" w:cs="Arial" w:eastAsia="Arial" w:hAnsi="Arial"/>
          <w:sz w:val="17"/>
          <w:szCs w:val="17"/>
          <w:color w:val="auto"/>
        </w:rPr>
      </w:pPr>
      <w:r>
        <w:rPr>
          <w:rFonts w:ascii="Arial" w:cs="Arial" w:eastAsia="Arial" w:hAnsi="Arial"/>
          <w:sz w:val="17"/>
          <w:szCs w:val="17"/>
          <w:color w:val="auto"/>
        </w:rPr>
        <w:t>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2018 pursuant to the written employment agreements consisted of the following:</w:t>
      </w:r>
    </w:p>
    <w:p>
      <w:pPr>
        <w:spacing w:after="0" w:line="180" w:lineRule="exact"/>
        <w:rPr>
          <w:rFonts w:ascii="Arial" w:cs="Arial" w:eastAsia="Arial" w:hAnsi="Arial"/>
          <w:sz w:val="17"/>
          <w:szCs w:val="17"/>
          <w:color w:val="auto"/>
        </w:rPr>
      </w:pPr>
    </w:p>
    <w:p>
      <w:pPr>
        <w:ind w:left="1300" w:right="100" w:hanging="325"/>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twelve (12) months following any qualifying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60" w:hanging="325"/>
        <w:spacing w:after="0" w:line="312" w:lineRule="auto"/>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Payment of target bonus</w:t>
      </w:r>
      <w:r>
        <w:rPr>
          <w:rFonts w:ascii="Arial" w:cs="Arial" w:eastAsia="Arial" w:hAnsi="Arial"/>
          <w:sz w:val="16"/>
          <w:szCs w:val="16"/>
          <w:color w:val="auto"/>
        </w:rPr>
        <w:t>. Each named executive officer would receive an additional amount equal to 100%</w:t>
      </w:r>
      <w:r>
        <w:rPr>
          <w:rFonts w:ascii="Arial" w:cs="Arial" w:eastAsia="Arial" w:hAnsi="Arial"/>
          <w:sz w:val="16"/>
          <w:szCs w:val="16"/>
          <w:i w:val="1"/>
          <w:iCs w:val="1"/>
          <w:color w:val="auto"/>
        </w:rPr>
        <w:t xml:space="preserve"> </w:t>
      </w:r>
      <w:r>
        <w:rPr>
          <w:rFonts w:ascii="Arial" w:cs="Arial" w:eastAsia="Arial" w:hAnsi="Arial"/>
          <w:sz w:val="16"/>
          <w:szCs w:val="16"/>
          <w:color w:val="auto"/>
        </w:rPr>
        <w:t>of the named executive officer’s annual target bonus for the year in which such termination occurs, with such amount also payable over twelve (12) months following any qualifying termination of employment.</w:t>
      </w:r>
    </w:p>
    <w:p>
      <w:pPr>
        <w:spacing w:after="0" w:line="146" w:lineRule="exact"/>
        <w:rPr>
          <w:rFonts w:ascii="Arial" w:cs="Arial" w:eastAsia="Arial" w:hAnsi="Arial"/>
          <w:sz w:val="16"/>
          <w:szCs w:val="16"/>
          <w:color w:val="auto"/>
        </w:rPr>
      </w:pPr>
    </w:p>
    <w:p>
      <w:pPr>
        <w:ind w:left="1300" w:right="200" w:hanging="325"/>
        <w:spacing w:after="0" w:line="308"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Benefits continuation. </w:t>
      </w:r>
      <w:r>
        <w:rPr>
          <w:rFonts w:ascii="Arial" w:cs="Arial" w:eastAsia="Arial" w:hAnsi="Arial"/>
          <w:sz w:val="17"/>
          <w:szCs w:val="17"/>
          <w:color w:val="auto"/>
        </w:rPr>
        <w:t>Each named executive officer would continue to receive Company-paid premiums</w:t>
      </w:r>
      <w:r>
        <w:rPr>
          <w:rFonts w:ascii="Arial" w:cs="Arial" w:eastAsia="Arial" w:hAnsi="Arial"/>
          <w:sz w:val="17"/>
          <w:szCs w:val="17"/>
          <w:i w:val="1"/>
          <w:iCs w:val="1"/>
          <w:color w:val="auto"/>
        </w:rPr>
        <w:t xml:space="preserve"> </w:t>
      </w:r>
      <w:r>
        <w:rPr>
          <w:rFonts w:ascii="Arial" w:cs="Arial" w:eastAsia="Arial" w:hAnsi="Arial"/>
          <w:sz w:val="17"/>
          <w:szCs w:val="17"/>
          <w:color w:val="auto"/>
        </w:rPr>
        <w:t>for continued group health benefits under COBRA during the salary continuation period.</w:t>
      </w:r>
    </w:p>
    <w:p>
      <w:pPr>
        <w:spacing w:after="0" w:line="146"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Partially accelerated vesting of equity incentives</w:t>
      </w:r>
      <w:r>
        <w:rPr>
          <w:rFonts w:ascii="Arial" w:cs="Arial" w:eastAsia="Arial" w:hAnsi="Arial"/>
          <w:sz w:val="18"/>
          <w:szCs w:val="18"/>
          <w:color w:val="auto"/>
        </w:rPr>
        <w:t>. Certain of our named executive officers would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partial acceleration of the vesting of any outstanding stock options or restricted stock awards to the next vesting date immediately following the date of termination, in the event of a termination by us without Cause or by the executive for Good Reason.</w:t>
      </w:r>
    </w:p>
    <w:p>
      <w:pPr>
        <w:spacing w:after="0" w:line="186" w:lineRule="exact"/>
        <w:rPr>
          <w:rFonts w:ascii="Arial" w:cs="Arial" w:eastAsia="Arial" w:hAnsi="Arial"/>
          <w:sz w:val="18"/>
          <w:szCs w:val="18"/>
          <w:color w:val="auto"/>
        </w:rPr>
      </w:pPr>
    </w:p>
    <w:p>
      <w:pPr>
        <w:ind w:left="1300" w:right="180" w:hanging="325"/>
        <w:spacing w:after="0" w:line="259"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Fully accelerated vesting of equity incentives</w:t>
      </w:r>
      <w:r>
        <w:rPr>
          <w:rFonts w:ascii="Arial" w:cs="Arial" w:eastAsia="Arial" w:hAnsi="Arial"/>
          <w:sz w:val="18"/>
          <w:szCs w:val="18"/>
          <w:color w:val="auto"/>
        </w:rPr>
        <w:t>. In the event of a termination by us without Cause or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for Good Reason within twelve (12) months following a Change in Control, each named executive officer would receive full acceleration of the vesting of their outstanding stock options or restricted stock awards.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See “Executive Employment Agreements” and “Potential Payments Upon Termination or Change in Control” for additional detail.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8"/>
          <w:szCs w:val="18"/>
          <w:color w:val="auto"/>
        </w:rPr>
        <w:t xml:space="preserve">Under the Annual Cash Incentive Plan as in effect for 2018,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2018, we defined Adjusted EBITDA for purposes of the Annual Cash Incentive Plan in a manner consistent with the definition we use when reporting our financial results. See Item 6, </w:t>
      </w:r>
      <w:r>
        <w:rPr>
          <w:rFonts w:ascii="Arial" w:cs="Arial" w:eastAsia="Arial" w:hAnsi="Arial"/>
          <w:sz w:val="18"/>
          <w:szCs w:val="18"/>
          <w:i w:val="1"/>
          <w:iCs w:val="1"/>
          <w:color w:val="auto"/>
        </w:rPr>
        <w:t>Selected Consolidated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Data, </w:t>
      </w:r>
      <w:r>
        <w:rPr>
          <w:rFonts w:ascii="Arial" w:cs="Arial" w:eastAsia="Arial" w:hAnsi="Arial"/>
          <w:sz w:val="18"/>
          <w:szCs w:val="18"/>
          <w:color w:val="auto"/>
        </w:rPr>
        <w:t>beginning on page 44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use and calculation of Adjusted EBITDA. As such, we believe it is fair and reasonable to our executives to assess their individual performance on the same basis as our performance is assessed by our Board of Directors and investors.</w:t>
      </w:r>
    </w:p>
    <w:p>
      <w:pPr>
        <w:spacing w:after="0" w:line="20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w:t>
      </w:r>
      <w:r>
        <w:rPr>
          <w:rFonts w:ascii="Arial" w:cs="Arial" w:eastAsia="Arial" w:hAnsi="Arial"/>
          <w:sz w:val="18"/>
          <w:szCs w:val="18"/>
          <w:i w:val="1"/>
          <w:iCs w:val="1"/>
          <w:color w:val="auto"/>
        </w:rPr>
        <w:t xml:space="preserve"> </w:t>
      </w:r>
      <w:r>
        <w:rPr>
          <w:rFonts w:ascii="Arial" w:cs="Arial" w:eastAsia="Arial" w:hAnsi="Arial"/>
          <w:sz w:val="18"/>
          <w:szCs w:val="18"/>
          <w:color w:val="auto"/>
        </w:rPr>
        <w:t>bonus, with the resulting amount subject 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i w:val="1"/>
          <w:iCs w:val="1"/>
          <w:color w:val="auto"/>
        </w:rPr>
        <w:t>Individual performance</w:t>
      </w:r>
      <w:r>
        <w:rPr>
          <w:rFonts w:ascii="Arial" w:cs="Arial" w:eastAsia="Arial" w:hAnsi="Arial"/>
          <w:sz w:val="17"/>
          <w:szCs w:val="17"/>
          <w:color w:val="auto"/>
        </w:rPr>
        <w:t>. In reviewing individual performance, we look at an executive’s achievement of non-financial objectives that, with respect to a given participant, may include achieving objectives related to, among other things, program development and expansion, regulatory compliance, student retention and academic outcomes.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the Compensation Committee establishes a target bonus,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stated as a percentage of the named executive officer’s base salary. For 2018, the bonus opportunity as a percentage of base salary for each of the named executive officers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left="694"/>
              <w:spacing w:after="0"/>
              <w:rPr>
                <w:sz w:val="20"/>
                <w:szCs w:val="20"/>
                <w:color w:val="auto"/>
              </w:rPr>
            </w:pPr>
            <w:r>
              <w:rPr>
                <w:rFonts w:ascii="Arial" w:cs="Arial" w:eastAsia="Arial" w:hAnsi="Arial"/>
                <w:sz w:val="14"/>
                <w:szCs w:val="14"/>
                <w:b w:val="1"/>
                <w:bCs w:val="1"/>
                <w:color w:val="auto"/>
                <w:w w:val="91"/>
              </w:rPr>
              <w:t>Bonus Opportunity as a</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vMerge w:val="restart"/>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3"/>
              </w:rPr>
              <w:t>Base Salary</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vMerge w:val="continue"/>
          </w:tcPr>
          <w:p>
            <w:pPr>
              <w:spacing w:after="0"/>
              <w:rPr>
                <w:sz w:val="12"/>
                <w:szCs w:val="12"/>
                <w:color w:val="auto"/>
              </w:rPr>
            </w:pPr>
          </w:p>
        </w:tc>
        <w:tc>
          <w:tcPr>
            <w:tcW w:w="8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Threshold</w:t>
            </w:r>
          </w:p>
        </w:tc>
        <w:tc>
          <w:tcPr>
            <w:tcW w:w="2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Target</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Maximum</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Dilek Marsh</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53.3 %</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Brian M. Roberts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 establishes for the applicable fiscal year. For participants to earn any payout under the plan, the Company must achieve at least 96% of both the revenue and Adjusted EBITDA goals. Assuming both of these thresholds are achieved, payouts are made based on the Company’s achievement of a minimum of 96% of both the revenue goal and Adjusted EBITDA goal (resulting in a bonus of 50% of the target bonus) and a maximum of 104% of the revenue goal and 106% of the Adjusted EBITDA goal (resulting in a bonus of 150% of the target bonus). Performance between threshold and maximum levels results in prorated payments using straight-line interpolation.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Shown below is a summary of the matrix described above: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Goal</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Threshold</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Target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210"/>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 goal (50.0% of financial metric)</w:t>
            </w: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96% of goal</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 of goal</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104% of goal</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Adjusted EBITDA (50.0% of financial metric)</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96% of goal</w:t>
            </w: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100% of goal</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106% of goal</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 payout as a % of target bonus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2018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(50% of the revenue component) plus $75,000 (100% of the Adjusted EBITDA component).</w:t>
      </w:r>
    </w:p>
    <w:p>
      <w:pPr>
        <w:spacing w:after="0" w:line="18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plan for eligible senior management other than the named executive officers (the “Senior Management Plan”)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under the Senior Management Plan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6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Changes to performance goals and target awards</w:t>
      </w:r>
      <w:r>
        <w:rPr>
          <w:rFonts w:ascii="Arial" w:cs="Arial" w:eastAsia="Arial" w:hAnsi="Arial"/>
          <w:sz w:val="17"/>
          <w:szCs w:val="17"/>
          <w:color w:val="auto"/>
        </w:rPr>
        <w:t>. In accordance with the terms of the Annual Cash Incentive Plan,</w:t>
      </w:r>
      <w:r>
        <w:rPr>
          <w:rFonts w:ascii="Arial" w:cs="Arial" w:eastAsia="Arial" w:hAnsi="Arial"/>
          <w:sz w:val="17"/>
          <w:szCs w:val="17"/>
          <w:i w:val="1"/>
          <w:iCs w:val="1"/>
          <w:color w:val="auto"/>
        </w:rPr>
        <w:t xml:space="preserve"> </w:t>
      </w:r>
      <w:r>
        <w:rPr>
          <w:rFonts w:ascii="Arial" w:cs="Arial" w:eastAsia="Arial" w:hAnsi="Arial"/>
          <w:sz w:val="17"/>
          <w:szCs w:val="17"/>
          <w:color w:val="auto"/>
        </w:rPr>
        <w:t>at any time prior to the final 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3" w:lineRule="exact"/>
        <w:rPr>
          <w:sz w:val="20"/>
          <w:szCs w:val="20"/>
          <w:color w:val="auto"/>
        </w:rPr>
      </w:pPr>
    </w:p>
    <w:p>
      <w:pPr>
        <w:ind w:right="640" w:firstLine="551"/>
        <w:spacing w:after="0" w:line="286" w:lineRule="auto"/>
        <w:rPr>
          <w:sz w:val="20"/>
          <w:szCs w:val="20"/>
          <w:color w:val="auto"/>
        </w:rPr>
      </w:pPr>
      <w:r>
        <w:rPr>
          <w:rFonts w:ascii="Arial" w:cs="Arial" w:eastAsia="Arial" w:hAnsi="Arial"/>
          <w:sz w:val="16"/>
          <w:szCs w:val="16"/>
          <w:color w:val="auto"/>
        </w:rPr>
        <w:t>On July 1, 2018, the Company announced the consummation of the Transaction. Subsequent to that date, the Company generated all of its service revenue through a master services agreement with GCU, pursuant to which the Company provides identified technology and academic services, counseling services and support, marketing and communication services, and several back office services to GCU in return for 60% of GCU’s tuition and fee</w:t>
      </w:r>
    </w:p>
    <w:p>
      <w:pPr>
        <w:spacing w:after="0" w:line="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revenue. Accordingly, the Transaction resulted in a decrease in revenue for the latter half of 2018 and a significant change in the Company’s financial presentation. Given the transformational opportunity provided by the Transaction and the determination of the Board of Directors to consummate the Transaction, the Compensation Committee exercised its authority to make adjustments to the performance goals in recognition of unusual or non-recurring events affecting the Company or to reflect modifications made to its annual business plan. Accordingly, for purposes of the 2018 Annual Cash Incentive Plan, the Company’s revenue and Adjusted EBITDA for the first half of 2018 were combined with the Company’s actual revenue and Adjusted EBITDA for the second half of 2018 following the Transaction, with the second half 2018 revenue target set at 60% of the original revenue target amount and the second half 2018 Adjusted EBITDA target set at a target that reflected the expected impact of the Transaction on the Company’s financial results for that period.</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2018 financial goals. </w:t>
      </w:r>
      <w:r>
        <w:rPr>
          <w:rFonts w:ascii="Arial" w:cs="Arial" w:eastAsia="Arial" w:hAnsi="Arial"/>
          <w:sz w:val="16"/>
          <w:szCs w:val="16"/>
          <w:color w:val="auto"/>
        </w:rPr>
        <w:t>The following table shows the adjusted company-wide financial goals established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for 2018. These financial goals were selected based upon a combination of the Company’s internal budget and analyst estimates, which the Compensation Committee believes establishes an appropriate level at which to set goals in order to maximize the incentive for superior performance, as adjusted for the Transaction, as described above.</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Threshold</w:t>
            </w: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7"/>
              </w:rPr>
              <w:t>(104% of Goal for</w:t>
            </w: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6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4"/>
              </w:rPr>
              <w:t>Revenue/106% of Goal</w:t>
            </w:r>
          </w:p>
        </w:tc>
        <w:tc>
          <w:tcPr>
            <w:tcW w:w="0" w:type="dxa"/>
            <w:vAlign w:val="bottom"/>
          </w:tcPr>
          <w:p>
            <w:pPr>
              <w:spacing w:after="0"/>
              <w:rPr>
                <w:sz w:val="1"/>
                <w:szCs w:val="1"/>
                <w:color w:val="auto"/>
              </w:rPr>
            </w:pPr>
          </w:p>
        </w:tc>
      </w:tr>
      <w:tr>
        <w:trPr>
          <w:trHeight w:val="171"/>
        </w:trPr>
        <w:tc>
          <w:tcPr>
            <w:tcW w:w="23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(96% of Goal)</w:t>
            </w: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(100% of Goal)</w:t>
            </w:r>
          </w:p>
        </w:tc>
        <w:tc>
          <w:tcPr>
            <w:tcW w:w="2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for Adjusted EBITDA)</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802,560,000</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$836,000,000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869,440,000</w:t>
            </w: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r>
              <w:rPr>
                <w:rFonts w:ascii="Arial" w:cs="Arial" w:eastAsia="Arial" w:hAnsi="Arial"/>
                <w:sz w:val="7"/>
                <w:szCs w:val="7"/>
                <w:b w:val="1"/>
                <w:bCs w:val="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302,184,000</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0"/>
              </w:rPr>
              <w:t>$314,775,000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333,661,500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320" w:hanging="317"/>
        <w:spacing w:after="0" w:line="253" w:lineRule="auto"/>
        <w:tabs>
          <w:tab w:leader="none" w:pos="360" w:val="left"/>
        </w:tabs>
        <w:numPr>
          <w:ilvl w:val="0"/>
          <w:numId w:val="34"/>
        </w:numPr>
        <w:rPr>
          <w:rFonts w:ascii="Arial" w:cs="Arial" w:eastAsia="Arial" w:hAnsi="Arial"/>
          <w:sz w:val="16"/>
          <w:szCs w:val="16"/>
          <w:color w:val="auto"/>
        </w:rPr>
      </w:pPr>
      <w:r>
        <w:rPr>
          <w:rFonts w:ascii="Arial" w:cs="Arial" w:eastAsia="Arial" w:hAnsi="Arial"/>
          <w:sz w:val="18"/>
          <w:szCs w:val="18"/>
          <w:color w:val="auto"/>
        </w:rPr>
        <w:t xml:space="preserve">As noted above, the Threshold, Target and Maximum levels of Adjusted EBITDA for purposes of the 2018 Annual Cash Incentive Plan were re-set following the closing of the Transaction based upon the Company’s actual Adjusted EBITDA for the first half of 2018, during which it operated as a university, and the Company’s estimated Adjusted EBITDA for the second half of 2018, during which it operated as a service provider. The Company’s Adjusted EBITDA as reported </w:t>
      </w:r>
      <w:r>
        <w:rPr>
          <w:rFonts w:ascii="Arial" w:cs="Arial" w:eastAsia="Arial" w:hAnsi="Arial"/>
          <w:sz w:val="18"/>
          <w:szCs w:val="18"/>
          <w:i w:val="1"/>
          <w:iCs w:val="1"/>
          <w:color w:val="auto"/>
        </w:rPr>
        <w:t xml:space="preserve">in Item 6. Selected Consolidated Financial and Other Data </w:t>
      </w:r>
      <w:r>
        <w:rPr>
          <w:rFonts w:ascii="Arial" w:cs="Arial" w:eastAsia="Arial" w:hAnsi="Arial"/>
          <w:sz w:val="18"/>
          <w:szCs w:val="18"/>
          <w:color w:val="auto"/>
        </w:rPr>
        <w:t>in the Company’s Annual Report on Form 10-K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2018 is presented, for purposes of providing comparability between 2018 and prior periods, with additional adjustments to reflect results as if the Company had operated as a service provider for the entire year. However, the Compensation Committee, for purposes of assessing performance for 2018 only, did not utilize that formulation.</w:t>
      </w:r>
    </w:p>
    <w:p>
      <w:pPr>
        <w:spacing w:after="0" w:line="197"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i w:val="1"/>
          <w:iCs w:val="1"/>
          <w:color w:val="auto"/>
        </w:rPr>
        <w:t>Actual performance vs. compensation paid for 2018</w:t>
      </w:r>
      <w:r>
        <w:rPr>
          <w:rFonts w:ascii="Arial" w:cs="Arial" w:eastAsia="Arial" w:hAnsi="Arial"/>
          <w:sz w:val="17"/>
          <w:szCs w:val="17"/>
          <w:color w:val="auto"/>
        </w:rPr>
        <w:t>. For 2018, the Company achieved revenue of $845.5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which is equal to 101.2% of the revenue target, and Adjusted EBITDA of $333.7 million, which is equal to 106.1% of the Adjusted EBITDA target, resulting in performance payout percentages equal to 115.0% for the revenue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component of the incentive bonus and 150.0% for the Adjusted EBITDA component of the incentive target bonus.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named executive officers achieved incentive bonuses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3"/>
              </w:rPr>
              <w:t>Adjusted</w:t>
            </w:r>
          </w:p>
        </w:tc>
        <w:tc>
          <w:tcPr>
            <w:tcW w:w="116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89"/>
              </w:rPr>
              <w:t>2018 Bonus as</w:t>
            </w:r>
          </w:p>
        </w:tc>
        <w:tc>
          <w:tcPr>
            <w:tcW w:w="1240" w:type="dxa"/>
            <w:vAlign w:val="bottom"/>
            <w:gridSpan w:val="3"/>
          </w:tcPr>
          <w:p>
            <w:pPr>
              <w:jc w:val="center"/>
              <w:ind w:right="305"/>
              <w:spacing w:after="0"/>
              <w:rPr>
                <w:sz w:val="20"/>
                <w:szCs w:val="20"/>
                <w:color w:val="auto"/>
              </w:rPr>
            </w:pPr>
            <w:r>
              <w:rPr>
                <w:rFonts w:ascii="Arial" w:cs="Arial" w:eastAsia="Arial" w:hAnsi="Arial"/>
                <w:sz w:val="14"/>
                <w:szCs w:val="14"/>
                <w:b w:val="1"/>
                <w:bCs w:val="1"/>
                <w:color w:val="auto"/>
                <w:w w:val="89"/>
              </w:rPr>
              <w:t>2018 Bonus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2"/>
              </w:rPr>
              <w:t>Revenue</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3"/>
          </w:tcPr>
          <w:p>
            <w:pPr>
              <w:jc w:val="center"/>
              <w:ind w:right="325"/>
              <w:spacing w:after="0" w:line="149" w:lineRule="exact"/>
              <w:rPr>
                <w:sz w:val="20"/>
                <w:szCs w:val="20"/>
                <w:color w:val="auto"/>
              </w:rPr>
            </w:pPr>
            <w:r>
              <w:rPr>
                <w:rFonts w:ascii="Arial" w:cs="Arial" w:eastAsia="Arial" w:hAnsi="Arial"/>
                <w:sz w:val="14"/>
                <w:szCs w:val="14"/>
                <w:b w:val="1"/>
                <w:bCs w:val="1"/>
                <w:color w:val="auto"/>
                <w:w w:val="76"/>
              </w:rPr>
              <w:t>as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EBITDA</w:t>
            </w: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240" w:type="dxa"/>
            <w:vAlign w:val="bottom"/>
            <w:gridSpan w:val="3"/>
          </w:tcPr>
          <w:p>
            <w:pPr>
              <w:jc w:val="center"/>
              <w:ind w:right="325"/>
              <w:spacing w:after="0" w:line="149" w:lineRule="exact"/>
              <w:rPr>
                <w:sz w:val="20"/>
                <w:szCs w:val="20"/>
                <w:color w:val="auto"/>
              </w:rPr>
            </w:pPr>
            <w:r>
              <w:rPr>
                <w:rFonts w:ascii="Arial" w:cs="Arial" w:eastAsia="Arial" w:hAnsi="Arial"/>
                <w:sz w:val="14"/>
                <w:szCs w:val="14"/>
                <w:b w:val="1"/>
                <w:bCs w:val="1"/>
                <w:color w:val="auto"/>
                <w:w w:val="90"/>
              </w:rPr>
              <w:t>Percentage</w:t>
            </w: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6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240" w:type="dxa"/>
            <w:vAlign w:val="bottom"/>
            <w:gridSpan w:val="3"/>
          </w:tcPr>
          <w:p>
            <w:pPr>
              <w:jc w:val="center"/>
              <w:ind w:right="325"/>
              <w:spacing w:after="0" w:line="149" w:lineRule="exact"/>
              <w:rPr>
                <w:sz w:val="20"/>
                <w:szCs w:val="20"/>
                <w:color w:val="auto"/>
              </w:rPr>
            </w:pPr>
            <w:r>
              <w:rPr>
                <w:rFonts w:ascii="Arial" w:cs="Arial" w:eastAsia="Arial" w:hAnsi="Arial"/>
                <w:sz w:val="14"/>
                <w:szCs w:val="14"/>
                <w:b w:val="1"/>
                <w:bCs w:val="1"/>
                <w:color w:val="auto"/>
                <w:w w:val="86"/>
              </w:rPr>
              <w:t>of Base</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114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6"/>
              </w:rPr>
              <w:t>Payout (%)</w:t>
            </w:r>
          </w:p>
        </w:tc>
        <w:tc>
          <w:tcPr>
            <w:tcW w:w="11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6"/>
              </w:rPr>
              <w:t>Payout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40" w:type="dxa"/>
            <w:vAlign w:val="bottom"/>
            <w:gridSpan w:val="3"/>
          </w:tcPr>
          <w:p>
            <w:pPr>
              <w:jc w:val="center"/>
              <w:ind w:right="325"/>
              <w:spacing w:after="0"/>
              <w:rPr>
                <w:sz w:val="20"/>
                <w:szCs w:val="20"/>
                <w:color w:val="auto"/>
              </w:rPr>
            </w:pPr>
            <w:r>
              <w:rPr>
                <w:rFonts w:ascii="Arial" w:cs="Arial" w:eastAsia="Arial" w:hAnsi="Arial"/>
                <w:sz w:val="14"/>
                <w:szCs w:val="14"/>
                <w:b w:val="1"/>
                <w:bCs w:val="1"/>
                <w:color w:val="auto"/>
                <w:w w:val="94"/>
              </w:rPr>
              <w:t>Salary($)</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Bonus ($)</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2"/>
              </w:rPr>
              <w:t>637,988</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115.0 %</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132.5 %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99.4 % $</w:t>
            </w:r>
          </w:p>
        </w:tc>
        <w:tc>
          <w:tcPr>
            <w:tcW w:w="820" w:type="dxa"/>
            <w:vAlign w:val="bottom"/>
          </w:tcPr>
          <w:p>
            <w:pPr>
              <w:ind w:left="200"/>
              <w:spacing w:after="0"/>
              <w:rPr>
                <w:sz w:val="20"/>
                <w:szCs w:val="20"/>
                <w:color w:val="auto"/>
              </w:rPr>
            </w:pPr>
            <w:r>
              <w:rPr>
                <w:rFonts w:ascii="Arial" w:cs="Arial" w:eastAsia="Arial" w:hAnsi="Arial"/>
                <w:sz w:val="18"/>
                <w:szCs w:val="18"/>
                <w:color w:val="auto"/>
                <w:w w:val="92"/>
              </w:rPr>
              <w:t>387,563</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115.0 %</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150.0 %</w:t>
            </w:r>
          </w:p>
        </w:tc>
        <w:tc>
          <w:tcPr>
            <w:tcW w:w="1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132.5 %</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99.4 % $</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387,563</w:t>
            </w:r>
          </w:p>
        </w:tc>
        <w:tc>
          <w:tcPr>
            <w:tcW w:w="0" w:type="dxa"/>
            <w:vAlign w:val="bottom"/>
          </w:tcPr>
          <w:p>
            <w:pPr>
              <w:spacing w:after="0"/>
              <w:rPr>
                <w:sz w:val="1"/>
                <w:szCs w:val="1"/>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115.0 %</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150.0 %</w:t>
            </w: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132.5 %</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66.3 % $</w:t>
            </w:r>
          </w:p>
        </w:tc>
        <w:tc>
          <w:tcPr>
            <w:tcW w:w="820" w:type="dxa"/>
            <w:vAlign w:val="bottom"/>
          </w:tcPr>
          <w:p>
            <w:pPr>
              <w:ind w:left="200"/>
              <w:spacing w:after="0"/>
              <w:rPr>
                <w:sz w:val="20"/>
                <w:szCs w:val="20"/>
                <w:color w:val="auto"/>
              </w:rPr>
            </w:pPr>
            <w:r>
              <w:rPr>
                <w:rFonts w:ascii="Arial" w:cs="Arial" w:eastAsia="Arial" w:hAnsi="Arial"/>
                <w:sz w:val="18"/>
                <w:szCs w:val="18"/>
                <w:color w:val="auto"/>
                <w:w w:val="92"/>
              </w:rPr>
              <w:t>225,250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2018, Ms. Marsh participated in the Senior Management Plan for the first half of the year and the Executive Plan for the second half of the year. Accordingly, she received a total bonus, as reflected in the Summary Compensation Table, that is comprised of a bonus for each half of 2018 determined on the basis of the achievement of the revenue, Adjusted EBITDA and individual performance targets established for each such period under each of the different plans.</w:t>
      </w:r>
    </w:p>
    <w:p>
      <w:pPr>
        <w:spacing w:after="0" w:line="15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Mr. Roberts resigned as an employee of GCE on July 1, 2018 to become the Chief Administrative Officer and General Counsel for GCU. Upon his resignation, and based on the Company’s revenue and Adjusted EBITDA for the first six months of 2018 (prior to the Transaction), the Compensation Committee elected to award Mr. Roberts a pro-rated bonus of $105,054.</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i w:val="1"/>
          <w:iCs w:val="1"/>
          <w:color w:val="auto"/>
        </w:rPr>
        <w:t>2018 individual goals</w:t>
      </w:r>
      <w:r>
        <w:rPr>
          <w:rFonts w:ascii="Arial" w:cs="Arial" w:eastAsia="Arial" w:hAnsi="Arial"/>
          <w:sz w:val="16"/>
          <w:szCs w:val="16"/>
          <w:color w:val="auto"/>
        </w:rPr>
        <w:t>. The individual performance goals applicable to the named executive officers in 2018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each executive’s achievement of one or more objectives that related to their specific duties and responsibilities on behalf of the Company. These individual goals, some of which related to periods prior to the Transaction, included:</w:t>
      </w:r>
    </w:p>
    <w:p>
      <w:pPr>
        <w:spacing w:after="0" w:line="147" w:lineRule="exact"/>
        <w:rPr>
          <w:sz w:val="20"/>
          <w:szCs w:val="20"/>
          <w:color w:val="auto"/>
        </w:rPr>
      </w:pPr>
    </w:p>
    <w:p>
      <w:pPr>
        <w:ind w:left="1300" w:right="460" w:hanging="32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Dr. Meyer, Mr. Bachus, Mr. Mildenhall, and Mr. Roberts, collectively: to manage their individual departments within budget.</w:t>
      </w:r>
    </w:p>
    <w:p>
      <w:pPr>
        <w:spacing w:after="0" w:line="170" w:lineRule="exact"/>
        <w:rPr>
          <w:rFonts w:ascii="Arial" w:cs="Arial" w:eastAsia="Arial" w:hAnsi="Arial"/>
          <w:sz w:val="18"/>
          <w:szCs w:val="18"/>
          <w:color w:val="auto"/>
        </w:rPr>
      </w:pPr>
    </w:p>
    <w:p>
      <w:pPr>
        <w:ind w:left="1300" w:right="120" w:hanging="325"/>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Mr. Mueller, Dr. Meyer and Mr. Bachus, collectively: to work on initiatives to increase the percentage of students studying in high retention rate programs, expand public good projects in our surrounding neighborhoods, develop campus infrastructure, and participate in a specified number of investor conferences and/or investor meetings.</w:t>
      </w:r>
    </w:p>
    <w:p>
      <w:pPr>
        <w:spacing w:after="0" w:line="186"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Mr. Mueller: to develop economic drivers to enhance the surrounding community and serve the public good.</w:t>
      </w:r>
    </w:p>
    <w:p>
      <w:pPr>
        <w:spacing w:after="0" w:line="170" w:lineRule="exact"/>
        <w:rPr>
          <w:rFonts w:ascii="Arial" w:cs="Arial" w:eastAsia="Arial" w:hAnsi="Arial"/>
          <w:sz w:val="18"/>
          <w:szCs w:val="18"/>
          <w:color w:val="auto"/>
        </w:rPr>
      </w:pPr>
    </w:p>
    <w:p>
      <w:pPr>
        <w:ind w:left="1300" w:right="240" w:hanging="32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Dr. Meyer: to demonstrate leadership over key functional areas such as marketing, online operations and campus operations.</w:t>
      </w:r>
    </w:p>
    <w:p>
      <w:pPr>
        <w:spacing w:after="0" w:line="170" w:lineRule="exact"/>
        <w:rPr>
          <w:rFonts w:ascii="Arial" w:cs="Arial" w:eastAsia="Arial" w:hAnsi="Arial"/>
          <w:sz w:val="18"/>
          <w:szCs w:val="18"/>
          <w:color w:val="auto"/>
        </w:rPr>
      </w:pPr>
    </w:p>
    <w:p>
      <w:pPr>
        <w:ind w:left="1300" w:right="380" w:hanging="325"/>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Mr. Bachus: to manage the financial and reporting functions to ensure that no material weaknesses occurred within the Company’s financial reporting structure.</w:t>
      </w:r>
    </w:p>
    <w:p>
      <w:pPr>
        <w:spacing w:after="0" w:line="170" w:lineRule="exact"/>
        <w:rPr>
          <w:rFonts w:ascii="Arial" w:cs="Arial" w:eastAsia="Arial" w:hAnsi="Arial"/>
          <w:sz w:val="18"/>
          <w:szCs w:val="18"/>
          <w:color w:val="auto"/>
        </w:rPr>
      </w:pPr>
    </w:p>
    <w:p>
      <w:pPr>
        <w:ind w:left="1300" w:right="60" w:hanging="325"/>
        <w:spacing w:after="0" w:line="259"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Mr. Mildenhall: to improve and build additional software engineering capabilities to address key needs in student scheduling, demonstrate improvement in application availability, manage the learning management system and oversee the relationship with CampusVue and LoudCloud to ensure continued improvements are made to the product to eliminate manual processes.</w:t>
      </w:r>
    </w:p>
    <w:p>
      <w:pPr>
        <w:spacing w:after="0" w:line="186" w:lineRule="exact"/>
        <w:rPr>
          <w:rFonts w:ascii="Arial" w:cs="Arial" w:eastAsia="Arial" w:hAnsi="Arial"/>
          <w:sz w:val="18"/>
          <w:szCs w:val="18"/>
          <w:color w:val="auto"/>
        </w:rPr>
      </w:pPr>
    </w:p>
    <w:p>
      <w:pPr>
        <w:jc w:val="both"/>
        <w:ind w:left="1300" w:right="320" w:hanging="325"/>
        <w:spacing w:after="0" w:line="264"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Ms. Marsh: to manage reporting for our university partners’ accreditation and related agencies and transition reporting to a service provider and to manage process improvements and oversight of growth projections for facilities on GCU’s campus.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40" w:hanging="325"/>
        <w:spacing w:after="0" w:line="286"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For Mr. Roberts: to oversee compliance with regulatory and Securities and Exchange Commission rules and regulations and timely resolution to litigation matters and to demonstrate leadership over key functional areas such as legal, real estate and government relations.</w:t>
      </w:r>
    </w:p>
    <w:p>
      <w:pPr>
        <w:spacing w:after="0" w:line="166"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Based on each individual named executive officer’s achievement or substantial achievement of their individual performance goals, and in light of the superior financial performance achieved by the Company in 2018,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Prior to June 2017, the Company made grants of restricted stock and stock options under its 2008 Plan. On January 26, 2017, the Board of Directors of the Company adopted the 2017 Plan, and at the Company’s annual meeting of stockholders held on June 14, 2017, the Company’s stockholders adopted the 2017 Plan under which a maximum of 3,000,000 shares may be granted. As of December 31, 2018 there were 1,909,983 shares available for grant under the 2017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 Grant Policy</w:t>
      </w:r>
    </w:p>
    <w:p>
      <w:pPr>
        <w:spacing w:after="0" w:line="22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Our Board of Directors has approved a policy relating to the granting of stock options and other equity-based awards, which policy will apply to grants made under the 2017 Plan, if approved. Under this policy:</w:t>
      </w:r>
    </w:p>
    <w:p>
      <w:pPr>
        <w:spacing w:after="0" w:line="147" w:lineRule="exact"/>
        <w:rPr>
          <w:sz w:val="20"/>
          <w:szCs w:val="20"/>
          <w:color w:val="auto"/>
        </w:rPr>
      </w:pPr>
    </w:p>
    <w:p>
      <w:pPr>
        <w:ind w:left="1300" w:right="40" w:hanging="325"/>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awards, must be approved by the Compensation Committee;</w:t>
      </w:r>
    </w:p>
    <w:p>
      <w:pPr>
        <w:spacing w:after="0" w:line="170" w:lineRule="exact"/>
        <w:rPr>
          <w:rFonts w:ascii="Arial" w:cs="Arial" w:eastAsia="Arial" w:hAnsi="Arial"/>
          <w:sz w:val="18"/>
          <w:szCs w:val="18"/>
          <w:color w:val="auto"/>
        </w:rPr>
      </w:pPr>
    </w:p>
    <w:p>
      <w:pPr>
        <w:ind w:left="1300" w:right="40" w:hanging="325"/>
        <w:spacing w:after="0" w:line="25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186" w:lineRule="exact"/>
        <w:rPr>
          <w:rFonts w:ascii="Arial" w:cs="Arial" w:eastAsia="Arial" w:hAnsi="Arial"/>
          <w:sz w:val="18"/>
          <w:szCs w:val="18"/>
          <w:color w:val="auto"/>
        </w:rPr>
      </w:pPr>
    </w:p>
    <w:p>
      <w:pPr>
        <w:jc w:val="both"/>
        <w:ind w:left="1300" w:right="420" w:hanging="325"/>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181" w:lineRule="exact"/>
        <w:rPr>
          <w:rFonts w:ascii="Arial" w:cs="Arial" w:eastAsia="Arial" w:hAnsi="Arial"/>
          <w:sz w:val="18"/>
          <w:szCs w:val="18"/>
          <w:color w:val="auto"/>
        </w:rPr>
      </w:pPr>
    </w:p>
    <w:p>
      <w:pPr>
        <w:ind w:left="1300" w:right="200" w:hanging="325"/>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Compensation Committee will approve stock-based grants only for persons specifically identified at the meeting by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Change in Control Arrangements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named executive officers are eligible for severance payments and benefits in the event of an involuntary termination of employment without “cause” or for “good reason,” as well as certain benefits in connection with a change in control of the Company. Our named executive officers are also eligible for “double trigger” severance payments and benefits in the event of an involuntary termination of employment without “cause” or a termination of employment with “good reason” in connection with a change in control of the Company. Our equity awards are also designed to be “double trigger,” so long as such awards are allowed to continue in effect following any change in control transaction on substantially equivalent terms and conditions to those applicable prior to such transaction. For detailed information on the estimated potential payments and benefits payable to the named executive officers in the event of their termination of employment, including following a change in control of the Company, see the section titled “Potential Payments Upon Termination or Change in Control.”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do not provide our named executive officers with perquisites or other personal benefits, except for company paid life insurance and a 401(k) plan match, both of which are available to employees of the Company generally. The value of these benefits is reported in the Summary Compensation Table. We do not provide tax reimbursements or any other tax payments, including excise tax “gross-ups,” to any of our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Effective January 26, 2017, the Board of Directors adopted an Incentive Compensation Clawback Policy that authorizes the Company to recover incentive compensation previously paid to its Section 16 officers. The policy provides that, in the event of a restatement of the Company’s financial statements for any fiscal year commencing after December 31, 2015 that is due to the misconduct of any employee, the Board or, if so designated by the Board, the Compensation Committee of the Board, is authorized to take action to recoup all or part of any incentive compensation received by a Section 16 officer of the Company. For purposes of this policy, incentive compensation means any cash compensation paid by or any equity compensation awarded by the Company that is based in whole or in part on the achievement of financial results by the Company, including, but not limited to, any bonus or other performance-based cash or equity arrangement or award, but excluding base salary. The policy defines misconduct as the willful commission of an illegal act, fraud, intentional misconduct or gross recklessness in the performance of a Section 16 officer’s duties and responsibilities, as determined by the Board in its sole discretion. In determining whether to take action to recoup any incentive compensation received by a Section 16 officer of the Company, the Board or, if so designated, the Compensation Committee of the Board, will take into consideration whether the Section 16 officer engaged in the misconduct or was in a position, including in a supervisory role, to have been able to have reasonably prevented the misconduct that caused the restatement.</w:t>
      </w:r>
    </w:p>
    <w:p>
      <w:pPr>
        <w:spacing w:after="0" w:line="17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directed by the Dodd-Frank Act, the SEC has issued proposed rules which, if adopted in final form, would require issuers to seek recovery from executive officers in certain circumstances involving financial restatements. As of the date of this Proxy Statement, the SEC has not issued final rules implementing this portion of the Dodd-Frank Act. Once the SEC issues final rules regarding the required form of a clawback policy under the Dodd-Frank Act, we expect to amend our Incentive Compensation Clawback Policy accordingly.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The Compensation Committee did not utilize Mercer’s services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Prior to January 1, 2018, Section 162(m) of the Internal Revenue Code (“Section 162(m)”) generally placed a limit of $1.0 million on the amount of compensation that we may deduct in any calendar year with respect to our Chief Executive Officer and each of our three most highly paid executive officers (excluding our Chief Financial Officer). However, an exception to the $1.0 million limitation was provided for commission-based and performance-based compensation meeting certain requirements. Pursuant to the Tax Cuts and Jobs Act of 2017, which was signed into law on December 22, 2017 (the “Tax Act”), for taxable years beginning after December 31, 2017, the remuneration of a publicly-traded corporation’s chief financial officer is also subject to the deduction limit. In addition, subject to certain transition rules (which apply to remuneration provided pursuant to written binding contracts which were in effect on November 2, 2017 and which are not subsequently modified in any material respect), for taxable years beginning after December 31, 2017, the exemptions from the deduction limit for commission-based and performance-based compensation are no longer available. Consequently, for fiscal years beginning after December 31, 2017, all remuneration in excess of $1.0 million paid to a specified executive generally will not be deductible. Our Compensation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86" w:lineRule="auto"/>
        <w:rPr>
          <w:sz w:val="20"/>
          <w:szCs w:val="20"/>
          <w:color w:val="auto"/>
        </w:rPr>
      </w:pPr>
      <w:r>
        <w:rPr>
          <w:rFonts w:ascii="Arial" w:cs="Arial" w:eastAsia="Arial" w:hAnsi="Arial"/>
          <w:sz w:val="17"/>
          <w:szCs w:val="17"/>
          <w:color w:val="auto"/>
        </w:rPr>
        <w:t>Committee reserves the discretion, in its judgment, to approve compensation payments that may not be deductible as a result of the deduction limit of Section 162(m) when it believes that such payments are appropriate to attract and retain executive talent and are in the best interests of the Company and our stockholders.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Internal Revenue Code Section 409A</w:t>
      </w:r>
    </w:p>
    <w:p>
      <w:pPr>
        <w:spacing w:after="0" w:line="225" w:lineRule="exact"/>
        <w:rPr>
          <w:sz w:val="20"/>
          <w:szCs w:val="20"/>
          <w:color w:val="auto"/>
        </w:rPr>
      </w:pPr>
    </w:p>
    <w:p>
      <w:pPr>
        <w:ind w:right="19" w:firstLine="648"/>
        <w:spacing w:after="0" w:line="289"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Standards</w:t>
      </w:r>
    </w:p>
    <w:p>
      <w:pPr>
        <w:spacing w:after="0" w:line="225" w:lineRule="exact"/>
        <w:rPr>
          <w:sz w:val="20"/>
          <w:szCs w:val="20"/>
          <w:color w:val="auto"/>
        </w:rPr>
      </w:pPr>
    </w:p>
    <w:p>
      <w:pPr>
        <w:ind w:right="119" w:firstLine="648"/>
        <w:spacing w:after="0" w:line="257" w:lineRule="auto"/>
        <w:rPr>
          <w:sz w:val="20"/>
          <w:szCs w:val="20"/>
          <w:color w:val="auto"/>
        </w:rPr>
      </w:pPr>
      <w:r>
        <w:rPr>
          <w:rFonts w:ascii="Arial" w:cs="Arial" w:eastAsia="Arial" w:hAnsi="Arial"/>
          <w:sz w:val="18"/>
          <w:szCs w:val="18"/>
          <w:color w:val="auto"/>
        </w:rPr>
        <w:t>Grants of equity awards under our equity plan are recognized as compensation expense for the fair value of equity-based compensation awards. The Compensation Committee considers the accounting implications of significant compensation decisions, including in connection with decisions that relate to our equity award programs. As accounting standards change, we may revise certain programs to appropriately align accounting expenses of our equity awards with our overall executive compensation philosophy and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225" w:lineRule="exact"/>
        <w:rPr>
          <w:sz w:val="20"/>
          <w:szCs w:val="20"/>
          <w:color w:val="auto"/>
        </w:rPr>
      </w:pPr>
    </w:p>
    <w:p>
      <w:pPr>
        <w:ind w:right="459" w:firstLine="648"/>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2018 were reasonable and appropriate and in our best interests.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225" w:lineRule="exact"/>
        <w:rPr>
          <w:sz w:val="20"/>
          <w:szCs w:val="20"/>
          <w:color w:val="auto"/>
        </w:rPr>
      </w:pPr>
    </w:p>
    <w:p>
      <w:pPr>
        <w:jc w:val="both"/>
        <w:ind w:right="179" w:firstLine="648"/>
        <w:spacing w:after="0" w:line="264" w:lineRule="auto"/>
        <w:rPr>
          <w:sz w:val="20"/>
          <w:szCs w:val="20"/>
          <w:color w:val="auto"/>
        </w:rPr>
      </w:pPr>
      <w:r>
        <w:rPr>
          <w:rFonts w:ascii="Arial" w:cs="Arial" w:eastAsia="Arial" w:hAnsi="Arial"/>
          <w:sz w:val="18"/>
          <w:szCs w:val="18"/>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181" w:lineRule="exact"/>
        <w:rPr>
          <w:sz w:val="20"/>
          <w:szCs w:val="20"/>
          <w:color w:val="auto"/>
        </w:rPr>
      </w:pPr>
    </w:p>
    <w:p>
      <w:pPr>
        <w:ind w:left="1300" w:right="199" w:hanging="325"/>
        <w:spacing w:after="0" w:line="286"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165" w:lineRule="exact"/>
        <w:rPr>
          <w:rFonts w:ascii="Arial" w:cs="Arial" w:eastAsia="Arial" w:hAnsi="Arial"/>
          <w:sz w:val="17"/>
          <w:szCs w:val="17"/>
          <w:color w:val="auto"/>
        </w:rPr>
      </w:pPr>
    </w:p>
    <w:p>
      <w:pPr>
        <w:ind w:left="1300" w:right="139" w:hanging="325"/>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181" w:lineRule="exact"/>
        <w:rPr>
          <w:rFonts w:ascii="Arial" w:cs="Arial" w:eastAsia="Arial" w:hAnsi="Arial"/>
          <w:sz w:val="18"/>
          <w:szCs w:val="18"/>
          <w:color w:val="auto"/>
        </w:rPr>
      </w:pPr>
    </w:p>
    <w:p>
      <w:pPr>
        <w:ind w:left="1300" w:right="119" w:hanging="325"/>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181" w:lineRule="exact"/>
        <w:rPr>
          <w:rFonts w:ascii="Arial" w:cs="Arial" w:eastAsia="Arial" w:hAnsi="Arial"/>
          <w:sz w:val="18"/>
          <w:szCs w:val="18"/>
          <w:color w:val="auto"/>
        </w:rPr>
      </w:pPr>
    </w:p>
    <w:p>
      <w:pPr>
        <w:ind w:left="1300" w:right="59" w:hanging="325"/>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our equity plan all vest in annual increments over a period of five years, which we believe discourages excessive or inappropriate short-term risk taking.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the total compensation earned for services rendered by our named executive officers for the fiscal year ended December 31, 2018, 2017 and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w w:val="93"/>
              </w:rPr>
              <w:t>Non-Equity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40" w:type="dxa"/>
            <w:vAlign w:val="bottom"/>
            <w:gridSpan w:val="2"/>
          </w:tcPr>
          <w:p>
            <w:pPr>
              <w:jc w:val="center"/>
              <w:ind w:left="73"/>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b w:val="1"/>
                <w:bCs w:val="1"/>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35"/>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b w:val="1"/>
                <w:bCs w:val="1"/>
                <w:color w:val="auto"/>
              </w:rPr>
              <w:t>(2)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4"/>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b w:val="1"/>
                <w:bCs w:val="1"/>
                <w:color w:val="auto"/>
              </w:rPr>
              <w:t>(3)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14"/>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b w:val="1"/>
                <w:bCs w:val="1"/>
                <w:color w:val="auto"/>
              </w:rPr>
              <w:t xml:space="preserve"> (4)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w w:val="97"/>
              </w:rPr>
              <w:t>Chief Executive Officer and Chairman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$ 487,673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1,230,040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2,361,195</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Executive Officer)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$ 642,000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1,249,916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904,434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2,799,914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$ 642,000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1,230,132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784,240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2,659,936</w:t>
            </w: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Dr. W. Stan Meyer</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2018</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$ 390,000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656,328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387,563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1,445,274</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i w:val="1"/>
                <w:iCs w:val="1"/>
                <w:color w:val="auto"/>
              </w:rPr>
              <w:t>Chief Operating Officer</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2017</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$ 390,000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667,090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412,067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8,954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1,478,111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2016</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$ 375,000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656,070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343,563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7,377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1,382,010</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$ 390,000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387,563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1,434,503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$ 390,000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667,090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412,067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1,469,769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Financial Officer)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$ 375,000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656,070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343,563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1,375,218</w:t>
            </w: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Joseph N. Mildenhall</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2018</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$ 340,000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656,328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225,250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4,420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1,225,998</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i w:val="1"/>
                <w:iCs w:val="1"/>
                <w:color w:val="auto"/>
              </w:rPr>
              <w:t>Chief Information Officer</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2017</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$ 340,000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667,090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239,492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1,248,879</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2016</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$ 321,000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656,070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196,060</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1,175,276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Dilek Marsh</w:t>
            </w:r>
          </w:p>
        </w:tc>
        <w:tc>
          <w:tcPr>
            <w:tcW w:w="8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2018</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$ 250,633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270,572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113,718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639,504</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Chief Data Officer</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$ 243,333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273,858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633,659</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940" w:type="dxa"/>
            <w:vAlign w:val="bottom"/>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2"/>
              </w:rPr>
              <w:t>$ 236,246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612,171</w:t>
            </w: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 xml:space="preserve">Brian M. Roberts </w:t>
            </w:r>
            <w:r>
              <w:rPr>
                <w:rFonts w:ascii="Arial" w:cs="Arial" w:eastAsia="Arial" w:hAnsi="Arial"/>
                <w:sz w:val="7"/>
                <w:szCs w:val="7"/>
                <w:b w:val="1"/>
                <w:bCs w:val="1"/>
                <w:color w:val="auto"/>
              </w:rPr>
              <w:t>(5)</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2018</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$ 168,750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656,328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105,054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937,780</w:t>
            </w: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8"/>
                <w:szCs w:val="18"/>
                <w:i w:val="1"/>
                <w:iCs w:val="1"/>
                <w:color w:val="auto"/>
              </w:rPr>
              <w:t>Former General Counsel</w:t>
            </w: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2017</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$ 325,000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667,090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228,926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9,083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1,230,099</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8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2016</w:t>
            </w:r>
          </w:p>
        </w:tc>
        <w:tc>
          <w:tcPr>
            <w:tcW w:w="940" w:type="dxa"/>
            <w:vAlign w:val="bottom"/>
            <w:gridSpan w:val="2"/>
          </w:tcPr>
          <w:p>
            <w:pPr>
              <w:jc w:val="center"/>
              <w:ind w:left="33"/>
              <w:spacing w:after="0"/>
              <w:rPr>
                <w:sz w:val="20"/>
                <w:szCs w:val="20"/>
                <w:color w:val="auto"/>
              </w:rPr>
            </w:pPr>
            <w:r>
              <w:rPr>
                <w:rFonts w:ascii="Arial" w:cs="Arial" w:eastAsia="Arial" w:hAnsi="Arial"/>
                <w:sz w:val="18"/>
                <w:szCs w:val="18"/>
                <w:color w:val="auto"/>
                <w:w w:val="92"/>
              </w:rPr>
              <w:t>$ 275,000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656,070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152,695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1,087,862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320" w:right="300" w:hanging="317"/>
        <w:spacing w:after="0" w:line="264" w:lineRule="auto"/>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reflect the base salary cash payments made in each year. Beginning July 1, 2018, Mr. Mueller’s base salary was decreased by 50% to $321,000, reflecting his dual employment by GCE and our university partner, GCU.</w:t>
      </w:r>
    </w:p>
    <w:p>
      <w:pPr>
        <w:spacing w:after="0" w:line="181" w:lineRule="exact"/>
        <w:rPr>
          <w:rFonts w:ascii="Arial" w:cs="Arial" w:eastAsia="Arial" w:hAnsi="Arial"/>
          <w:sz w:val="18"/>
          <w:szCs w:val="18"/>
          <w:color w:val="auto"/>
        </w:rPr>
      </w:pPr>
    </w:p>
    <w:p>
      <w:pPr>
        <w:ind w:left="320" w:right="160" w:hanging="317"/>
        <w:spacing w:after="0" w:line="219" w:lineRule="exact"/>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amounts shown in this column reflect the compensation costs attributable to the restricted stock awards granted in 2018, 2017 and 2016.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2018, 2017, and 2016 fiscal years are set forth in Notes 3 and 13 to our financial statements for the fiscal year ended December 31, 2018 included in our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2" w:lineRule="exact"/>
        <w:rPr>
          <w:rFonts w:ascii="Arial" w:cs="Arial" w:eastAsia="Arial" w:hAnsi="Arial"/>
          <w:sz w:val="17"/>
          <w:szCs w:val="17"/>
          <w:color w:val="auto"/>
        </w:rPr>
      </w:pPr>
    </w:p>
    <w:p>
      <w:pPr>
        <w:ind w:left="360" w:right="200" w:hanging="357"/>
        <w:spacing w:after="0" w:line="277" w:lineRule="auto"/>
        <w:tabs>
          <w:tab w:leader="none" w:pos="3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 The amount for Mr. Mueller reflects the decrease in his base salary, effective July 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500" w:hanging="317"/>
        <w:spacing w:after="0" w:line="259"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2018, 2017, and 2016, the amounts in this column include company paid life insurance premiums for all named executive officers. For Dr. Meyer, Ms. Marsh and Mr. Roberts, the amounts in this column also reflect matching payments made by the Company under our 401(k) plan. For Mr. Roberts, the amounts in this column also reflect payment in 2017 for curriculum design of a program.</w:t>
      </w:r>
    </w:p>
    <w:p>
      <w:pPr>
        <w:spacing w:after="0" w:line="186" w:lineRule="exact"/>
        <w:rPr>
          <w:rFonts w:ascii="Arial" w:cs="Arial" w:eastAsia="Arial" w:hAnsi="Arial"/>
          <w:sz w:val="18"/>
          <w:szCs w:val="18"/>
          <w:color w:val="auto"/>
        </w:rPr>
      </w:pPr>
    </w:p>
    <w:p>
      <w:pPr>
        <w:ind w:left="320" w:right="320" w:hanging="317"/>
        <w:spacing w:after="0" w:line="277" w:lineRule="auto"/>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Roberts resigned from his position as General Counsel, effective July 1, 2018. Accordingly, the amounts for Mr. Roberts reflect his compensation earned through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Grants of Plan-Based Awards</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2017 equity plan for the fiscal year ended December 31, 2018 to each of our named executive officers: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3"/>
              </w:rPr>
              <w:t>Estimated Future Payouts Under Non-</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4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Equity Incentive Plan Awards</w:t>
            </w:r>
            <w:r>
              <w:rPr>
                <w:rFonts w:ascii="Arial" w:cs="Arial" w:eastAsia="Arial" w:hAnsi="Arial"/>
                <w:sz w:val="14"/>
                <w:szCs w:val="14"/>
                <w:b w:val="1"/>
                <w:bCs w:val="1"/>
                <w:color w:val="auto"/>
                <w:w w:val="92"/>
                <w:vertAlign w:val="superscript"/>
              </w:rPr>
              <w:t>(1)</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Maximum</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vMerge w:val="restart"/>
          </w:tcPr>
          <w:p>
            <w:pPr>
              <w:jc w:val="center"/>
              <w:ind w:right="213"/>
              <w:spacing w:after="0"/>
              <w:rPr>
                <w:sz w:val="20"/>
                <w:szCs w:val="20"/>
                <w:color w:val="auto"/>
              </w:rPr>
            </w:pPr>
            <w:r>
              <w:rPr>
                <w:rFonts w:ascii="Arial" w:cs="Arial" w:eastAsia="Arial" w:hAnsi="Arial"/>
                <w:sz w:val="14"/>
                <w:szCs w:val="14"/>
                <w:b w:val="1"/>
                <w:bCs w:val="1"/>
                <w:color w:val="auto"/>
                <w:w w:val="97"/>
              </w:rPr>
              <w:t>Grant Date</w:t>
            </w:r>
          </w:p>
        </w:tc>
        <w:tc>
          <w:tcPr>
            <w:tcW w:w="18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w w:val="96"/>
              </w:rPr>
              <w:t>Threshold($</w:t>
            </w:r>
            <w:r>
              <w:rPr>
                <w:rFonts w:ascii="Arial" w:cs="Arial" w:eastAsia="Arial" w:hAnsi="Arial"/>
                <w:sz w:val="14"/>
                <w:szCs w:val="14"/>
                <w:b w:val="1"/>
                <w:bCs w:val="1"/>
                <w:color w:val="auto"/>
                <w:w w:val="96"/>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1"/>
        </w:trPr>
        <w:tc>
          <w:tcPr>
            <w:tcW w:w="1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Stock (#)</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Awards(2)</w:t>
            </w:r>
          </w:p>
        </w:tc>
        <w:tc>
          <w:tcPr>
            <w:tcW w:w="0" w:type="dxa"/>
            <w:vAlign w:val="bottom"/>
          </w:tcPr>
          <w:p>
            <w:pPr>
              <w:spacing w:after="0"/>
              <w:rPr>
                <w:sz w:val="1"/>
                <w:szCs w:val="1"/>
                <w:color w:val="auto"/>
              </w:rPr>
            </w:pPr>
          </w:p>
        </w:tc>
      </w:tr>
      <w:tr>
        <w:trPr>
          <w:trHeight w:val="210"/>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642,000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963,000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25, 2018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1,230,040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438,750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25, 2018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438,750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25, 2018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25, 2018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Dilek Marsh</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25, 2018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270,572</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213"/>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243,750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January 25, 2018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656,328</w:t>
            </w:r>
          </w:p>
        </w:tc>
        <w:tc>
          <w:tcPr>
            <w:tcW w:w="0" w:type="dxa"/>
            <w:vAlign w:val="bottom"/>
          </w:tcPr>
          <w:p>
            <w:pPr>
              <w:spacing w:after="0"/>
              <w:rPr>
                <w:sz w:val="1"/>
                <w:szCs w:val="1"/>
                <w:color w:val="auto"/>
              </w:rPr>
            </w:pPr>
          </w:p>
        </w:tc>
      </w:tr>
      <w:tr>
        <w:trPr>
          <w:trHeight w:val="108"/>
        </w:trPr>
        <w:tc>
          <w:tcPr>
            <w:tcW w:w="17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59" w:lineRule="auto"/>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These amounts reflect the Threshold, Target and Maximum bonuses payable to our named executive officers under our Annual Cash Incentive Plan (based on their base salaries as in effect at year end). All such awards have been paid, and the actual amounts paid are set forth in the Summary Compensation Table above. The actual amount paid to Mr. Mueller reflects the reduction in his base salary, effective July 1, 2018.</w:t>
      </w:r>
    </w:p>
    <w:p>
      <w:pPr>
        <w:spacing w:after="0" w:line="186" w:lineRule="exact"/>
        <w:rPr>
          <w:rFonts w:ascii="Arial" w:cs="Arial" w:eastAsia="Arial" w:hAnsi="Arial"/>
          <w:sz w:val="18"/>
          <w:szCs w:val="18"/>
          <w:color w:val="auto"/>
        </w:rPr>
      </w:pPr>
    </w:p>
    <w:p>
      <w:pPr>
        <w:ind w:left="320" w:right="60" w:hanging="317"/>
        <w:spacing w:after="0" w:line="219" w:lineRule="exact"/>
        <w:tabs>
          <w:tab w:leader="none" w:pos="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shown in this column reflect the compensation costs attributable to the restricted stock awards granted in 2018.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2018 are set forth in Notes 3 and 13 to our financial statements for the fiscal year ended December 31, 2018 included in our 2018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Outstanding Equity Awards at Fiscal Year-End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4"/>
                <w:szCs w:val="14"/>
                <w:b w:val="1"/>
                <w:bCs w:val="1"/>
                <w:color w:val="auto"/>
                <w:vertAlign w:val="superscript"/>
              </w:rPr>
              <w:t>(1)</w:t>
            </w:r>
          </w:p>
        </w:tc>
        <w:tc>
          <w:tcPr>
            <w:tcW w:w="1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Securities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 Expiration</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 (#)</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1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5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760" w:type="dxa"/>
            <w:vAlign w:val="bottom"/>
            <w:gridSpan w:val="3"/>
            <w:vMerge w:val="continue"/>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Exercisable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Arial" w:cs="Arial" w:eastAsia="Arial" w:hAnsi="Arial"/>
                <w:sz w:val="14"/>
                <w:szCs w:val="14"/>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 xml:space="preserve">Vested </w:t>
            </w:r>
            <w:r>
              <w:rPr>
                <w:rFonts w:ascii="Arial" w:cs="Arial" w:eastAsia="Arial" w:hAnsi="Arial"/>
                <w:sz w:val="14"/>
                <w:szCs w:val="14"/>
                <w:b w:val="1"/>
                <w:bCs w:val="1"/>
                <w:color w:val="auto"/>
                <w:w w:val="84"/>
                <w:vertAlign w:val="superscript"/>
              </w:rPr>
              <w:t>(2)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64,872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6,236,794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3,327,021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3,327,021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3,327,021</w:t>
            </w:r>
          </w:p>
        </w:tc>
        <w:tc>
          <w:tcPr>
            <w:tcW w:w="0" w:type="dxa"/>
            <w:vAlign w:val="bottom"/>
          </w:tcPr>
          <w:p>
            <w:pPr>
              <w:spacing w:after="0"/>
              <w:rPr>
                <w:sz w:val="1"/>
                <w:szCs w:val="1"/>
                <w:color w:val="auto"/>
              </w:rPr>
            </w:pPr>
          </w:p>
        </w:tc>
      </w:tr>
      <w:tr>
        <w:trPr>
          <w:trHeight w:val="216"/>
        </w:trPr>
        <w:tc>
          <w:tcPr>
            <w:tcW w:w="2760" w:type="dxa"/>
            <w:vAlign w:val="bottom"/>
            <w:gridSpan w:val="3"/>
          </w:tcPr>
          <w:p>
            <w:pPr>
              <w:spacing w:after="0"/>
              <w:rPr>
                <w:sz w:val="20"/>
                <w:szCs w:val="20"/>
                <w:color w:val="auto"/>
              </w:rPr>
            </w:pPr>
            <w:r>
              <w:rPr>
                <w:rFonts w:ascii="Arial" w:cs="Arial" w:eastAsia="Arial" w:hAnsi="Arial"/>
                <w:sz w:val="18"/>
                <w:szCs w:val="18"/>
                <w:color w:val="auto"/>
              </w:rPr>
              <w:t>Dilek Marsh</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1,371,822</w:t>
            </w:r>
          </w:p>
        </w:tc>
        <w:tc>
          <w:tcPr>
            <w:tcW w:w="0" w:type="dxa"/>
            <w:vAlign w:val="bottom"/>
          </w:tcPr>
          <w:p>
            <w:pPr>
              <w:spacing w:after="0"/>
              <w:rPr>
                <w:sz w:val="1"/>
                <w:szCs w:val="1"/>
                <w:color w:val="auto"/>
              </w:rPr>
            </w:pPr>
          </w:p>
        </w:tc>
      </w:tr>
      <w:tr>
        <w:trPr>
          <w:trHeight w:val="216"/>
        </w:trPr>
        <w:tc>
          <w:tcPr>
            <w:tcW w:w="2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360" w:hanging="317"/>
        <w:spacing w:after="0" w:line="286" w:lineRule="auto"/>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shares covered by the options granted to Mr. Mueller, Dr. Meyer, Mr. Bachus, and Mr. Mildenhall vested in five successive equal annual installments upon the completion of each year of service with us over the five year period measured from the respective date of grant. All such options are fully vested and exercisable.</w:t>
      </w:r>
    </w:p>
    <w:p>
      <w:pPr>
        <w:spacing w:after="0" w:line="165" w:lineRule="exact"/>
        <w:rPr>
          <w:rFonts w:ascii="Arial" w:cs="Arial" w:eastAsia="Arial" w:hAnsi="Arial"/>
          <w:sz w:val="17"/>
          <w:szCs w:val="17"/>
          <w:color w:val="auto"/>
        </w:rPr>
      </w:pPr>
    </w:p>
    <w:p>
      <w:pPr>
        <w:ind w:left="320" w:right="80" w:hanging="317"/>
        <w:spacing w:after="0" w:line="290"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restricted stock awards granted to Mr. Mueller, Dr. Meyer, Mr. Bachus, Mr. Mildenhall, and Ms. Marsh vest in five successive equal annual installments upon the completion of each year of service with us over the five year period measured from the respective date of grant, subject to fully accelerated vesting in the event of a termination of employment without Cause or by the executive for Good Reason (each as defined and discussed below) within twelve (12) months following a change in control of the Company. Mr. Roberts shares that had not vested were forfeited upon his resignation on July 1, 2018. Mr. Mueller, Dr. Meyer, Mr. Bachus, Mr. Mildenhall and Ms. Marsh also receive partial accelerated vesting through the next vesting date immediately following the date of termination, upon the termination of employment by us without Cause or by the executive for Good Reason (as further discussed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Option Exercises and Stock Vested</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6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Option Awards</w:t>
            </w:r>
          </w:p>
        </w:tc>
        <w:tc>
          <w:tcPr>
            <w:tcW w:w="30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Restricted Stock Awards</w:t>
            </w:r>
          </w:p>
        </w:tc>
        <w:tc>
          <w:tcPr>
            <w:tcW w:w="0" w:type="dxa"/>
            <w:vAlign w:val="bottom"/>
          </w:tcPr>
          <w:p>
            <w:pPr>
              <w:spacing w:after="0"/>
              <w:rPr>
                <w:sz w:val="1"/>
                <w:szCs w:val="1"/>
                <w:color w:val="auto"/>
              </w:rPr>
            </w:pPr>
          </w:p>
        </w:tc>
      </w:tr>
      <w:tr>
        <w:trPr>
          <w:trHeight w:val="119"/>
        </w:trPr>
        <w:tc>
          <w:tcPr>
            <w:tcW w:w="2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60" w:type="dxa"/>
            <w:vAlign w:val="bottom"/>
          </w:tcPr>
          <w:p>
            <w:pPr>
              <w:spacing w:after="0"/>
              <w:rPr>
                <w:sz w:val="10"/>
                <w:szCs w:val="10"/>
                <w:color w:val="auto"/>
              </w:rPr>
            </w:pPr>
          </w:p>
        </w:tc>
        <w:tc>
          <w:tcPr>
            <w:tcW w:w="13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Value Realized</w:t>
            </w:r>
          </w:p>
        </w:tc>
        <w:tc>
          <w:tcPr>
            <w:tcW w:w="152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Number of Shares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71"/>
        </w:trPr>
        <w:tc>
          <w:tcPr>
            <w:tcW w:w="2780" w:type="dxa"/>
            <w:vAlign w:val="bottom"/>
            <w:gridSpan w:val="3"/>
            <w:vMerge w:val="continue"/>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Acquired on Exercise (#)</w:t>
            </w: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on Exercise ($)</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w w:val="92"/>
              </w:rPr>
              <w:t>Acquired on Vesting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on Vesting ($)</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Brian E. Mueller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5,885,763</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3,525,222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2,942,687</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1,880,248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2,942,825</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1,880,248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Joseph N. Mildenhall</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1,880,248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Ms. Dilek Marsh</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778,688</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Mr. Brian M. Roberts (1)</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4,594,576</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60" w:hanging="317"/>
        <w:spacing w:after="0" w:line="277" w:lineRule="auto"/>
        <w:tabs>
          <w:tab w:leader="none" w:pos="3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Upon Mr. Roberts’ resignation, effective July 1, 2018, the Compensation Committee elected to accelerate the vesting of 27,098 shares of common stock. All remaining unvested shares were forfeited.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Ratio Disclosure</w:t>
      </w:r>
    </w:p>
    <w:p>
      <w:pPr>
        <w:spacing w:after="0" w:line="225"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Under Section 953(b) of the Dodd-Frank Wall Street Reform and Consumer Protection Act and Item 402(u) of Regulation S-K, we are required to provide the ratio of the annual total compensation of Mr. Mueller, our Chief Executive Officer, to the annual total compensation of the median employee of the Company (the “Pay Ratio Disclosure”).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2018, our last completed fiscal year:</w:t>
      </w:r>
    </w:p>
    <w:p>
      <w:pPr>
        <w:spacing w:after="0" w:line="225" w:lineRule="exact"/>
        <w:rPr>
          <w:sz w:val="20"/>
          <w:szCs w:val="20"/>
          <w:color w:val="auto"/>
        </w:rPr>
      </w:pPr>
    </w:p>
    <w:p>
      <w:pPr>
        <w:ind w:left="1300" w:right="60" w:hanging="325"/>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median annual total compensation of all of our employees (other than the Chief Executive Officer) was $51,850; and</w:t>
      </w:r>
    </w:p>
    <w:p>
      <w:pPr>
        <w:spacing w:after="0" w:line="170"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total compensation of Mr. Mueller, as reported above in the Summary Compensation Table, was $2,361,195.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117475</wp:posOffset>
            </wp:positionV>
            <wp:extent cx="4596765" cy="43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96765" cy="437515"/>
                    </a:xfrm>
                    <a:prstGeom prst="rect">
                      <a:avLst/>
                    </a:prstGeom>
                    <a:noFill/>
                  </pic:spPr>
                </pic:pic>
              </a:graphicData>
            </a:graphic>
          </wp:anchor>
        </w:drawing>
      </w:r>
    </w:p>
    <w:p>
      <w:pPr>
        <w:spacing w:after="0" w:line="177" w:lineRule="exact"/>
        <w:rPr>
          <w:sz w:val="20"/>
          <w:szCs w:val="20"/>
          <w:color w:val="auto"/>
        </w:rPr>
      </w:pPr>
    </w:p>
    <w:p>
      <w:pPr>
        <w:jc w:val="both"/>
        <w:ind w:left="1060" w:right="940"/>
        <w:spacing w:after="0" w:line="264" w:lineRule="auto"/>
        <w:rPr>
          <w:sz w:val="20"/>
          <w:szCs w:val="20"/>
          <w:color w:val="auto"/>
        </w:rPr>
      </w:pPr>
      <w:r>
        <w:rPr>
          <w:rFonts w:ascii="Arial" w:cs="Arial" w:eastAsia="Arial" w:hAnsi="Arial"/>
          <w:sz w:val="18"/>
          <w:szCs w:val="18"/>
          <w:i w:val="1"/>
          <w:iCs w:val="1"/>
          <w:color w:val="auto"/>
        </w:rPr>
        <w:t>Based on this information, for 2018 the ratio of the annual total compensation of Mr. Mueller, our Chief Executive Officer, to the median of the annual total compensation of all employees was 45.5 to 1.</w:t>
      </w:r>
    </w:p>
    <w:p>
      <w:pPr>
        <w:spacing w:after="0" w:line="19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we took the following steps:</w:t>
      </w:r>
    </w:p>
    <w:p>
      <w:pPr>
        <w:spacing w:after="0" w:line="170" w:lineRule="exact"/>
        <w:rPr>
          <w:sz w:val="20"/>
          <w:szCs w:val="20"/>
          <w:color w:val="auto"/>
        </w:rPr>
      </w:pPr>
    </w:p>
    <w:p>
      <w:pPr>
        <w:ind w:left="1300" w:right="40" w:hanging="325"/>
        <w:spacing w:after="0" w:line="297"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We determined that, as of December 31, 2018, our employee population consisted of 3,423 individuals, all of whom were located in the United States and of which 2,797, or 81.7%, were full-time employees, 1,260, or 36.8%, were full-time salaried employees, and 626, or 18.3%, were student employees. We selected December 31, 2018 as the date upon which we would identify the “median employee” because it enabled us to make such identification in a reasonably efficient and economical manner.</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40" w:hanging="325"/>
        <w:spacing w:after="0" w:line="218" w:lineRule="exact"/>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identify the “median employee” from our employee population, we compared the amount of base salary of our employees as reflected in our payroll records and included as part of the total compensation reported to the Internal Revenue Service on Form W</w:t>
      </w:r>
      <w:r>
        <w:rPr>
          <w:rFonts w:ascii="MS PGothic" w:cs="MS PGothic" w:eastAsia="MS PGothic" w:hAnsi="MS PGothic"/>
          <w:sz w:val="16"/>
          <w:szCs w:val="16"/>
          <w:color w:val="auto"/>
        </w:rPr>
        <w:t>‑</w:t>
      </w:r>
      <w:r>
        <w:rPr>
          <w:rFonts w:ascii="Arial" w:cs="Arial" w:eastAsia="Arial" w:hAnsi="Arial"/>
          <w:sz w:val="16"/>
          <w:szCs w:val="16"/>
          <w:color w:val="auto"/>
        </w:rPr>
        <w:t>2 for 2018. In making this determination, we annualized the compensation of approximately 581 full-time employees who were hired after January 1, 2018 but did not work for us for the entire fiscal year. We identified our median employee using this compensation measure, which was consistently applied to all our employees included in the calculation. Since all our employees are located in the United States, as is our Chief Executive Officer, we did not make any cost-of-living adjustments in identifying the “median employee.”</w:t>
      </w:r>
    </w:p>
    <w:p>
      <w:pPr>
        <w:spacing w:after="0" w:line="203" w:lineRule="exact"/>
        <w:rPr>
          <w:rFonts w:ascii="Arial" w:cs="Arial" w:eastAsia="Arial" w:hAnsi="Arial"/>
          <w:sz w:val="16"/>
          <w:szCs w:val="16"/>
          <w:color w:val="auto"/>
        </w:rPr>
      </w:pPr>
    </w:p>
    <w:p>
      <w:pPr>
        <w:ind w:left="1300" w:right="20" w:hanging="325"/>
        <w:spacing w:after="0" w:line="25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Once we identified our median employee, we combined all of the elements of such employee’s compensation for 2018 in accordance with the requirements of Item 402(c)(2)(x) of Regulation S-K, resulting in annual total compensation of $51,850. The difference between such employee’s base salary and the employee’s annual total compensation represents the employee’s overtime pay, annual bonus and company matching contributions on behalf of the employee to our 401(k) employee savings plan. Since we do not maintain a defined benefit or other actuarial plan for our employees, and do not otherwise provide a plan for payments or other benefits at, following, or in connection with retirement, the “median employee’s” annual total compensation did not include amounts attributable to those types of arrangements.</w:t>
      </w:r>
    </w:p>
    <w:p>
      <w:pPr>
        <w:spacing w:after="0" w:line="19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Pay Ratio Disclosure presented above is a reasonable estimate. Because the SEC rules for identifying the median employee and calculating the pay ratio allow companies to use different methodologies, exemptions, estimates, and assumptions, the Pay Ratio Disclosure may not be comparable to the pay ratio reported by other companies. The Pay Ratio Disclosure was updated in 2018 due to the Transaction that occurred on July 1, 2018, resulting in a significant change in our employee demographics.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party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In June 2018, the Compensation Committee approved an amendment to the employment agreements for each of our named executive officers to re-set the term of each employment agreement, such that each agreement has been extended for an additional five years through June 30, 2023. Except with respect to certain items of compensation, as described below, the terms of each agreement are similar in all material respects.</w:t>
      </w:r>
    </w:p>
    <w:p>
      <w:pPr>
        <w:spacing w:after="0" w:line="165" w:lineRule="exact"/>
        <w:rPr>
          <w:sz w:val="20"/>
          <w:szCs w:val="20"/>
          <w:color w:val="auto"/>
        </w:rPr>
      </w:pPr>
    </w:p>
    <w:p>
      <w:pPr>
        <w:ind w:left="1300" w:right="80" w:hanging="325"/>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Ms. Marsh provide for a base salary and a target bonus under our Annual Cash Incentive Plan.</w:t>
      </w:r>
    </w:p>
    <w:p>
      <w:pPr>
        <w:spacing w:after="0" w:line="170" w:lineRule="exact"/>
        <w:rPr>
          <w:rFonts w:ascii="Arial" w:cs="Arial" w:eastAsia="Arial" w:hAnsi="Arial"/>
          <w:sz w:val="18"/>
          <w:szCs w:val="18"/>
          <w:color w:val="auto"/>
        </w:rPr>
      </w:pPr>
    </w:p>
    <w:p>
      <w:pPr>
        <w:ind w:left="1300" w:right="80" w:hanging="325"/>
        <w:spacing w:after="0" w:line="342"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agreement entitles the executive to receive customary and usual fringe benefits generally available to our senior management, and to be reimbursed for reasonable out-of-pocket business expenses.</w:t>
      </w:r>
    </w:p>
    <w:p>
      <w:pPr>
        <w:spacing w:after="0" w:line="123" w:lineRule="exact"/>
        <w:rPr>
          <w:rFonts w:ascii="Arial" w:cs="Arial" w:eastAsia="Arial" w:hAnsi="Arial"/>
          <w:sz w:val="16"/>
          <w:szCs w:val="16"/>
          <w:color w:val="auto"/>
        </w:rPr>
      </w:pPr>
    </w:p>
    <w:p>
      <w:pPr>
        <w:ind w:left="1300" w:right="100" w:hanging="325"/>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unvested restricted stock awards will terminate. For purposes of each of the employment agreements, “Cause” is defined as</w:t>
      </w:r>
    </w:p>
    <w:p>
      <w:pPr>
        <w:spacing w:after="0" w:line="46" w:lineRule="exact"/>
        <w:rPr>
          <w:sz w:val="20"/>
          <w:szCs w:val="20"/>
          <w:color w:val="auto"/>
        </w:rPr>
      </w:pPr>
    </w:p>
    <w:p>
      <w:pPr>
        <w:ind w:right="40" w:firstLine="3"/>
        <w:spacing w:after="0" w:line="286" w:lineRule="auto"/>
        <w:tabs>
          <w:tab w:leader="none" w:pos="2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147" w:lineRule="exact"/>
        <w:rPr>
          <w:sz w:val="20"/>
          <w:szCs w:val="20"/>
          <w:color w:val="auto"/>
        </w:rPr>
      </w:pPr>
    </w:p>
    <w:p>
      <w:pPr>
        <w:ind w:left="1300" w:right="40" w:hanging="325"/>
        <w:spacing w:after="0" w:line="258"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severance payment in an amount equal to the sum of (i) twelve (12) months of the executive’s base salary then in effect on the date of termination date, and (ii) for Mr. Mueller, Dr. Meyer,</w:t>
      </w:r>
    </w:p>
    <w:p>
      <w:pPr>
        <w:spacing w:after="0" w:line="1" w:lineRule="exact"/>
        <w:rPr>
          <w:rFonts w:ascii="Arial" w:cs="Arial" w:eastAsia="Arial" w:hAnsi="Arial"/>
          <w:sz w:val="18"/>
          <w:szCs w:val="18"/>
          <w:color w:val="auto"/>
        </w:rPr>
      </w:pPr>
    </w:p>
    <w:p>
      <w:pPr>
        <w:ind w:left="1300"/>
        <w:spacing w:after="0" w:line="253" w:lineRule="auto"/>
        <w:rPr>
          <w:rFonts w:ascii="Arial" w:cs="Arial" w:eastAsia="Arial" w:hAnsi="Arial"/>
          <w:sz w:val="18"/>
          <w:szCs w:val="18"/>
          <w:color w:val="auto"/>
        </w:rPr>
      </w:pPr>
      <w:r>
        <w:rPr>
          <w:rFonts w:ascii="Arial" w:cs="Arial" w:eastAsia="Arial" w:hAnsi="Arial"/>
          <w:sz w:val="18"/>
          <w:szCs w:val="18"/>
          <w:color w:val="auto"/>
        </w:rPr>
        <w:t>Mr. Bachus, Mr. Mildenhall and Ms. Marsh,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191" w:lineRule="exact"/>
        <w:rPr>
          <w:rFonts w:ascii="Arial" w:cs="Arial" w:eastAsia="Arial" w:hAnsi="Arial"/>
          <w:sz w:val="18"/>
          <w:szCs w:val="18"/>
          <w:color w:val="auto"/>
        </w:rPr>
      </w:pPr>
    </w:p>
    <w:p>
      <w:pPr>
        <w:ind w:left="1300" w:hanging="325"/>
        <w:spacing w:after="0" w:line="25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188" w:lineRule="exact"/>
        <w:rPr>
          <w:rFonts w:ascii="Arial" w:cs="Arial" w:eastAsia="Arial" w:hAnsi="Arial"/>
          <w:sz w:val="18"/>
          <w:szCs w:val="18"/>
          <w:color w:val="auto"/>
        </w:rPr>
      </w:pPr>
    </w:p>
    <w:p>
      <w:pPr>
        <w:ind w:left="1300" w:right="80" w:hanging="325"/>
        <w:spacing w:after="0" w:line="312"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with respect to Mr. Mueller, Dr. Meyer, Mr. Bachus, Mr. Mildenhall and Ms. Marsh, acceleration of the vesting of the next annual installment under any outstanding stock option or restricted stock award that otherwise would have vested on the next vesting date following the named executive officer’s termination.</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options.</w:t>
      </w:r>
    </w:p>
    <w:p>
      <w:pPr>
        <w:spacing w:after="0" w:line="19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such condition if the executive does not provide written notice to us of his or her intent to exercise such rights within 30 days following the first occurrence of such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225" w:lineRule="exact"/>
        <w:rPr>
          <w:sz w:val="20"/>
          <w:szCs w:val="20"/>
          <w:color w:val="auto"/>
        </w:rPr>
      </w:pPr>
    </w:p>
    <w:p>
      <w:pPr>
        <w:ind w:firstLine="648"/>
        <w:spacing w:after="0" w:line="218" w:lineRule="exact"/>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 Sections 13(d) and 14(d) of the Exchange Act), becomes the “beneficial owner” (as such term is defined in Rule 13d</w:t>
      </w:r>
      <w:r>
        <w:rPr>
          <w:rFonts w:ascii="MS PGothic" w:cs="MS PGothic" w:eastAsia="MS PGothic" w:hAnsi="MS PGothic"/>
          <w:sz w:val="16"/>
          <w:szCs w:val="16"/>
          <w:color w:val="auto"/>
        </w:rPr>
        <w:t>‑</w:t>
      </w:r>
      <w:r>
        <w:rPr>
          <w:rFonts w:ascii="Arial" w:cs="Arial" w:eastAsia="Arial" w:hAnsi="Arial"/>
          <w:sz w:val="16"/>
          <w:szCs w:val="16"/>
          <w:color w:val="auto"/>
        </w:rPr>
        <w:t>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 (12) months thereafter, from (a) owning (except ownership of less than 2% of any class of securities which are listed for trading on any securities exchange or which are traded in the over-the-counter market), managing, controlling, participating in, consulting with, rendering services for, being employed by, or in any manner engaging in the operation of (i) a post-secondary education institution (other than GCU), (ii) any business that develops or administers services to degree-granting institutions of higher education, or (iii) any other business of the Company in which the executive had significant involvement prior to the executive’s separation; (b) soliciting funds on behalf of, or for the benefit of, any post-secondary education institution (other than GCU) or any other entity that competes with the Company; (c) inducing or attempting to induce any employee of the Company to leave the employ of the Company, or in any way interfering with the relationship between the Company and any employee thereof, or (d) inducing or attempting to induce any customer, supplier, licensee or other business relation of the Company to cease doing business with, or modify its business relationship with, the Company, or in any way interfering with or hindering the relationship between any such customer, supplier, licensee or business relation and the Company. Each of the executives has separately entered into a confidentiality agreement with 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2018, the last business day of fiscal year 2018.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gridSpan w:val="7"/>
            <w:vMerge w:val="restart"/>
          </w:tcPr>
          <w:p>
            <w:pPr>
              <w:jc w:val="right"/>
              <w:ind w:right="17"/>
              <w:spacing w:after="0"/>
              <w:rPr>
                <w:sz w:val="20"/>
                <w:szCs w:val="20"/>
                <w:color w:val="auto"/>
              </w:rPr>
            </w:pPr>
            <w:r>
              <w:rPr>
                <w:rFonts w:ascii="Arial" w:cs="Arial" w:eastAsia="Arial" w:hAnsi="Arial"/>
                <w:sz w:val="14"/>
                <w:szCs w:val="14"/>
                <w:b w:val="1"/>
                <w:bCs w:val="1"/>
                <w:color w:val="auto"/>
                <w:w w:val="96"/>
              </w:rPr>
              <w:t>Termination without Cause or for Good Reason</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6"/>
          </w:tcPr>
          <w:p>
            <w:pPr>
              <w:ind w:left="160"/>
              <w:spacing w:after="0"/>
              <w:rPr>
                <w:sz w:val="20"/>
                <w:szCs w:val="20"/>
                <w:color w:val="auto"/>
              </w:rPr>
            </w:pPr>
            <w:r>
              <w:rPr>
                <w:rFonts w:ascii="Arial" w:cs="Arial" w:eastAsia="Arial" w:hAnsi="Arial"/>
                <w:sz w:val="14"/>
                <w:szCs w:val="14"/>
                <w:b w:val="1"/>
                <w:bCs w:val="1"/>
                <w:color w:val="auto"/>
              </w:rPr>
              <w:t>Termination without Cause or for Good Reason</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Borders>
              <w:bottom w:val="single" w:sz="8" w:color="auto"/>
            </w:tcBorders>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following a Change in Control</w:t>
            </w: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Cash</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37"/>
              <w:spacing w:after="0" w:line="119" w:lineRule="exact"/>
              <w:rPr>
                <w:sz w:val="20"/>
                <w:szCs w:val="20"/>
                <w:color w:val="auto"/>
              </w:rPr>
            </w:pPr>
            <w:r>
              <w:rPr>
                <w:rFonts w:ascii="Arial" w:cs="Arial" w:eastAsia="Arial" w:hAnsi="Arial"/>
                <w:sz w:val="13"/>
                <w:szCs w:val="13"/>
                <w:b w:val="1"/>
                <w:bCs w:val="1"/>
                <w:color w:val="auto"/>
              </w:rPr>
              <w:t>Acceleration of</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jc w:val="center"/>
              <w:ind w:right="79"/>
              <w:spacing w:after="0" w:line="119" w:lineRule="exact"/>
              <w:rPr>
                <w:sz w:val="20"/>
                <w:szCs w:val="20"/>
                <w:color w:val="auto"/>
              </w:rPr>
            </w:pPr>
            <w:r>
              <w:rPr>
                <w:rFonts w:ascii="Arial" w:cs="Arial" w:eastAsia="Arial" w:hAnsi="Arial"/>
                <w:sz w:val="13"/>
                <w:szCs w:val="13"/>
                <w:b w:val="1"/>
                <w:bCs w:val="1"/>
                <w:color w:val="auto"/>
                <w:w w:val="97"/>
              </w:rPr>
              <w:t>Acceleration of</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180" w:type="dxa"/>
            <w:vAlign w:val="bottom"/>
          </w:tcPr>
          <w:p>
            <w:pPr>
              <w:spacing w:after="0"/>
              <w:rPr>
                <w:sz w:val="12"/>
                <w:szCs w:val="12"/>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Cash Payment</w:t>
            </w:r>
          </w:p>
        </w:tc>
        <w:tc>
          <w:tcPr>
            <w:tcW w:w="8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Benefits</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Vesting of Shares</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Payment</w:t>
            </w: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and Options</w:t>
            </w:r>
          </w:p>
        </w:tc>
        <w:tc>
          <w:tcPr>
            <w:tcW w:w="1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and Options</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08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9"/>
              </w:rPr>
              <w:t>($)(1)</w:t>
            </w:r>
          </w:p>
        </w:tc>
        <w:tc>
          <w:tcPr>
            <w:tcW w:w="180" w:type="dxa"/>
            <w:vAlign w:val="bottom"/>
          </w:tcPr>
          <w:p>
            <w:pPr>
              <w:spacing w:after="0"/>
              <w:rPr>
                <w:sz w:val="14"/>
                <w:szCs w:val="14"/>
                <w:color w:val="auto"/>
              </w:rPr>
            </w:pPr>
          </w:p>
        </w:tc>
        <w:tc>
          <w:tcPr>
            <w:tcW w:w="800" w:type="dxa"/>
            <w:vAlign w:val="bottom"/>
          </w:tcPr>
          <w:p>
            <w:pPr>
              <w:jc w:val="right"/>
              <w:ind w:right="135"/>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7"/>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59"/>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Brian E. Mueller</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$ 642,000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13,556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2,456,762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642,000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13,356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6,236,602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Dr. W. Stan Meyer</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682,500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1,310,465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w w:val="95"/>
              </w:rPr>
              <w:t>682,500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18,058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3,327,021</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682,500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1,310,465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682,500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3,327,021</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Joseph N. Mildenhall</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510,000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1,310,465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w w:val="95"/>
              </w:rPr>
              <w:t>510,000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3,327,021</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Dilek Marsh</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343,185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343,185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1,284,142</w:t>
            </w:r>
          </w:p>
        </w:tc>
        <w:tc>
          <w:tcPr>
            <w:tcW w:w="0" w:type="dxa"/>
            <w:vAlign w:val="bottom"/>
          </w:tcPr>
          <w:p>
            <w:pPr>
              <w:spacing w:after="0"/>
              <w:rPr>
                <w:sz w:val="1"/>
                <w:szCs w:val="1"/>
                <w:color w:val="auto"/>
              </w:rPr>
            </w:pPr>
          </w:p>
        </w:tc>
      </w:tr>
      <w:tr>
        <w:trPr>
          <w:trHeight w:val="108"/>
        </w:trPr>
        <w:tc>
          <w:tcPr>
            <w:tcW w:w="18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60" w:hanging="317"/>
        <w:spacing w:after="0" w:line="277"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Assumes a termination date of December 31, 2018, and is based on the executive’s salary and target bonus in effect at such date.</w:t>
      </w:r>
    </w:p>
    <w:p>
      <w:pPr>
        <w:spacing w:after="0" w:line="170" w:lineRule="exact"/>
        <w:rPr>
          <w:rFonts w:ascii="Arial" w:cs="Arial" w:eastAsia="Arial" w:hAnsi="Arial"/>
          <w:sz w:val="18"/>
          <w:szCs w:val="18"/>
          <w:color w:val="auto"/>
        </w:rPr>
      </w:pPr>
    </w:p>
    <w:p>
      <w:pPr>
        <w:ind w:left="320" w:hanging="317"/>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225" w:lineRule="exact"/>
        <w:rPr>
          <w:rFonts w:ascii="Arial" w:cs="Arial" w:eastAsia="Arial" w:hAnsi="Arial"/>
          <w:sz w:val="18"/>
          <w:szCs w:val="18"/>
          <w:color w:val="auto"/>
        </w:rPr>
      </w:pPr>
    </w:p>
    <w:p>
      <w:pPr>
        <w:ind w:left="320" w:right="300" w:hanging="317"/>
        <w:spacing w:after="0" w:line="277" w:lineRule="auto"/>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2018 and the closing market price of our common stock on the Nasdaq Global Market on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1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Kevin F. Warren (Chair)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Sara R. Dial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ectPr>
          <w:pgSz w:w="11900" w:h="16838" w:orient="portrait"/>
          <w:cols w:equalWidth="0" w:num="1">
            <w:col w:w="9060"/>
          </w:cols>
          <w:pgMar w:left="1420" w:top="125" w:right="1419" w:bottom="1440" w:gutter="0" w:footer="0" w:header="0"/>
        </w:sect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What am I voting 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Stockholders are being asked to ratify the appointment of KPMG LLP, a registered public accounting firm, to serve as the Company’s independent registered public accounting firm for the fiscal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-1762760</wp:posOffset>
            </wp:positionH>
            <wp:positionV relativeFrom="paragraph">
              <wp:posOffset>-442595</wp:posOffset>
            </wp:positionV>
            <wp:extent cx="5754370" cy="18008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180086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280" w:space="500"/>
            <w:col w:w="6280"/>
          </w:cols>
          <w:pgMar w:left="1420" w:top="125" w:right="1419" w:bottom="1440" w:gutter="0" w:footer="0" w:header="0"/>
          <w:type w:val="continuous"/>
        </w:sectPr>
      </w:pPr>
    </w:p>
    <w:p>
      <w:pPr>
        <w:ind w:left="2780" w:right="40" w:hanging="2119"/>
        <w:spacing w:after="0" w:line="264" w:lineRule="auto"/>
        <w:tabs>
          <w:tab w:leader="none" w:pos="2760" w:val="left"/>
        </w:tabs>
        <w:rPr>
          <w:sz w:val="20"/>
          <w:szCs w:val="20"/>
          <w:color w:val="auto"/>
        </w:rPr>
      </w:pPr>
      <w:r>
        <w:rPr>
          <w:rFonts w:ascii="Arial" w:cs="Arial" w:eastAsia="Arial" w:hAnsi="Arial"/>
          <w:sz w:val="18"/>
          <w:szCs w:val="18"/>
          <w:b w:val="1"/>
          <w:bCs w:val="1"/>
          <w:i w:val="1"/>
          <w:iCs w:val="1"/>
          <w:color w:val="auto"/>
        </w:rPr>
        <w:t>Voting recommendation:</w:t>
      </w:r>
      <w:r>
        <w:rPr>
          <w:sz w:val="20"/>
          <w:szCs w:val="20"/>
          <w:color w:val="auto"/>
        </w:rPr>
        <w:tab/>
      </w:r>
      <w:r>
        <w:rPr>
          <w:rFonts w:ascii="Arial" w:cs="Arial" w:eastAsia="Arial" w:hAnsi="Arial"/>
          <w:sz w:val="18"/>
          <w:szCs w:val="18"/>
          <w:color w:val="auto"/>
        </w:rPr>
        <w:t>Our Board of Directors unanimously recommends that you vote “FOR” the ratification of the appointment of KPMG LLP as our independent registered public accounting firm for the fiscal year ending December 31, 2019.</w:t>
      </w:r>
    </w:p>
    <w:p>
      <w:pPr>
        <w:spacing w:after="0" w:line="181" w:lineRule="exact"/>
        <w:rPr>
          <w:sz w:val="20"/>
          <w:szCs w:val="20"/>
          <w:color w:val="auto"/>
        </w:rPr>
      </w:pPr>
    </w:p>
    <w:p>
      <w:pPr>
        <w:ind w:left="2780" w:right="60" w:hanging="2119"/>
        <w:spacing w:after="0" w:line="257" w:lineRule="auto"/>
        <w:tabs>
          <w:tab w:leader="none" w:pos="2760" w:val="left"/>
        </w:tabs>
        <w:rPr>
          <w:sz w:val="20"/>
          <w:szCs w:val="20"/>
          <w:color w:val="auto"/>
        </w:rPr>
      </w:pPr>
      <w:r>
        <w:rPr>
          <w:rFonts w:ascii="Arial" w:cs="Arial" w:eastAsia="Arial" w:hAnsi="Arial"/>
          <w:sz w:val="18"/>
          <w:szCs w:val="18"/>
          <w:b w:val="1"/>
          <w:bCs w:val="1"/>
          <w:i w:val="1"/>
          <w:iCs w:val="1"/>
          <w:color w:val="auto"/>
        </w:rPr>
        <w:t>Vote required:</w:t>
      </w:r>
      <w:r>
        <w:rPr>
          <w:sz w:val="20"/>
          <w:szCs w:val="20"/>
          <w:color w:val="auto"/>
        </w:rPr>
        <w:tab/>
      </w:r>
      <w:r>
        <w:rPr>
          <w:rFonts w:ascii="Arial" w:cs="Arial" w:eastAsia="Arial" w:hAnsi="Arial"/>
          <w:sz w:val="18"/>
          <w:szCs w:val="18"/>
          <w:color w:val="auto"/>
        </w:rPr>
        <w:t>The affirmative vote of the majority of shares present in person or represented by proxy at the Annual Meeting and entitled to vote. Brokers have discretion to vote on the ratification of our independent auditors and, as such, no votes on this proposal will be considered broker non-votes. Abstentions will have the effect of a vote against this proposal</w:t>
      </w:r>
    </w:p>
    <w:p>
      <w:pPr>
        <w:spacing w:after="0" w:line="20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Audit Committee of the Board of Directors has selected KPMG LLP (“KPMG”), an independent registered public accounting firm, to audit our consolidated financial statements for the year ending December 31, 2019.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2019 will stand, unless the Audit Committee finds other good reason for making a change. Even if the selection is ratified, the Audit Committee, in its discretion, may direct the appointment of a different independent registered public accounting firm at any time during</w:t>
      </w:r>
    </w:p>
    <w:p>
      <w:pPr>
        <w:spacing w:after="0" w:line="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2019.</w:t>
      </w:r>
    </w:p>
    <w:p>
      <w:pPr>
        <w:spacing w:after="0" w:line="15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43"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 the years ended December 31, 2018 and 2017, KPMG billed us the amounts set forth below for professional services rendered in connection with audit, audit-related, tax and other professional services. All of the fees for audit, audit-related, tax and other services performed by KPMG were pre-approved by the Audit Committee in accordance with the pre-approval policies and procedures described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gridSpan w:val="3"/>
          </w:tcPr>
          <w:p>
            <w:pPr>
              <w:ind w:left="920"/>
              <w:spacing w:after="0"/>
              <w:rPr>
                <w:sz w:val="20"/>
                <w:szCs w:val="20"/>
                <w:color w:val="auto"/>
              </w:rPr>
            </w:pPr>
            <w:r>
              <w:rPr>
                <w:rFonts w:ascii="Arial" w:cs="Arial" w:eastAsia="Arial" w:hAnsi="Arial"/>
                <w:sz w:val="14"/>
                <w:szCs w:val="14"/>
                <w:b w:val="1"/>
                <w:bCs w:val="1"/>
                <w:color w:val="auto"/>
              </w:rPr>
              <w:t>Services Rendered</w:t>
            </w: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2017</w:t>
            </w:r>
          </w:p>
        </w:tc>
      </w:tr>
      <w:tr>
        <w:trPr>
          <w:trHeight w:val="210"/>
        </w:trPr>
        <w:tc>
          <w:tcPr>
            <w:tcW w:w="920" w:type="dxa"/>
            <w:vAlign w:val="bottom"/>
          </w:tcPr>
          <w:p>
            <w:pPr>
              <w:spacing w:after="0"/>
              <w:rPr>
                <w:sz w:val="18"/>
                <w:szCs w:val="18"/>
                <w:color w:val="auto"/>
              </w:rPr>
            </w:pPr>
          </w:p>
        </w:tc>
        <w:tc>
          <w:tcPr>
            <w:tcW w:w="5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$ 570,000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$ 714,318</w:t>
            </w:r>
          </w:p>
        </w:tc>
      </w:tr>
      <w:tr>
        <w:trPr>
          <w:trHeight w:val="216"/>
        </w:trPr>
        <w:tc>
          <w:tcPr>
            <w:tcW w:w="9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Fees</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92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570,000</w:t>
            </w:r>
          </w:p>
        </w:tc>
        <w:tc>
          <w:tcPr>
            <w:tcW w:w="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714,318</w:t>
            </w: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94" w:lineRule="exact"/>
        <w:rPr>
          <w:sz w:val="20"/>
          <w:szCs w:val="20"/>
          <w:color w:val="auto"/>
        </w:rPr>
      </w:pPr>
    </w:p>
    <w:p>
      <w:pPr>
        <w:ind w:left="320" w:right="280" w:hanging="317"/>
        <w:spacing w:after="0" w:line="308" w:lineRule="auto"/>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Audit Fees in 2018 and 2017 relate to services rendered for the audits of our annual consolidated financial statements including accounting and reporting consultations, for the review of our quarterly financial statements,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51" w:name="page52"/>
    <w:bookmarkEnd w:id="51"/>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720"/>
        <w:spacing w:after="0" w:line="277" w:lineRule="auto"/>
        <w:rPr>
          <w:sz w:val="20"/>
          <w:szCs w:val="20"/>
          <w:color w:val="auto"/>
        </w:rPr>
      </w:pPr>
      <w:r>
        <w:rPr>
          <w:rFonts w:ascii="Arial" w:cs="Arial" w:eastAsia="Arial" w:hAnsi="Arial"/>
          <w:sz w:val="18"/>
          <w:szCs w:val="18"/>
          <w:color w:val="auto"/>
        </w:rPr>
        <w:t>and for services that are normally provided by the auditor in connection with statutory and regulatory filings or engagements.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2018 and 2017 were approved by our Audit Committee.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The Audit Committee operates under a written charter adopted by the Board that outlines its responsibilities and the practices it follows. You can view the charter on the Company’s website, </w:t>
      </w:r>
      <w:r>
        <w:rPr>
          <w:rFonts w:ascii="Arial" w:cs="Arial" w:eastAsia="Arial" w:hAnsi="Arial"/>
          <w:sz w:val="17"/>
          <w:szCs w:val="17"/>
          <w:i w:val="1"/>
          <w:iCs w:val="1"/>
          <w:u w:val="single" w:color="auto"/>
          <w:color w:val="auto"/>
        </w:rPr>
        <w:t>www.gce.com</w:t>
      </w:r>
      <w:r>
        <w:rPr>
          <w:rFonts w:ascii="Arial" w:cs="Arial" w:eastAsia="Arial" w:hAnsi="Arial"/>
          <w:sz w:val="17"/>
          <w:szCs w:val="17"/>
          <w:color w:val="auto"/>
        </w:rPr>
        <w:t xml:space="preserve">. The Audit Committee reviews and assesses the adequacy of its charter at least annually and, when appropriate, recommends changes to the Board to reflect the evolving role of the Audit Committee. The duties of the Audit Committee as set forth in its charter are summarized in this proxy statement under </w:t>
      </w:r>
      <w:r>
        <w:rPr>
          <w:rFonts w:ascii="Arial" w:cs="Arial" w:eastAsia="Arial" w:hAnsi="Arial"/>
          <w:sz w:val="17"/>
          <w:szCs w:val="17"/>
          <w:i w:val="1"/>
          <w:iCs w:val="1"/>
          <w:color w:val="auto"/>
        </w:rPr>
        <w:t>Committees of Our Board of Directors</w:t>
      </w:r>
      <w:r>
        <w:rPr>
          <w:rFonts w:ascii="Arial" w:cs="Arial" w:eastAsia="Arial" w:hAnsi="Arial"/>
          <w:sz w:val="17"/>
          <w:szCs w:val="17"/>
          <w:color w:val="auto"/>
        </w:rPr>
        <w:t>.</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Audit Committee is composed of three, non-employee directors, each of whom the Board has determined meet the independence and financial literacy requirements of the Nasdaq Stock Market and additional, heightened independence criteria applicable to members of the Audit Committee under SEC and Nasdaq Stock Market rules. The Board has designated each of Messrs. Jack A. Henry, David J. Johnson and Kevin F. Warren as “audit committee financial experts” under the SEC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 of the Audit Committee and the Audit Committee’s Activities in 2018</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Audit Committee represents and assists the Board in fulfilling its oversight responsibility relating to the integrity of the Company’s financial statements and the financial reporting process, the systems of internal accounting and financial controls, the internal audit function and the annual independent audit of the Company’s financial statements. The Audit Committee oversees the Company’s compliance with legal and regulatory requirements, the independent auditors’ qualifications and independence, the performance of the Company’s internal audit function and the independent auditors, and the Company’s ethical compliance programs, including the Company’s codes of conduct.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2018, among other things, the Audit Committee:</w:t>
      </w:r>
    </w:p>
    <w:p>
      <w:pPr>
        <w:spacing w:after="0" w:line="225" w:lineRule="exact"/>
        <w:rPr>
          <w:sz w:val="20"/>
          <w:szCs w:val="20"/>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Engaged KPMG LLP (“KPMG”) as our independent auditors;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Involved in the selection of the lead engagement partner and negotiation of audit fees;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tenure of the independent audit firm;</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Met with the senior members of the Company’s financial management team at each regularly scheduled meeting;</w:t>
      </w:r>
    </w:p>
    <w:p>
      <w:pPr>
        <w:spacing w:after="0" w:line="170" w:lineRule="exact"/>
        <w:rPr>
          <w:rFonts w:ascii="Arial" w:cs="Arial" w:eastAsia="Arial" w:hAnsi="Arial"/>
          <w:sz w:val="18"/>
          <w:szCs w:val="18"/>
          <w:color w:val="auto"/>
        </w:rPr>
      </w:pPr>
    </w:p>
    <w:p>
      <w:pPr>
        <w:jc w:val="both"/>
        <w:ind w:left="1300" w:right="60" w:hanging="325"/>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Held separate private sessions, during its regularly scheduled meetings, with each of KPMG and our Chief Risk Officer, at which candid discussions regarding financial management, legal, accounting, auditing and internal control issues took place;</w:t>
      </w:r>
    </w:p>
    <w:p>
      <w:pPr>
        <w:spacing w:after="0" w:line="181" w:lineRule="exact"/>
        <w:rPr>
          <w:rFonts w:ascii="Arial" w:cs="Arial" w:eastAsia="Arial" w:hAnsi="Arial"/>
          <w:sz w:val="18"/>
          <w:szCs w:val="18"/>
          <w:color w:val="auto"/>
        </w:rPr>
      </w:pPr>
    </w:p>
    <w:p>
      <w:pPr>
        <w:jc w:val="both"/>
        <w:ind w:left="1300" w:right="220" w:hanging="325"/>
        <w:spacing w:after="0" w:line="312" w:lineRule="auto"/>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Received periodic updates on management’s process to assess the adequacy of the Company’s system of internal control over financial reporting, the framework used to make the assessment and management’s conclusions on the effectiveness of the Company’s internal control over financial reporting;</w:t>
      </w:r>
    </w:p>
    <w:p>
      <w:pPr>
        <w:spacing w:after="0" w:line="146" w:lineRule="exact"/>
        <w:rPr>
          <w:rFonts w:ascii="Arial" w:cs="Arial" w:eastAsia="Arial" w:hAnsi="Arial"/>
          <w:sz w:val="16"/>
          <w:szCs w:val="16"/>
          <w:color w:val="auto"/>
        </w:rPr>
      </w:pPr>
    </w:p>
    <w:p>
      <w:pPr>
        <w:ind w:left="1300" w:right="40" w:hanging="325"/>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Discussed with KPMG the Company’s internal control assessment process, management’s assessment with respect thereto and KPMG’s evaluation of the Company’s system of internal control over financial reporting;</w:t>
      </w:r>
    </w:p>
    <w:p>
      <w:pPr>
        <w:spacing w:after="0" w:line="181" w:lineRule="exact"/>
        <w:rPr>
          <w:rFonts w:ascii="Arial" w:cs="Arial" w:eastAsia="Arial" w:hAnsi="Arial"/>
          <w:sz w:val="18"/>
          <w:szCs w:val="18"/>
          <w:color w:val="auto"/>
        </w:rPr>
      </w:pPr>
    </w:p>
    <w:p>
      <w:pPr>
        <w:ind w:left="1300" w:right="100" w:hanging="325"/>
        <w:spacing w:after="0" w:line="264"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and discussed with management and KPMG the Company’s periodic reports prior to filing with the SEC, including matters such as significant accounting policies, management judgements and accounting estimates;</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Reviewed the Company’s internal audit plan and the performance of the Company’s internal audit function;</w:t>
      </w:r>
    </w:p>
    <w:p>
      <w:pPr>
        <w:spacing w:after="0" w:line="248" w:lineRule="exact"/>
        <w:rPr>
          <w:rFonts w:ascii="Arial" w:cs="Arial" w:eastAsia="Arial" w:hAnsi="Arial"/>
          <w:sz w:val="16"/>
          <w:szCs w:val="16"/>
          <w:color w:val="auto"/>
        </w:rPr>
      </w:pPr>
    </w:p>
    <w:p>
      <w:pPr>
        <w:ind w:left="1300" w:right="40" w:hanging="325"/>
        <w:spacing w:after="0" w:line="259"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with senior members of the Company’s financial management team, KPMG, and our Chief Risk Officer the overall audit scope and plans, the results of internal and external audits, evaluations by management and the independent auditors of the Company’s internal controls over financial reporting and the quality of the Company’s financial reporting; and</w:t>
      </w:r>
    </w:p>
    <w:p>
      <w:pPr>
        <w:spacing w:after="0" w:line="186" w:lineRule="exact"/>
        <w:rPr>
          <w:rFonts w:ascii="Arial" w:cs="Arial" w:eastAsia="Arial" w:hAnsi="Arial"/>
          <w:sz w:val="18"/>
          <w:szCs w:val="18"/>
          <w:color w:val="auto"/>
        </w:rPr>
      </w:pPr>
    </w:p>
    <w:p>
      <w:pPr>
        <w:ind w:left="1300" w:right="180" w:hanging="325"/>
        <w:spacing w:after="0" w:line="259"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with management, including our Chief Risk Officer and Corporate Counsel, and KPMG significant risks and exposures identified by management, the overall adequacy and effectiveness of the Company’s legal, regulatory and ethical compliance programs, including the Company’s code of conduct and cybersecurity programs.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Audited Financial Statements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We have (a) reviewed and discussed our Company’s audited financial statements for the fiscal year ended December 31, 2018, with management; (b) discussed with our Company’s independent registered public accounting firm the matters required to be discussed by Public Company Oversight Board (PCAOB) Auditing Standard Number 1301, </w:t>
      </w:r>
      <w:r>
        <w:rPr>
          <w:rFonts w:ascii="Arial" w:cs="Arial" w:eastAsia="Arial" w:hAnsi="Arial"/>
          <w:sz w:val="18"/>
          <w:szCs w:val="18"/>
          <w:i w:val="1"/>
          <w:iCs w:val="1"/>
          <w:color w:val="auto"/>
        </w:rPr>
        <w:t xml:space="preserve">Communications with Audit Committees </w:t>
      </w:r>
      <w:r>
        <w:rPr>
          <w:rFonts w:ascii="Arial" w:cs="Arial" w:eastAsia="Arial" w:hAnsi="Arial"/>
          <w:sz w:val="18"/>
          <w:szCs w:val="18"/>
          <w:color w:val="auto"/>
        </w:rPr>
        <w:t>(PCAOB General Auditing Standards 1300,</w:t>
      </w:r>
      <w:r>
        <w:rPr>
          <w:rFonts w:ascii="Arial" w:cs="Arial" w:eastAsia="Arial" w:hAnsi="Arial"/>
          <w:sz w:val="18"/>
          <w:szCs w:val="18"/>
          <w:i w:val="1"/>
          <w:iCs w:val="1"/>
          <w:color w:val="auto"/>
        </w:rPr>
        <w:t xml:space="preserve"> Auditor Communications</w:t>
      </w:r>
      <w:r>
        <w:rPr>
          <w:rFonts w:ascii="Arial" w:cs="Arial" w:eastAsia="Arial" w:hAnsi="Arial"/>
          <w:sz w:val="18"/>
          <w:szCs w:val="18"/>
          <w:color w:val="auto"/>
        </w:rPr>
        <w:t>); (c)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59" w:firstLine="648"/>
        <w:spacing w:after="0" w:line="220" w:lineRule="exact"/>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 for filing with the Securities and Exchange Commission.</w:t>
      </w:r>
    </w:p>
    <w:p>
      <w:pPr>
        <w:spacing w:after="0" w:line="21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David J. Johnson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Kevin F. Warren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as of March 31, 2019 for:</w:t>
      </w:r>
    </w:p>
    <w:p>
      <w:pPr>
        <w:spacing w:after="0" w:line="170" w:lineRule="exact"/>
        <w:rPr>
          <w:sz w:val="20"/>
          <w:szCs w:val="20"/>
          <w:color w:val="auto"/>
        </w:rPr>
      </w:pPr>
    </w:p>
    <w:p>
      <w:pPr>
        <w:ind w:left="1300" w:right="60" w:hanging="325"/>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2600 W. Camelback Road, Phoenix, Arizona 85017.</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calculations of beneficial ownership in this table are based on 48,246,362 shares outstanding at March 31, 2019</w:t>
      </w:r>
      <w:r>
        <w:rPr>
          <w:rFonts w:ascii="Arial" w:cs="Arial" w:eastAsia="Arial" w:hAnsi="Arial"/>
          <w:sz w:val="16"/>
          <w:szCs w:val="16"/>
          <w:b w:val="1"/>
          <w:bCs w:val="1"/>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1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Amount and Nature of</w:t>
            </w:r>
          </w:p>
        </w:tc>
        <w:tc>
          <w:tcPr>
            <w:tcW w:w="16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Percent of Class</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Beneficial Ownership</w:t>
            </w:r>
          </w:p>
        </w:tc>
        <w:tc>
          <w:tcPr>
            <w:tcW w:w="1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line="207" w:lineRule="exact"/>
              <w:rPr>
                <w:sz w:val="20"/>
                <w:szCs w:val="20"/>
                <w:color w:val="auto"/>
              </w:rPr>
            </w:pPr>
            <w:r>
              <w:rPr>
                <w:rFonts w:ascii="Arial" w:cs="Arial" w:eastAsia="Arial" w:hAnsi="Arial"/>
                <w:sz w:val="18"/>
                <w:szCs w:val="18"/>
                <w:color w:val="auto"/>
              </w:rPr>
              <w:t>The Vanguard Group – 23</w:t>
            </w:r>
            <w:r>
              <w:rPr>
                <w:rFonts w:ascii="MS PGothic" w:cs="MS PGothic" w:eastAsia="MS PGothic" w:hAnsi="MS PGothic"/>
                <w:sz w:val="18"/>
                <w:szCs w:val="18"/>
                <w:color w:val="auto"/>
              </w:rPr>
              <w:t>‑</w:t>
            </w:r>
            <w:r>
              <w:rPr>
                <w:rFonts w:ascii="Arial" w:cs="Arial" w:eastAsia="Arial" w:hAnsi="Arial"/>
                <w:sz w:val="18"/>
                <w:szCs w:val="18"/>
                <w:color w:val="auto"/>
              </w:rPr>
              <w:t>1945930</w:t>
            </w:r>
            <w:r>
              <w:rPr>
                <w:rFonts w:ascii="Arial" w:cs="Arial" w:eastAsia="Arial" w:hAnsi="Arial"/>
                <w:sz w:val="8"/>
                <w:szCs w:val="8"/>
                <w:color w:val="auto"/>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4,224,621</w:t>
            </w:r>
          </w:p>
        </w:tc>
        <w:tc>
          <w:tcPr>
            <w:tcW w:w="180" w:type="dxa"/>
            <w:vAlign w:val="bottom"/>
          </w:tcPr>
          <w:p>
            <w:pPr>
              <w:spacing w:after="0"/>
              <w:rPr>
                <w:sz w:val="18"/>
                <w:szCs w:val="18"/>
                <w:color w:val="auto"/>
              </w:rPr>
            </w:pPr>
          </w:p>
        </w:tc>
        <w:tc>
          <w:tcPr>
            <w:tcW w:w="1620" w:type="dxa"/>
            <w:vAlign w:val="bottom"/>
            <w:gridSpan w:val="2"/>
          </w:tcPr>
          <w:p>
            <w:pPr>
              <w:jc w:val="center"/>
              <w:ind w:left="1071"/>
              <w:spacing w:after="0"/>
              <w:rPr>
                <w:sz w:val="20"/>
                <w:szCs w:val="20"/>
                <w:color w:val="auto"/>
              </w:rPr>
            </w:pPr>
            <w:r>
              <w:rPr>
                <w:rFonts w:ascii="Arial" w:cs="Arial" w:eastAsia="Arial" w:hAnsi="Arial"/>
                <w:sz w:val="18"/>
                <w:szCs w:val="18"/>
                <w:color w:val="auto"/>
                <w:w w:val="91"/>
              </w:rPr>
              <w:t>8.8 %</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Capital World Investors</w:t>
            </w:r>
            <w:r>
              <w:rPr>
                <w:rFonts w:ascii="Arial" w:cs="Arial" w:eastAsia="Arial" w:hAnsi="Arial"/>
                <w:sz w:val="8"/>
                <w:szCs w:val="8"/>
                <w:color w:val="auto"/>
              </w:rPr>
              <w:t>(3)</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2,510,400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071"/>
              <w:spacing w:after="0"/>
              <w:rPr>
                <w:sz w:val="20"/>
                <w:szCs w:val="20"/>
                <w:color w:val="auto"/>
              </w:rPr>
            </w:pPr>
            <w:r>
              <w:rPr>
                <w:rFonts w:ascii="Arial" w:cs="Arial" w:eastAsia="Arial" w:hAnsi="Arial"/>
                <w:sz w:val="18"/>
                <w:szCs w:val="18"/>
                <w:color w:val="auto"/>
                <w:w w:val="91"/>
              </w:rPr>
              <w:t>5.2 %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Brian E. Mueller </w:t>
            </w:r>
            <w:r>
              <w:rPr>
                <w:rFonts w:ascii="Arial" w:cs="Arial" w:eastAsia="Arial" w:hAnsi="Arial"/>
                <w:sz w:val="8"/>
                <w:szCs w:val="8"/>
                <w:color w:val="auto"/>
              </w:rPr>
              <w:t>(4)</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430,124</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071"/>
              <w:spacing w:after="0"/>
              <w:rPr>
                <w:sz w:val="20"/>
                <w:szCs w:val="20"/>
                <w:color w:val="auto"/>
              </w:rPr>
            </w:pPr>
            <w:r>
              <w:rPr>
                <w:rFonts w:ascii="Arial" w:cs="Arial" w:eastAsia="Arial" w:hAnsi="Arial"/>
                <w:sz w:val="18"/>
                <w:szCs w:val="18"/>
                <w:color w:val="auto"/>
                <w:w w:val="91"/>
              </w:rPr>
              <w:t>0.9 %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xml:space="preserve">Dr. W. Stan Meyer </w:t>
            </w:r>
            <w:r>
              <w:rPr>
                <w:rFonts w:ascii="Arial" w:cs="Arial" w:eastAsia="Arial" w:hAnsi="Arial"/>
                <w:sz w:val="8"/>
                <w:szCs w:val="8"/>
                <w:color w:val="auto"/>
              </w:rPr>
              <w:t>(5)</w:t>
            </w:r>
          </w:p>
        </w:tc>
        <w:tc>
          <w:tcPr>
            <w:tcW w:w="1500" w:type="dxa"/>
            <w:vAlign w:val="bottom"/>
          </w:tcPr>
          <w:p>
            <w:pPr>
              <w:jc w:val="right"/>
              <w:spacing w:after="0"/>
              <w:rPr>
                <w:sz w:val="20"/>
                <w:szCs w:val="20"/>
                <w:color w:val="auto"/>
              </w:rPr>
            </w:pPr>
            <w:r>
              <w:rPr>
                <w:rFonts w:ascii="Arial" w:cs="Arial" w:eastAsia="Arial" w:hAnsi="Arial"/>
                <w:sz w:val="18"/>
                <w:szCs w:val="18"/>
                <w:color w:val="auto"/>
              </w:rPr>
              <w:t>167,757</w:t>
            </w:r>
          </w:p>
        </w:tc>
        <w:tc>
          <w:tcPr>
            <w:tcW w:w="180" w:type="dxa"/>
            <w:vAlign w:val="bottom"/>
          </w:tcPr>
          <w:p>
            <w:pPr>
              <w:spacing w:after="0"/>
              <w:rPr>
                <w:sz w:val="18"/>
                <w:szCs w:val="18"/>
                <w:color w:val="auto"/>
              </w:rPr>
            </w:pPr>
          </w:p>
        </w:tc>
        <w:tc>
          <w:tcPr>
            <w:tcW w:w="1620" w:type="dxa"/>
            <w:vAlign w:val="bottom"/>
            <w:gridSpan w:val="2"/>
          </w:tcPr>
          <w:p>
            <w:pPr>
              <w:jc w:val="center"/>
              <w:ind w:left="1071"/>
              <w:spacing w:after="0"/>
              <w:rPr>
                <w:sz w:val="20"/>
                <w:szCs w:val="20"/>
                <w:color w:val="auto"/>
              </w:rPr>
            </w:pPr>
            <w:r>
              <w:rPr>
                <w:rFonts w:ascii="Arial" w:cs="Arial" w:eastAsia="Arial" w:hAnsi="Arial"/>
                <w:sz w:val="18"/>
                <w:szCs w:val="18"/>
                <w:color w:val="auto"/>
                <w:w w:val="91"/>
              </w:rPr>
              <w:t>0.3 %</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Daniel E. Bachus </w:t>
            </w:r>
            <w:r>
              <w:rPr>
                <w:rFonts w:ascii="Arial" w:cs="Arial" w:eastAsia="Arial" w:hAnsi="Arial"/>
                <w:sz w:val="8"/>
                <w:szCs w:val="8"/>
                <w:color w:val="auto"/>
              </w:rPr>
              <w:t>(6)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174,669</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071"/>
              <w:spacing w:after="0"/>
              <w:rPr>
                <w:sz w:val="20"/>
                <w:szCs w:val="20"/>
                <w:color w:val="auto"/>
              </w:rPr>
            </w:pPr>
            <w:r>
              <w:rPr>
                <w:rFonts w:ascii="Arial" w:cs="Arial" w:eastAsia="Arial" w:hAnsi="Arial"/>
                <w:sz w:val="18"/>
                <w:szCs w:val="18"/>
                <w:color w:val="auto"/>
                <w:w w:val="91"/>
              </w:rPr>
              <w:t>0.4 %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 xml:space="preserve">Joseph N. Mildenhall </w:t>
            </w:r>
            <w:r>
              <w:rPr>
                <w:rFonts w:ascii="Arial" w:cs="Arial" w:eastAsia="Arial" w:hAnsi="Arial"/>
                <w:sz w:val="8"/>
                <w:szCs w:val="8"/>
                <w:color w:val="auto"/>
              </w:rPr>
              <w:t>(7)</w:t>
            </w:r>
          </w:p>
        </w:tc>
        <w:tc>
          <w:tcPr>
            <w:tcW w:w="1500" w:type="dxa"/>
            <w:vAlign w:val="bottom"/>
          </w:tcPr>
          <w:p>
            <w:pPr>
              <w:jc w:val="right"/>
              <w:spacing w:after="0"/>
              <w:rPr>
                <w:sz w:val="20"/>
                <w:szCs w:val="20"/>
                <w:color w:val="auto"/>
              </w:rPr>
            </w:pPr>
            <w:r>
              <w:rPr>
                <w:rFonts w:ascii="Arial" w:cs="Arial" w:eastAsia="Arial" w:hAnsi="Arial"/>
                <w:sz w:val="18"/>
                <w:szCs w:val="18"/>
                <w:color w:val="auto"/>
              </w:rPr>
              <w:t>88,709</w:t>
            </w:r>
          </w:p>
        </w:tc>
        <w:tc>
          <w:tcPr>
            <w:tcW w:w="180" w:type="dxa"/>
            <w:vAlign w:val="bottom"/>
          </w:tcPr>
          <w:p>
            <w:pPr>
              <w:spacing w:after="0"/>
              <w:rPr>
                <w:sz w:val="18"/>
                <w:szCs w:val="18"/>
                <w:color w:val="auto"/>
              </w:rPr>
            </w:pPr>
          </w:p>
        </w:tc>
        <w:tc>
          <w:tcPr>
            <w:tcW w:w="1620" w:type="dxa"/>
            <w:vAlign w:val="bottom"/>
            <w:gridSpan w:val="2"/>
          </w:tcPr>
          <w:p>
            <w:pPr>
              <w:jc w:val="center"/>
              <w:ind w:left="1071"/>
              <w:spacing w:after="0"/>
              <w:rPr>
                <w:sz w:val="20"/>
                <w:szCs w:val="20"/>
                <w:color w:val="auto"/>
              </w:rPr>
            </w:pPr>
            <w:r>
              <w:rPr>
                <w:rFonts w:ascii="Arial" w:cs="Arial" w:eastAsia="Arial" w:hAnsi="Arial"/>
                <w:sz w:val="18"/>
                <w:szCs w:val="18"/>
                <w:color w:val="auto"/>
                <w:w w:val="91"/>
              </w:rPr>
              <w:t>0.2 %</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Dilek Marsh</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27,624</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071"/>
              <w:spacing w:after="0"/>
              <w:rPr>
                <w:sz w:val="20"/>
                <w:szCs w:val="20"/>
                <w:color w:val="auto"/>
              </w:rPr>
            </w:pPr>
            <w:r>
              <w:rPr>
                <w:rFonts w:ascii="Arial" w:cs="Arial" w:eastAsia="Arial" w:hAnsi="Arial"/>
                <w:sz w:val="18"/>
                <w:szCs w:val="18"/>
                <w:color w:val="auto"/>
                <w:w w:val="91"/>
              </w:rPr>
              <w:t>0.1 %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Sara R. Dial</w:t>
            </w:r>
          </w:p>
        </w:tc>
        <w:tc>
          <w:tcPr>
            <w:tcW w:w="1500" w:type="dxa"/>
            <w:vAlign w:val="bottom"/>
          </w:tcPr>
          <w:p>
            <w:pPr>
              <w:jc w:val="right"/>
              <w:spacing w:after="0"/>
              <w:rPr>
                <w:sz w:val="20"/>
                <w:szCs w:val="20"/>
                <w:color w:val="auto"/>
              </w:rPr>
            </w:pPr>
            <w:r>
              <w:rPr>
                <w:rFonts w:ascii="Arial" w:cs="Arial" w:eastAsia="Arial" w:hAnsi="Arial"/>
                <w:sz w:val="18"/>
                <w:szCs w:val="18"/>
                <w:color w:val="auto"/>
              </w:rPr>
              <w:t>9,549</w:t>
            </w:r>
          </w:p>
        </w:tc>
        <w:tc>
          <w:tcPr>
            <w:tcW w:w="180" w:type="dxa"/>
            <w:vAlign w:val="bottom"/>
          </w:tcPr>
          <w:p>
            <w:pPr>
              <w:spacing w:after="0"/>
              <w:rPr>
                <w:sz w:val="18"/>
                <w:szCs w:val="18"/>
                <w:color w:val="auto"/>
              </w:rPr>
            </w:pPr>
          </w:p>
        </w:tc>
        <w:tc>
          <w:tcPr>
            <w:tcW w:w="1620" w:type="dxa"/>
            <w:vAlign w:val="bottom"/>
            <w:gridSpan w:val="2"/>
          </w:tcPr>
          <w:p>
            <w:pPr>
              <w:jc w:val="center"/>
              <w:ind w:left="10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Kevin F. Warren</w:t>
            </w:r>
          </w:p>
        </w:tc>
        <w:tc>
          <w:tcPr>
            <w:tcW w:w="1500" w:type="dxa"/>
            <w:vAlign w:val="bottom"/>
          </w:tcPr>
          <w:p>
            <w:pPr>
              <w:jc w:val="right"/>
              <w:spacing w:after="0"/>
              <w:rPr>
                <w:sz w:val="20"/>
                <w:szCs w:val="20"/>
                <w:color w:val="auto"/>
              </w:rPr>
            </w:pPr>
            <w:r>
              <w:rPr>
                <w:rFonts w:ascii="Arial" w:cs="Arial" w:eastAsia="Arial" w:hAnsi="Arial"/>
                <w:sz w:val="18"/>
                <w:szCs w:val="18"/>
                <w:color w:val="auto"/>
              </w:rPr>
              <w:t>9,618</w:t>
            </w:r>
          </w:p>
        </w:tc>
        <w:tc>
          <w:tcPr>
            <w:tcW w:w="180" w:type="dxa"/>
            <w:vAlign w:val="bottom"/>
          </w:tcPr>
          <w:p>
            <w:pPr>
              <w:spacing w:after="0"/>
              <w:rPr>
                <w:sz w:val="18"/>
                <w:szCs w:val="18"/>
                <w:color w:val="auto"/>
              </w:rPr>
            </w:pPr>
          </w:p>
        </w:tc>
        <w:tc>
          <w:tcPr>
            <w:tcW w:w="1620" w:type="dxa"/>
            <w:vAlign w:val="bottom"/>
            <w:gridSpan w:val="2"/>
          </w:tcPr>
          <w:p>
            <w:pPr>
              <w:jc w:val="center"/>
              <w:ind w:left="10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left="10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as a group (9 persons)</w:t>
            </w:r>
          </w:p>
        </w:tc>
        <w:tc>
          <w:tcPr>
            <w:tcW w:w="1500" w:type="dxa"/>
            <w:vAlign w:val="bottom"/>
          </w:tcPr>
          <w:p>
            <w:pPr>
              <w:jc w:val="right"/>
              <w:spacing w:after="0"/>
              <w:rPr>
                <w:sz w:val="20"/>
                <w:szCs w:val="20"/>
                <w:color w:val="auto"/>
              </w:rPr>
            </w:pPr>
            <w:r>
              <w:rPr>
                <w:rFonts w:ascii="Arial" w:cs="Arial" w:eastAsia="Arial" w:hAnsi="Arial"/>
                <w:sz w:val="18"/>
                <w:szCs w:val="18"/>
                <w:color w:val="auto"/>
              </w:rPr>
              <w:t>939,830</w:t>
            </w:r>
          </w:p>
        </w:tc>
        <w:tc>
          <w:tcPr>
            <w:tcW w:w="180" w:type="dxa"/>
            <w:vAlign w:val="bottom"/>
          </w:tcPr>
          <w:p>
            <w:pPr>
              <w:spacing w:after="0"/>
              <w:rPr>
                <w:sz w:val="20"/>
                <w:szCs w:val="20"/>
                <w:color w:val="auto"/>
              </w:rPr>
            </w:pPr>
          </w:p>
        </w:tc>
        <w:tc>
          <w:tcPr>
            <w:tcW w:w="1620" w:type="dxa"/>
            <w:vAlign w:val="bottom"/>
            <w:gridSpan w:val="2"/>
          </w:tcPr>
          <w:p>
            <w:pPr>
              <w:jc w:val="center"/>
              <w:ind w:left="1071"/>
              <w:spacing w:after="0"/>
              <w:rPr>
                <w:sz w:val="20"/>
                <w:szCs w:val="20"/>
                <w:color w:val="auto"/>
              </w:rPr>
            </w:pPr>
            <w:r>
              <w:rPr>
                <w:rFonts w:ascii="Arial" w:cs="Arial" w:eastAsia="Arial" w:hAnsi="Arial"/>
                <w:sz w:val="18"/>
                <w:szCs w:val="18"/>
                <w:color w:val="auto"/>
                <w:w w:val="91"/>
              </w:rPr>
              <w:t>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14408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Represents beneficial ownership of less than 0.1%</w:t>
      </w:r>
    </w:p>
    <w:p>
      <w:pPr>
        <w:spacing w:after="0" w:line="225" w:lineRule="exact"/>
        <w:rPr>
          <w:sz w:val="20"/>
          <w:szCs w:val="20"/>
          <w:color w:val="auto"/>
        </w:rPr>
      </w:pPr>
    </w:p>
    <w:p>
      <w:pPr>
        <w:ind w:left="320" w:right="80" w:hanging="317"/>
        <w:spacing w:after="0" w:line="255"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80" w:hanging="317"/>
        <w:spacing w:after="0" w:line="220" w:lineRule="exact"/>
        <w:tabs>
          <w:tab w:leader="none" w:pos="3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information for The Vanguard Group – 23</w:t>
      </w:r>
      <w:r>
        <w:rPr>
          <w:rFonts w:ascii="MS PGothic" w:cs="MS PGothic" w:eastAsia="MS PGothic" w:hAnsi="MS PGothic"/>
          <w:sz w:val="17"/>
          <w:szCs w:val="17"/>
          <w:color w:val="auto"/>
        </w:rPr>
        <w:t>‑</w:t>
      </w:r>
      <w:r>
        <w:rPr>
          <w:rFonts w:ascii="Arial" w:cs="Arial" w:eastAsia="Arial" w:hAnsi="Arial"/>
          <w:sz w:val="17"/>
          <w:szCs w:val="17"/>
          <w:color w:val="auto"/>
        </w:rPr>
        <w:t>1945930 (“Vanguard”) is based on a Schedule 13G/A filed with the Securities and Exchange Commission on February 11, 2019. The address for Vanguard is 100 Vanguard Blvd., Malvern, PA 19355. Vanguard reported that it had sole voting power over 26,006 shares, shared voting power over 6,029 shares, sole dispositive power over 4,217,149 shares, and shared dispositive power over 27,472.</w:t>
      </w:r>
    </w:p>
    <w:p>
      <w:pPr>
        <w:spacing w:after="0" w:line="204" w:lineRule="exact"/>
        <w:rPr>
          <w:rFonts w:ascii="Arial" w:cs="Arial" w:eastAsia="Arial" w:hAnsi="Arial"/>
          <w:sz w:val="17"/>
          <w:szCs w:val="17"/>
          <w:color w:val="auto"/>
        </w:rPr>
      </w:pPr>
    </w:p>
    <w:p>
      <w:pPr>
        <w:ind w:left="320" w:right="100" w:hanging="317"/>
        <w:spacing w:after="0" w:line="259"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information for Capital World Investors (“CWI”) is based on a Schedule 13G/A filed with the Securities and Exchange Commission on February 14, 2019. The address for CWI is 333 South Hope Street, Los Angeles, CA 90071. CWI reported that it had sole voting power over 2,510,400 shares and sole dispositive power over all of its reported shares.</w:t>
      </w:r>
    </w:p>
    <w:p>
      <w:pPr>
        <w:spacing w:after="0" w:line="186"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280,124 shares owned by Mr. Mueller and 150,000 shares issuable upon the exercise of stock options that are currently exercisable or exercisable within 60 days for by Mr. Mueller.</w:t>
      </w:r>
    </w:p>
    <w:p>
      <w:pPr>
        <w:spacing w:after="0" w:line="170" w:lineRule="exact"/>
        <w:rPr>
          <w:rFonts w:ascii="Arial" w:cs="Arial" w:eastAsia="Arial" w:hAnsi="Arial"/>
          <w:sz w:val="18"/>
          <w:szCs w:val="18"/>
          <w:color w:val="auto"/>
        </w:rPr>
      </w:pPr>
    </w:p>
    <w:p>
      <w:pPr>
        <w:ind w:left="320" w:right="320" w:hanging="317"/>
        <w:spacing w:after="0" w:line="277"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97,757 shares owned by Dr. Meyer and 70,000 shares issuable upon the exercise of stock options that are currently exercisable or exercisable within 60 days for by Dr. Meyer.</w:t>
      </w:r>
    </w:p>
    <w:p>
      <w:pPr>
        <w:spacing w:after="0" w:line="170" w:lineRule="exact"/>
        <w:rPr>
          <w:rFonts w:ascii="Arial" w:cs="Arial" w:eastAsia="Arial" w:hAnsi="Arial"/>
          <w:sz w:val="18"/>
          <w:szCs w:val="18"/>
          <w:color w:val="auto"/>
        </w:rPr>
      </w:pPr>
    </w:p>
    <w:p>
      <w:pPr>
        <w:ind w:left="320" w:right="140" w:hanging="317"/>
        <w:spacing w:after="0" w:line="277"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104,669 shares owned by Mr. Bachus and 70,000 shares issuable upon the exercise of stock options that are currently exercisable or exercisable within 60 days for by Mr. Bachus.</w:t>
      </w:r>
    </w:p>
    <w:p>
      <w:pPr>
        <w:spacing w:after="0" w:line="170" w:lineRule="exact"/>
        <w:rPr>
          <w:rFonts w:ascii="Arial" w:cs="Arial" w:eastAsia="Arial" w:hAnsi="Arial"/>
          <w:sz w:val="18"/>
          <w:szCs w:val="18"/>
          <w:color w:val="auto"/>
        </w:rPr>
      </w:pPr>
    </w:p>
    <w:p>
      <w:pPr>
        <w:ind w:left="320" w:right="220" w:hanging="317"/>
        <w:spacing w:after="0" w:line="277"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68,809 shares owned by Mr. Mildenhall and 19,900 shares issuable upon the exercise of stock options that are currently exercisable or exercisable within 60 days for by Mr. Mildenhall.</w:t>
      </w:r>
    </w:p>
    <w:p>
      <w:pPr>
        <w:spacing w:after="0" w:line="16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17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Mr. Brian E. Mueller has served as the Chief Executive Officer of the Company since 2008 and the Chairman of the Board of the Company since 2017 and has also served as the President of GCU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Aside from Mr. Mueller, no other employee of GCU or GCE has a dual role in both organizations. A structure has been put in place that prevents Mr. Mueller from participating in operational matters involving the Company and GCU. Beginning July 1, 2018, the base salary under Mr. Mueller’s employment agreement with the Company was decreased by 50% to $321,000, reflecting his dual employment by GCE and GCU.</w:t>
      </w:r>
    </w:p>
    <w:p>
      <w:pPr>
        <w:spacing w:after="0" w:line="19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GCU is a separate non-profit entity under the control of an independent board of trustees, none of whose members have ever served in a management or corporate board role at the Company. GCU’s board of trustees has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GCU’s relationship with the Company, and (iii) prohibits any trustee from having any financial interest in, or role with, the Company. In addition, an operational structure has been put in place that prevents Mr. Mueller from participating in operational matters involving the Company and GCU. Accordingly, the Company’s relationship with GCU, both pursuant to the master services agreement between the two companies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There were no reportable transactions since January 1, 2018,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16(a) of the Exchange Act requires that our Company’s directors and executive officers and beneficial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owners of more than 10% of the Company’s common stock file initial reports of ownership and reports of changes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ownership with the SEC. Directors and executive officers are required to furnish the Company with copies of all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16(a) forms they file. Based solely on a review of the copies of such forms furnished to the Company and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representations from our Company’s directors and executive officers, all reports required by Section 16(a) were filed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timely basis for the fiscal year ended December 31, 2018.</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2600 W. Camelback Road, Phoenix, Arizona, 85017, Attn: Investor Relations, or by calling (602) 247</w:t>
      </w:r>
      <w:r>
        <w:rPr>
          <w:rFonts w:ascii="MS PGothic" w:cs="MS PGothic" w:eastAsia="MS PGothic" w:hAnsi="MS PGothic"/>
          <w:sz w:val="17"/>
          <w:szCs w:val="17"/>
          <w:color w:val="auto"/>
        </w:rPr>
        <w:t>‑</w:t>
      </w:r>
      <w:r>
        <w:rPr>
          <w:rFonts w:ascii="Arial" w:cs="Arial" w:eastAsia="Arial" w:hAnsi="Arial"/>
          <w:sz w:val="17"/>
          <w:szCs w:val="17"/>
          <w:color w:val="auto"/>
        </w:rPr>
        <w:t>4400.</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648"/>
        <w:spacing w:after="0" w:line="218" w:lineRule="exact"/>
        <w:rPr>
          <w:sz w:val="20"/>
          <w:szCs w:val="20"/>
          <w:color w:val="auto"/>
        </w:rPr>
      </w:pPr>
      <w:r>
        <w:rPr>
          <w:rFonts w:ascii="Arial" w:cs="Arial" w:eastAsia="Arial" w:hAnsi="Arial"/>
          <w:sz w:val="16"/>
          <w:szCs w:val="16"/>
          <w:color w:val="auto"/>
        </w:rPr>
        <w:t>Our 2018 annual report and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 xml:space="preserve">K for fiscal year 2018, including financial statements, are available electronically along with our proxy statement to all stockholders of record as of April 18, 2019,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for the</w:t>
      </w:r>
      <w:r>
        <w:rPr>
          <w:rFonts w:ascii="Arial" w:cs="Arial" w:eastAsia="Arial" w:hAnsi="Arial"/>
          <w:sz w:val="16"/>
          <w:szCs w:val="16"/>
          <w:color w:val="auto"/>
        </w:rPr>
        <w:t xml:space="preserve"> </w:t>
      </w:r>
      <w:r>
        <w:rPr>
          <w:rFonts w:ascii="Arial" w:cs="Arial" w:eastAsia="Arial" w:hAnsi="Arial"/>
          <w:sz w:val="16"/>
          <w:szCs w:val="16"/>
          <w:b w:val="1"/>
          <w:bCs w:val="1"/>
          <w:color w:val="auto"/>
        </w:rPr>
        <w:t>fiscal year ended December 31, 2018, and our proxy statement may do so without charge by writing to Investor Relations, Grand Canyon Education, Inc., 2600 W. Camelback Road, Phoenix, Arizona 85017.</w:t>
      </w:r>
    </w:p>
    <w:p>
      <w:pPr>
        <w:spacing w:after="0" w:line="206"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As of the date of this proxy statement, management knows of no matters that will be presented for determination at the Annual Meeting other than those referred to herein. If any other matters properly come before the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77" w:lineRule="auto"/>
        <w:rPr>
          <w:sz w:val="20"/>
          <w:szCs w:val="20"/>
          <w:color w:val="auto"/>
        </w:rPr>
      </w:pPr>
      <w:r>
        <w:rPr>
          <w:rFonts w:ascii="Arial" w:cs="Arial" w:eastAsia="Arial" w:hAnsi="Arial"/>
          <w:sz w:val="18"/>
          <w:szCs w:val="18"/>
          <w:color w:val="auto"/>
        </w:rPr>
        <w:t>Annual Meeting calling for a vote of stockholders, it is intended that the persons named in the proxies solicited by our Board of Directors, in accordance with their best judgment, will vote the shares represented by these proxies.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366395</wp:posOffset>
            </wp:positionV>
            <wp:extent cx="5522595" cy="71348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22595"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5"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383540</wp:posOffset>
            </wp:positionV>
            <wp:extent cx="5514340" cy="7134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14340" cy="713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9539"/>
      </w:cols>
      <w:pgMar w:left="9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2)"/>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bullet"/>
      <w:start w:val="1"/>
    </w:lvl>
  </w:abstractNum>
  <w:abstractNum w:abstractNumId="5">
    <w:nsid w:val="7C3DBD3D"/>
    <w:multiLevelType w:val="hybridMultilevel"/>
    <w:lvl w:ilvl="0">
      <w:lvlJc w:val="left"/>
      <w:lvlText w:val="3"/>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Roman"/>
      <w:start w:val="2"/>
    </w:lvl>
  </w:abstractNum>
  <w:abstractNum w:abstractNumId="17">
    <w:nsid w:val="77465F01"/>
    <w:multiLevelType w:val="hybridMultilevel"/>
    <w:lvl w:ilvl="0">
      <w:lvlJc w:val="left"/>
      <w:lvlText w:val="(%1)"/>
      <w:numFmt w:val="decimal"/>
      <w:start w:val="10"/>
    </w:lvl>
  </w:abstractNum>
  <w:abstractNum w:abstractNumId="18">
    <w:nsid w:val="7724C67E"/>
    <w:multiLevelType w:val="hybridMultilevel"/>
    <w:lvl w:ilvl="0">
      <w:lvlJc w:val="left"/>
      <w:lvlText w:val="(%1)"/>
      <w:numFmt w:val="decimal"/>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lvl w:ilvl="1">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2"/>
    </w:lvl>
    <w:lvl w:ilvl="1">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2019-12-03T05:41:05Z</dcterms:created>
  <dcterms:modified xsi:type="dcterms:W3CDTF">2019-12-03T05:41:05Z</dcterms:modified>
</cp:coreProperties>
</file>