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October 31,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4</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to</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48" w:lineRule="exact"/>
        <w:rPr>
          <w:sz w:val="20"/>
          <w:szCs w:val="20"/>
          <w:color w:val="auto"/>
        </w:rPr>
      </w:pPr>
    </w:p>
    <w:p>
      <w:pPr>
        <w:ind w:left="194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440"/>
        <w:spacing w:after="0"/>
        <w:rPr>
          <w:sz w:val="20"/>
          <w:szCs w:val="20"/>
          <w:color w:val="auto"/>
        </w:rPr>
      </w:pPr>
      <w:r>
        <w:rPr>
          <w:rFonts w:ascii="Arial" w:cs="Arial" w:eastAsia="Arial" w:hAnsi="Arial"/>
          <w:sz w:val="9"/>
          <w:szCs w:val="9"/>
          <w:b w:val="1"/>
          <w:bCs w:val="1"/>
          <w:color w:val="auto"/>
        </w:rPr>
        <w:t>8221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20-3356009</w:t>
      </w:r>
    </w:p>
    <w:p>
      <w:pPr>
        <w:spacing w:after="0" w:line="41" w:lineRule="exact"/>
        <w:rPr>
          <w:sz w:val="20"/>
          <w:szCs w:val="20"/>
          <w:color w:val="auto"/>
        </w:rPr>
      </w:pPr>
    </w:p>
    <w:p>
      <w:pPr>
        <w:sectPr>
          <w:pgSz w:w="11900" w:h="16838" w:orient="portrait"/>
          <w:cols w:equalWidth="0" w:num="3">
            <w:col w:w="5000" w:space="720"/>
            <w:col w:w="2680" w:space="720"/>
            <w:col w:w="2000"/>
          </w:cols>
          <w:pgMar w:left="220" w:top="127" w:right="559" w:bottom="1440" w:gutter="0" w:footer="0" w:header="0"/>
          <w:type w:val="continuous"/>
        </w:sectPr>
      </w:pPr>
    </w:p>
    <w:p>
      <w:pPr>
        <w:spacing w:after="0" w:line="7"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50"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8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Christopher C. Richardson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General Counsel</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Grand Canyon Education,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66" w:lineRule="exact"/>
        <w:rPr>
          <w:sz w:val="20"/>
          <w:szCs w:val="20"/>
          <w:color w:val="auto"/>
        </w:rPr>
      </w:pPr>
    </w:p>
    <w:tbl>
      <w:tblPr>
        <w:tblLayout w:type="fixed"/>
        <w:tblInd w:w="2100" w:type="dxa"/>
        <w:tblCellMar>
          <w:top w:w="0" w:type="dxa"/>
          <w:left w:w="0" w:type="dxa"/>
          <w:bottom w:w="0" w:type="dxa"/>
          <w:right w:w="0" w:type="dxa"/>
        </w:tblCellMar>
      </w:tblP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5"/>
              </w:rPr>
              <w:t>Steven D. Pidgeon, Esq.</w:t>
            </w:r>
          </w:p>
        </w:tc>
        <w:tc>
          <w:tcPr>
            <w:tcW w:w="3380" w:type="dxa"/>
            <w:vAlign w:val="bottom"/>
          </w:tcPr>
          <w:p>
            <w:pPr>
              <w:jc w:val="center"/>
              <w:ind w:left="182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7"/>
              </w:rPr>
              <w:t>David P. Lewis, Esq.</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96"/>
              </w:rPr>
              <w:t>DLA Piper LLP (US)</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6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355 South Grand Avenue</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89"/>
              </w:rPr>
              <w:t>Phoenix, Arizona 85016</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60" w:type="dxa"/>
            <w:vAlign w:val="bottom"/>
          </w:tcPr>
          <w:p>
            <w:pPr>
              <w:jc w:val="center"/>
              <w:ind w:right="1801"/>
              <w:spacing w:after="0"/>
              <w:rPr>
                <w:sz w:val="20"/>
                <w:szCs w:val="20"/>
                <w:color w:val="auto"/>
              </w:rPr>
            </w:pPr>
            <w:r>
              <w:rPr>
                <w:rFonts w:ascii="Arial" w:cs="Arial" w:eastAsia="Arial" w:hAnsi="Arial"/>
                <w:sz w:val="12"/>
                <w:szCs w:val="12"/>
                <w:b w:val="1"/>
                <w:bCs w:val="1"/>
                <w:color w:val="auto"/>
                <w:w w:val="90"/>
              </w:rPr>
              <w:t>(480) 606-5100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this registration statement becomes effective.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 o</w:t>
      </w:r>
    </w:p>
    <w:p>
      <w:pPr>
        <w:spacing w:after="0" w:line="42" w:lineRule="exact"/>
        <w:rPr>
          <w:sz w:val="20"/>
          <w:szCs w:val="20"/>
          <w:color w:val="auto"/>
        </w:rPr>
      </w:pPr>
    </w:p>
    <w:p>
      <w:pPr>
        <w:ind w:left="340" w:right="12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560" w:right="160"/>
        <w:spacing w:after="0" w:line="364"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1200" w:type="dxa"/>
            <w:vAlign w:val="bottom"/>
          </w:tcPr>
          <w:p>
            <w:pPr>
              <w:spacing w:after="0"/>
              <w:rPr>
                <w:sz w:val="20"/>
                <w:szCs w:val="20"/>
                <w:color w:val="auto"/>
              </w:rPr>
            </w:pPr>
            <w:r>
              <w:rPr>
                <w:rFonts w:ascii="Arial" w:cs="Arial" w:eastAsia="Arial" w:hAnsi="Arial"/>
                <w:sz w:val="10"/>
                <w:szCs w:val="10"/>
                <w:color w:val="auto"/>
              </w:rPr>
              <w:t>Large accelerated filer o</w:t>
            </w:r>
          </w:p>
        </w:tc>
        <w:tc>
          <w:tcPr>
            <w:tcW w:w="2800" w:type="dxa"/>
            <w:vAlign w:val="bottom"/>
          </w:tcPr>
          <w:p>
            <w:pPr>
              <w:ind w:left="860"/>
              <w:spacing w:after="0"/>
              <w:rPr>
                <w:sz w:val="20"/>
                <w:szCs w:val="20"/>
                <w:color w:val="auto"/>
              </w:rPr>
            </w:pPr>
            <w:r>
              <w:rPr>
                <w:rFonts w:ascii="Arial" w:cs="Arial" w:eastAsia="Arial" w:hAnsi="Arial"/>
                <w:sz w:val="10"/>
                <w:szCs w:val="10"/>
                <w:color w:val="auto"/>
              </w:rPr>
              <w:t>Accelerated filer o</w:t>
            </w:r>
          </w:p>
        </w:tc>
        <w:tc>
          <w:tcPr>
            <w:tcW w:w="1360" w:type="dxa"/>
            <w:vAlign w:val="bottom"/>
          </w:tcPr>
          <w:p>
            <w:pPr>
              <w:spacing w:after="0"/>
              <w:rPr>
                <w:sz w:val="11"/>
                <w:szCs w:val="11"/>
                <w:color w:val="auto"/>
              </w:rPr>
            </w:pPr>
          </w:p>
        </w:tc>
        <w:tc>
          <w:tcPr>
            <w:tcW w:w="2100" w:type="dxa"/>
            <w:vAlign w:val="bottom"/>
            <w:gridSpan w:val="2"/>
          </w:tcPr>
          <w:p>
            <w:pPr>
              <w:jc w:val="center"/>
              <w:ind w:right="666"/>
              <w:spacing w:after="0" w:line="115" w:lineRule="exact"/>
              <w:rPr>
                <w:sz w:val="20"/>
                <w:szCs w:val="20"/>
                <w:color w:val="auto"/>
              </w:rPr>
            </w:pPr>
            <w:r>
              <w:rPr>
                <w:rFonts w:ascii="Arial" w:cs="Arial" w:eastAsia="Arial" w:hAnsi="Arial"/>
                <w:sz w:val="10"/>
                <w:szCs w:val="10"/>
                <w:color w:val="auto"/>
                <w:w w:val="97"/>
              </w:rPr>
              <w:t xml:space="preserve">Non-accelerated filer </w:t>
            </w:r>
            <w:r>
              <w:rPr>
                <w:rFonts w:ascii="MS PGothic" w:cs="MS PGothic" w:eastAsia="MS PGothic" w:hAnsi="MS PGothic"/>
                <w:sz w:val="10"/>
                <w:szCs w:val="10"/>
                <w:color w:val="auto"/>
                <w:w w:val="97"/>
              </w:rPr>
              <w:t>☑</w:t>
            </w:r>
          </w:p>
        </w:tc>
        <w:tc>
          <w:tcPr>
            <w:tcW w:w="1720" w:type="dxa"/>
            <w:vAlign w:val="bottom"/>
          </w:tcPr>
          <w:p>
            <w:pPr>
              <w:spacing w:after="0"/>
              <w:rPr>
                <w:sz w:val="11"/>
                <w:szCs w:val="11"/>
                <w:color w:val="auto"/>
              </w:rPr>
            </w:pPr>
          </w:p>
        </w:tc>
        <w:tc>
          <w:tcPr>
            <w:tcW w:w="1600" w:type="dxa"/>
            <w:vAlign w:val="bottom"/>
          </w:tcPr>
          <w:p>
            <w:pPr>
              <w:ind w:left="380"/>
              <w:spacing w:after="0"/>
              <w:rPr>
                <w:sz w:val="20"/>
                <w:szCs w:val="20"/>
                <w:color w:val="auto"/>
              </w:rPr>
            </w:pPr>
            <w:r>
              <w:rPr>
                <w:rFonts w:ascii="Arial" w:cs="Arial" w:eastAsia="Arial" w:hAnsi="Arial"/>
                <w:sz w:val="10"/>
                <w:szCs w:val="10"/>
                <w:color w:val="auto"/>
                <w:w w:val="93"/>
              </w:rPr>
              <w:t>Smaller reporting company o</w:t>
            </w: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460" w:type="dxa"/>
            <w:vAlign w:val="bottom"/>
            <w:gridSpan w:val="3"/>
          </w:tcPr>
          <w:p>
            <w:pPr>
              <w:jc w:val="center"/>
              <w:ind w:left="585"/>
              <w:spacing w:after="0"/>
              <w:rPr>
                <w:sz w:val="20"/>
                <w:szCs w:val="20"/>
                <w:color w:val="auto"/>
              </w:rPr>
            </w:pPr>
            <w:r>
              <w:rPr>
                <w:rFonts w:ascii="Arial" w:cs="Arial" w:eastAsia="Arial" w:hAnsi="Arial"/>
                <w:sz w:val="10"/>
                <w:szCs w:val="10"/>
                <w:color w:val="auto"/>
                <w:w w:val="96"/>
              </w:rPr>
              <w:t>(Do not check if a smaller reporting company)</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460" w:type="dxa"/>
            <w:vAlign w:val="bottom"/>
            <w:gridSpan w:val="3"/>
          </w:tcPr>
          <w:p>
            <w:pPr>
              <w:ind w:left="260"/>
              <w:spacing w:after="0"/>
              <w:rPr>
                <w:sz w:val="20"/>
                <w:szCs w:val="20"/>
                <w:color w:val="auto"/>
              </w:rPr>
            </w:pPr>
            <w:r>
              <w:rPr>
                <w:rFonts w:ascii="Arial" w:cs="Arial" w:eastAsia="Arial" w:hAnsi="Arial"/>
                <w:sz w:val="12"/>
                <w:szCs w:val="12"/>
                <w:b w:val="1"/>
                <w:bCs w:val="1"/>
                <w:color w:val="auto"/>
              </w:rPr>
              <w:t>CALCULATION OF REGISTRATION FEE</w:t>
            </w: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2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00" w:type="dxa"/>
            <w:vAlign w:val="bottom"/>
          </w:tcPr>
          <w:p>
            <w:pPr>
              <w:spacing w:after="0"/>
              <w:rPr>
                <w:sz w:val="7"/>
                <w:szCs w:val="7"/>
                <w:color w:val="auto"/>
              </w:rPr>
            </w:pPr>
          </w:p>
        </w:tc>
        <w:tc>
          <w:tcPr>
            <w:tcW w:w="2800" w:type="dxa"/>
            <w:vAlign w:val="bottom"/>
            <w:tcBorders>
              <w:right w:val="single" w:sz="8" w:color="auto"/>
            </w:tcBorders>
            <w:vMerge w:val="restart"/>
          </w:tcPr>
          <w:p>
            <w:pPr>
              <w:jc w:val="center"/>
              <w:ind w:right="1248"/>
              <w:spacing w:after="0"/>
              <w:rPr>
                <w:sz w:val="20"/>
                <w:szCs w:val="20"/>
                <w:color w:val="auto"/>
              </w:rPr>
            </w:pPr>
            <w:r>
              <w:rPr>
                <w:rFonts w:ascii="Arial" w:cs="Arial" w:eastAsia="Arial" w:hAnsi="Arial"/>
                <w:sz w:val="10"/>
                <w:szCs w:val="10"/>
                <w:b w:val="1"/>
                <w:bCs w:val="1"/>
                <w:color w:val="auto"/>
                <w:w w:val="92"/>
              </w:rPr>
              <w:t>Title of Each Class of</w:t>
            </w:r>
          </w:p>
        </w:tc>
        <w:tc>
          <w:tcPr>
            <w:tcW w:w="136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Amount to be</w:t>
            </w:r>
          </w:p>
        </w:tc>
        <w:tc>
          <w:tcPr>
            <w:tcW w:w="38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7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6"/>
              </w:rPr>
              <w:t>Proposed Maximum</w:t>
            </w:r>
          </w:p>
        </w:tc>
        <w:tc>
          <w:tcPr>
            <w:tcW w:w="1600" w:type="dxa"/>
            <w:vAlign w:val="bottom"/>
            <w:vMerge w:val="restart"/>
          </w:tcPr>
          <w:p>
            <w:pPr>
              <w:jc w:val="center"/>
              <w:ind w:left="26"/>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6"/>
              </w:rPr>
              <w:t>Offering Price Per</w:t>
            </w: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6"/>
              </w:rPr>
              <w:t>Aggregate Offering</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0" w:type="dxa"/>
            <w:vAlign w:val="bottom"/>
            <w:tcBorders>
              <w:bottom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jc w:val="center"/>
              <w:ind w:right="1248"/>
              <w:spacing w:after="0"/>
              <w:rPr>
                <w:sz w:val="20"/>
                <w:szCs w:val="20"/>
                <w:color w:val="auto"/>
              </w:rPr>
            </w:pPr>
            <w:r>
              <w:rPr>
                <w:rFonts w:ascii="Arial" w:cs="Arial" w:eastAsia="Arial" w:hAnsi="Arial"/>
                <w:sz w:val="10"/>
                <w:szCs w:val="10"/>
                <w:b w:val="1"/>
                <w:bCs w:val="1"/>
                <w:color w:val="auto"/>
                <w:w w:val="92"/>
              </w:rPr>
              <w:t>Security To be Registered</w:t>
            </w:r>
          </w:p>
        </w:tc>
        <w:tc>
          <w:tcPr>
            <w:tcW w:w="1360" w:type="dxa"/>
            <w:vAlign w:val="bottom"/>
            <w:tcBorders>
              <w:bottom w:val="single" w:sz="8" w:color="auto"/>
            </w:tcBorders>
          </w:tcPr>
          <w:p>
            <w:pPr>
              <w:jc w:val="center"/>
              <w:ind w:left="305"/>
              <w:spacing w:after="0"/>
              <w:rPr>
                <w:sz w:val="20"/>
                <w:szCs w:val="20"/>
                <w:color w:val="auto"/>
              </w:rPr>
            </w:pPr>
            <w:r>
              <w:rPr>
                <w:rFonts w:ascii="Arial" w:cs="Arial" w:eastAsia="Arial" w:hAnsi="Arial"/>
                <w:sz w:val="10"/>
                <w:szCs w:val="10"/>
                <w:b w:val="1"/>
                <w:bCs w:val="1"/>
                <w:color w:val="auto"/>
                <w:w w:val="93"/>
              </w:rPr>
              <w:t>Registered(1)</w:t>
            </w:r>
          </w:p>
        </w:tc>
        <w:tc>
          <w:tcPr>
            <w:tcW w:w="38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Share(2)</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Price(2)</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0"/>
                <w:szCs w:val="10"/>
                <w:b w:val="1"/>
                <w:bCs w:val="1"/>
                <w:color w:val="auto"/>
                <w:w w:val="94"/>
              </w:rPr>
              <w:t>Registration Fee(3)</w:t>
            </w:r>
          </w:p>
        </w:tc>
        <w:tc>
          <w:tcPr>
            <w:tcW w:w="0" w:type="dxa"/>
            <w:vAlign w:val="bottom"/>
          </w:tcPr>
          <w:p>
            <w:pPr>
              <w:spacing w:after="0"/>
              <w:rPr>
                <w:sz w:val="1"/>
                <w:szCs w:val="1"/>
                <w:color w:val="auto"/>
              </w:rPr>
            </w:pPr>
          </w:p>
        </w:tc>
      </w:tr>
      <w:tr>
        <w:trPr>
          <w:trHeight w:val="147"/>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Common Stock, par value $0.01 per share</w:t>
            </w:r>
          </w:p>
        </w:tc>
        <w:tc>
          <w:tcPr>
            <w:tcW w:w="136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color w:val="auto"/>
              </w:rPr>
              <w:t>12,075,000</w:t>
            </w:r>
          </w:p>
        </w:tc>
        <w:tc>
          <w:tcPr>
            <w:tcW w:w="38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jc w:val="right"/>
              <w:ind w:right="646"/>
              <w:spacing w:after="0"/>
              <w:rPr>
                <w:sz w:val="20"/>
                <w:szCs w:val="20"/>
                <w:color w:val="auto"/>
              </w:rPr>
            </w:pPr>
            <w:r>
              <w:rPr>
                <w:rFonts w:ascii="Arial" w:cs="Arial" w:eastAsia="Arial" w:hAnsi="Arial"/>
                <w:sz w:val="12"/>
                <w:szCs w:val="12"/>
                <w:color w:val="auto"/>
              </w:rPr>
              <w:t>$20.00</w:t>
            </w:r>
          </w:p>
        </w:tc>
        <w:tc>
          <w:tcPr>
            <w:tcW w:w="1720" w:type="dxa"/>
            <w:vAlign w:val="bottom"/>
            <w:tcBorders>
              <w:bottom w:val="single" w:sz="8" w:color="auto"/>
              <w:right w:val="single" w:sz="8" w:color="auto"/>
            </w:tcBorders>
          </w:tcPr>
          <w:p>
            <w:pPr>
              <w:jc w:val="right"/>
              <w:ind w:right="486"/>
              <w:spacing w:after="0"/>
              <w:rPr>
                <w:sz w:val="20"/>
                <w:szCs w:val="20"/>
                <w:color w:val="auto"/>
              </w:rPr>
            </w:pPr>
            <w:r>
              <w:rPr>
                <w:rFonts w:ascii="Arial" w:cs="Arial" w:eastAsia="Arial" w:hAnsi="Arial"/>
                <w:sz w:val="12"/>
                <w:szCs w:val="12"/>
                <w:color w:val="auto"/>
              </w:rPr>
              <w:t>$241,500,000</w:t>
            </w:r>
          </w:p>
        </w:tc>
        <w:tc>
          <w:tcPr>
            <w:tcW w:w="1600" w:type="dxa"/>
            <w:vAlign w:val="bottom"/>
            <w:tcBorders>
              <w:bottom w:val="single" w:sz="8" w:color="auto"/>
            </w:tcBorders>
          </w:tcPr>
          <w:p>
            <w:pPr>
              <w:jc w:val="center"/>
              <w:ind w:left="46"/>
              <w:spacing w:after="0"/>
              <w:rPr>
                <w:sz w:val="20"/>
                <w:szCs w:val="20"/>
                <w:color w:val="auto"/>
              </w:rPr>
            </w:pPr>
            <w:r>
              <w:rPr>
                <w:rFonts w:ascii="Arial" w:cs="Arial" w:eastAsia="Arial" w:hAnsi="Arial"/>
                <w:sz w:val="12"/>
                <w:szCs w:val="12"/>
                <w:color w:val="auto"/>
                <w:w w:val="92"/>
              </w:rPr>
              <w:t>$9,491</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1,575,000 shares of Common Stock issuable upon exercise of the underwriters’ over-allotment option.</w:t>
      </w:r>
    </w:p>
    <w:p>
      <w:pPr>
        <w:spacing w:after="0" w:line="48" w:lineRule="exact"/>
        <w:rPr>
          <w:rFonts w:ascii="Arial" w:cs="Arial" w:eastAsia="Arial" w:hAnsi="Arial"/>
          <w:sz w:val="12"/>
          <w:szCs w:val="12"/>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w:t>
      </w:r>
    </w:p>
    <w:p>
      <w:pPr>
        <w:spacing w:after="0" w:line="48" w:lineRule="exact"/>
        <w:rPr>
          <w:rFonts w:ascii="Arial" w:cs="Arial" w:eastAsia="Arial" w:hAnsi="Arial"/>
          <w:sz w:val="12"/>
          <w:szCs w:val="12"/>
          <w:color w:val="auto"/>
        </w:rPr>
      </w:pPr>
    </w:p>
    <w:p>
      <w:pPr>
        <w:ind w:left="560" w:hanging="217"/>
        <w:spacing w:after="0"/>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Previously paid.</w:t>
      </w:r>
    </w:p>
    <w:p>
      <w:pPr>
        <w:spacing w:after="0" w:line="96" w:lineRule="exact"/>
        <w:rPr>
          <w:sz w:val="20"/>
          <w:szCs w:val="20"/>
          <w:color w:val="auto"/>
        </w:rPr>
      </w:pPr>
    </w:p>
    <w:p>
      <w:pPr>
        <w:ind w:left="340" w:right="60" w:firstLine="324"/>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69215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8"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E8112D"/>
        </w:rPr>
        <w:t>Subject to Completion</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E8112D"/>
        </w:rPr>
        <w:t>Dated October 31, 2008</w:t>
      </w:r>
    </w:p>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90805</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6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is the initial public offering of common stock of Grand Canyon Education, Inc. We are offering 10,500,000 shares of our common stock.</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of our common stock is expected to be between $18.00 and $20.00 per share. We have received approval to list our common stock on the Nasdaq Global Market under the symbol “LOPE.”</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Seventy-five percent (75%) of the gross proceeds from the sale of stock in this offering, before underwriting discounts and commissions and estimated offering expenses, will be paid to our existing stockholders as a special distribution.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11.</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Per Share</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Total</w:t>
            </w:r>
          </w:p>
        </w:tc>
      </w:tr>
      <w:tr>
        <w:trPr>
          <w:trHeight w:val="178"/>
        </w:trPr>
        <w:tc>
          <w:tcPr>
            <w:tcW w:w="8040" w:type="dxa"/>
            <w:vAlign w:val="bottom"/>
          </w:tcPr>
          <w:p>
            <w:pPr>
              <w:spacing w:after="0"/>
              <w:rPr>
                <w:sz w:val="20"/>
                <w:szCs w:val="20"/>
                <w:color w:val="auto"/>
              </w:rPr>
            </w:pPr>
            <w:r>
              <w:rPr>
                <w:rFonts w:ascii="Arial" w:cs="Arial" w:eastAsia="Arial" w:hAnsi="Arial"/>
                <w:sz w:val="13"/>
                <w:szCs w:val="13"/>
                <w:color w:val="auto"/>
              </w:rPr>
              <w:t>Public offering price</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Underwriting discounts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granted the underwriters a 30-day option to purchase up to 1,575,000 additional shares of common stock from us at the public offering price, less the underwriting discounts and commissions, to cover over-allotments of shares, if any.</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000" w:type="dxa"/>
            <w:vAlign w:val="bottom"/>
            <w:gridSpan w:val="2"/>
          </w:tcPr>
          <w:p>
            <w:pPr>
              <w:ind w:left="400"/>
              <w:spacing w:after="0"/>
              <w:rPr>
                <w:sz w:val="20"/>
                <w:szCs w:val="20"/>
                <w:color w:val="auto"/>
              </w:rPr>
            </w:pPr>
            <w:r>
              <w:rPr>
                <w:rFonts w:ascii="Arial" w:cs="Arial" w:eastAsia="Arial" w:hAnsi="Arial"/>
                <w:sz w:val="13"/>
                <w:szCs w:val="13"/>
                <w:color w:val="auto"/>
                <w:w w:val="96"/>
              </w:rPr>
              <w:t>Delivery of the shares of common stock will be made on or about</w:t>
            </w:r>
          </w:p>
        </w:tc>
        <w:tc>
          <w:tcPr>
            <w:tcW w:w="5980" w:type="dxa"/>
            <w:vAlign w:val="bottom"/>
          </w:tcPr>
          <w:p>
            <w:pPr>
              <w:ind w:left="160"/>
              <w:spacing w:after="0"/>
              <w:rPr>
                <w:sz w:val="20"/>
                <w:szCs w:val="20"/>
                <w:color w:val="auto"/>
              </w:rPr>
            </w:pPr>
            <w:r>
              <w:rPr>
                <w:rFonts w:ascii="Arial" w:cs="Arial" w:eastAsia="Arial" w:hAnsi="Arial"/>
                <w:sz w:val="13"/>
                <w:szCs w:val="13"/>
                <w:color w:val="auto"/>
              </w:rPr>
              <w:t>, 2008.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98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Joint Book-Running Managers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Credit Suisse</w:t>
            </w:r>
          </w:p>
        </w:tc>
        <w:tc>
          <w:tcPr>
            <w:tcW w:w="5980" w:type="dxa"/>
            <w:vAlign w:val="bottom"/>
          </w:tcPr>
          <w:p>
            <w:pPr>
              <w:ind w:left="3900"/>
              <w:spacing w:after="0"/>
              <w:rPr>
                <w:sz w:val="20"/>
                <w:szCs w:val="20"/>
                <w:color w:val="auto"/>
              </w:rPr>
            </w:pPr>
            <w:r>
              <w:rPr>
                <w:rFonts w:ascii="Arial" w:cs="Arial" w:eastAsia="Arial" w:hAnsi="Arial"/>
                <w:sz w:val="24"/>
                <w:szCs w:val="24"/>
                <w:b w:val="1"/>
                <w:bCs w:val="1"/>
                <w:color w:val="auto"/>
                <w:w w:val="94"/>
              </w:rPr>
              <w:t>Merrill Lynch &amp;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167640</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368"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BMO Capital Markets William Blair &amp; Company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48895</wp:posOffset>
            </wp:positionV>
            <wp:extent cx="16478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157" w:lineRule="exact"/>
        <w:rPr>
          <w:sz w:val="20"/>
          <w:szCs w:val="20"/>
          <w:color w:val="auto"/>
        </w:rPr>
      </w:pPr>
    </w:p>
    <w:p>
      <w:pPr>
        <w:ind w:left="4560"/>
        <w:spacing w:after="0"/>
        <w:tabs>
          <w:tab w:leader="none" w:pos="6400" w:val="left"/>
        </w:tabs>
        <w:rPr>
          <w:sz w:val="20"/>
          <w:szCs w:val="20"/>
          <w:color w:val="auto"/>
        </w:rPr>
      </w:pPr>
      <w:r>
        <w:rPr>
          <w:rFonts w:ascii="Arial" w:cs="Arial" w:eastAsia="Arial" w:hAnsi="Arial"/>
          <w:sz w:val="13"/>
          <w:szCs w:val="13"/>
          <w:color w:val="auto"/>
        </w:rPr>
        <w:t>The date of this prospectus is</w:t>
      </w:r>
      <w:r>
        <w:rPr>
          <w:sz w:val="20"/>
          <w:szCs w:val="20"/>
          <w:color w:val="auto"/>
        </w:rPr>
        <w:tab/>
      </w:r>
      <w:r>
        <w:rPr>
          <w:rFonts w:ascii="Arial" w:cs="Arial" w:eastAsia="Arial" w:hAnsi="Arial"/>
          <w:sz w:val="11"/>
          <w:szCs w:val="1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00" w:type="dxa"/>
            <w:vAlign w:val="bottom"/>
            <w:gridSpan w:val="3"/>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3"/>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3"/>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Forward-Looking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86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87"/>
              </w:rPr>
            </w:pPr>
            <w:hyperlink w:anchor="page40">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60" w:type="dxa"/>
            <w:vAlign w:val="bottom"/>
            <w:gridSpan w:val="11"/>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137"/>
        </w:trPr>
        <w:tc>
          <w:tcPr>
            <w:tcW w:w="1060" w:type="dxa"/>
            <w:vAlign w:val="bottom"/>
            <w:tcBorders>
              <w:bottom w:val="single" w:sz="8" w:color="0000EE"/>
            </w:tcBorders>
            <w:gridSpan w:val="12"/>
          </w:tcPr>
          <w:p>
            <w:pPr>
              <w:spacing w:after="0" w:line="138" w:lineRule="exact"/>
              <w:rPr>
                <w:rFonts w:ascii="Arial" w:cs="Arial" w:eastAsia="Arial" w:hAnsi="Arial"/>
                <w:sz w:val="13"/>
                <w:szCs w:val="13"/>
                <w:color w:val="0000EE"/>
                <w:w w:val="93"/>
              </w:rPr>
            </w:pPr>
            <w:hyperlink w:anchor="page41">
              <w:r>
                <w:rPr>
                  <w:rFonts w:ascii="Arial" w:cs="Arial" w:eastAsia="Arial" w:hAnsi="Arial"/>
                  <w:sz w:val="13"/>
                  <w:szCs w:val="13"/>
                  <w:color w:val="0000EE"/>
                  <w:w w:val="93"/>
                </w:rPr>
                <w:t>Special Distribution</w:t>
              </w:r>
            </w:hyperlink>
          </w:p>
        </w:tc>
        <w:tc>
          <w:tcPr>
            <w:tcW w:w="654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137"/>
        </w:trPr>
        <w:tc>
          <w:tcPr>
            <w:tcW w:w="7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4"/>
              </w:rPr>
            </w:pPr>
            <w:hyperlink w:anchor="page43">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38</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Selected Financial and Other Data</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48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7"/>
              </w:rPr>
            </w:pPr>
            <w:hyperlink w:anchor="page70">
              <w:r>
                <w:rPr>
                  <w:rFonts w:ascii="Arial" w:cs="Arial" w:eastAsia="Arial" w:hAnsi="Arial"/>
                  <w:sz w:val="13"/>
                  <w:szCs w:val="13"/>
                  <w:color w:val="0000EE"/>
                  <w:w w:val="87"/>
                </w:rPr>
                <w:t>Business</w:t>
              </w:r>
            </w:hyperlink>
          </w:p>
        </w:tc>
        <w:tc>
          <w:tcPr>
            <w:tcW w:w="4220" w:type="dxa"/>
            <w:vAlign w:val="bottom"/>
            <w:tcBorders>
              <w:top w:val="single" w:sz="8" w:color="0000EE"/>
            </w:tcBorders>
            <w:gridSpan w:val="21"/>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65</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Regulation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0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100</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10">
              <w:r>
                <w:rPr>
                  <w:rFonts w:ascii="Arial" w:cs="Arial" w:eastAsia="Arial" w:hAnsi="Arial"/>
                  <w:sz w:val="13"/>
                  <w:szCs w:val="13"/>
                  <w:color w:val="0000EE"/>
                </w:rPr>
                <w:t>Compensation Discussion and Analysis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3"/>
          </w:tcPr>
          <w:p>
            <w:pPr>
              <w:spacing w:after="0" w:line="138" w:lineRule="exact"/>
              <w:rPr>
                <w:rFonts w:ascii="Arial" w:cs="Arial" w:eastAsia="Arial" w:hAnsi="Arial"/>
                <w:sz w:val="13"/>
                <w:szCs w:val="13"/>
                <w:color w:val="0000EE"/>
                <w:w w:val="90"/>
              </w:rPr>
            </w:pPr>
            <w:hyperlink w:anchor="page121">
              <w:r>
                <w:rPr>
                  <w:rFonts w:ascii="Arial" w:cs="Arial" w:eastAsia="Arial" w:hAnsi="Arial"/>
                  <w:sz w:val="13"/>
                  <w:szCs w:val="13"/>
                  <w:color w:val="0000EE"/>
                  <w:w w:val="90"/>
                </w:rPr>
                <w:t>Certain Relationships and Related Transactions</w:t>
              </w:r>
            </w:hyperlink>
          </w:p>
        </w:tc>
        <w:tc>
          <w:tcPr>
            <w:tcW w:w="510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27">
              <w:r>
                <w:rPr>
                  <w:rFonts w:ascii="Arial" w:cs="Arial" w:eastAsia="Arial" w:hAnsi="Arial"/>
                  <w:sz w:val="13"/>
                  <w:szCs w:val="13"/>
                  <w:color w:val="0000EE"/>
                </w:rPr>
                <w:t>Beneficial Ownership of Common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2140" w:type="dxa"/>
            <w:vAlign w:val="bottom"/>
            <w:tcBorders>
              <w:top w:val="single" w:sz="8" w:color="0000EE"/>
            </w:tcBorders>
            <w:gridSpan w:val="21"/>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Description of Capital Stock</w:t>
              </w:r>
            </w:hyperlink>
          </w:p>
        </w:tc>
        <w:tc>
          <w:tcPr>
            <w:tcW w:w="546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126</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Shares Eligible for Future Sale</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138">
              <w:r>
                <w:rPr>
                  <w:rFonts w:ascii="Arial" w:cs="Arial" w:eastAsia="Arial" w:hAnsi="Arial"/>
                  <w:sz w:val="13"/>
                  <w:szCs w:val="13"/>
                  <w:color w:val="0000EE"/>
                  <w:w w:val="91"/>
                </w:rPr>
                <w:t>Material U.S. Federal Income and Estate Tax Considerations for Non-U.S. Holders</w:t>
              </w:r>
            </w:hyperlink>
          </w:p>
        </w:tc>
        <w:tc>
          <w:tcPr>
            <w:tcW w:w="32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137"/>
        </w:trPr>
        <w:tc>
          <w:tcPr>
            <w:tcW w:w="720" w:type="dxa"/>
            <w:vAlign w:val="bottom"/>
            <w:tcBorders>
              <w:bottom w:val="single" w:sz="8" w:color="0000EE"/>
            </w:tcBorders>
            <w:gridSpan w:val="8"/>
          </w:tcPr>
          <w:p>
            <w:pPr>
              <w:spacing w:after="0" w:line="138" w:lineRule="exact"/>
              <w:rPr>
                <w:rFonts w:ascii="Arial" w:cs="Arial" w:eastAsia="Arial" w:hAnsi="Arial"/>
                <w:sz w:val="13"/>
                <w:szCs w:val="13"/>
                <w:color w:val="0000EE"/>
                <w:w w:val="95"/>
              </w:rPr>
            </w:pPr>
            <w:hyperlink w:anchor="page141">
              <w:r>
                <w:rPr>
                  <w:rFonts w:ascii="Arial" w:cs="Arial" w:eastAsia="Arial" w:hAnsi="Arial"/>
                  <w:sz w:val="13"/>
                  <w:szCs w:val="13"/>
                  <w:color w:val="0000EE"/>
                  <w:w w:val="95"/>
                </w:rPr>
                <w:t>Underwriting</w:t>
              </w:r>
            </w:hyperlink>
          </w:p>
        </w:tc>
        <w:tc>
          <w:tcPr>
            <w:tcW w:w="688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136</w:t>
            </w:r>
          </w:p>
        </w:tc>
      </w:tr>
      <w:tr>
        <w:trPr>
          <w:trHeight w:val="137"/>
        </w:trPr>
        <w:tc>
          <w:tcPr>
            <w:tcW w:w="242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44">
              <w:r>
                <w:rPr>
                  <w:rFonts w:ascii="Arial" w:cs="Arial" w:eastAsia="Arial" w:hAnsi="Arial"/>
                  <w:sz w:val="13"/>
                  <w:szCs w:val="13"/>
                  <w:color w:val="0000EE"/>
                  <w:w w:val="90"/>
                </w:rPr>
                <w:t>Notice to European Economic Area Residents</w:t>
              </w:r>
            </w:hyperlink>
          </w:p>
        </w:tc>
        <w:tc>
          <w:tcPr>
            <w:tcW w:w="518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1960" w:type="dxa"/>
            <w:vAlign w:val="bottom"/>
            <w:tcBorders>
              <w:bottom w:val="single" w:sz="8" w:color="0000EE"/>
            </w:tcBorders>
            <w:gridSpan w:val="18"/>
          </w:tcPr>
          <w:p>
            <w:pPr>
              <w:spacing w:after="0" w:line="138" w:lineRule="exact"/>
              <w:rPr>
                <w:rFonts w:ascii="Arial" w:cs="Arial" w:eastAsia="Arial" w:hAnsi="Arial"/>
                <w:sz w:val="13"/>
                <w:szCs w:val="13"/>
                <w:color w:val="0000EE"/>
                <w:w w:val="92"/>
              </w:rPr>
            </w:pPr>
            <w:hyperlink w:anchor="page144">
              <w:r>
                <w:rPr>
                  <w:rFonts w:ascii="Arial" w:cs="Arial" w:eastAsia="Arial" w:hAnsi="Arial"/>
                  <w:sz w:val="13"/>
                  <w:szCs w:val="13"/>
                  <w:color w:val="0000EE"/>
                  <w:w w:val="92"/>
                </w:rPr>
                <w:t>Notice to United Kingdom Residents</w:t>
              </w:r>
            </w:hyperlink>
          </w:p>
        </w:tc>
        <w:tc>
          <w:tcPr>
            <w:tcW w:w="56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44">
              <w:r>
                <w:rPr>
                  <w:rFonts w:ascii="Arial" w:cs="Arial" w:eastAsia="Arial" w:hAnsi="Arial"/>
                  <w:sz w:val="13"/>
                  <w:szCs w:val="13"/>
                  <w:color w:val="0000EE"/>
                </w:rPr>
                <w:t>Notice to Canadian Residents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4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1"/>
              </w:rPr>
            </w:pPr>
            <w:hyperlink w:anchor="page146">
              <w:r>
                <w:rPr>
                  <w:rFonts w:ascii="Arial" w:cs="Arial" w:eastAsia="Arial" w:hAnsi="Arial"/>
                  <w:sz w:val="13"/>
                  <w:szCs w:val="13"/>
                  <w:color w:val="0000EE"/>
                  <w:w w:val="91"/>
                </w:rPr>
                <w:t>Legal Matters</w:t>
              </w:r>
            </w:hyperlink>
          </w:p>
        </w:tc>
        <w:tc>
          <w:tcPr>
            <w:tcW w:w="880" w:type="dxa"/>
            <w:vAlign w:val="bottom"/>
            <w:tcBorders>
              <w:top w:val="single" w:sz="8" w:color="0000EE"/>
            </w:tcBorders>
            <w:gridSpan w:val="7"/>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46">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20"/>
          </w:tcPr>
          <w:p>
            <w:pPr>
              <w:spacing w:after="0" w:line="138" w:lineRule="exact"/>
              <w:rPr>
                <w:rFonts w:ascii="Arial" w:cs="Arial" w:eastAsia="Arial" w:hAnsi="Arial"/>
                <w:sz w:val="13"/>
                <w:szCs w:val="13"/>
                <w:color w:val="0000EE"/>
                <w:w w:val="93"/>
              </w:rPr>
            </w:pPr>
            <w:hyperlink w:anchor="page146">
              <w:r>
                <w:rPr>
                  <w:rFonts w:ascii="Arial" w:cs="Arial" w:eastAsia="Arial" w:hAnsi="Arial"/>
                  <w:sz w:val="13"/>
                  <w:szCs w:val="13"/>
                  <w:color w:val="0000EE"/>
                  <w:w w:val="93"/>
                </w:rPr>
                <w:t>Where You Can Find More Information</w:t>
              </w:r>
            </w:hyperlink>
          </w:p>
        </w:tc>
        <w:tc>
          <w:tcPr>
            <w:tcW w:w="55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137"/>
        </w:trPr>
        <w:tc>
          <w:tcPr>
            <w:tcW w:w="7600" w:type="dxa"/>
            <w:vAlign w:val="bottom"/>
            <w:gridSpan w:val="26"/>
          </w:tcPr>
          <w:p>
            <w:pPr>
              <w:spacing w:after="0" w:line="138" w:lineRule="exact"/>
              <w:rPr>
                <w:rFonts w:ascii="Arial" w:cs="Arial" w:eastAsia="Arial" w:hAnsi="Arial"/>
                <w:sz w:val="13"/>
                <w:szCs w:val="13"/>
                <w:color w:val="0000EE"/>
              </w:rPr>
            </w:pPr>
            <w:hyperlink w:anchor="page147">
              <w:r>
                <w:rPr>
                  <w:rFonts w:ascii="Arial" w:cs="Arial" w:eastAsia="Arial" w:hAnsi="Arial"/>
                  <w:sz w:val="13"/>
                  <w:szCs w:val="13"/>
                  <w:color w:val="0000EE"/>
                </w:rPr>
                <w:t>Index to Financial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40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0"/>
              </w:rPr>
              <w:t>EX-3.2</w:t>
            </w:r>
          </w:p>
        </w:tc>
        <w:tc>
          <w:tcPr>
            <w:tcW w:w="1180" w:type="dxa"/>
            <w:vAlign w:val="bottom"/>
            <w:tcBorders>
              <w:top w:val="single" w:sz="8" w:color="0000EE"/>
            </w:tcBorders>
            <w:gridSpan w:val="13"/>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3"/>
          </w:tcPr>
          <w:p>
            <w:pPr>
              <w:spacing w:after="0" w:line="138" w:lineRule="exact"/>
              <w:rPr>
                <w:sz w:val="20"/>
                <w:szCs w:val="20"/>
                <w:color w:val="auto"/>
              </w:rPr>
            </w:pPr>
            <w:r>
              <w:rPr>
                <w:rFonts w:ascii="Arial" w:cs="Arial" w:eastAsia="Arial" w:hAnsi="Arial"/>
                <w:sz w:val="13"/>
                <w:szCs w:val="13"/>
                <w:color w:val="0000EE"/>
                <w:w w:val="89"/>
              </w:rPr>
              <w:t>EX-23.2</w:t>
            </w:r>
          </w:p>
        </w:tc>
        <w:tc>
          <w:tcPr>
            <w:tcW w:w="7120" w:type="dxa"/>
            <w:vAlign w:val="bottom"/>
            <w:gridSpan w:val="22"/>
          </w:tcPr>
          <w:p>
            <w:pPr>
              <w:spacing w:after="0"/>
              <w:rPr>
                <w:sz w:val="11"/>
                <w:szCs w:val="11"/>
                <w:color w:val="auto"/>
              </w:rPr>
            </w:pPr>
          </w:p>
        </w:tc>
        <w:tc>
          <w:tcPr>
            <w:tcW w:w="2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-2914015</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91" w:lineRule="auto"/>
        <w:rPr>
          <w:sz w:val="20"/>
          <w:szCs w:val="20"/>
          <w:color w:val="auto"/>
        </w:rPr>
      </w:pPr>
      <w:r>
        <w:rPr>
          <w:rFonts w:ascii="Arial" w:cs="Arial" w:eastAsia="Arial" w:hAnsi="Arial"/>
          <w:sz w:val="12"/>
          <w:szCs w:val="12"/>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52"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80" w:firstLine="399"/>
        <w:spacing w:after="0" w:line="260"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right="4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860" w:right="26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860" w:right="2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14,800, representing an increase of approximately 38% over our enrollment at December 31, 2006. Our net revenue and operating income for the year ended December 31, 2007 were</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$99.3 million and $4.3 million, respectively, representing increases of 37.7% and 42.8%, respectively, over the year ended December 31, 2006. Our enrollment at September 30, 2008 was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approximately 22,000, representing an increase of approximately 63% over our enrollment at September 30, 2007. Our net revenue and operating income for the nine months ended</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September 30, 2008 were $109.6 million, and $9.0 million, respectively, representing increases of 60.1% and 305.5%, respectively, over the nine months ended September 30, 2007. We seek</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to achieve continued growth in a manner that reinforces our reputation for providing academically rigorous, career-oriented educational programs that advance the careers of our students.</w:t>
      </w:r>
    </w:p>
    <w:p>
      <w:pPr>
        <w:spacing w:after="0" w:line="100"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line="276" w:lineRule="auto"/>
        <w:rPr>
          <w:sz w:val="20"/>
          <w:szCs w:val="20"/>
          <w:color w:val="auto"/>
        </w:rPr>
      </w:pPr>
      <w:r>
        <w:rPr>
          <w:rFonts w:ascii="Arial" w:cs="Arial" w:eastAsia="Arial" w:hAnsi="Arial"/>
          <w:sz w:val="13"/>
          <w:szCs w:val="13"/>
          <w:color w:val="auto"/>
        </w:rPr>
        <w:t>Training Education. We believe that our regional accreditation, together with these specialized accreditations, reflect the quality of our programs, enhance their marketability, and improve the employability of our graduates.</w:t>
      </w:r>
    </w:p>
    <w:p>
      <w:pPr>
        <w:spacing w:after="0" w:line="59" w:lineRule="exact"/>
        <w:rPr>
          <w:sz w:val="20"/>
          <w:szCs w:val="20"/>
          <w:color w:val="auto"/>
        </w:rPr>
      </w:pPr>
    </w:p>
    <w:p>
      <w:pPr>
        <w:ind w:left="860" w:right="120" w:firstLine="399"/>
        <w:spacing w:after="0" w:line="296" w:lineRule="auto"/>
        <w:rPr>
          <w:sz w:val="20"/>
          <w:szCs w:val="20"/>
          <w:color w:val="auto"/>
        </w:rPr>
      </w:pPr>
      <w:r>
        <w:rPr>
          <w:rFonts w:ascii="Arial" w:cs="Arial" w:eastAsia="Arial" w:hAnsi="Arial"/>
          <w:sz w:val="12"/>
          <w:szCs w:val="12"/>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2008 NCES report, total revenue for all degree-granting postsecondary institutions was over $385 billion for the 2004-05 school year. In addition, according to a September 2008 NCES report, approximately 18.0 million students were projected to be enrolled in postsecondary institutions in 2007 and the number was projected to grow to 18.6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right="20" w:firstLine="399"/>
        <w:spacing w:after="0" w:line="281" w:lineRule="auto"/>
        <w:rPr>
          <w:sz w:val="20"/>
          <w:szCs w:val="20"/>
          <w:color w:val="auto"/>
        </w:rPr>
      </w:pPr>
      <w:r>
        <w:rPr>
          <w:rFonts w:ascii="Arial" w:cs="Arial" w:eastAsia="Arial" w:hAnsi="Arial"/>
          <w:sz w:val="12"/>
          <w:szCs w:val="12"/>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jc w:val="both"/>
        <w:ind w:left="860" w:right="60" w:firstLine="399"/>
        <w:spacing w:after="0" w:line="264"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 develop our academic reputation and brand identity within our core disciplines, recruit and retain quality faculty and staff members, and meet the educational and career objectives of our students.</w:t>
      </w:r>
    </w:p>
    <w:p>
      <w:pPr>
        <w:spacing w:after="0" w:line="67" w:lineRule="exact"/>
        <w:rPr>
          <w:sz w:val="20"/>
          <w:szCs w:val="20"/>
          <w:color w:val="auto"/>
        </w:rPr>
      </w:pPr>
    </w:p>
    <w:p>
      <w:pPr>
        <w:ind w:left="860" w:right="30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right="6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jc w:val="both"/>
        <w:ind w:left="860" w:right="160" w:firstLine="399"/>
        <w:spacing w:after="0" w:line="264"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 objectives. Our programs are taught by qualified faculty, substantially all of whom hold at least a master’s degree and often have practical experience in their respective fields.</w:t>
      </w:r>
    </w:p>
    <w:p>
      <w:pPr>
        <w:spacing w:after="0" w:line="67" w:lineRule="exact"/>
        <w:rPr>
          <w:sz w:val="20"/>
          <w:szCs w:val="20"/>
          <w:color w:val="auto"/>
        </w:rPr>
      </w:pPr>
    </w:p>
    <w:p>
      <w:pPr>
        <w:ind w:left="860" w:right="240" w:firstLine="399"/>
        <w:spacing w:after="0" w:line="320"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w:t>
      </w:r>
      <w:r>
        <w:rPr>
          <w:rFonts w:ascii="Arial" w:cs="Arial" w:eastAsia="Arial" w:hAnsi="Arial"/>
          <w:sz w:val="12"/>
          <w:szCs w:val="12"/>
          <w:i w:val="1"/>
          <w:iCs w:val="1"/>
          <w:color w:val="auto"/>
        </w:rPr>
        <w:t xml:space="preserve"> </w:t>
      </w:r>
      <w:r>
        <w:rPr>
          <w:rFonts w:ascii="Arial" w:cs="Arial" w:eastAsia="Arial" w:hAnsi="Arial"/>
          <w:sz w:val="12"/>
          <w:szCs w:val="12"/>
          <w:color w:val="auto"/>
        </w:rPr>
        <w:t>university, differentiate us in the for-profit postsecondary market and enhance the reputation of our degree programs among prospective students and employers.</w:t>
      </w:r>
    </w:p>
    <w:p>
      <w:pPr>
        <w:spacing w:after="0" w:line="35"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300" w:firstLine="399"/>
        <w:spacing w:after="0" w:line="264"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intend to increase enrollment in existing programs within our three core disciplines, which we believe offer ample opportunity for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also intend to continue to increase the number of our enrollment counselors and marketing and student services personnel to drive enrollment growth and enhance student retention.</w:t>
      </w:r>
    </w:p>
    <w:p>
      <w:pPr>
        <w:spacing w:after="0" w:line="67"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 program</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offerings in 2007 and have launched twelve in the first nine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50" w:lineRule="exact"/>
        <w:rPr>
          <w:sz w:val="20"/>
          <w:szCs w:val="20"/>
          <w:color w:val="auto"/>
        </w:rPr>
      </w:pPr>
    </w:p>
    <w:p>
      <w:pPr>
        <w:ind w:left="860" w:right="540" w:firstLine="399"/>
        <w:spacing w:after="0" w:line="320" w:lineRule="auto"/>
        <w:rPr>
          <w:sz w:val="20"/>
          <w:szCs w:val="20"/>
          <w:color w:val="auto"/>
        </w:rPr>
      </w:pPr>
      <w:r>
        <w:rPr>
          <w:rFonts w:ascii="Arial" w:cs="Arial" w:eastAsia="Arial" w:hAnsi="Arial"/>
          <w:sz w:val="12"/>
          <w:szCs w:val="12"/>
          <w:i w:val="1"/>
          <w:iCs w:val="1"/>
          <w:color w:val="auto"/>
        </w:rPr>
        <w:t xml:space="preserve">Further enhance our brand recognition. </w:t>
      </w:r>
      <w:r>
        <w:rPr>
          <w:rFonts w:ascii="Arial" w:cs="Arial" w:eastAsia="Arial" w:hAnsi="Arial"/>
          <w:sz w:val="12"/>
          <w:szCs w:val="12"/>
          <w:color w:val="auto"/>
        </w:rPr>
        <w:t>We continue to enhance our brand recognition by pursuing online and offline marketing campaigns, establishing strategic branding</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recognized industry leaders, and developing complementary resources in our core disciplines that increase the overall awareness of our offerings.</w:t>
      </w:r>
    </w:p>
    <w:p>
      <w:pPr>
        <w:spacing w:after="0" w:line="35"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860" w:right="340" w:firstLine="399"/>
        <w:spacing w:after="0" w:line="264"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60" w:right="440" w:hanging="200"/>
        <w:spacing w:after="0" w:line="276"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49" w:lineRule="exact"/>
        <w:rPr>
          <w:rFonts w:ascii="Arial" w:cs="Arial" w:eastAsia="Arial" w:hAnsi="Arial"/>
          <w:sz w:val="13"/>
          <w:szCs w:val="13"/>
          <w:color w:val="auto"/>
        </w:rPr>
      </w:pPr>
    </w:p>
    <w:p>
      <w:pPr>
        <w:ind w:left="1860" w:right="400" w:hanging="200"/>
        <w:spacing w:after="0" w:line="276"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graduate degree offerings, from which we currently derive a significant portion of our revenues;</w:t>
      </w:r>
    </w:p>
    <w:p>
      <w:pPr>
        <w:spacing w:after="0" w:line="49" w:lineRule="exact"/>
        <w:rPr>
          <w:rFonts w:ascii="Arial" w:cs="Arial" w:eastAsia="Arial" w:hAnsi="Arial"/>
          <w:sz w:val="13"/>
          <w:szCs w:val="13"/>
          <w:color w:val="auto"/>
        </w:rPr>
      </w:pPr>
    </w:p>
    <w:p>
      <w:pPr>
        <w:jc w:val="both"/>
        <w:ind w:left="1860" w:right="120" w:hanging="200"/>
        <w:spacing w:after="0" w:line="260"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or as a result of negative publicity affecting us or other companies in the for-profit postsecondary education sector;</w:t>
      </w:r>
    </w:p>
    <w:p>
      <w:pPr>
        <w:spacing w:after="0" w:line="59"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Prior to completion of this offering, we intend to effect a reorganization pursuant to which we will transfer substantially all of our operations to a newly created wholly-owned subsidiary.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4780" w:type="dxa"/>
            <w:vAlign w:val="bottom"/>
            <w:gridSpan w:val="2"/>
          </w:tcPr>
          <w:p>
            <w:pPr>
              <w:ind w:left="1240"/>
              <w:spacing w:after="0"/>
              <w:rPr>
                <w:sz w:val="20"/>
                <w:szCs w:val="20"/>
                <w:color w:val="auto"/>
              </w:rPr>
            </w:pPr>
            <w:r>
              <w:rPr>
                <w:rFonts w:ascii="Arial" w:cs="Arial" w:eastAsia="Arial" w:hAnsi="Arial"/>
                <w:sz w:val="13"/>
                <w:szCs w:val="13"/>
                <w:b w:val="1"/>
                <w:bCs w:val="1"/>
                <w:color w:val="auto"/>
              </w:rPr>
              <w:t>OFFERING SUMMARY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10,500,000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3"/>
                <w:szCs w:val="13"/>
                <w:color w:val="auto"/>
              </w:rPr>
              <w:t>Common stock outstanding after this offering</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41,999,354 shares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8"/>
        </w:trPr>
        <w:tc>
          <w:tcPr>
            <w:tcW w:w="3040" w:type="dxa"/>
            <w:vAlign w:val="bottom"/>
          </w:tcPr>
          <w:p>
            <w:pPr>
              <w:spacing w:after="0"/>
              <w:rPr>
                <w:sz w:val="20"/>
                <w:szCs w:val="20"/>
                <w:color w:val="auto"/>
              </w:rPr>
            </w:pPr>
            <w:r>
              <w:rPr>
                <w:rFonts w:ascii="Arial" w:cs="Arial" w:eastAsia="Arial" w:hAnsi="Arial"/>
                <w:sz w:val="13"/>
                <w:szCs w:val="13"/>
                <w:color w:val="auto"/>
              </w:rPr>
              <w:t>Use of proceeds</w:t>
            </w: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7"/>
              </w:rPr>
              <w:t>We estimate that the net proceeds to us from this offering will be approximately $179.7 million, or approximately</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3"/>
              </w:rPr>
              <w:t>$207.6 million if the underwriters exercise their over-allotment option in full, based on the midpoint of the price range</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4"/>
              </w:rPr>
              <w:t>set forth on the cover page of this prospectus and after deducting the underwriting discounts and commissions and</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estimated offering expenses payable by 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2"/>
              </w:rPr>
              <w:t>As described in “Use of Proceeds” and “Special Distribution,” we will use the proceeds of this offering to pay a special</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7"/>
              </w:rPr>
              <w:t>distribution to our stockholders of record as of September 26, 2008, in the amount of 75% of the gross proceeds</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9"/>
              </w:rPr>
              <w:t>received by us from the sale of stock in this offering, including any proceeds we receive from the underwriters’</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9"/>
              </w:rPr>
              <w:t>exercise of their over-allotment option, before underwriting discounts and commissions and estimated offering</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2"/>
              </w:rPr>
              <w:t>expenses. We also intend to use $16.0 million of the proceeds of this offering to repurchase an outstanding warrant to</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0"/>
              </w:rPr>
              <w:t>purchase shares of our common stock. We intend to use the remaining proceeds to pay the expenses of this offering and</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for general corporate purposes.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rPr>
              <w:t>The payment of the special distribution in the amount described above permits a return of capital to all of our</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1"/>
              </w:rPr>
              <w:t>stockholders as of the record date, and does so without significantly decreasing our capital resources or requiring these</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8"/>
              </w:rPr>
              <w:t>stockholders to sell their shares. Of the estimated aggregate amount of the special distribution of $149.6 million</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rPr>
              <w:t>(exclusive of any amounts that may be received from the underwriters’ exercise of the over-allotment option),</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4"/>
              </w:rPr>
              <w:t>assuming an initial public offering price of $19.00 per share, which is the midpoint of the price range set forth on the</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8"/>
              </w:rPr>
              <w:t>cover page of this prospectus, $81.1 million will be paid in respect of shares of our capital stock over which our</w:t>
            </w:r>
          </w:p>
        </w:tc>
      </w:tr>
      <w:tr>
        <w:trPr>
          <w:trHeight w:val="157"/>
        </w:trPr>
        <w:tc>
          <w:tcPr>
            <w:tcW w:w="3040" w:type="dxa"/>
            <w:vAlign w:val="bottom"/>
          </w:tcPr>
          <w:p>
            <w:pPr>
              <w:spacing w:after="0"/>
              <w:rPr>
                <w:sz w:val="13"/>
                <w:szCs w:val="13"/>
                <w:color w:val="auto"/>
              </w:rPr>
            </w:pPr>
          </w:p>
        </w:tc>
        <w:tc>
          <w:tcPr>
            <w:tcW w:w="6920" w:type="dxa"/>
            <w:vAlign w:val="bottom"/>
            <w:gridSpan w:val="5"/>
          </w:tcPr>
          <w:p>
            <w:pPr>
              <w:ind w:left="640"/>
              <w:spacing w:after="0"/>
              <w:rPr>
                <w:sz w:val="20"/>
                <w:szCs w:val="20"/>
                <w:color w:val="auto"/>
              </w:rPr>
            </w:pPr>
            <w:r>
              <w:rPr>
                <w:rFonts w:ascii="Arial" w:cs="Arial" w:eastAsia="Arial" w:hAnsi="Arial"/>
                <w:sz w:val="13"/>
                <w:szCs w:val="13"/>
                <w:color w:val="auto"/>
                <w:w w:val="91"/>
              </w:rPr>
              <w:t>directors and executive officers are deemed to exercise sole or shared voting or investment power. These proceeds will</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be allocated as set forth in the following table.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8"/>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gridSpan w:val="3"/>
          </w:tcPr>
          <w:p>
            <w:pPr>
              <w:jc w:val="center"/>
              <w:ind w:right="1180"/>
              <w:spacing w:after="0"/>
              <w:rPr>
                <w:sz w:val="20"/>
                <w:szCs w:val="20"/>
                <w:color w:val="auto"/>
              </w:rPr>
            </w:pPr>
            <w:r>
              <w:rPr>
                <w:rFonts w:ascii="Arial" w:cs="Arial" w:eastAsia="Arial" w:hAnsi="Arial"/>
                <w:sz w:val="10"/>
                <w:szCs w:val="10"/>
                <w:b w:val="1"/>
                <w:bCs w:val="1"/>
                <w:color w:val="auto"/>
                <w:w w:val="93"/>
              </w:rPr>
              <w:t>Special Distribution</w:t>
            </w:r>
          </w:p>
        </w:tc>
      </w:tr>
      <w:tr>
        <w:trPr>
          <w:trHeight w:val="131"/>
        </w:trPr>
        <w:tc>
          <w:tcPr>
            <w:tcW w:w="3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(In thousands)</w:t>
            </w:r>
          </w:p>
        </w:tc>
        <w:tc>
          <w:tcPr>
            <w:tcW w:w="1160" w:type="dxa"/>
            <w:vAlign w:val="bottom"/>
          </w:tcPr>
          <w:p>
            <w:pPr>
              <w:spacing w:after="0"/>
              <w:rPr>
                <w:sz w:val="11"/>
                <w:szCs w:val="11"/>
                <w:color w:val="auto"/>
              </w:rPr>
            </w:pPr>
          </w:p>
        </w:tc>
      </w:tr>
      <w:tr>
        <w:trPr>
          <w:trHeight w:val="163"/>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Directors</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160" w:type="dxa"/>
            <w:vAlign w:val="bottom"/>
          </w:tcPr>
          <w:p>
            <w:pPr>
              <w:spacing w:after="0"/>
              <w:rPr>
                <w:sz w:val="14"/>
                <w:szCs w:val="14"/>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45,849</w:t>
            </w:r>
          </w:p>
        </w:tc>
        <w:tc>
          <w:tcPr>
            <w:tcW w:w="11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45,849</w:t>
            </w:r>
          </w:p>
        </w:tc>
        <w:tc>
          <w:tcPr>
            <w:tcW w:w="11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Executive Officers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Brent D.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16,766</w:t>
            </w:r>
          </w:p>
        </w:tc>
        <w:tc>
          <w:tcPr>
            <w:tcW w:w="11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John E. Crowley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ind w:right="16"/>
              <w:spacing w:after="0"/>
              <w:rPr>
                <w:sz w:val="20"/>
                <w:szCs w:val="20"/>
                <w:color w:val="auto"/>
              </w:rPr>
            </w:pPr>
            <w:r>
              <w:rPr>
                <w:rFonts w:ascii="Arial" w:cs="Arial" w:eastAsia="Arial" w:hAnsi="Arial"/>
                <w:sz w:val="13"/>
                <w:szCs w:val="13"/>
                <w:color w:val="auto"/>
                <w:w w:val="92"/>
              </w:rPr>
              <w:t>1,736</w:t>
            </w:r>
          </w:p>
        </w:tc>
        <w:tc>
          <w:tcPr>
            <w:tcW w:w="11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Christopher C.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16,775</w:t>
            </w:r>
          </w:p>
        </w:tc>
        <w:tc>
          <w:tcPr>
            <w:tcW w:w="1160" w:type="dxa"/>
            <w:vAlign w:val="bottom"/>
          </w:tcPr>
          <w:p>
            <w:pPr>
              <w:spacing w:after="0"/>
              <w:rPr>
                <w:sz w:val="13"/>
                <w:szCs w:val="13"/>
                <w:color w:val="auto"/>
              </w:rPr>
            </w:pPr>
          </w:p>
        </w:tc>
      </w:tr>
      <w:tr>
        <w:trPr>
          <w:trHeight w:val="165"/>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81,127</w:t>
            </w:r>
          </w:p>
        </w:tc>
        <w:tc>
          <w:tcPr>
            <w:tcW w:w="1160" w:type="dxa"/>
            <w:vAlign w:val="bottom"/>
          </w:tcPr>
          <w:p>
            <w:pPr>
              <w:spacing w:after="0"/>
              <w:rPr>
                <w:sz w:val="14"/>
                <w:szCs w:val="14"/>
                <w:color w:val="auto"/>
              </w:rPr>
            </w:pPr>
          </w:p>
        </w:tc>
      </w:tr>
    </w:tbl>
    <w:p>
      <w:pPr>
        <w:spacing w:after="0" w:line="141" w:lineRule="exact"/>
        <w:rPr>
          <w:sz w:val="20"/>
          <w:szCs w:val="20"/>
          <w:color w:val="auto"/>
        </w:rPr>
      </w:pPr>
    </w:p>
    <w:p>
      <w:pPr>
        <w:ind w:left="5140" w:right="40" w:hanging="394"/>
        <w:spacing w:after="0" w:line="276" w:lineRule="auto"/>
        <w:tabs>
          <w:tab w:leader="none" w:pos="5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of our directors, are managing directors of Endeavour Capital IV, LLC, the general partner of such funds.</w:t>
      </w:r>
    </w:p>
    <w:p>
      <w:pPr>
        <w:spacing w:after="0" w:line="108" w:lineRule="exact"/>
        <w:rPr>
          <w:sz w:val="20"/>
          <w:szCs w:val="20"/>
          <w:color w:val="auto"/>
        </w:rPr>
      </w:pPr>
    </w:p>
    <w:p>
      <w:pPr>
        <w:ind w:left="4540"/>
        <w:spacing w:after="0" w:line="276" w:lineRule="auto"/>
        <w:rPr>
          <w:sz w:val="20"/>
          <w:szCs w:val="20"/>
          <w:color w:val="auto"/>
        </w:rPr>
      </w:pPr>
      <w:r>
        <w:rPr>
          <w:rFonts w:ascii="Arial" w:cs="Arial" w:eastAsia="Arial" w:hAnsi="Arial"/>
          <w:sz w:val="13"/>
          <w:szCs w:val="13"/>
          <w:color w:val="auto"/>
        </w:rPr>
        <w:t>See “Special Distribution” and “Certain Relationships and Related Transactions — Special Distribution” for additional information regarding the beneficiaries of the special distribution.</w:t>
      </w:r>
    </w:p>
    <w:p>
      <w:pPr>
        <w:sectPr>
          <w:pgSz w:w="11900" w:h="16838" w:orient="portrait"/>
          <w:cols w:equalWidth="0" w:num="1">
            <w:col w:w="10780"/>
          </w:cols>
          <w:pgMar w:left="220" w:top="343" w:right="899" w:bottom="1440" w:gutter="0" w:footer="0" w:header="0"/>
        </w:sectPr>
      </w:pPr>
    </w:p>
    <w:p>
      <w:pPr>
        <w:spacing w:after="0" w:line="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Dividend policy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Except with respect to the special distribution, we do not anticipate declaring or paying any cash dividends on our common stock in the foreseeable future.</w:t>
      </w:r>
    </w:p>
    <w:p>
      <w:pPr>
        <w:spacing w:after="0" w:line="49"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100"/>
        <w:spacing w:after="0" w:line="320" w:lineRule="auto"/>
        <w:rPr>
          <w:sz w:val="20"/>
          <w:szCs w:val="20"/>
          <w:color w:val="auto"/>
        </w:rPr>
      </w:pPr>
      <w:r>
        <w:rPr>
          <w:rFonts w:ascii="Arial" w:cs="Arial" w:eastAsia="Arial" w:hAnsi="Arial"/>
          <w:sz w:val="12"/>
          <w:szCs w:val="12"/>
          <w:color w:val="auto"/>
        </w:rPr>
        <w:t>You should carefully read and consider the information set forth under the heading titled “Risk Factors” and all other information set forth in this prospectus before deciding to invest in shares of our common stock.</w:t>
      </w:r>
    </w:p>
    <w:p>
      <w:pPr>
        <w:spacing w:after="0" w:line="25"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right="20" w:firstLine="399"/>
        <w:spacing w:after="0" w:line="260" w:lineRule="auto"/>
        <w:rPr>
          <w:sz w:val="20"/>
          <w:szCs w:val="20"/>
          <w:color w:val="auto"/>
        </w:rPr>
      </w:pPr>
      <w:r>
        <w:rPr>
          <w:rFonts w:ascii="Arial" w:cs="Arial" w:eastAsia="Arial" w:hAnsi="Arial"/>
          <w:sz w:val="13"/>
          <w:szCs w:val="13"/>
          <w:color w:val="auto"/>
        </w:rPr>
        <w:t>The number of shares of our common stock to be outstanding following this offering is based on the number of shares of our common stock outstanding as of September 30, 2008, and excludes 5,249,921 shares of common stock reserved for future issuance under our stock-based compensation plans. The 5,249,921 shares reserved for future issuance includes 104,998 fully vested restricted shares to be granted to Brian E. Mueller, our Chief Executive Officer, and 704,923 fully vested and 2,492,256 unvested stock options to be granted to employees and a director immediately following the effectiveness of the offering at the initial public offering price.</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1,575,000 additional shares from us;</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1,826-for-one split of our outstanding common stock effected on September 29, 2008;</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automatic conversion of all outstanding shares of Series A convertible preferred stock into 10,870,178 shares of common stock upon the closing of the offering;</w:t>
      </w:r>
    </w:p>
    <w:p>
      <w:pPr>
        <w:spacing w:after="0" w:line="97" w:lineRule="exact"/>
        <w:rPr>
          <w:rFonts w:ascii="Arial" w:cs="Arial" w:eastAsia="Arial" w:hAnsi="Arial"/>
          <w:sz w:val="12"/>
          <w:szCs w:val="12"/>
          <w:color w:val="auto"/>
        </w:rPr>
      </w:pPr>
    </w:p>
    <w:p>
      <w:pPr>
        <w:ind w:left="1860" w:hanging="200"/>
        <w:spacing w:after="0"/>
        <w:tabs>
          <w:tab w:leader="none" w:pos="1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filing of an amendment to our certificate of incorporation to provide for the automatic conversion of all outstanding shares of Series C preferred stock into</w:t>
      </w:r>
    </w:p>
    <w:p>
      <w:pPr>
        <w:spacing w:after="0" w:line="26" w:lineRule="exact"/>
        <w:rPr>
          <w:rFonts w:ascii="Arial" w:cs="Arial" w:eastAsia="Arial" w:hAnsi="Arial"/>
          <w:sz w:val="12"/>
          <w:szCs w:val="12"/>
          <w:color w:val="auto"/>
        </w:rPr>
      </w:pPr>
    </w:p>
    <w:p>
      <w:pPr>
        <w:ind w:left="1860" w:right="260"/>
        <w:spacing w:after="0" w:line="264" w:lineRule="auto"/>
        <w:rPr>
          <w:rFonts w:ascii="Arial" w:cs="Arial" w:eastAsia="Arial" w:hAnsi="Arial"/>
          <w:sz w:val="12"/>
          <w:szCs w:val="12"/>
          <w:color w:val="auto"/>
        </w:rPr>
      </w:pPr>
      <w:r>
        <w:rPr>
          <w:rFonts w:ascii="Arial" w:cs="Arial" w:eastAsia="Arial" w:hAnsi="Arial"/>
          <w:sz w:val="13"/>
          <w:szCs w:val="13"/>
          <w:color w:val="auto"/>
        </w:rPr>
        <w:t>1,410,526 shares of common stock upon the closing of the offering based on a conversion price equal to the initial public offering price per share, assuming an initial public offering price of $19.00 per share, which is the midpoint of the range set forth on the cover page of this prospectus;</w:t>
      </w:r>
    </w:p>
    <w:p>
      <w:pPr>
        <w:spacing w:after="0" w:line="56" w:lineRule="exact"/>
        <w:rPr>
          <w:rFonts w:ascii="Arial" w:cs="Arial" w:eastAsia="Arial" w:hAnsi="Arial"/>
          <w:sz w:val="12"/>
          <w:szCs w:val="12"/>
          <w:color w:val="auto"/>
        </w:rPr>
      </w:pPr>
    </w:p>
    <w:p>
      <w:pPr>
        <w:ind w:left="1860" w:right="2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909,348 shares of common stock at an exercise price of $0.58 per share for $16.0 million in cash, as described under “Use of Proceeds;”</w:t>
      </w:r>
    </w:p>
    <w:p>
      <w:pPr>
        <w:spacing w:after="0" w:line="49" w:lineRule="exact"/>
        <w:rPr>
          <w:rFonts w:ascii="Arial" w:cs="Arial" w:eastAsia="Arial" w:hAnsi="Arial"/>
          <w:sz w:val="13"/>
          <w:szCs w:val="13"/>
          <w:color w:val="auto"/>
        </w:rPr>
      </w:pPr>
    </w:p>
    <w:p>
      <w:pPr>
        <w:ind w:left="1860" w:right="28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adoption of our amended and restated bylaws immediately prior to the effectiveness of this offering; and</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rounding of all fractional share amounts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firstLine="399"/>
        <w:spacing w:after="0" w:line="316" w:lineRule="auto"/>
        <w:rPr>
          <w:sz w:val="20"/>
          <w:szCs w:val="20"/>
          <w:color w:val="auto"/>
        </w:rPr>
      </w:pPr>
      <w:r>
        <w:rPr>
          <w:rFonts w:ascii="Arial" w:cs="Arial" w:eastAsia="Arial" w:hAnsi="Arial"/>
          <w:sz w:val="11"/>
          <w:szCs w:val="11"/>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42"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tcPr>
          <w:p>
            <w:pPr>
              <w:jc w:val="right"/>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4"/>
              </w:rPr>
              <w:t>Nine Months Ended September 30,</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enrollment</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4"/>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80" w:type="dxa"/>
            <w:vAlign w:val="bottom"/>
            <w:gridSpan w:val="3"/>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5"/>
          </w:tcPr>
          <w:p>
            <w:pPr>
              <w:jc w:val="right"/>
              <w:ind w:right="128"/>
              <w:spacing w:after="0"/>
              <w:rPr>
                <w:sz w:val="20"/>
                <w:szCs w:val="20"/>
                <w:color w:val="auto"/>
              </w:rPr>
            </w:pPr>
            <w:r>
              <w:rPr>
                <w:rFonts w:ascii="Arial" w:cs="Arial" w:eastAsia="Arial" w:hAnsi="Arial"/>
                <w:sz w:val="10"/>
                <w:szCs w:val="10"/>
                <w:b w:val="1"/>
                <w:bCs w:val="1"/>
                <w:color w:val="auto"/>
                <w:w w:val="95"/>
              </w:rPr>
              <w:t>and per share data)</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Net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51,793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72,111</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99,326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68,472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109,626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28,063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31,287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39,050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27,531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36,995</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14,047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20,093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35,148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24,291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46,035</w:t>
            </w: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12,968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15,011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17,001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11,848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15,992</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2,678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2,585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56,697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69,069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94,981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66,255</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100,634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3,042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2,217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8,992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3"/>
                <w:szCs w:val="13"/>
                <w:color w:val="auto"/>
              </w:rPr>
              <w:t>(2,827)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88"/>
              <w:spacing w:after="0"/>
              <w:rPr>
                <w:sz w:val="20"/>
                <w:szCs w:val="20"/>
                <w:color w:val="auto"/>
              </w:rPr>
            </w:pPr>
            <w:r>
              <w:rPr>
                <w:rFonts w:ascii="Arial" w:cs="Arial" w:eastAsia="Arial" w:hAnsi="Arial"/>
                <w:sz w:val="13"/>
                <w:szCs w:val="13"/>
                <w:color w:val="auto"/>
              </w:rPr>
              <w:t>(2,975)</w:t>
            </w:r>
          </w:p>
        </w:tc>
        <w:tc>
          <w:tcPr>
            <w:tcW w:w="80" w:type="dxa"/>
            <w:vAlign w:val="bottom"/>
          </w:tcPr>
          <w:p>
            <w:pPr>
              <w:spacing w:after="0"/>
              <w:rPr>
                <w:sz w:val="13"/>
                <w:szCs w:val="13"/>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3"/>
                <w:szCs w:val="13"/>
                <w:color w:val="auto"/>
              </w:rPr>
              <w:t>(2,236)</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887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(7,726)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868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347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1,526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521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88"/>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(251)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71</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1,177</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270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3,685</w:t>
            </w:r>
          </w:p>
        </w:tc>
        <w:tc>
          <w:tcPr>
            <w:tcW w:w="0" w:type="dxa"/>
            <w:vAlign w:val="bottom"/>
          </w:tcPr>
          <w:p>
            <w:pPr>
              <w:spacing w:after="0"/>
              <w:rPr>
                <w:sz w:val="1"/>
                <w:szCs w:val="1"/>
                <w:color w:val="auto"/>
              </w:rPr>
            </w:pPr>
          </w:p>
        </w:tc>
      </w:tr>
      <w:tr>
        <w:trPr>
          <w:trHeight w:val="165"/>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0.00</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0.01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0.00</w:t>
            </w:r>
          </w:p>
        </w:tc>
        <w:tc>
          <w:tcPr>
            <w:tcW w:w="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18,853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18,923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18,885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19,133</w:t>
            </w: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36,858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35,143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35,189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32,097</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Pro forma earnings per common share (Unaudited)</w:t>
            </w: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Shares used in computing pro forma earnings per common share (Unaudited)</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38,913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39,047</w:t>
            </w:r>
          </w:p>
        </w:tc>
        <w:tc>
          <w:tcPr>
            <w:tcW w:w="0" w:type="dxa"/>
            <w:vAlign w:val="bottom"/>
          </w:tcPr>
          <w:p>
            <w:pPr>
              <w:spacing w:after="0"/>
              <w:rPr>
                <w:sz w:val="1"/>
                <w:szCs w:val="1"/>
                <w:color w:val="auto"/>
              </w:rPr>
            </w:pPr>
          </w:p>
        </w:tc>
      </w:tr>
      <w:tr>
        <w:trPr>
          <w:trHeight w:val="29"/>
        </w:trPr>
        <w:tc>
          <w:tcPr>
            <w:tcW w:w="510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44,263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5"/>
          </w:tcPr>
          <w:p>
            <w:pPr>
              <w:ind w:left="40"/>
              <w:spacing w:after="0"/>
              <w:rPr>
                <w:sz w:val="20"/>
                <w:szCs w:val="20"/>
                <w:color w:val="auto"/>
              </w:rPr>
            </w:pPr>
            <w:r>
              <w:rPr>
                <w:rFonts w:ascii="Arial" w:cs="Arial" w:eastAsia="Arial" w:hAnsi="Arial"/>
                <w:sz w:val="10"/>
                <w:szCs w:val="10"/>
                <w:b w:val="1"/>
                <w:bCs w:val="1"/>
                <w:color w:val="auto"/>
                <w:w w:val="97"/>
              </w:rPr>
              <w:t>Year Ended 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6"/>
          </w:tcPr>
          <w:p>
            <w:pPr>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2007</w:t>
            </w:r>
          </w:p>
        </w:tc>
        <w:tc>
          <w:tcPr>
            <w:tcW w:w="48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10"/>
                <w:szCs w:val="10"/>
                <w:color w:val="auto"/>
                <w:w w:val="87"/>
              </w:rPr>
              <w:t>(Unaudited)</w:t>
            </w: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center"/>
              <w:ind w:right="1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0"/>
                <w:szCs w:val="10"/>
                <w:color w:val="auto"/>
                <w:w w:val="81"/>
              </w:rPr>
              <w:t>enrollment</w:t>
            </w: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6"/>
          </w:tcPr>
          <w:p>
            <w:pPr>
              <w:jc w:val="right"/>
              <w:spacing w:after="0" w:line="85" w:lineRule="exact"/>
              <w:rPr>
                <w:sz w:val="20"/>
                <w:szCs w:val="20"/>
                <w:color w:val="auto"/>
              </w:rPr>
            </w:pPr>
            <w:r>
              <w:rPr>
                <w:rFonts w:ascii="Arial" w:cs="Arial" w:eastAsia="Arial" w:hAnsi="Arial"/>
                <w:sz w:val="9"/>
                <w:szCs w:val="9"/>
                <w:color w:val="auto"/>
              </w:rPr>
              <w:t>(In thousands, except</w:t>
            </w:r>
          </w:p>
        </w:tc>
        <w:tc>
          <w:tcPr>
            <w:tcW w:w="4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8"/>
          </w:tcPr>
          <w:p>
            <w:pPr>
              <w:jc w:val="right"/>
              <w:ind w:right="273"/>
              <w:spacing w:after="0"/>
              <w:rPr>
                <w:sz w:val="20"/>
                <w:szCs w:val="20"/>
                <w:color w:val="auto"/>
              </w:rPr>
            </w:pPr>
            <w:r>
              <w:rPr>
                <w:rFonts w:ascii="Arial" w:cs="Arial" w:eastAsia="Arial" w:hAnsi="Arial"/>
                <w:sz w:val="10"/>
                <w:szCs w:val="10"/>
                <w:color w:val="auto"/>
                <w:w w:val="93"/>
              </w:rPr>
              <w:t>and per share data)</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817</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2,387</w:t>
            </w:r>
          </w:p>
        </w:tc>
        <w:tc>
          <w:tcPr>
            <w:tcW w:w="14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7,406</w:t>
            </w: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5,136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6,015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2,396</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3,300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2,319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9,074</w:t>
            </w:r>
          </w:p>
        </w:tc>
        <w:tc>
          <w:tcPr>
            <w:tcW w:w="14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11,723</w:t>
            </w: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7,309</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14,468</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 end enrollment: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Online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6,212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8,406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12,497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11,306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19,287</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Ground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2,256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2,193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2,670</w:t>
            </w: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0"/>
                <w:szCs w:val="10"/>
                <w:b w:val="1"/>
                <w:bCs w:val="1"/>
                <w:color w:val="auto"/>
                <w:w w:val="92"/>
              </w:rPr>
              <w:t>As of September 30, 2008</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18"/>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5"/>
            <w:vMerge w:val="restart"/>
          </w:tcPr>
          <w:p>
            <w:pPr>
              <w:jc w:val="right"/>
              <w:ind w:right="308"/>
              <w:spacing w:after="0"/>
              <w:rPr>
                <w:sz w:val="20"/>
                <w:szCs w:val="20"/>
                <w:color w:val="auto"/>
              </w:rPr>
            </w:pPr>
            <w:r>
              <w:rPr>
                <w:rFonts w:ascii="Arial" w:cs="Arial" w:eastAsia="Arial" w:hAnsi="Arial"/>
                <w:sz w:val="10"/>
                <w:szCs w:val="10"/>
                <w:b w:val="1"/>
                <w:bCs w:val="1"/>
                <w:color w:val="auto"/>
              </w:rPr>
              <w:t>Actual</w:t>
            </w:r>
          </w:p>
        </w:tc>
        <w:tc>
          <w:tcPr>
            <w:tcW w:w="240" w:type="dxa"/>
            <w:vAlign w:val="bottom"/>
          </w:tcPr>
          <w:p>
            <w:pPr>
              <w:spacing w:after="0"/>
              <w:rPr>
                <w:sz w:val="9"/>
                <w:szCs w:val="9"/>
                <w:color w:val="auto"/>
              </w:rPr>
            </w:pPr>
          </w:p>
        </w:tc>
        <w:tc>
          <w:tcPr>
            <w:tcW w:w="1180" w:type="dxa"/>
            <w:vAlign w:val="bottom"/>
            <w:gridSpan w:val="5"/>
            <w:vMerge w:val="restart"/>
          </w:tcPr>
          <w:p>
            <w:pPr>
              <w:jc w:val="center"/>
              <w:ind w:right="38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(3)</w:t>
            </w:r>
          </w:p>
        </w:tc>
        <w:tc>
          <w:tcPr>
            <w:tcW w:w="80" w:type="dxa"/>
            <w:vAlign w:val="bottom"/>
          </w:tcPr>
          <w:p>
            <w:pPr>
              <w:spacing w:after="0"/>
              <w:rPr>
                <w:sz w:val="9"/>
                <w:szCs w:val="9"/>
                <w:color w:val="auto"/>
              </w:rPr>
            </w:pPr>
          </w:p>
        </w:tc>
        <w:tc>
          <w:tcPr>
            <w:tcW w:w="7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9"/>
              </w:rPr>
              <w:t>as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Adjusted</w:t>
            </w:r>
            <w:r>
              <w:rPr>
                <w:rFonts w:ascii="Arial" w:cs="Arial" w:eastAsia="Arial" w:hAnsi="Arial"/>
                <w:sz w:val="8"/>
                <w:szCs w:val="8"/>
                <w:b w:val="1"/>
                <w:bCs w:val="1"/>
                <w:color w:val="auto"/>
                <w:w w:val="95"/>
              </w:rPr>
              <w:t>(5)</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3"/>
          </w:tcPr>
          <w:p>
            <w:pPr>
              <w:jc w:val="center"/>
              <w:ind w:right="68"/>
              <w:spacing w:after="0" w:line="81" w:lineRule="exact"/>
              <w:rPr>
                <w:sz w:val="20"/>
                <w:szCs w:val="20"/>
                <w:color w:val="auto"/>
              </w:rPr>
            </w:pPr>
            <w:r>
              <w:rPr>
                <w:rFonts w:ascii="Arial" w:cs="Arial" w:eastAsia="Arial" w:hAnsi="Arial"/>
                <w:sz w:val="9"/>
                <w:szCs w:val="9"/>
                <w:b w:val="1"/>
                <w:bCs w:val="1"/>
                <w:color w:val="auto"/>
              </w:rPr>
              <w:t>(Unaudited)</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22,227</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22,227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36,337</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105,618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105,618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119,728</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30,775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30,775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32,739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(2)(3)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(7,457)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(124,343)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45,947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60" w:right="42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160" w:right="34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160" w:right="20" w:hanging="252"/>
        <w:spacing w:after="0" w:line="306" w:lineRule="auto"/>
        <w:tabs>
          <w:tab w:leader="none" w:pos="1160" w:val="left"/>
        </w:tabs>
        <w:numPr>
          <w:ilvl w:val="0"/>
          <w:numId w:val="6"/>
        </w:numPr>
        <w:rPr>
          <w:rFonts w:ascii="Arial" w:cs="Arial" w:eastAsia="Arial" w:hAnsi="Arial"/>
          <w:sz w:val="11"/>
          <w:szCs w:val="11"/>
          <w:color w:val="auto"/>
        </w:rPr>
      </w:pPr>
      <w:r>
        <w:rPr>
          <w:rFonts w:ascii="Arial" w:cs="Arial" w:eastAsia="Arial" w:hAnsi="Arial"/>
          <w:sz w:val="11"/>
          <w:szCs w:val="11"/>
          <w:color w:val="auto"/>
        </w:rPr>
        <w:t>As described in “Use of Proceeds” and “Special Distribution,” we will use the proceeds of this offering to pay a special distribution to our stockholders of record as of September 26,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an assumed initial public offering price of $19.00 per share to pay the amount of dividends that exceeds net income for the twelve-month period ended September 30, 2008. The pro forma balance sheet and earnings per common share data also assume the conversion of all outstanding shares of Series A convertible preferred stock into 10,870,178 shares of common stock, as well as the conversion of all outstanding shares of Series C preferred stock into 1,410,526 shares of common stock upon the closing of the offering based on a conversion price equal to $19.00 per share, which is the midpoint of the range set forth on the cover page of this prospectus.</w:t>
      </w:r>
    </w:p>
    <w:p>
      <w:pPr>
        <w:spacing w:after="0" w:line="9" w:lineRule="exact"/>
        <w:rPr>
          <w:rFonts w:ascii="Arial" w:cs="Arial" w:eastAsia="Arial" w:hAnsi="Arial"/>
          <w:sz w:val="11"/>
          <w:szCs w:val="11"/>
          <w:color w:val="auto"/>
        </w:rPr>
      </w:pPr>
    </w:p>
    <w:p>
      <w:pPr>
        <w:ind w:left="1160" w:right="60" w:hanging="252"/>
        <w:spacing w:after="0" w:line="276" w:lineRule="auto"/>
        <w:tabs>
          <w:tab w:leader="none" w:pos="11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jc w:val="both"/>
        <w:ind w:left="1160" w:right="360"/>
        <w:spacing w:after="0" w:line="264" w:lineRule="auto"/>
        <w:rPr>
          <w:sz w:val="20"/>
          <w:szCs w:val="20"/>
          <w:color w:val="auto"/>
        </w:rPr>
      </w:pPr>
      <w:r>
        <w:rPr>
          <w:rFonts w:ascii="Arial" w:cs="Arial" w:eastAsia="Arial" w:hAnsi="Arial"/>
          <w:sz w:val="13"/>
          <w:szCs w:val="13"/>
          <w:color w:val="auto"/>
        </w:rPr>
        <w:t>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18" w:lineRule="exact"/>
        <w:rPr>
          <w:sz w:val="20"/>
          <w:szCs w:val="20"/>
          <w:color w:val="auto"/>
        </w:rPr>
      </w:pPr>
    </w:p>
    <w:p>
      <w:pPr>
        <w:ind w:left="1160" w:right="40"/>
        <w:spacing w:after="0" w:line="257" w:lineRule="auto"/>
        <w:rPr>
          <w:sz w:val="20"/>
          <w:szCs w:val="20"/>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57" w:lineRule="exact"/>
        <w:rPr>
          <w:sz w:val="20"/>
          <w:szCs w:val="20"/>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860" w:right="40" w:hanging="200"/>
        <w:spacing w:after="0" w:line="276" w:lineRule="auto"/>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160"/>
        <w:spacing w:after="0" w:line="258" w:lineRule="auto"/>
        <w:rPr>
          <w:sz w:val="20"/>
          <w:szCs w:val="20"/>
          <w:color w:val="auto"/>
        </w:rPr>
      </w:pPr>
      <w:r>
        <w:rPr>
          <w:rFonts w:ascii="Arial" w:cs="Arial" w:eastAsia="Arial" w:hAnsi="Arial"/>
          <w:sz w:val="13"/>
          <w:szCs w:val="13"/>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provides a reconciliation of net income (loss)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ind w:right="200"/>
              <w:spacing w:after="0" w:line="98" w:lineRule="exact"/>
              <w:rPr>
                <w:sz w:val="20"/>
                <w:szCs w:val="20"/>
                <w:color w:val="auto"/>
              </w:rPr>
            </w:pPr>
            <w:r>
              <w:rPr>
                <w:rFonts w:ascii="Arial" w:cs="Arial" w:eastAsia="Arial" w:hAnsi="Arial"/>
                <w:sz w:val="10"/>
                <w:szCs w:val="10"/>
                <w:b w:val="1"/>
                <w:bCs w:val="1"/>
                <w:color w:val="auto"/>
                <w:w w:val="95"/>
              </w:rPr>
              <w:t>(Restated)</w:t>
            </w:r>
            <w:r>
              <w:rPr>
                <w:rFonts w:ascii="Arial" w:cs="Arial" w:eastAsia="Arial" w:hAnsi="Arial"/>
                <w:sz w:val="8"/>
                <w:szCs w:val="8"/>
                <w:b w:val="1"/>
                <w:bCs w:val="1"/>
                <w:color w:val="auto"/>
                <w:w w:val="95"/>
              </w:rPr>
              <w:t>(1)</w:t>
            </w: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7"/>
              </w:rPr>
              <w:t>(Unaudited)</w:t>
            </w: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(4,286)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1,526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8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2,822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1,915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1,349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(3,440)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529</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1,016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347</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1,879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2,319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(3,025)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5"/>
              </w:rPr>
              <w:t>5,438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4,536</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12,668</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1,619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2,678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3,782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2,585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188</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3"/>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9,074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7,309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14,468</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340" w:hanging="244"/>
        <w:spacing w:after="0" w:line="264" w:lineRule="auto"/>
        <w:tabs>
          <w:tab w:leader="none" w:pos="1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 although the settlement includes a prepayment of future royalties that will be amortized in 2008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660" w:right="120"/>
        <w:spacing w:after="0" w:line="276" w:lineRule="auto"/>
        <w:rPr>
          <w:sz w:val="20"/>
          <w:szCs w:val="20"/>
          <w:color w:val="auto"/>
        </w:rPr>
      </w:pPr>
      <w:r>
        <w:rPr>
          <w:rFonts w:ascii="Arial" w:cs="Arial" w:eastAsia="Arial" w:hAnsi="Arial"/>
          <w:sz w:val="13"/>
          <w:szCs w:val="13"/>
          <w:color w:val="auto"/>
        </w:rPr>
        <w:t>future periods. See “Management’s Discussion and Analysis of Financial Condition and Results of Operations — Factors affecting comparability — Settlement with former owner” and Note 2 to our financial statements, which are included elsewhere in this prospectus.</w:t>
      </w:r>
    </w:p>
    <w:p>
      <w:pPr>
        <w:spacing w:after="0" w:line="20" w:lineRule="exact"/>
        <w:rPr>
          <w:sz w:val="20"/>
          <w:szCs w:val="20"/>
          <w:color w:val="auto"/>
        </w:rPr>
      </w:pPr>
    </w:p>
    <w:p>
      <w:pPr>
        <w:ind w:left="1660" w:hanging="251"/>
        <w:spacing w:after="0" w:line="258" w:lineRule="auto"/>
        <w:tabs>
          <w:tab w:leader="none" w:pos="1660" w:val="left"/>
        </w:tabs>
        <w:numPr>
          <w:ilvl w:val="1"/>
          <w:numId w:val="9"/>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$0.2 million and $0.2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160" w:hanging="252"/>
        <w:spacing w:after="0"/>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a description of the offering and pro forma adjustments,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Industry</w:t>
      </w:r>
    </w:p>
    <w:p>
      <w:pPr>
        <w:spacing w:after="0" w:line="81"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8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most recent recertification, which was issued on a provisional basis in May 2005 after an extended review by the Department of Education following the change in control that occurred in February 2004,</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 xml:space="preserve">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92"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3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3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are currently reviewing documents and emails that may be responsive to the Office of Inspector General’s subpoena. The outcome of the Office of Inspector General investigation may depend in part on information contained in these materials or any information or testimony that may be provided by former employees or other third parties.</w:t>
      </w:r>
    </w:p>
    <w:p>
      <w:pPr>
        <w:spacing w:after="0" w:line="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 We are cooperating with the Office of Inspector General to facilitate its investigation, but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cannot presently predict the ultimate outcome of the investigation or any liability or other sanctions that might result.</w:t>
      </w:r>
    </w:p>
    <w:p>
      <w:pPr>
        <w:spacing w:after="0" w:line="126"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w:t>
      </w:r>
    </w:p>
    <w:p>
      <w:pPr>
        <w:spacing w:after="0" w:line="4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August 2007 and was unsealed and served on us following the government’s decision not to intervene at this time.</w:t>
      </w:r>
    </w:p>
    <w:p>
      <w:pPr>
        <w:spacing w:after="0" w:line="2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 xml:space="preserve">If it were determined that any of our compensation practices violated the incentive compensation law, we could experience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or any liability that might result.</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Congressional action could also require us to modify our practices in ways that could increase our administrative and regulatory costs.</w:t>
      </w:r>
    </w:p>
    <w:p>
      <w:pPr>
        <w:spacing w:after="0" w:line="126"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3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9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3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cumulative impact of recent regulatory and market developments and conditions, including the widespread disruption in the credit markets,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72" w:lineRule="exact"/>
        <w:rPr>
          <w:sz w:val="20"/>
          <w:szCs w:val="20"/>
          <w:color w:val="auto"/>
        </w:rPr>
      </w:pPr>
    </w:p>
    <w:p>
      <w:pPr>
        <w:ind w:left="1680" w:right="80" w:hanging="187"/>
        <w:spacing w:after="0" w:line="276" w:lineRule="auto"/>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40" w:hanging="187"/>
        <w:spacing w:after="0" w:line="276" w:lineRule="auto"/>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ind w:left="680" w:right="400"/>
        <w:spacing w:after="0" w:line="264" w:lineRule="auto"/>
        <w:rPr>
          <w:sz w:val="20"/>
          <w:szCs w:val="20"/>
          <w:color w:val="auto"/>
        </w:rPr>
      </w:pPr>
      <w:r>
        <w:rPr>
          <w:rFonts w:ascii="Arial" w:cs="Arial" w:eastAsia="Arial" w:hAnsi="Arial"/>
          <w:sz w:val="13"/>
          <w:szCs w:val="13"/>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39"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76"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State laws and regulations are not always precise or clear, and regulatory agencies may sometimes disagree with the way we have interpreted or applied these requirements. Any misinterpretation by us of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regulatory requirements or adverse changes in regulations or interpretations thereof by regulators could materially adversely affect us.</w:t>
      </w:r>
    </w:p>
    <w:p>
      <w:pPr>
        <w:spacing w:after="0" w:line="175"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8" w:lineRule="exact"/>
        <w:rPr>
          <w:sz w:val="20"/>
          <w:szCs w:val="20"/>
          <w:color w:val="auto"/>
        </w:rPr>
      </w:pPr>
    </w:p>
    <w:p>
      <w:pPr>
        <w:ind w:left="880"/>
        <w:spacing w:after="0" w:line="296" w:lineRule="auto"/>
        <w:rPr>
          <w:sz w:val="20"/>
          <w:szCs w:val="20"/>
          <w:color w:val="auto"/>
        </w:rPr>
      </w:pPr>
      <w:r>
        <w:rPr>
          <w:rFonts w:ascii="Arial" w:cs="Arial" w:eastAsia="Arial" w:hAnsi="Arial"/>
          <w:sz w:val="12"/>
          <w:szCs w:val="12"/>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5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review will be.</w:t>
      </w:r>
    </w:p>
    <w:p>
      <w:pPr>
        <w:spacing w:after="0" w:line="58"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137"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67"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Because we operate in a highly regulated industry, we are subject to program reviews, audits, investigations, claims of non-compliance, and lawsuits by government agencies, regulatory agencies, students,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 xml:space="preserve">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We were recently notified that a </w:t>
      </w:r>
      <w:r>
        <w:rPr>
          <w:rFonts w:ascii="Arial" w:cs="Arial" w:eastAsia="Arial" w:hAnsi="Arial"/>
          <w:sz w:val="12"/>
          <w:szCs w:val="12"/>
          <w:i w:val="1"/>
          <w:iCs w:val="1"/>
          <w:color w:val="auto"/>
        </w:rPr>
        <w:t>qui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tam </w:t>
      </w:r>
      <w:r>
        <w:rPr>
          <w:rFonts w:ascii="Arial" w:cs="Arial" w:eastAsia="Arial" w:hAnsi="Arial"/>
          <w:sz w:val="12"/>
          <w:szCs w:val="12"/>
          <w:color w:val="auto"/>
        </w:rPr>
        <w:t>lawsuit has been filed against us alleging, among other things, that we have improperly compensated certain of our enrollment counselors, and we may incur liability, be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43"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According to a September 2008 report from the NCES, enrollment in degree-granting, postsecondary institutions is projected to grow 12.0% over the ten-year period ending fall 2016 to approximately 19.9 million. This growth is slower than the 23.6% increase reported in the prior ten-year period ended in fall 2006, when enrollment increased from 14.4 million in 1996 to 17.8 million in 2006.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127"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5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During the fiscal year ended December 31, 2007, private loans to students at our school represented approximately 5.1% of our revenue (calculated on a cash basis) as compared to 2.5% of revenue in fiscal 2006 and 1.9%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46"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5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6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74"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We also notified other accrediting commissions and state agencies, as we believed necessary, of this offering and the reasons why we believe this offering will not constitute a change in control under their respective standards, or to determine what is required if any such commission or agency does consider the offering to constitute a change in control.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the actions of other postsecondary educational institutions.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96"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for this test, we have calculated that, for our 2006 and 2007 fiscal years, we derived approximately 71.5% and 74.0%,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Economic downturns that adversely affect our students’ employment circumstances could also increase their reliance on Title IV programs. These developments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96"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119"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3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67"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adverse publicity regarding us, our competitors, or online or for-profit education generally;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1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incur increased costs as a result of being a public company, and the requirements of being a public company may divert management attention from our business.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are currently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96" w:lineRule="auto"/>
        <w:rPr>
          <w:sz w:val="20"/>
          <w:szCs w:val="20"/>
          <w:color w:val="auto"/>
        </w:rPr>
      </w:pPr>
      <w:r>
        <w:rPr>
          <w:rFonts w:ascii="Arial" w:cs="Arial" w:eastAsia="Arial" w:hAnsi="Arial"/>
          <w:sz w:val="12"/>
          <w:szCs w:val="12"/>
          <w:color w:val="auto"/>
        </w:rPr>
        <w:t>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96"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1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37"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September 30, 2008, we offered 79 fully online programs, 17 of which we introduced in 2007, 12 of which we introduced in the first nine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00"/>
        <w:spacing w:after="0" w:line="264" w:lineRule="auto"/>
        <w:rPr>
          <w:sz w:val="20"/>
          <w:szCs w:val="20"/>
          <w:color w:val="auto"/>
        </w:rPr>
      </w:pPr>
      <w:r>
        <w:rPr>
          <w:rFonts w:ascii="Arial" w:cs="Arial" w:eastAsia="Arial" w:hAnsi="Arial"/>
          <w:sz w:val="13"/>
          <w:szCs w:val="13"/>
          <w:color w:val="auto"/>
        </w:rPr>
        <w:t>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5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as a result of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6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market with rapid technological change, and we may not have the resources needed to compete successfully.</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As of September 30, 2008, approximately 56%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8" w:lineRule="exact"/>
        <w:rPr>
          <w:sz w:val="20"/>
          <w:szCs w:val="20"/>
          <w:color w:val="auto"/>
        </w:rPr>
      </w:pPr>
    </w:p>
    <w:p>
      <w:pPr>
        <w:ind w:left="880" w:right="420"/>
        <w:spacing w:after="0" w:line="371" w:lineRule="auto"/>
        <w:rPr>
          <w:sz w:val="20"/>
          <w:szCs w:val="20"/>
          <w:color w:val="auto"/>
        </w:rPr>
      </w:pPr>
      <w:r>
        <w:rPr>
          <w:rFonts w:ascii="Arial" w:cs="Arial" w:eastAsia="Arial" w:hAnsi="Arial"/>
          <w:sz w:val="11"/>
          <w:szCs w:val="11"/>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1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108"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9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1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reclassification of our online faculty by federal or state authorities from independent contractor to employee status could materially increase our costs.</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A majority of our faculty at September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compliance with the ADA, FHAA, or other legislation. If we incur substantial costs to comply with the ADA, FHAA, or any other legislation, we could be materially and adversely affected.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108" w:lineRule="exact"/>
        <w:rPr>
          <w:sz w:val="20"/>
          <w:szCs w:val="20"/>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no existing market for our common stock, and we do not know if one will develop to provide you with adequate liquidity.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fluctuate significantly, and you could lose all or part of your investment.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59" w:lineRule="exact"/>
        <w:rPr>
          <w:sz w:val="20"/>
          <w:szCs w:val="20"/>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laws or regulations applicable to our business;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47" w:lineRule="exact"/>
        <w:rPr>
          <w:rFonts w:ascii="Arial" w:cs="Arial" w:eastAsia="Arial" w:hAnsi="Arial"/>
          <w:sz w:val="13"/>
          <w:szCs w:val="13"/>
          <w:color w:val="auto"/>
        </w:rPr>
      </w:pPr>
    </w:p>
    <w:p>
      <w:pPr>
        <w:ind w:left="1680" w:right="30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47" w:lineRule="exact"/>
        <w:rPr>
          <w:rFonts w:ascii="Arial" w:cs="Arial" w:eastAsia="Arial" w:hAnsi="Arial"/>
          <w:sz w:val="13"/>
          <w:szCs w:val="13"/>
          <w:color w:val="auto"/>
        </w:rPr>
      </w:pPr>
    </w:p>
    <w:p>
      <w:pPr>
        <w:ind w:left="1680" w:right="180" w:hanging="187"/>
        <w:spacing w:after="0" w:line="260"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the review being conducted by the Attorney General of the State of Arizona regarding institutions’ student loan practices; and</w:t>
      </w:r>
    </w:p>
    <w:p>
      <w:pPr>
        <w:spacing w:after="0" w:line="20"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128" w:lineRule="exact"/>
        <w:rPr>
          <w:sz w:val="20"/>
          <w:szCs w:val="20"/>
          <w:color w:val="auto"/>
        </w:rPr>
      </w:pPr>
    </w:p>
    <w:p>
      <w:pPr>
        <w:ind w:left="880" w:right="140"/>
        <w:spacing w:after="0" w:line="264" w:lineRule="auto"/>
        <w:rPr>
          <w:sz w:val="20"/>
          <w:szCs w:val="20"/>
          <w:color w:val="auto"/>
        </w:rPr>
      </w:pPr>
      <w:r>
        <w:rPr>
          <w:rFonts w:ascii="Arial" w:cs="Arial" w:eastAsia="Arial" w:hAnsi="Arial"/>
          <w:sz w:val="13"/>
          <w:szCs w:val="13"/>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directors, executive officers, and principal existing stockholders will beneficially own approximately 30,645,702 shares, or 72.8%, of our common stock upon the completion of this offering. Our directors and executive officers will beneficially own in the aggregate approximately 28,810,572 shares, or 68.4%, of our common stock after the offering. In addition, pursuant to a voting agreement entered into among Brent Richardson, Chris Richardson, and certain of our existing stockholders, the Richardsons will have voting control over approximately 45.3%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 including investors in this offering.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10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sale of a substantial number of shares of our common stock after this offering may cause the market price of shares of our common stock to decline.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 approximately 31,499,354 additional shares of common stock may be eligible for sale in the public market without restriction, and up to approximately 26,771,211 shares of common stock held by affiliates may become eligible for sale, subject to the restrictions under Rule 144 of the Securities Act of 1933, as amended, or the Securities Act.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will incur immediate and substantial dilution in the net tangible book value of your shares.</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 the issuance and sale of 10,500,000 shares of our common stock by us in this offering at an assumed initial public offering price of $19.00 per share, the midpoint of the price range set forth on the cover page of this prospectus, you will incur immediate dilution of $18.13 in the net tangible book value per share. A $1.00 increase or decrease in the assumed initial public offering price of $19.00 per share would increase or decrease, as applicable, our pro forma as-adjusted net tangible book value per share of common stock by $0.05, and increase or decrease, as applicable, the dilution per share of common stock to new investors by $0.95,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139"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Anti-takeover provisions of our certificate of incorporation, bylaws, the Delaware General Corporation Law, or DGCL, and regulations of state and federal education agencies could diminish the opportunity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139"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have significant flexibility in applying the net proceeds we will receive in this offering. We will use a substantial portion of the proceeds that we receive from the sale of stock in this offering to fund the special distribution payable to our existing stockholders and to use the remainder to redeem an outstanding warrant to purchase shares of our common stock,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FORWARD-LOOKING STATEMENTS</w:t>
      </w:r>
    </w:p>
    <w:p>
      <w:pPr>
        <w:spacing w:after="0" w:line="6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2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 w:lineRule="exact"/>
        <w:rPr>
          <w:sz w:val="20"/>
          <w:szCs w:val="20"/>
          <w:color w:val="auto"/>
        </w:rPr>
      </w:pPr>
    </w:p>
    <w:p>
      <w:pPr>
        <w:ind w:left="1680" w:right="60" w:hanging="187"/>
        <w:spacing w:after="0" w:line="276" w:lineRule="auto"/>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9"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47"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factors discussed under the headings “Risk Factors,” “Management’s Discussion and Analysis of Financial Condition and Results of Operations,” “Business,” and “Regulation.”</w:t>
      </w:r>
    </w:p>
    <w:p>
      <w:pPr>
        <w:spacing w:after="0" w:line="2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net proceeds from the sale of 10,500,000 shares of our common stock offered by us in this offering will be approximately $179.7 million (or approximately $207.6 million if the underwriters exercise their over-allotment option in full), assuming an initial public offering price of $19.00 per share, which is the midpoint of the range set forth on the cover page of this prospectus, and after deducting the underwriting discounts and commissions and estimated offering expenses payable by us.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will pay a special distribution of 75% of the gross proceeds of this offering, including any proceeds we receive from the underwriters’ exercise of their over-allotment option, that will be payable promptly upon the completion of this offering (and following the exercise of the over-allotment option, if applicable) to our stockholders of record as of September 26, 2008. We will make this distribution upon completion of the offering. See “Special Distribution” for further information.</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2004, we issued a warrant to purchase shares of our common stock in connection with a sale-leaseback transaction we entered into relating to our ground campus.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whose sole purpose was to hold the equity interests of all of our members at the time of conversion. In connection with this offering, we have the right to repurchase the warrant or the underlying shares and intend to use $16.0 million of the net proceeds of this offering to effect such repurchase.</w:t>
      </w:r>
    </w:p>
    <w:p>
      <w:pPr>
        <w:spacing w:after="0" w:line="5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will use the remaining proceeds that we receive from this offering and from the underwriters’ exercise of their over-allotment option to pay the expenses of this offering and for general corporate purposes.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Each $1.00 increase or decrease in the assumed public offering price of $19.00 per share would increase or decrease, as applicable, the aggregate amount of the special distribution by $7.9 million, the per share amount of the special distribution by $0.25 on an as-if converted basis and the net proceeds to us by approximately $1.9 million, assuming the number of shares offered by us, as set forth on the cover page of this prospectus, remains the same and, with respect to the net proceeds to us, after deducting estimated underwriting discounts and commissions and the special distribution noted above.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September 26, 2008. Of the estimated aggregate amount of the special distribution of $149.6 million (exclusive of any amounts that may be received from the underwriters’ exercise of the over-allotment option), assuming an initial public offering price of $19.00 per share, which is the midpoint of the price range set forth on the cover of this prospectus, $81.1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3"/>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5100" w:type="dxa"/>
            <w:vAlign w:val="bottom"/>
            <w:vMerge w:val="continue"/>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5% Stockholders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17"/>
                <w:szCs w:val="17"/>
                <w:color w:val="auto"/>
                <w:vertAlign w:val="superscript"/>
              </w:rPr>
              <w:t>(4)</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22,423</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3,250</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8,717</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9,563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32,776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Staci L. Buse</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16,299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16,766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Significant Ventures, LLC</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12,363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12,974</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Directors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Chad N. Heath</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D. Mark Dorman</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42,917</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45,849</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b w:val="1"/>
                <w:bCs w:val="1"/>
                <w:i w:val="1"/>
                <w:iCs w:val="1"/>
                <w:color w:val="auto"/>
              </w:rPr>
              <w:t>Executive Officers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16,299</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16,766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John E. Crowley</w:t>
            </w:r>
            <w:r>
              <w:rPr>
                <w:rFonts w:ascii="Arial" w:cs="Arial" w:eastAsia="Arial" w:hAnsi="Arial"/>
                <w:sz w:val="17"/>
                <w:szCs w:val="17"/>
                <w:color w:val="auto"/>
                <w:vertAlign w:val="superscript"/>
              </w:rPr>
              <w:t>(6)</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1,736</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16,308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16,775</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All directors and executive officers as a group</w:t>
            </w:r>
          </w:p>
        </w:tc>
        <w:tc>
          <w:tcPr>
            <w:tcW w:w="15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26,898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81,127</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64"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$19.00 per share, which is the midpoint of the range set forth on the cover page of this prospectus.</w:t>
      </w:r>
    </w:p>
    <w:p>
      <w:pPr>
        <w:spacing w:after="0" w:line="20"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Endeavour Capital IV, LLC, the general partner for each of the Endeavour Entities, are members of our board of directors.</w:t>
      </w:r>
    </w:p>
    <w:p>
      <w:pPr>
        <w:spacing w:after="0" w:line="17" w:lineRule="exact"/>
        <w:rPr>
          <w:rFonts w:ascii="Arial" w:cs="Arial" w:eastAsia="Arial" w:hAnsi="Arial"/>
          <w:sz w:val="13"/>
          <w:szCs w:val="13"/>
          <w:color w:val="auto"/>
        </w:rPr>
      </w:pPr>
    </w:p>
    <w:p>
      <w:pPr>
        <w:ind w:left="1000" w:hanging="259"/>
        <w:spacing w:after="0"/>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47"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September 30, 2008:</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 pro forma basis, giving effect to:</w:t>
      </w:r>
    </w:p>
    <w:p>
      <w:pPr>
        <w:spacing w:after="0" w:line="96" w:lineRule="exact"/>
        <w:rPr>
          <w:rFonts w:ascii="Arial" w:cs="Arial" w:eastAsia="Arial" w:hAnsi="Arial"/>
          <w:sz w:val="13"/>
          <w:szCs w:val="13"/>
          <w:color w:val="auto"/>
        </w:rPr>
      </w:pPr>
    </w:p>
    <w:p>
      <w:pPr>
        <w:ind w:left="2200" w:right="320" w:hanging="511"/>
        <w:spacing w:after="0" w:line="276"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convertible preferred stock into 10,870,178 shares of common stock upon the closing of the offering; and</w:t>
      </w:r>
    </w:p>
    <w:p>
      <w:pPr>
        <w:spacing w:after="0" w:line="59" w:lineRule="exact"/>
        <w:rPr>
          <w:rFonts w:ascii="Arial" w:cs="Arial" w:eastAsia="Arial" w:hAnsi="Arial"/>
          <w:sz w:val="13"/>
          <w:szCs w:val="13"/>
          <w:color w:val="auto"/>
        </w:rPr>
      </w:pPr>
    </w:p>
    <w:p>
      <w:pPr>
        <w:ind w:left="2200" w:right="180" w:hanging="511"/>
        <w:spacing w:after="0" w:line="264"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C preferred stock into 1,410,526 shares of common stock upon the closing of the offering at a conversion rate equal to their liquidation preference per share divided by the initial public offering price per share, which is estimated to be $19.00 per share, which is the midpoint of the range set forth on the cover page of this prospectus; and</w:t>
      </w:r>
    </w:p>
    <w:p>
      <w:pPr>
        <w:spacing w:after="0" w:line="6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 pro forma, as adjusted basis, giving effect to the pro forma adjustments above, as well as:</w:t>
      </w:r>
    </w:p>
    <w:p>
      <w:pPr>
        <w:spacing w:after="0" w:line="96" w:lineRule="exact"/>
        <w:rPr>
          <w:rFonts w:ascii="Arial" w:cs="Arial" w:eastAsia="Arial" w:hAnsi="Arial"/>
          <w:sz w:val="13"/>
          <w:szCs w:val="13"/>
          <w:color w:val="auto"/>
        </w:rPr>
      </w:pPr>
    </w:p>
    <w:p>
      <w:pPr>
        <w:ind w:left="2100" w:right="60" w:hanging="411"/>
        <w:spacing w:after="0" w:line="264" w:lineRule="auto"/>
        <w:tabs>
          <w:tab w:leader="none" w:pos="21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our sale of 10,500,000 shares of our common stock in this offering (at an assumed initial public offering price of $19.00 per share, which is the midpoint of the range set forth on the cover page of this prospectus) and after deducting the underwriting discounts and commissions and estimated offering expenses payable by us;</w:t>
      </w:r>
    </w:p>
    <w:p>
      <w:pPr>
        <w:spacing w:after="0" w:line="66" w:lineRule="exact"/>
        <w:rPr>
          <w:rFonts w:ascii="Arial" w:cs="Arial" w:eastAsia="Arial" w:hAnsi="Arial"/>
          <w:sz w:val="13"/>
          <w:szCs w:val="13"/>
          <w:color w:val="auto"/>
        </w:rPr>
      </w:pPr>
    </w:p>
    <w:p>
      <w:pPr>
        <w:ind w:left="2100" w:hanging="411"/>
        <w:spacing w:after="0" w:line="264" w:lineRule="auto"/>
        <w:tabs>
          <w:tab w:leader="none" w:pos="21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payment of a special distribution to our existing stockholders of 75% of the gross proceeds from the sale of common stock by us in this offering, including any proceeds we receive from the underwriters’ exercise of their over-allotment option, which will occur promptly upon the consummation of this offering (and the closing of the exercise of the over-allotment option, if applicable); and</w:t>
      </w:r>
    </w:p>
    <w:p>
      <w:pPr>
        <w:spacing w:after="0" w:line="66" w:lineRule="exact"/>
        <w:rPr>
          <w:rFonts w:ascii="Arial" w:cs="Arial" w:eastAsia="Arial" w:hAnsi="Arial"/>
          <w:sz w:val="13"/>
          <w:szCs w:val="13"/>
          <w:color w:val="auto"/>
        </w:rPr>
      </w:pPr>
    </w:p>
    <w:p>
      <w:pPr>
        <w:ind w:left="2200" w:right="60" w:hanging="511"/>
        <w:spacing w:after="0" w:line="276"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common stock for $16.0 million in cash as described in “Use of Proceeds’’ net of related tax benefit of $6.6 million.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As of September 30, 2008</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Actual</w:t>
            </w:r>
          </w:p>
        </w:tc>
        <w:tc>
          <w:tcPr>
            <w:tcW w:w="4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Pro Forma</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tcPr>
          <w:p>
            <w:pPr>
              <w:jc w:val="right"/>
              <w:spacing w:after="0"/>
              <w:rPr>
                <w:sz w:val="20"/>
                <w:szCs w:val="20"/>
                <w:color w:val="auto"/>
              </w:rPr>
            </w:pPr>
            <w:r>
              <w:rPr>
                <w:rFonts w:ascii="Arial" w:cs="Arial" w:eastAsia="Arial" w:hAnsi="Arial"/>
                <w:sz w:val="10"/>
                <w:szCs w:val="10"/>
                <w:b w:val="1"/>
                <w:bCs w:val="1"/>
                <w:color w:val="auto"/>
                <w:w w:val="91"/>
              </w:rPr>
              <w:t>(In thousands, except share data)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36,337</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30,775</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30,775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6"/>
              </w:rPr>
              <w:t>Series A convertible preferred stock: $0.01 par value; 9,700 shares authorized, 5,953 shares issued and outstanding, actual; no</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shares 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18,610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Series B convertible preferred stock: $0.01 par value; 2,200 shares authorized, no shares issued and outstanding, actual; no shares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9"/>
              </w:rPr>
              <w:t>Series C preferred stock: $0.01 par value; 3,900 shares authorized, 3,829 shares issued and outstanding, actual; no shares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14,129</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Undesignated preferred stock: $0.01 par value; no shares authorized, issued and outstanding, actual and pro forma;</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10,000,000 shares authorized, no shares issued and outstanding, pro forma, as adjusted</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$0.01 par value; 100,000,000 shares authorized, 19,218,650 shares issued and outstanding, actual;</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100,000,000 shares authorized, 31,499,354 shares issued and outstanding, pro forma; 100,000,000 shares authorized,</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41,999,354 shares issued and outstanding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6,238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38,854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59,414</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(13,898)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(13,898)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(13,898)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(7,457)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25,282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45,947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57,871</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57,871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78,536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right="140" w:hanging="259"/>
        <w:spacing w:after="0" w:line="285" w:lineRule="auto"/>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$1.00 increase or decrease in the assumed initial public offering price of $19.00 per share would increase or decrease cash and cash equivalents by $1.9 million, would increase or decrease additional paid-in capital by $1.9 million, and would increase or decrease total stockholders’ equity and total capitalization by $1.9 million, after deducting the underwriting discount, the repurchase of the warrant described in the introductory paragraph to this table, and the payment of a special distribution to our existing stockholders of 75% of the gross proceeds from the sale of common stock by us in this offering. Similarly, any increase or decrease in the number of shares that we sell in the offering will increase or decrease our net proceeds in proportion to such increase or decrease, as applicable, multiplied by the offering price per share, less underwriting discounts and commissions.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35"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As of September 30, 2008, our pro forma net tangible book value would have been $22.3 million or, $0.71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w:t>
      </w:r>
    </w:p>
    <w:p>
      <w:pPr>
        <w:spacing w:after="0" w:line="67" w:lineRule="exact"/>
        <w:rPr>
          <w:sz w:val="20"/>
          <w:szCs w:val="20"/>
          <w:color w:val="auto"/>
        </w:rPr>
      </w:pPr>
    </w:p>
    <w:p>
      <w:pPr>
        <w:ind w:left="680" w:right="300" w:firstLine="399"/>
        <w:spacing w:after="0" w:line="301" w:lineRule="auto"/>
        <w:rPr>
          <w:sz w:val="20"/>
          <w:szCs w:val="20"/>
          <w:color w:val="auto"/>
        </w:rPr>
      </w:pPr>
      <w:r>
        <w:rPr>
          <w:rFonts w:ascii="Arial" w:cs="Arial" w:eastAsia="Arial" w:hAnsi="Arial"/>
          <w:sz w:val="11"/>
          <w:szCs w:val="11"/>
          <w:color w:val="auto"/>
        </w:rPr>
        <w:t>Pro forma as adjusted net tangible book value per share represents the amount of total tangible assets reduced by our total liabilities, divided by the number of shares of common stock outstanding after giving effect to the conversion of all outstanding classes of preferred stock into common stock, the repurchase of our outstanding warrant, the payment of the estimated amount of the special distribution to certain of our existing stockholders and the sale of 10,500,000 shares of common stock in the offering at an initial public offering price of $19.00, the midpoint of the price range set forth on the cover page of this prospectus. Our pro forma as adjusted net tangible book value as of September 30, 2008 would have been</w:t>
      </w:r>
    </w:p>
    <w:p>
      <w:pPr>
        <w:spacing w:after="0" w:line="2"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$36.4 million, or $0.87 per share. This represents an immediate increase in net tangible book value of $0.16 per share to existing stockholders and an immediate dilution of $18.13 per share to new investors purchasing shares in the offering. The following table illustrates this per share dilution:</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 of common stock</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500" w:type="dxa"/>
            <w:vAlign w:val="bottom"/>
          </w:tcPr>
          <w:p>
            <w:pPr>
              <w:ind w:left="140"/>
              <w:spacing w:after="0" w:line="148" w:lineRule="exact"/>
              <w:rPr>
                <w:sz w:val="20"/>
                <w:szCs w:val="20"/>
                <w:color w:val="auto"/>
              </w:rPr>
            </w:pPr>
            <w:r>
              <w:rPr>
                <w:rFonts w:ascii="Arial" w:cs="Arial" w:eastAsia="Arial" w:hAnsi="Arial"/>
                <w:sz w:val="13"/>
                <w:szCs w:val="13"/>
                <w:color w:val="auto"/>
              </w:rPr>
              <w:t>Pro forma net tangible book value per share of common stock as of</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500" w:type="dxa"/>
            <w:vAlign w:val="bottom"/>
          </w:tcPr>
          <w:p>
            <w:pPr>
              <w:ind w:left="280"/>
              <w:spacing w:after="0"/>
              <w:rPr>
                <w:sz w:val="20"/>
                <w:szCs w:val="20"/>
                <w:color w:val="auto"/>
              </w:rPr>
            </w:pPr>
            <w:r>
              <w:rPr>
                <w:rFonts w:ascii="Arial" w:cs="Arial" w:eastAsia="Arial" w:hAnsi="Arial"/>
                <w:sz w:val="13"/>
                <w:szCs w:val="13"/>
                <w:color w:val="auto"/>
              </w:rPr>
              <w:t>September 30, 2008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0.71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per share of common stock attributable to new investors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underwriting discounts and commission and estimated offering expenses by us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Decrease per share of common stock after repurchase of warrant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the special distribution to certain of our existing stockholders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of common stock after this offering</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0.87</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Dilution per share of common stock to new investors</w:t>
            </w: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18.13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Our pro forma as adjusted net tangible book value will be $41.8 million, or $0.96 per share, and the dilution per share of common stock to new investors will be $18.04, if the underwriters’ over-allotment option is exercised in full.</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 $1.00 increase or decrease in the assumed initial public offering price of $19.00 per share would increase or decrease, as applicable, our as pro forma adjusted net tangible book value per share of common stock by $0.05, and increase or decrease, as applicable, the dilution per share of common stock to new investors by $0.95, assuming the number of shares offered by us, as set forth on the cover page of this prospectus, remains the same, after deducting the estimated underwriting discounts and commissions and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following table sets forth, as of September 30, 2008, on the pro forma as-adjusted basis described above, the differences between existing stockholders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$19.00 per share of common stock, which is the midpoint of the range set forth on the cover page of this prospectus: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00" w:type="dxa"/>
            <w:vAlign w:val="bottom"/>
          </w:tcPr>
          <w:p>
            <w:pPr>
              <w:spacing w:after="0"/>
              <w:rPr>
                <w:sz w:val="10"/>
                <w:szCs w:val="10"/>
                <w:color w:val="auto"/>
              </w:rPr>
            </w:pPr>
          </w:p>
        </w:tc>
        <w:tc>
          <w:tcPr>
            <w:tcW w:w="130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w w:val="89"/>
              </w:rPr>
              <w:t>Shares Purchased</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5"/>
        </w:trPr>
        <w:tc>
          <w:tcPr>
            <w:tcW w:w="5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Price Per</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300" w:type="dxa"/>
            <w:vAlign w:val="bottom"/>
            <w:tcBorders>
              <w:top w:val="single" w:sz="8" w:color="auto"/>
            </w:tcBorders>
            <w:gridSpan w:val="2"/>
          </w:tcPr>
          <w:p>
            <w:pPr>
              <w:ind w:left="28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Amount</w:t>
            </w:r>
          </w:p>
        </w:tc>
        <w:tc>
          <w:tcPr>
            <w:tcW w:w="48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vMerge w:val="continue"/>
          </w:tcPr>
          <w:p>
            <w:pPr>
              <w:spacing w:after="0"/>
              <w:rPr>
                <w:sz w:val="11"/>
                <w:szCs w:val="11"/>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31,499,354</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40,300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New investors</w:t>
            </w:r>
          </w:p>
        </w:tc>
        <w:tc>
          <w:tcPr>
            <w:tcW w:w="920" w:type="dxa"/>
            <w:vAlign w:val="bottom"/>
          </w:tcPr>
          <w:p>
            <w:pPr>
              <w:jc w:val="right"/>
              <w:spacing w:after="0"/>
              <w:rPr>
                <w:sz w:val="20"/>
                <w:szCs w:val="20"/>
                <w:color w:val="auto"/>
              </w:rPr>
            </w:pPr>
            <w:r>
              <w:rPr>
                <w:rFonts w:ascii="Arial" w:cs="Arial" w:eastAsia="Arial" w:hAnsi="Arial"/>
                <w:sz w:val="13"/>
                <w:szCs w:val="13"/>
                <w:color w:val="auto"/>
              </w:rPr>
              <w:t>10,500,000</w:t>
            </w:r>
          </w:p>
        </w:tc>
        <w:tc>
          <w:tcPr>
            <w:tcW w:w="3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199,500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41,999,354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239,800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$1.00 increase or decrease in the assumed initial public offering price of $19.00 per share would increase or decrease, as applicable, total consideration paid by new investors, total consideration paid by all stockholders and average price per share paid by all stockholders by $10.5 million, $10.5 million, and $0.25,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This table does not give effect to the payment of the special distribution to existing stockholders.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the underwriters’ over-allotment option is exercised in full, the number of shares held by existing stockholders after this offering would be 31,499,354, or 72.3%, and the number of shares held by new investors would increase to 12,075,000, or 27.7%, of the total number of shares of our common stock outstanding after this offering.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AND OTHER DATA</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4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9"/>
                <w:szCs w:val="9"/>
                <w:b w:val="1"/>
                <w:bCs w:val="1"/>
                <w:color w:val="auto"/>
                <w:w w:val="92"/>
              </w:rPr>
              <w:t>February 2, 2004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4"/>
          </w:tcPr>
          <w:p>
            <w:pPr>
              <w:jc w:val="right"/>
              <w:spacing w:after="0"/>
              <w:rPr>
                <w:sz w:val="20"/>
                <w:szCs w:val="20"/>
                <w:color w:val="auto"/>
              </w:rPr>
            </w:pPr>
            <w:r>
              <w:rPr>
                <w:rFonts w:ascii="Arial" w:cs="Arial" w:eastAsia="Arial" w:hAnsi="Arial"/>
                <w:sz w:val="9"/>
                <w:szCs w:val="9"/>
                <w:b w:val="1"/>
                <w:bCs w:val="1"/>
                <w:color w:val="auto"/>
              </w:rPr>
              <w:t>Nine Months Ended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1"/>
              </w:rPr>
              <w:t>to December 31,</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9"/>
                <w:szCs w:val="9"/>
                <w:b w:val="1"/>
                <w:bCs w:val="1"/>
                <w:color w:val="auto"/>
                <w:w w:val="92"/>
              </w:rPr>
              <w:t>Year Ended December 31,</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b w:val="1"/>
                <w:bCs w:val="1"/>
                <w:color w:val="auto"/>
                <w:w w:val="90"/>
              </w:rPr>
              <w:t>September 30,</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84"/>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2005</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rPr>
              <w:t>2007</w:t>
            </w:r>
          </w:p>
        </w:tc>
        <w:tc>
          <w:tcPr>
            <w:tcW w:w="60" w:type="dxa"/>
            <w:vAlign w:val="bottom"/>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9"/>
                <w:szCs w:val="9"/>
                <w:b w:val="1"/>
                <w:bCs w:val="1"/>
                <w:color w:val="auto"/>
                <w:w w:val="83"/>
              </w:rPr>
              <w:t>(Unaudited)</w:t>
            </w: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42"/>
              <w:spacing w:after="0" w:line="88" w:lineRule="exact"/>
              <w:rPr>
                <w:sz w:val="20"/>
                <w:szCs w:val="20"/>
                <w:color w:val="auto"/>
              </w:rPr>
            </w:pPr>
            <w:r>
              <w:rPr>
                <w:rFonts w:ascii="Arial" w:cs="Arial" w:eastAsia="Arial" w:hAnsi="Arial"/>
                <w:sz w:val="9"/>
                <w:szCs w:val="9"/>
                <w:b w:val="1"/>
                <w:bCs w:val="1"/>
                <w:color w:val="auto"/>
                <w:w w:val="7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jc w:val="center"/>
              <w:ind w:right="84"/>
              <w:spacing w:after="0" w:line="75" w:lineRule="exact"/>
              <w:rPr>
                <w:sz w:val="20"/>
                <w:szCs w:val="20"/>
                <w:color w:val="auto"/>
              </w:rPr>
            </w:pPr>
            <w:r>
              <w:rPr>
                <w:rFonts w:ascii="Arial" w:cs="Arial" w:eastAsia="Arial" w:hAnsi="Arial"/>
                <w:sz w:val="8"/>
                <w:szCs w:val="8"/>
                <w:b w:val="1"/>
                <w:bCs w:val="1"/>
                <w:color w:val="auto"/>
              </w:rPr>
              <w:t>(Unaudited)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gridSpan w:val="2"/>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9"/>
          </w:tcPr>
          <w:p>
            <w:pPr>
              <w:jc w:val="right"/>
              <w:ind w:right="80"/>
              <w:spacing w:after="0"/>
              <w:rPr>
                <w:sz w:val="20"/>
                <w:szCs w:val="20"/>
                <w:color w:val="auto"/>
              </w:rPr>
            </w:pPr>
            <w:r>
              <w:rPr>
                <w:rFonts w:ascii="Arial" w:cs="Arial" w:eastAsia="Arial" w:hAnsi="Arial"/>
                <w:sz w:val="9"/>
                <w:szCs w:val="9"/>
                <w:b w:val="1"/>
                <w:bCs w:val="1"/>
                <w:color w:val="auto"/>
                <w:w w:val="96"/>
              </w:rPr>
              <w:t>(In thousands, except enrollment and per share data)</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Net revenue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25,629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51,793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72,111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99,326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68,472</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2"/>
              </w:rPr>
              <w:t>109,626</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Instructional costs and services</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19,705</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28,063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31,287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39,050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27,531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36,995</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and promotional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9,735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14,047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20,093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35,148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w w:val="97"/>
              </w:rPr>
              <w:t>24,291</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46,035</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10,828</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12,968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15,011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17,001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11,848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15,992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Royalty to former owner</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1,619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2,678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2,585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60"/>
              <w:spacing w:after="0"/>
              <w:rPr>
                <w:sz w:val="20"/>
                <w:szCs w:val="20"/>
                <w:color w:val="auto"/>
              </w:rPr>
            </w:pPr>
            <w:r>
              <w:rPr>
                <w:rFonts w:ascii="Arial" w:cs="Arial" w:eastAsia="Arial" w:hAnsi="Arial"/>
                <w:sz w:val="12"/>
                <w:szCs w:val="12"/>
                <w:color w:val="auto"/>
              </w:rPr>
              <w:t>Total costs and expenses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40,716</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56,697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69,069</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94,981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66,255</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2"/>
              </w:rPr>
              <w:t>100,634</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(15,087)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(4,904)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3,042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2,217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8,992</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(3,098)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(2,827)</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(2,975)</w:t>
            </w: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(2,236)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(2,156)</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276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887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(7,726)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1,127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2,542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868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7,344</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Income tax expense (benefit)</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(3,440)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529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347</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598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1,526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521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Preferred dividends</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available (loss attributable) to common stockholders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5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1,177</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270</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3,685</w:t>
            </w: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0.01</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0.01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Shares used in computing earnings (loss) per common share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18,853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18,923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w w:val="97"/>
              </w:rPr>
              <w:t>18,885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19,133</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36,858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35,143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35,189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32,097</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Pro forma earnings per common share (Unaudited)</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57"/>
        </w:trPr>
        <w:tc>
          <w:tcPr>
            <w:tcW w:w="4500" w:type="dxa"/>
            <w:vAlign w:val="bottom"/>
          </w:tcPr>
          <w:p>
            <w:pPr>
              <w:spacing w:after="0" w:line="157" w:lineRule="exact"/>
              <w:rPr>
                <w:sz w:val="20"/>
                <w:szCs w:val="20"/>
                <w:color w:val="auto"/>
              </w:rPr>
            </w:pPr>
            <w:r>
              <w:rPr>
                <w:rFonts w:ascii="Arial" w:cs="Arial" w:eastAsia="Arial" w:hAnsi="Arial"/>
                <w:sz w:val="11"/>
                <w:szCs w:val="11"/>
                <w:color w:val="auto"/>
              </w:rPr>
              <w:t>Shares used in computing pro forma earnings per common share (Unaudited)</w:t>
            </w:r>
            <w:r>
              <w:rPr>
                <w:rFonts w:ascii="Arial" w:cs="Arial" w:eastAsia="Arial" w:hAnsi="Arial"/>
                <w:sz w:val="18"/>
                <w:szCs w:val="18"/>
                <w:color w:val="auto"/>
                <w:vertAlign w:val="superscript"/>
              </w:rPr>
              <w:t>(4)</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38,913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39,047</w:t>
            </w:r>
          </w:p>
        </w:tc>
        <w:tc>
          <w:tcPr>
            <w:tcW w:w="0" w:type="dxa"/>
            <w:vAlign w:val="bottom"/>
          </w:tcPr>
          <w:p>
            <w:pPr>
              <w:spacing w:after="0"/>
              <w:rPr>
                <w:sz w:val="1"/>
                <w:szCs w:val="1"/>
                <w:color w:val="auto"/>
              </w:rPr>
            </w:pPr>
          </w:p>
        </w:tc>
      </w:tr>
      <w:tr>
        <w:trPr>
          <w:trHeight w:val="29"/>
        </w:trPr>
        <w:tc>
          <w:tcPr>
            <w:tcW w:w="4500" w:type="dxa"/>
            <w:vAlign w:val="bottom"/>
            <w:vMerge w:val="restart"/>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44,263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41,141</w:t>
            </w:r>
          </w:p>
        </w:tc>
        <w:tc>
          <w:tcPr>
            <w:tcW w:w="0" w:type="dxa"/>
            <w:vAlign w:val="bottom"/>
          </w:tcPr>
          <w:p>
            <w:pPr>
              <w:spacing w:after="0"/>
              <w:rPr>
                <w:sz w:val="1"/>
                <w:szCs w:val="1"/>
                <w:color w:val="auto"/>
              </w:rPr>
            </w:pPr>
          </w:p>
        </w:tc>
      </w:tr>
      <w:tr>
        <w:trPr>
          <w:trHeight w:val="32"/>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2"/>
              </w:rPr>
              <w:t>February 2, 2004</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8"/>
          </w:tcPr>
          <w:p>
            <w:pPr>
              <w:jc w:val="right"/>
              <w:ind w:right="480"/>
              <w:spacing w:after="0"/>
              <w:rPr>
                <w:sz w:val="20"/>
                <w:szCs w:val="20"/>
                <w:color w:val="auto"/>
              </w:rPr>
            </w:pPr>
            <w:r>
              <w:rPr>
                <w:rFonts w:ascii="Arial" w:cs="Arial" w:eastAsia="Arial" w:hAnsi="Arial"/>
                <w:sz w:val="9"/>
                <w:szCs w:val="9"/>
                <w:b w:val="1"/>
                <w:bCs w:val="1"/>
                <w:color w:val="auto"/>
              </w:rPr>
              <w:t>Nine Months Ended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1"/>
              </w:rPr>
              <w:t>to December 31,</w:t>
            </w: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9"/>
                <w:szCs w:val="9"/>
                <w:b w:val="1"/>
                <w:bCs w:val="1"/>
                <w:color w:val="auto"/>
                <w:w w:val="92"/>
              </w:rPr>
              <w:t>Year Ended December 31,</w:t>
            </w: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9"/>
                <w:szCs w:val="9"/>
                <w:b w:val="1"/>
                <w:bCs w:val="1"/>
                <w:color w:val="auto"/>
                <w:w w:val="87"/>
              </w:rPr>
              <w:t>September 30,</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tcPr>
          <w:p>
            <w:pPr>
              <w:jc w:val="center"/>
              <w:ind w:left="620"/>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jc w:val="right"/>
              <w:ind w:right="3"/>
              <w:spacing w:after="0" w:line="88" w:lineRule="exact"/>
              <w:rPr>
                <w:sz w:val="20"/>
                <w:szCs w:val="20"/>
                <w:color w:val="auto"/>
              </w:rPr>
            </w:pPr>
            <w:r>
              <w:rPr>
                <w:rFonts w:ascii="Arial" w:cs="Arial" w:eastAsia="Arial" w:hAnsi="Arial"/>
                <w:sz w:val="9"/>
                <w:szCs w:val="9"/>
                <w:b w:val="1"/>
                <w:bCs w:val="1"/>
                <w:color w:val="auto"/>
                <w:w w:val="79"/>
              </w:rPr>
              <w:t>2005</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4"/>
          </w:tcPr>
          <w:p>
            <w:pPr>
              <w:jc w:val="right"/>
              <w:ind w:right="80"/>
              <w:spacing w:after="0" w:line="88" w:lineRule="exact"/>
              <w:rPr>
                <w:sz w:val="20"/>
                <w:szCs w:val="20"/>
                <w:color w:val="auto"/>
              </w:rPr>
            </w:pPr>
            <w:r>
              <w:rPr>
                <w:rFonts w:ascii="Arial" w:cs="Arial" w:eastAsia="Arial" w:hAnsi="Arial"/>
                <w:sz w:val="9"/>
                <w:szCs w:val="9"/>
                <w:b w:val="1"/>
                <w:bCs w:val="1"/>
                <w:color w:val="auto"/>
              </w:rPr>
              <w:t>2006</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ind w:right="81"/>
              <w:spacing w:after="0" w:line="88" w:lineRule="exact"/>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83"/>
              </w:rPr>
              <w:t>(Unaudited)</w:t>
            </w:r>
          </w:p>
        </w:tc>
        <w:tc>
          <w:tcPr>
            <w:tcW w:w="100" w:type="dxa"/>
            <w:vAlign w:val="bottom"/>
          </w:tcPr>
          <w:p>
            <w:pPr>
              <w:spacing w:after="0"/>
              <w:rPr>
                <w:sz w:val="7"/>
                <w:szCs w:val="7"/>
                <w:color w:val="auto"/>
              </w:rPr>
            </w:pPr>
          </w:p>
        </w:tc>
        <w:tc>
          <w:tcPr>
            <w:tcW w:w="48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Borders>
              <w:top w:val="single" w:sz="8" w:color="auto"/>
            </w:tcBorders>
            <w:gridSpan w:val="3"/>
          </w:tcPr>
          <w:p>
            <w:pPr>
              <w:jc w:val="center"/>
              <w:spacing w:after="0" w:line="75"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gridSpan w:val="4"/>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15"/>
          </w:tcPr>
          <w:p>
            <w:pPr>
              <w:jc w:val="right"/>
              <w:spacing w:after="0"/>
              <w:rPr>
                <w:sz w:val="20"/>
                <w:szCs w:val="20"/>
                <w:color w:val="auto"/>
              </w:rPr>
            </w:pPr>
            <w:r>
              <w:rPr>
                <w:rFonts w:ascii="Arial" w:cs="Arial" w:eastAsia="Arial" w:hAnsi="Arial"/>
                <w:sz w:val="9"/>
                <w:szCs w:val="9"/>
                <w:b w:val="1"/>
                <w:bCs w:val="1"/>
                <w:color w:val="auto"/>
                <w:w w:val="93"/>
              </w:rPr>
              <w:t>(In thousands, except enrollment and per share data)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Data:</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20" w:type="dxa"/>
            <w:vAlign w:val="bottom"/>
            <w:gridSpan w:val="2"/>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7"/>
              </w:rPr>
              <w:t>24,376</w:t>
            </w:r>
          </w:p>
        </w:tc>
        <w:tc>
          <w:tcPr>
            <w:tcW w:w="360" w:type="dxa"/>
            <w:vAlign w:val="bottom"/>
            <w:gridSpan w:val="2"/>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817</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2,387</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rPr>
              <w:t>7,406</w:t>
            </w:r>
          </w:p>
        </w:tc>
        <w:tc>
          <w:tcPr>
            <w:tcW w:w="16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5,136</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6,015</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1,136</w:t>
            </w:r>
          </w:p>
        </w:tc>
        <w:tc>
          <w:tcPr>
            <w:tcW w:w="360" w:type="dxa"/>
            <w:vAlign w:val="bottom"/>
            <w:gridSpan w:val="2"/>
            <w:shd w:val="clear" w:color="auto" w:fill="CCEEFF"/>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1,879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2,396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3,300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2,319</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3,676</w:t>
            </w: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line="148" w:lineRule="exact"/>
              <w:rPr>
                <w:sz w:val="20"/>
                <w:szCs w:val="20"/>
                <w:color w:val="auto"/>
              </w:rPr>
            </w:pPr>
            <w:r>
              <w:rPr>
                <w:rFonts w:ascii="Arial" w:cs="Arial" w:eastAsia="Arial" w:hAnsi="Arial"/>
                <w:sz w:val="10"/>
                <w:szCs w:val="10"/>
                <w:color w:val="auto"/>
              </w:rPr>
              <w:t>Adjusted EBITDA</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720" w:type="dxa"/>
            <w:vAlign w:val="bottom"/>
            <w:gridSpan w:val="2"/>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(13,503)</w:t>
            </w:r>
          </w:p>
        </w:tc>
        <w:tc>
          <w:tcPr>
            <w:tcW w:w="360" w:type="dxa"/>
            <w:vAlign w:val="bottom"/>
            <w:gridSpan w:val="2"/>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(895)</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9,074</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11,723</w:t>
            </w:r>
          </w:p>
        </w:tc>
        <w:tc>
          <w:tcPr>
            <w:tcW w:w="16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7,309</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14,468</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Period end enrollment: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ind w:left="120"/>
              <w:spacing w:after="0"/>
              <w:rPr>
                <w:sz w:val="20"/>
                <w:szCs w:val="20"/>
                <w:color w:val="auto"/>
              </w:rPr>
            </w:pPr>
            <w:r>
              <w:rPr>
                <w:rFonts w:ascii="Arial" w:cs="Arial" w:eastAsia="Arial" w:hAnsi="Arial"/>
                <w:sz w:val="12"/>
                <w:szCs w:val="12"/>
                <w:color w:val="auto"/>
              </w:rPr>
              <w:t>Online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3,141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6,212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8,406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12,497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11,306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19,287</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Ground</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1,852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2,210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2,256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2,257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2,193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2,670</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8"/>
          </w:tcPr>
          <w:p>
            <w:pPr>
              <w:jc w:val="center"/>
              <w:ind w:left="123"/>
              <w:spacing w:after="0"/>
              <w:rPr>
                <w:sz w:val="20"/>
                <w:szCs w:val="20"/>
                <w:color w:val="auto"/>
              </w:rPr>
            </w:pPr>
            <w:r>
              <w:rPr>
                <w:rFonts w:ascii="Arial" w:cs="Arial" w:eastAsia="Arial" w:hAnsi="Arial"/>
                <w:sz w:val="10"/>
                <w:szCs w:val="10"/>
                <w:b w:val="1"/>
                <w:bCs w:val="1"/>
                <w:color w:val="auto"/>
                <w:w w:val="94"/>
              </w:rPr>
              <w:t>As of December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8"/>
          </w:tcPr>
          <w:p>
            <w:pPr>
              <w:jc w:val="right"/>
              <w:ind w:right="420"/>
              <w:spacing w:after="0"/>
              <w:rPr>
                <w:sz w:val="20"/>
                <w:szCs w:val="20"/>
                <w:color w:val="auto"/>
              </w:rPr>
            </w:pPr>
            <w:r>
              <w:rPr>
                <w:rFonts w:ascii="Arial" w:cs="Arial" w:eastAsia="Arial" w:hAnsi="Arial"/>
                <w:sz w:val="10"/>
                <w:szCs w:val="10"/>
                <w:b w:val="1"/>
                <w:bCs w:val="1"/>
                <w:color w:val="auto"/>
                <w:w w:val="94"/>
              </w:rPr>
              <w:t>As of September 30, 2008</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gridSpan w:val="2"/>
          </w:tcPr>
          <w:p>
            <w:pPr>
              <w:jc w:val="right"/>
              <w:ind w:right="251"/>
              <w:spacing w:after="0" w:line="98" w:lineRule="exact"/>
              <w:rPr>
                <w:sz w:val="20"/>
                <w:szCs w:val="20"/>
                <w:color w:val="auto"/>
              </w:rPr>
            </w:pPr>
            <w:r>
              <w:rPr>
                <w:rFonts w:ascii="Arial" w:cs="Arial" w:eastAsia="Arial" w:hAnsi="Arial"/>
                <w:sz w:val="10"/>
                <w:szCs w:val="10"/>
                <w:b w:val="1"/>
                <w:bCs w:val="1"/>
                <w:color w:val="auto"/>
              </w:rPr>
              <w:t>2004</w:t>
            </w:r>
          </w:p>
        </w:tc>
        <w:tc>
          <w:tcPr>
            <w:tcW w:w="3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3"/>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8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8"/>
              </w:rPr>
              <w:t>2007</w:t>
            </w:r>
          </w:p>
        </w:tc>
        <w:tc>
          <w:tcPr>
            <w:tcW w:w="160" w:type="dxa"/>
            <w:vAlign w:val="bottom"/>
            <w:tcBorders>
              <w:top w:val="single" w:sz="8" w:color="auto"/>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3"/>
          </w:tcPr>
          <w:p>
            <w:pPr>
              <w:ind w:left="40"/>
              <w:spacing w:after="0" w:line="98" w:lineRule="exact"/>
              <w:rPr>
                <w:sz w:val="20"/>
                <w:szCs w:val="20"/>
                <w:color w:val="auto"/>
              </w:rPr>
            </w:pPr>
            <w:r>
              <w:rPr>
                <w:rFonts w:ascii="Arial" w:cs="Arial" w:eastAsia="Arial" w:hAnsi="Arial"/>
                <w:sz w:val="10"/>
                <w:szCs w:val="10"/>
                <w:b w:val="1"/>
                <w:bCs w:val="1"/>
                <w:color w:val="auto"/>
              </w:rPr>
              <w:t>Actual</w:t>
            </w:r>
          </w:p>
        </w:tc>
        <w:tc>
          <w:tcPr>
            <w:tcW w:w="60" w:type="dxa"/>
            <w:vAlign w:val="bottom"/>
            <w:tcBorders>
              <w:top w:val="single" w:sz="8" w:color="auto"/>
            </w:tcBorders>
            <w:gridSpan w:val="2"/>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bottom w:val="single" w:sz="8" w:color="auto"/>
            </w:tcBorders>
            <w:gridSpan w:val="3"/>
          </w:tcPr>
          <w:p>
            <w:pPr>
              <w:jc w:val="right"/>
              <w:ind w:right="39"/>
              <w:spacing w:after="0" w:line="98" w:lineRule="exact"/>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91"/>
              <w:spacing w:after="0" w:line="98" w:lineRule="exact"/>
              <w:rPr>
                <w:sz w:val="20"/>
                <w:szCs w:val="20"/>
                <w:color w:val="auto"/>
              </w:rPr>
            </w:pPr>
            <w:r>
              <w:rPr>
                <w:rFonts w:ascii="Arial" w:cs="Arial" w:eastAsia="Arial" w:hAnsi="Arial"/>
                <w:sz w:val="10"/>
                <w:szCs w:val="10"/>
                <w:b w:val="1"/>
                <w:bCs w:val="1"/>
                <w:color w:val="auto"/>
              </w:rPr>
              <w:t>(Unaudited)</w:t>
            </w:r>
          </w:p>
        </w:tc>
        <w:tc>
          <w:tcPr>
            <w:tcW w:w="320" w:type="dxa"/>
            <w:vAlign w:val="bottom"/>
          </w:tcPr>
          <w:p>
            <w:pPr>
              <w:spacing w:after="0"/>
              <w:rPr>
                <w:sz w:val="8"/>
                <w:szCs w:val="8"/>
                <w:color w:val="auto"/>
              </w:rPr>
            </w:pPr>
          </w:p>
        </w:tc>
        <w:tc>
          <w:tcPr>
            <w:tcW w:w="800" w:type="dxa"/>
            <w:vAlign w:val="bottom"/>
            <w:gridSpan w:val="4"/>
          </w:tcPr>
          <w:p>
            <w:pPr>
              <w:jc w:val="center"/>
              <w:spacing w:after="0" w:line="98" w:lineRule="exact"/>
              <w:rPr>
                <w:sz w:val="20"/>
                <w:szCs w:val="20"/>
                <w:color w:val="auto"/>
              </w:rPr>
            </w:pPr>
            <w:r>
              <w:rPr>
                <w:rFonts w:ascii="Arial" w:cs="Arial" w:eastAsia="Arial" w:hAnsi="Arial"/>
                <w:sz w:val="10"/>
                <w:szCs w:val="10"/>
                <w:b w:val="1"/>
                <w:bCs w:val="1"/>
                <w:color w:val="auto"/>
              </w:rPr>
              <w:t>(Unaudited)</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5"/>
          </w:tcPr>
          <w:p>
            <w:pPr>
              <w:jc w:val="right"/>
              <w:ind w:right="20"/>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gridSpan w:val="5"/>
          </w:tcPr>
          <w:p>
            <w:pPr>
              <w:jc w:val="right"/>
              <w:ind w:right="140"/>
              <w:spacing w:after="0" w:line="98" w:lineRule="exact"/>
              <w:rPr>
                <w:sz w:val="20"/>
                <w:szCs w:val="20"/>
                <w:color w:val="auto"/>
              </w:rPr>
            </w:pPr>
            <w:r>
              <w:rPr>
                <w:rFonts w:ascii="Arial" w:cs="Arial" w:eastAsia="Arial" w:hAnsi="Arial"/>
                <w:sz w:val="10"/>
                <w:szCs w:val="10"/>
                <w:b w:val="1"/>
                <w:bCs w:val="1"/>
                <w:color w:val="auto"/>
                <w:w w:val="79"/>
              </w:rPr>
              <w:t>(Unaudited)</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3"/>
          </w:tcPr>
          <w:p>
            <w:pPr>
              <w:jc w:val="right"/>
              <w:ind w:right="320"/>
              <w:spacing w:after="0"/>
              <w:rPr>
                <w:sz w:val="20"/>
                <w:szCs w:val="20"/>
                <w:color w:val="auto"/>
              </w:rPr>
            </w:pPr>
            <w:r>
              <w:rPr>
                <w:rFonts w:ascii="Arial" w:cs="Arial" w:eastAsia="Arial" w:hAnsi="Arial"/>
                <w:sz w:val="13"/>
                <w:szCs w:val="13"/>
                <w:color w:val="auto"/>
              </w:rPr>
              <w:t>3,476</w:t>
            </w:r>
          </w:p>
        </w:tc>
        <w:tc>
          <w:tcPr>
            <w:tcW w:w="380" w:type="dxa"/>
            <w:vAlign w:val="bottom"/>
          </w:tcPr>
          <w:p>
            <w:pPr>
              <w:jc w:val="right"/>
              <w:ind w:right="263"/>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2,579</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14,361</w:t>
            </w: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23,210</w:t>
            </w:r>
          </w:p>
        </w:tc>
        <w:tc>
          <w:tcPr>
            <w:tcW w:w="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22,227</w:t>
            </w:r>
          </w:p>
        </w:tc>
        <w:tc>
          <w:tcPr>
            <w:tcW w:w="40" w:type="dxa"/>
            <w:vAlign w:val="bottom"/>
          </w:tcPr>
          <w:p>
            <w:pPr>
              <w:spacing w:after="0"/>
              <w:rPr>
                <w:sz w:val="13"/>
                <w:szCs w:val="13"/>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22,227</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30,892</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5"/>
              </w:rPr>
              <w:t>51,859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61,232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88,568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105,618</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105,618</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00" w:type="dxa"/>
            <w:vAlign w:val="bottom"/>
          </w:tcPr>
          <w:p>
            <w:pPr>
              <w:spacing w:after="0"/>
              <w:rPr>
                <w:sz w:val="13"/>
                <w:szCs w:val="13"/>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3"/>
                <w:szCs w:val="13"/>
                <w:color w:val="auto"/>
              </w:rPr>
              <w:t>24,360</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85"/>
              </w:rPr>
              <w:t>24,789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29,728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29,228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30,775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4,511</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2,635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2,462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2,408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85"/>
              </w:rPr>
              <w:t>25,590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21,390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31,948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32,739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stockholders’/members’ deficit</w:t>
            </w: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(7,645)</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(12,111)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w w:val="94"/>
              </w:rPr>
              <w:t>(11,723)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w w:val="94"/>
              </w:rPr>
              <w:t>(10,386)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(7,457)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(124,343)</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8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240" w:hanging="259"/>
        <w:spacing w:after="0" w:line="264"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17"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000" w:hanging="259"/>
        <w:spacing w:after="0" w:line="278" w:lineRule="auto"/>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September 26,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an assumed initial public offering price of $19.00 per share to pay the amount of dividends that exceeds net income for the twelve-month period ended September 30, 2008. The pro forma balance sheet and earnings per common share data also assume the conversion of all outstanding shares of Series A convertible preferred stock into 10,870,178 shares of common stock, as well as the conversion of all outstanding shares of Series C preferred stock into 1,410,526 shares of common stock upon the closing of the offering</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based on a conversion price equal to $19.00 per share, which is the midpoint of the range set forth on the cover page of this prospectus.</w:t>
      </w:r>
    </w:p>
    <w:p>
      <w:pPr>
        <w:spacing w:after="0" w:line="57" w:lineRule="exact"/>
        <w:rPr>
          <w:sz w:val="20"/>
          <w:szCs w:val="20"/>
          <w:color w:val="auto"/>
        </w:rPr>
      </w:pPr>
    </w:p>
    <w:p>
      <w:pPr>
        <w:ind w:left="1000" w:right="40" w:hanging="259"/>
        <w:spacing w:after="0" w:line="289" w:lineRule="auto"/>
        <w:tabs>
          <w:tab w:leader="none" w:pos="10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000" w:right="20"/>
        <w:spacing w:after="0" w:line="257" w:lineRule="auto"/>
        <w:rPr>
          <w:rFonts w:ascii="Arial" w:cs="Arial" w:eastAsia="Arial" w:hAnsi="Arial"/>
          <w:sz w:val="12"/>
          <w:szCs w:val="12"/>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22"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Our management uses Adjusted EBITDA:</w:t>
      </w:r>
    </w:p>
    <w:p>
      <w:pPr>
        <w:spacing w:after="0" w:line="96" w:lineRule="exact"/>
        <w:rPr>
          <w:rFonts w:ascii="Arial" w:cs="Arial" w:eastAsia="Arial" w:hAnsi="Arial"/>
          <w:sz w:val="12"/>
          <w:szCs w:val="12"/>
          <w:color w:val="auto"/>
        </w:rPr>
      </w:pPr>
    </w:p>
    <w:p>
      <w:pPr>
        <w:ind w:left="1680" w:hanging="187"/>
        <w:spacing w:after="0"/>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86" w:lineRule="exact"/>
        <w:rPr>
          <w:rFonts w:ascii="Arial" w:cs="Arial" w:eastAsia="Arial" w:hAnsi="Arial"/>
          <w:sz w:val="13"/>
          <w:szCs w:val="13"/>
          <w:color w:val="auto"/>
        </w:rPr>
      </w:pPr>
    </w:p>
    <w:p>
      <w:pPr>
        <w:ind w:left="1680" w:right="20" w:hanging="187"/>
        <w:spacing w:after="0" w:line="276" w:lineRule="auto"/>
        <w:tabs>
          <w:tab w:leader="none" w:pos="16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000"/>
        <w:spacing w:after="0" w:line="258" w:lineRule="auto"/>
        <w:rPr>
          <w:sz w:val="20"/>
          <w:szCs w:val="20"/>
          <w:color w:val="auto"/>
        </w:rPr>
      </w:pPr>
      <w:r>
        <w:rPr>
          <w:rFonts w:ascii="Arial" w:cs="Arial" w:eastAsia="Arial" w:hAnsi="Arial"/>
          <w:sz w:val="13"/>
          <w:szCs w:val="13"/>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b w:val="1"/>
                <w:bCs w:val="1"/>
                <w:color w:val="auto"/>
                <w:w w:val="97"/>
              </w:rPr>
              <w:t>(Unaudited)</w:t>
            </w: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2,822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1,349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2,319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5,438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4,536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12,668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2,678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2,585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9,074</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7,309</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14,468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80" w:right="80" w:hanging="387"/>
        <w:spacing w:after="0" w:line="289" w:lineRule="auto"/>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13" w:lineRule="exact"/>
        <w:rPr>
          <w:rFonts w:ascii="Arial" w:cs="Arial" w:eastAsia="Arial" w:hAnsi="Arial"/>
          <w:sz w:val="12"/>
          <w:szCs w:val="12"/>
          <w:color w:val="auto"/>
        </w:rPr>
      </w:pPr>
    </w:p>
    <w:p>
      <w:pPr>
        <w:ind w:left="1400" w:right="20" w:hanging="507"/>
        <w:spacing w:after="0" w:line="258" w:lineRule="auto"/>
        <w:tabs>
          <w:tab w:leader="none" w:pos="1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$0.2 million and $0.2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 FINANCIAL CONDITION AND RESULTS OF OPERATIONS</w:t>
      </w:r>
    </w:p>
    <w:p>
      <w:pPr>
        <w:spacing w:after="0" w:line="8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September 30, 2008, we had approximately 22,000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7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Regulatory</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our fiscal years ended December 31, 2006 and 2007, we derived cash receipts equal to approximately 67.9% and 70.2%,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As a result of this nationwide scrutiny, Congress has passed new laws, the Department of Education has enacted stricter regulations, and several states have adopted codes of conduct or enacted state laws that further regulate the conduct of lenders, schools, and school personnel. The effect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such actions may be to increase the cost of participating in the Title IV programs and other student loan programs, although we are unable to calculate such potential costs at this time.</w:t>
      </w:r>
    </w:p>
    <w:p>
      <w:pPr>
        <w:spacing w:after="0" w:line="10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addition, the recent disruption in the credit markets and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Also, in recent years, several for-profit education companies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“Business — Legal Proceedings,” and “Regulation — Regulation of Federal Student Financial Aid Programs — Incentive compensation rule.” Further, 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“Risk Factors — The Office of Inspector General of the Department of Education has commenced an investigation of Grand Canyon University, which is ongoing and which may result in fines, penalties, other sanctions, and damage to our reputation in the industry,” and “Regulation — Regulation of Federal Student Financial Aid Programs — Incentive compensation rule.”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any of which could have a material adverse effect on our business, prospects, financial condition and results of operations and could adversely affect our stock price.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metrics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7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is a summary of our student enrollment at December 31, 2005, 2006, and 2007 and September 30, 2007 and 2008 (which included less than 100 students pursuing non-degree certificates in each period)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rPr>
              <w:t>#</w:t>
            </w:r>
          </w:p>
        </w:tc>
        <w:tc>
          <w:tcPr>
            <w:tcW w:w="660" w:type="dxa"/>
            <w:vAlign w:val="bottom"/>
            <w:gridSpan w:val="2"/>
          </w:tcPr>
          <w:p>
            <w:pPr>
              <w:jc w:val="right"/>
              <w:ind w:right="5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80" w:type="dxa"/>
            <w:vAlign w:val="bottom"/>
          </w:tcPr>
          <w:p>
            <w:pPr>
              <w:jc w:val="right"/>
              <w:ind w:right="14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Master’s degree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6,204</w:t>
            </w:r>
          </w:p>
        </w:tc>
        <w:tc>
          <w:tcPr>
            <w:tcW w:w="960" w:type="dxa"/>
            <w:vAlign w:val="bottom"/>
            <w:tcBorders>
              <w:lef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73.7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7,812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9,156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8,634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12,286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Bachelor’s degree</w:t>
            </w:r>
          </w:p>
        </w:tc>
        <w:tc>
          <w:tcPr>
            <w:tcW w:w="380" w:type="dxa"/>
            <w:vAlign w:val="bottom"/>
          </w:tcPr>
          <w:p>
            <w:pPr>
              <w:jc w:val="right"/>
              <w:spacing w:after="0"/>
              <w:rPr>
                <w:sz w:val="20"/>
                <w:szCs w:val="20"/>
                <w:color w:val="auto"/>
              </w:rPr>
            </w:pPr>
            <w:r>
              <w:rPr>
                <w:rFonts w:ascii="Arial" w:cs="Arial" w:eastAsia="Arial" w:hAnsi="Arial"/>
                <w:sz w:val="13"/>
                <w:szCs w:val="13"/>
                <w:color w:val="auto"/>
              </w:rPr>
              <w:t>2,218</w:t>
            </w:r>
          </w:p>
        </w:tc>
        <w:tc>
          <w:tcPr>
            <w:tcW w:w="30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26.3</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2,850</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26.7</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5,598</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37.9</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4,865</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36.0</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9,671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10,662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14,754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13,499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w w:val="98"/>
              </w:rPr>
              <w:t>2005</w:t>
            </w: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w:t>
            </w:r>
          </w:p>
        </w:tc>
        <w:tc>
          <w:tcPr>
            <w:tcW w:w="660" w:type="dxa"/>
            <w:vAlign w:val="bottom"/>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80" w:type="dxa"/>
            <w:vAlign w:val="bottom"/>
          </w:tcPr>
          <w:p>
            <w:pPr>
              <w:jc w:val="right"/>
              <w:ind w:right="16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Online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30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8,406</w:t>
            </w:r>
          </w:p>
        </w:tc>
        <w:tc>
          <w:tcPr>
            <w:tcW w:w="280" w:type="dxa"/>
            <w:vAlign w:val="bottom"/>
            <w:tcBorders>
              <w:lef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12,497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11,306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19,287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Ground*</w:t>
            </w:r>
          </w:p>
        </w:tc>
        <w:tc>
          <w:tcPr>
            <w:tcW w:w="380" w:type="dxa"/>
            <w:vAlign w:val="bottom"/>
          </w:tcPr>
          <w:p>
            <w:pPr>
              <w:jc w:val="right"/>
              <w:spacing w:after="0"/>
              <w:rPr>
                <w:sz w:val="20"/>
                <w:szCs w:val="20"/>
                <w:color w:val="auto"/>
              </w:rPr>
            </w:pPr>
            <w:r>
              <w:rPr>
                <w:rFonts w:ascii="Arial" w:cs="Arial" w:eastAsia="Arial" w:hAnsi="Arial"/>
                <w:sz w:val="13"/>
                <w:szCs w:val="13"/>
                <w:color w:val="auto"/>
              </w:rPr>
              <w:t>2,210</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26.2</w:t>
            </w: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2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21.2</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2,257</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15.3</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2,193</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16.2</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2,670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12.2</w:t>
            </w:r>
          </w:p>
        </w:tc>
      </w:tr>
      <w:tr>
        <w:trPr>
          <w:trHeight w:val="20"/>
        </w:trPr>
        <w:tc>
          <w:tcPr>
            <w:tcW w:w="1300" w:type="dxa"/>
            <w:vAlign w:val="bottom"/>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300" w:type="dxa"/>
            <w:vAlign w:val="bottom"/>
            <w:tcBorders>
              <w:left w:val="single" w:sz="8" w:color="CCEEFF"/>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10,662</w:t>
            </w:r>
          </w:p>
        </w:tc>
        <w:tc>
          <w:tcPr>
            <w:tcW w:w="28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14,754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13,499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24"/>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8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Based on current tuition rates, tuition for a full program would equate to approximately $15,000 for an online master’s program, approximately $47,000 for a full four-year online bachelor’s program, and 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is reduced for some of our students by scholarships. For the years ended December 31, 2006 and 2007, revenue was reduced by approximately $8.0 million and $10.3 million, respectively, as a result of scholarships that we offered to our students. For the nine months ended September 30, 2007 and 2008, we offered scholarships with a total value of approximately $6.6 million and $11.9 million, respectively.</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1"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We derive a majority of our net revenue from tuition financed by the Title IV programs. For the years ended December 31, 2006 and 2007, we derived cash receipts equal to approximately 67.9%, and 70.2%, respectively, of our net revenue from Title IV programs. Our students also rely on scholarships, personal savings, private loans, and employer tuition reimbursements to pay a portion of their tuition and related expenses. During fiscal 2007, payments derived from private loans constituted approximately 5.1%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Instructional cost and services. </w:t>
      </w:r>
      <w:r>
        <w:rPr>
          <w:rFonts w:ascii="Arial" w:cs="Arial" w:eastAsia="Arial" w:hAnsi="Arial"/>
          <w:sz w:val="13"/>
          <w:szCs w:val="13"/>
          <w:color w:val="auto"/>
        </w:rPr>
        <w:t>Instructional cost and services consist primarily of costs related to the administration and delivery of our educational programs. This expense category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72"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Selling and promotional. </w:t>
      </w:r>
      <w:r>
        <w:rPr>
          <w:rFonts w:ascii="Arial" w:cs="Arial" w:eastAsia="Arial" w:hAnsi="Arial"/>
          <w:sz w:val="13"/>
          <w:szCs w:val="13"/>
          <w:color w:val="auto"/>
        </w:rPr>
        <w:t>Selling and promotional expenses include salaries and benefits of personnel engaged in the marketing, recruitment, and retention of students,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5" w:lineRule="auto"/>
        <w:rPr>
          <w:sz w:val="20"/>
          <w:szCs w:val="20"/>
          <w:color w:val="auto"/>
        </w:rPr>
      </w:pPr>
      <w:r>
        <w:rPr>
          <w:rFonts w:ascii="Arial" w:cs="Arial" w:eastAsia="Arial" w:hAnsi="Arial"/>
          <w:sz w:val="12"/>
          <w:szCs w:val="12"/>
          <w:color w:val="auto"/>
        </w:rPr>
        <w:t>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 and September 30, 2008 in an effort to increase our recruiting activities and enroll prospective students. We also leased new enrollment centers in Arizona and Utah, and we intend to continue to increase the number of our 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5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nine month periods ended September 30, 2007 and 2008, we expensed approximately $2.8 million, $3.7 million, $4.3 million, $3.1 million, and $4.3 million, respectively, pursuant to these arrangements. As we increase our internal recruiting, marketing, and enrollment staff, we expect this revenue share as a proportion of total revenue to decline.</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salaries and benefits of employees engaged in corporate management, finance, human resources,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other corporate functions. General and administrative expenses also include bad debt expense and an allocation of depreciation, amortization, rent and occupancy costs attributable to general and administrative functions.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February 2004 acquisition of the assets of Grand Canyon University by several of our current stockholders, we entered into a royalty</w:t>
      </w:r>
      <w:r>
        <w:rPr>
          <w:rFonts w:ascii="Arial" w:cs="Arial" w:eastAsia="Arial" w:hAnsi="Arial"/>
          <w:sz w:val="13"/>
          <w:szCs w:val="13"/>
          <w:i w:val="1"/>
          <w:iCs w:val="1"/>
          <w:color w:val="auto"/>
        </w:rPr>
        <w:t xml:space="preserve"> </w:t>
      </w:r>
      <w:r>
        <w:rPr>
          <w:rFonts w:ascii="Arial" w:cs="Arial" w:eastAsia="Arial" w:hAnsi="Arial"/>
          <w:sz w:val="13"/>
          <w:szCs w:val="13"/>
          <w:color w:val="auto"/>
        </w:rPr>
        <w:t>fee arrangement with the former owner in which we agreed to pay a stated percentage of cash revenue generated by our online programs. For the years ended December 31, 2005, 2006, and 2007, and for the nine month periods ended September 30, 2007 and 2008, we expensed $1.6 million, $2.7 million, $3.8 million, $2.6 million, and $1.6 million, respectively, in connection with this arrangement. This arrangement has been terminated, as discussed below.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charges on our capital lease obligations and on the outstanding balances of our notes payable and line of credit.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comparability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set forth below selected factors that we believe have had, or can be expected to have, a significant effect on the comparability of recent or future results of operations:</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Conversion to corporate status. </w:t>
      </w:r>
      <w:r>
        <w:rPr>
          <w:rFonts w:ascii="Arial" w:cs="Arial" w:eastAsia="Arial" w:hAnsi="Arial"/>
          <w:sz w:val="13"/>
          <w:szCs w:val="13"/>
          <w:color w:val="auto"/>
        </w:rPr>
        <w:t>On August 24, 2005, we converted from a Delaware limited liability company to a Delaware corporation pursuant to Section 265 of the DGCL.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b w:val="1"/>
          <w:bCs w:val="1"/>
          <w:i w:val="1"/>
          <w:iCs w:val="1"/>
          <w:color w:val="auto"/>
        </w:rPr>
        <w:t xml:space="preserve">Public company expenses. </w:t>
      </w:r>
      <w:r>
        <w:rPr>
          <w:rFonts w:ascii="Arial" w:cs="Arial" w:eastAsia="Arial" w:hAnsi="Arial"/>
          <w:sz w:val="12"/>
          <w:szCs w:val="12"/>
          <w:color w:val="auto"/>
        </w:rPr>
        <w:t>Upon consummation of our initial public offering, we will become a public company, and will have our shares listed for trading on the Nasdaq Global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make it more expensive for us to obtain director and officer liability insurance. We estimate that incremental annual public company costs will be between $3.0 million and $4.0 million.</w:t>
      </w:r>
    </w:p>
    <w:p>
      <w:pPr>
        <w:spacing w:after="0" w:line="10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b w:val="1"/>
          <w:bCs w:val="1"/>
          <w:i w:val="1"/>
          <w:iCs w:val="1"/>
          <w:color w:val="auto"/>
        </w:rPr>
        <w:t xml:space="preserve">Settlement with former owner. </w:t>
      </w:r>
      <w:r>
        <w:rPr>
          <w:rFonts w:ascii="Arial" w:cs="Arial" w:eastAsia="Arial" w:hAnsi="Arial"/>
          <w:sz w:val="12"/>
          <w:szCs w:val="12"/>
          <w:color w:val="auto"/>
        </w:rPr>
        <w:t>To resolve a dispute with our former owner arising from our acquisition of Grand Canyon University and subsequent lease of our campus, we entered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6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Management fees and expenses. </w:t>
      </w:r>
      <w:r>
        <w:rPr>
          <w:rFonts w:ascii="Arial" w:cs="Arial" w:eastAsia="Arial" w:hAnsi="Arial"/>
          <w:sz w:val="13"/>
          <w:szCs w:val="13"/>
          <w:color w:val="auto"/>
        </w:rPr>
        <w:t>In connection with an August 2005 investment led by Endeavour Capital, we entered into a professional services agreement with Endeavour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Capital’s general partner. Concurrent with the closing of this offering, the professional services agreement will terminate by its terms. For the years ended December 31, 2005, 2006, and 2007, and for the nine month periods ended September 30, 2007 and 2008, we incurred $0.1 million, $0.3 million, $0.3 million, $0.2 million, and $0.2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Stock-based and other executive compensation. </w:t>
      </w:r>
      <w:r>
        <w:rPr>
          <w:rFonts w:ascii="Arial" w:cs="Arial" w:eastAsia="Arial" w:hAnsi="Arial"/>
          <w:sz w:val="13"/>
          <w:szCs w:val="13"/>
          <w:color w:val="auto"/>
        </w:rPr>
        <w:t>Prior to this offering, we have not granted or issued any stock-based compensation. Accordingly, we have not recognized any stock-based compensation expense. 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$8.6 million in the fourth quarter of 2008.</w:t>
      </w:r>
    </w:p>
    <w:p>
      <w:pPr>
        <w:spacing w:after="0" w:line="7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General and administrative expenses. </w:t>
      </w:r>
      <w:r>
        <w:rPr>
          <w:rFonts w:ascii="Arial" w:cs="Arial" w:eastAsia="Arial" w:hAnsi="Arial"/>
          <w:sz w:val="12"/>
          <w:szCs w:val="12"/>
          <w:color w:val="auto"/>
        </w:rPr>
        <w:t>In July 2008, we hired a new Chief Executive Officer, Chief Financial Officer, and Executive Vice President, as well as other financial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accounting personnel. Accordingly, compensation expenses, as reflected in our general and administrative expenses, will be higher beginning in the third quarter of 2008.</w:t>
      </w:r>
    </w:p>
    <w:p>
      <w:pPr>
        <w:spacing w:after="0" w:line="35"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 xml:space="preserve">In connection with the Office of Inspector General investigation and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litigation, we expect to incur increased legal expenses associated with responding to and/or defending such matters, including an estimated $1.1 million in the fourth quarter of 2008 as compared to the approximately $0.2 million in legal expenses incurred in the fourth quarter of 2007.</w:t>
      </w:r>
    </w:p>
    <w:p>
      <w:pPr>
        <w:spacing w:after="0" w:line="1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b w:val="1"/>
          <w:bCs w:val="1"/>
          <w:i w:val="1"/>
          <w:iCs w:val="1"/>
          <w:color w:val="auto"/>
        </w:rPr>
        <w:t xml:space="preserve">License agreement. </w:t>
      </w:r>
      <w:r>
        <w:rPr>
          <w:rFonts w:ascii="Arial" w:cs="Arial" w:eastAsia="Arial" w:hAnsi="Arial"/>
          <w:sz w:val="13"/>
          <w:szCs w:val="13"/>
          <w:color w:val="auto"/>
        </w:rPr>
        <w:t>In June 2004, we entered into a license agreement with Blanchard Education, LLC (“Blanchard”) relating to our use of the Ken Blanchard name for our College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16" w:lineRule="auto"/>
        <w:rPr>
          <w:sz w:val="20"/>
          <w:szCs w:val="20"/>
          <w:color w:val="auto"/>
        </w:rPr>
      </w:pPr>
      <w:r>
        <w:rPr>
          <w:rFonts w:ascii="Arial" w:cs="Arial" w:eastAsia="Arial" w:hAnsi="Arial"/>
          <w:sz w:val="11"/>
          <w:szCs w:val="11"/>
          <w:color w:val="auto"/>
        </w:rPr>
        <w:t>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b w:val="1"/>
          <w:bCs w:val="1"/>
          <w:i w:val="1"/>
          <w:iCs w:val="1"/>
          <w:color w:val="auto"/>
        </w:rPr>
        <w:t xml:space="preserve">Overview. </w:t>
      </w:r>
      <w:r>
        <w:rPr>
          <w:rFonts w:ascii="Arial" w:cs="Arial" w:eastAsia="Arial" w:hAnsi="Arial"/>
          <w:sz w:val="13"/>
          <w:szCs w:val="13"/>
          <w:color w:val="auto"/>
        </w:rPr>
        <w:t>We have material weaknesses in internal control over financial reporting. In connection with the preparation of our 2005, 2006, and 2007 financial statements, and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7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Material weaknesses. </w:t>
      </w:r>
      <w:r>
        <w:rPr>
          <w:rFonts w:ascii="Arial" w:cs="Arial" w:eastAsia="Arial" w:hAnsi="Arial"/>
          <w:sz w:val="13"/>
          <w:szCs w:val="13"/>
          <w:color w:val="auto"/>
        </w:rPr>
        <w:t>In connection with the preparation of our 2005, 2006, and 2007 financial statements, and our financial statements for the six month period ended June 30,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2008, we identified errors regarding our accounting for the following transactions:</w:t>
      </w:r>
    </w:p>
    <w:p>
      <w:pPr>
        <w:spacing w:after="0" w:line="59" w:lineRule="exact"/>
        <w:rPr>
          <w:sz w:val="20"/>
          <w:szCs w:val="20"/>
          <w:color w:val="auto"/>
        </w:rPr>
      </w:pPr>
    </w:p>
    <w:p>
      <w:pPr>
        <w:ind w:left="1680" w:right="14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49" w:lineRule="exact"/>
        <w:rPr>
          <w:rFonts w:ascii="Arial" w:cs="Arial" w:eastAsia="Arial" w:hAnsi="Arial"/>
          <w:sz w:val="13"/>
          <w:szCs w:val="13"/>
          <w:color w:val="auto"/>
        </w:rPr>
      </w:pPr>
    </w:p>
    <w:p>
      <w:pPr>
        <w:jc w:val="both"/>
        <w:ind w:left="1680" w:right="180" w:hanging="187"/>
        <w:spacing w:after="0" w:line="260"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all periods, we failed to properly account for the issuance of certain common stock and equity linked instruments to third parties.</w:t>
      </w:r>
    </w:p>
    <w:p>
      <w:pPr>
        <w:spacing w:after="0" w:line="86" w:lineRule="exact"/>
        <w:rPr>
          <w:rFonts w:ascii="Arial" w:cs="Arial" w:eastAsia="Arial" w:hAnsi="Arial"/>
          <w:sz w:val="13"/>
          <w:szCs w:val="13"/>
          <w:color w:val="auto"/>
        </w:rPr>
      </w:pPr>
    </w:p>
    <w:p>
      <w:pPr>
        <w:ind w:left="1680" w:right="60" w:hanging="187"/>
        <w:spacing w:after="0" w:line="371" w:lineRule="auto"/>
        <w:tabs>
          <w:tab w:leader="none" w:pos="16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2" w:lineRule="exact"/>
        <w:rPr>
          <w:rFonts w:ascii="Arial" w:cs="Arial" w:eastAsia="Arial" w:hAnsi="Arial"/>
          <w:sz w:val="11"/>
          <w:szCs w:val="11"/>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failed to properly account for deferred taxes at the date of conversion from a limited liability company to a corporation.</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believe that certain of the control deficiencies related to these errors constitute material weaknesses in our internal control over financial reporting. Such material weaknesses related to our lack of processes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controls that would ensure the proper recording of assets, expenses, leases, and equity instruments in accordance with GAAP.</w:t>
      </w:r>
    </w:p>
    <w:p>
      <w:pPr>
        <w:spacing w:after="0" w:line="96"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fiscal year 2008. Our Chief Financial Officer has taken responsibility for implementing changes and improvements in the internal control over financial reporting and remediate the control deficiencies that gave rise to the material weaknesses. Specifically, these changes include:</w:t>
      </w:r>
    </w:p>
    <w:p>
      <w:pPr>
        <w:spacing w:after="0" w:line="70" w:lineRule="exact"/>
        <w:rPr>
          <w:sz w:val="20"/>
          <w:szCs w:val="20"/>
          <w:color w:val="auto"/>
        </w:rPr>
      </w:pPr>
    </w:p>
    <w:p>
      <w:pPr>
        <w:ind w:left="1680" w:right="320" w:hanging="187"/>
        <w:spacing w:after="0" w:line="276" w:lineRule="auto"/>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making numerous process changes in the financial reporting area, including additional oversight and review;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conducting training of our accounting staff for purposes of enabling them to recognize and properly account for transactions of the type described above.</w:t>
      </w:r>
    </w:p>
    <w:p>
      <w:pPr>
        <w:spacing w:after="0" w:line="13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believe that the following critical accounting policies involve our more significant judgments and estimates used in the preparation of our financial statements:</w:t>
      </w:r>
    </w:p>
    <w:p>
      <w:pPr>
        <w:spacing w:after="0" w:line="96" w:lineRule="exact"/>
        <w:rPr>
          <w:sz w:val="20"/>
          <w:szCs w:val="20"/>
          <w:color w:val="auto"/>
        </w:rPr>
      </w:pPr>
    </w:p>
    <w:p>
      <w:pPr>
        <w:ind w:left="680" w:right="40" w:firstLine="798"/>
        <w:spacing w:after="0" w:line="285"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Tuition revenue is recognized monthly over the applicable period of instruction. Deferred revenue and student deposits in any period represent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If a student withdraws prior to the end of the third week of a semester, we refund all or a portion of tuition already paid pursuant to our refund policy, which generally results in a reduction in deferred revenue and student deposits.</w:t>
      </w:r>
    </w:p>
    <w:p>
      <w:pPr>
        <w:spacing w:after="0" w:line="55" w:lineRule="exact"/>
        <w:rPr>
          <w:sz w:val="20"/>
          <w:szCs w:val="20"/>
          <w:color w:val="auto"/>
        </w:rPr>
      </w:pPr>
    </w:p>
    <w:p>
      <w:pPr>
        <w:ind w:left="680" w:right="120" w:firstLine="798"/>
        <w:spacing w:after="0" w:line="296" w:lineRule="auto"/>
        <w:rPr>
          <w:sz w:val="20"/>
          <w:szCs w:val="20"/>
          <w:color w:val="auto"/>
        </w:rPr>
      </w:pPr>
      <w:r>
        <w:rPr>
          <w:rFonts w:ascii="Arial" w:cs="Arial" w:eastAsia="Arial" w:hAnsi="Arial"/>
          <w:sz w:val="12"/>
          <w:szCs w:val="12"/>
          <w:b w:val="1"/>
          <w:bCs w:val="1"/>
          <w:i w:val="1"/>
          <w:iCs w:val="1"/>
          <w:color w:val="auto"/>
        </w:rPr>
        <w:t xml:space="preserve">Allowance for doubtful accounts. </w:t>
      </w:r>
      <w:r>
        <w:rPr>
          <w:rFonts w:ascii="Arial" w:cs="Arial" w:eastAsia="Arial" w:hAnsi="Arial"/>
          <w:sz w:val="12"/>
          <w:szCs w:val="12"/>
          <w:color w:val="auto"/>
        </w:rPr>
        <w:t>Bad debt expense is recorded as a general and administrative expense. We record an allowance for doubtful accounts for estimated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40"/>
        <w:spacing w:after="0" w:line="260" w:lineRule="auto"/>
        <w:rPr>
          <w:sz w:val="20"/>
          <w:szCs w:val="20"/>
          <w:color w:val="auto"/>
        </w:rPr>
      </w:pPr>
      <w:r>
        <w:rPr>
          <w:rFonts w:ascii="Arial" w:cs="Arial" w:eastAsia="Arial" w:hAnsi="Arial"/>
          <w:sz w:val="13"/>
          <w:szCs w:val="13"/>
          <w:color w:val="auto"/>
        </w:rPr>
        <w:t>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 reduction in our accounts receivable and related allowances. We believe our reserves are adequate to cover any write offs we may make.</w:t>
      </w:r>
    </w:p>
    <w:p>
      <w:pPr>
        <w:spacing w:after="0" w:line="70" w:lineRule="exact"/>
        <w:rPr>
          <w:sz w:val="20"/>
          <w:szCs w:val="20"/>
          <w:color w:val="auto"/>
        </w:rPr>
      </w:pPr>
    </w:p>
    <w:p>
      <w:pPr>
        <w:jc w:val="both"/>
        <w:ind w:left="680" w:right="820" w:firstLine="798"/>
        <w:spacing w:after="0" w:line="26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evaluate the recoverability of our long-lived assets for impairment whenever events or changes in circumstances indicate that the carrying amount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0" w:lineRule="exact"/>
        <w:rPr>
          <w:sz w:val="20"/>
          <w:szCs w:val="20"/>
          <w:color w:val="auto"/>
        </w:rPr>
      </w:pPr>
    </w:p>
    <w:p>
      <w:pPr>
        <w:ind w:left="680" w:right="800" w:firstLine="798"/>
        <w:spacing w:after="0" w:line="28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On August 24, 2005, we converted from a limited liability company to a corporation. For all periods subsequent to such date, we have been and will continue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to be subject to corporate-level U.S. federal and state income taxes. Effective January 1, 2008,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(“SFAS No. 109”). SFAS No. 109 prescribes the use of the asset and liability method to compute the differences 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statements of operations data as a percentage of net revenue for each of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Nine Months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0"/>
                <w:szCs w:val="10"/>
                <w:b w:val="1"/>
                <w:bCs w:val="1"/>
                <w:color w:val="auto"/>
                <w:w w:val="93"/>
              </w:rPr>
              <w:t>September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0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580" w:type="dxa"/>
            <w:vAlign w:val="bottom"/>
            <w:gridSpan w:val="2"/>
          </w:tcPr>
          <w:p>
            <w:pPr>
              <w:jc w:val="center"/>
              <w:ind w:left="11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vMerge w:val="restart"/>
          </w:tcPr>
          <w:p>
            <w:pPr>
              <w:jc w:val="right"/>
              <w:ind w:right="292"/>
              <w:spacing w:after="0"/>
              <w:rPr>
                <w:sz w:val="20"/>
                <w:szCs w:val="20"/>
                <w:color w:val="auto"/>
              </w:rPr>
            </w:pPr>
            <w:r>
              <w:rPr>
                <w:rFonts w:ascii="Arial" w:cs="Arial" w:eastAsia="Arial" w:hAnsi="Arial"/>
                <w:sz w:val="6"/>
                <w:szCs w:val="6"/>
                <w:b w:val="1"/>
                <w:bCs w:val="1"/>
                <w:color w:val="auto"/>
                <w:w w:val="81"/>
              </w:rPr>
              <w:t>(1)</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40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rPr>
              <w:t>2007</w:t>
            </w:r>
          </w:p>
        </w:tc>
        <w:tc>
          <w:tcPr>
            <w:tcW w:w="640" w:type="dxa"/>
            <w:vAlign w:val="bottom"/>
            <w:vMerge w:val="restart"/>
          </w:tcPr>
          <w:p>
            <w:pPr>
              <w:jc w:val="center"/>
              <w:ind w:right="8"/>
              <w:spacing w:after="0"/>
              <w:rPr>
                <w:sz w:val="20"/>
                <w:szCs w:val="20"/>
                <w:color w:val="auto"/>
              </w:rPr>
            </w:pPr>
            <w:r>
              <w:rPr>
                <w:rFonts w:ascii="Arial" w:cs="Arial" w:eastAsia="Arial" w:hAnsi="Arial"/>
                <w:sz w:val="10"/>
                <w:szCs w:val="10"/>
                <w:b w:val="1"/>
                <w:bCs w:val="1"/>
                <w:color w:val="auto"/>
                <w:w w:val="97"/>
              </w:rPr>
              <w:t>(Unaudited)</w:t>
            </w:r>
          </w:p>
        </w:tc>
        <w:tc>
          <w:tcPr>
            <w:tcW w:w="32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77"/>
              </w:rPr>
              <w:t>(Restated)</w:t>
            </w:r>
          </w:p>
        </w:tc>
        <w:tc>
          <w:tcPr>
            <w:tcW w:w="40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336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100.0%</w:t>
            </w:r>
          </w:p>
        </w:tc>
        <w:tc>
          <w:tcPr>
            <w:tcW w:w="9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40" w:type="dxa"/>
            <w:vAlign w:val="bottom"/>
            <w:tcBorders>
              <w:right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Operating expenses</w:t>
            </w:r>
          </w:p>
        </w:tc>
        <w:tc>
          <w:tcPr>
            <w:tcW w:w="2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Instructional cost and services</w:t>
            </w:r>
          </w:p>
        </w:tc>
        <w:tc>
          <w:tcPr>
            <w:tcW w:w="33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54.2</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43.4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40.2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Selling and promotional</w:t>
            </w:r>
          </w:p>
        </w:tc>
        <w:tc>
          <w:tcPr>
            <w:tcW w:w="3360" w:type="dxa"/>
            <w:vAlign w:val="bottom"/>
            <w:gridSpan w:val="3"/>
          </w:tcPr>
          <w:p>
            <w:pPr>
              <w:jc w:val="right"/>
              <w:ind w:right="148"/>
              <w:spacing w:after="0"/>
              <w:rPr>
                <w:sz w:val="20"/>
                <w:szCs w:val="20"/>
                <w:color w:val="auto"/>
              </w:rPr>
            </w:pPr>
            <w:r>
              <w:rPr>
                <w:rFonts w:ascii="Arial" w:cs="Arial" w:eastAsia="Arial" w:hAnsi="Arial"/>
                <w:sz w:val="13"/>
                <w:szCs w:val="13"/>
                <w:color w:val="auto"/>
              </w:rPr>
              <w:t>27.1</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27.9</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35.4</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35.5</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42.0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336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25.0</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20.8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17.3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Royalty to former owner</w:t>
            </w:r>
          </w:p>
        </w:tc>
        <w:tc>
          <w:tcPr>
            <w:tcW w:w="2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3.8</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2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72"/>
              <w:spacing w:after="0"/>
              <w:rPr>
                <w:sz w:val="20"/>
                <w:szCs w:val="20"/>
                <w:color w:val="auto"/>
              </w:rPr>
            </w:pPr>
            <w:r>
              <w:rPr>
                <w:rFonts w:ascii="Arial" w:cs="Arial" w:eastAsia="Arial" w:hAnsi="Arial"/>
                <w:sz w:val="13"/>
                <w:szCs w:val="13"/>
                <w:color w:val="auto"/>
              </w:rPr>
              <w:t>95.8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96.8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Arial" w:cs="Arial" w:eastAsia="Arial" w:hAnsi="Arial"/>
                <w:sz w:val="13"/>
                <w:szCs w:val="13"/>
                <w:color w:val="auto"/>
              </w:rPr>
              <w:t>Operating income (loss)</w:t>
            </w:r>
          </w:p>
        </w:tc>
        <w:tc>
          <w:tcPr>
            <w:tcW w:w="2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(9.5)</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4.2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3.2</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36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rPr>
              <w:t>(5.9)</w:t>
            </w:r>
          </w:p>
        </w:tc>
        <w:tc>
          <w:tcPr>
            <w:tcW w:w="980" w:type="dxa"/>
            <w:vAlign w:val="bottom"/>
            <w:gridSpan w:val="3"/>
            <w:shd w:val="clear" w:color="auto" w:fill="CCEEFF"/>
          </w:tcPr>
          <w:p>
            <w:pPr>
              <w:jc w:val="right"/>
              <w:ind w:right="332"/>
              <w:spacing w:after="0"/>
              <w:rPr>
                <w:sz w:val="20"/>
                <w:szCs w:val="20"/>
                <w:color w:val="auto"/>
              </w:rPr>
            </w:pPr>
            <w:r>
              <w:rPr>
                <w:rFonts w:ascii="Arial" w:cs="Arial" w:eastAsia="Arial" w:hAnsi="Arial"/>
                <w:sz w:val="13"/>
                <w:szCs w:val="13"/>
                <w:color w:val="auto"/>
              </w:rPr>
              <w:t>(3.9)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4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(3.2)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Interest income</w:t>
            </w:r>
          </w:p>
        </w:tc>
        <w:tc>
          <w:tcPr>
            <w:tcW w:w="2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1.2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1.3</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27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(14.9)</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1.5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2760" w:type="dxa"/>
            <w:vAlign w:val="bottom"/>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(6.6)</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0.7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0.5</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27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(8.3)</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0.8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760" w:type="dxa"/>
            <w:vAlign w:val="bottom"/>
          </w:tcPr>
          <w:p>
            <w:pPr>
              <w:jc w:val="right"/>
              <w:ind w:right="1014"/>
              <w:spacing w:after="0"/>
              <w:rPr>
                <w:sz w:val="20"/>
                <w:szCs w:val="20"/>
                <w:color w:val="auto"/>
              </w:rPr>
            </w:pPr>
            <w:r>
              <w:rPr>
                <w:rFonts w:ascii="Arial" w:cs="Arial" w:eastAsia="Arial" w:hAnsi="Arial"/>
                <w:sz w:val="13"/>
                <w:szCs w:val="13"/>
                <w:color w:val="auto"/>
              </w:rPr>
              <w:t>54</w:t>
            </w: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2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38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Nine Months Ended September 30, 2008 Compared to Nine Months Ended September 30, 2007</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nine months ended September 30, 2008 was $109.6 million, an increase of $41.1 million, or 60.1%, as compared to net revenue of $68.5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nine months ended September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62.7% between September 30, 2007 and 2008,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nine months ended September 30, 2008 were $37.0 million, an increase of $9.5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or 34.4%, as compared to instructional cost and services expenses of $27.5 million for the nine months ended September 30, 2007. This increase was primarily due to increases in instructional compensation and related expenses, faculty compensation, depreciation and amortization, and other miscellaneous instructional costs and services of $3.5 million, $2.9 million, $1.0 million, and $2.1 million, respectively. These increases are all attributable to the increased headcount (both staff and faculty) needed to provide student instruction and support services as a result of the increase in enrollments. Our instructional cost and services expenses as a percentage of net revenue decreased by 6.5% to 33.7% for the nine months ended September 30, 2008, as compared to 40.2% for the nine months ended September 30, 2007.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8"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i w:val="1"/>
          <w:iCs w:val="1"/>
          <w:color w:val="auto"/>
        </w:rPr>
        <w:t xml:space="preserve">Selling and promotional expenses. </w:t>
      </w:r>
      <w:r>
        <w:rPr>
          <w:rFonts w:ascii="Arial" w:cs="Arial" w:eastAsia="Arial" w:hAnsi="Arial"/>
          <w:sz w:val="11"/>
          <w:szCs w:val="11"/>
          <w:color w:val="auto"/>
        </w:rPr>
        <w:t>Our selling and promotional expenses for the nine months ended September 30, 2008 were $46.0 million, an increase of $21.7 million, or 89.5%,</w:t>
      </w:r>
      <w:r>
        <w:rPr>
          <w:rFonts w:ascii="Arial" w:cs="Arial" w:eastAsia="Arial" w:hAnsi="Arial"/>
          <w:sz w:val="11"/>
          <w:szCs w:val="11"/>
          <w:i w:val="1"/>
          <w:iCs w:val="1"/>
          <w:color w:val="auto"/>
        </w:rPr>
        <w:t xml:space="preserve"> </w:t>
      </w:r>
      <w:r>
        <w:rPr>
          <w:rFonts w:ascii="Arial" w:cs="Arial" w:eastAsia="Arial" w:hAnsi="Arial"/>
          <w:sz w:val="11"/>
          <w:szCs w:val="11"/>
          <w:color w:val="auto"/>
        </w:rPr>
        <w:t>as compared to selling and promotional expenses of $24.3 million for the nine months ended September 30, 2007. This increase was primarily due to increases in selling and promotional employee compensation and related expenses, advertising, revenue sharing expense, and other selling and promotional related costs of $12.9 million, $6.5 million, $1.2 million, and</w:t>
      </w:r>
    </w:p>
    <w:p>
      <w:pPr>
        <w:ind w:left="680"/>
        <w:spacing w:after="0" w:line="278" w:lineRule="auto"/>
        <w:rPr>
          <w:sz w:val="20"/>
          <w:szCs w:val="20"/>
          <w:color w:val="auto"/>
        </w:rPr>
      </w:pPr>
      <w:r>
        <w:rPr>
          <w:rFonts w:ascii="Arial" w:cs="Arial" w:eastAsia="Arial" w:hAnsi="Arial"/>
          <w:sz w:val="12"/>
          <w:szCs w:val="12"/>
          <w:color w:val="auto"/>
        </w:rPr>
        <w:t>$1.1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6.5% to 42.0% for the nine months ended September 30, 2008, from 35.5% for the nine months ended September 30, 2007. This increase occurred as a result of a significant increase in the number of our enrollment counselors to increase our efforts to enroll prospective students and also increased lead purchases to support the additional enrollment counselors.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reduce selling and promotional expenses as a percentage of net revenue in the future.</w:t>
      </w:r>
    </w:p>
    <w:p>
      <w:pPr>
        <w:spacing w:after="0" w:line="6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nine months ended September 30, 2008 were $16.0 million, an increase of $4.1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35.0%, as compared to general and administrative expenses of $11.9 million for the nine months ended September 30, 2007. This increase was primarily due to increases in legal, audit and corporate insurance; bad debt expense; employee compensation; and other general and administrative expenses of $1.1 million, $1.0 million, $0.8 million and $1.2 million, respectively. The increase in legal, audit, and corporate insurance is primarily related to legal costs associated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with the Sungard matter, which went to arbitration in the second quarter of fiscal 2008, as well as costs incurred related to the OIG investigation. See “Business — Legal Proceedings.” Bad debt expense increased to $5.3 million for the nine months ended September 30, 2008 from $4.3 million for the nine months ended September 30, 2007 as a result of an increase in net revenue. The other general and administrative expense increase was attributable to expenditures made to continue to support the growth of our business. Our general and administrative expenses as a percentage of net revenue decreased by 2.4% to 14.9% for the nine months ended September 30, 2008, from 17.3% for the nine months ended September 30, 2007, primarily due to a decrease in our bad debt expense and employee compensation and related benefits as a percentage of net revenue between periods from 6.3% and 4.3% of revenue during the first nine months of 2007, respectively, to 4.8% and 3.4% of net revenue during the first nine months of 2008, respectively. The improvement in bad debt expense as a percentage of net revenue is primarily due to an improvement in our aging between periods and an increased revenue base. The decrease in employee compensation and related benefits as a percentage of net revenue is the result of us leveraging our current staffing over a larger revenue base.</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nine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30, 2008 of $1.6 million, a decrease of $1.0 million, or 37.6%, as compared to royalty expenses incurred of $2.6 million for the nine months ended September 30, 2007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1.5% for the nine months ended September 30, 2008 from 3.8% for the nine months ended September 30, 2007.</w:t>
      </w:r>
    </w:p>
    <w:p>
      <w:pPr>
        <w:spacing w:after="0" w:line="55"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for both the nine month periods ended September 30, 2008 and 2007 was $2.2 million as the average level of borrowings remained fairly</w:t>
      </w:r>
      <w:r>
        <w:rPr>
          <w:rFonts w:ascii="Arial" w:cs="Arial" w:eastAsia="Arial" w:hAnsi="Arial"/>
          <w:sz w:val="13"/>
          <w:szCs w:val="13"/>
          <w:i w:val="1"/>
          <w:iCs w:val="1"/>
          <w:color w:val="auto"/>
        </w:rPr>
        <w:t xml:space="preserve"> </w:t>
      </w:r>
      <w:r>
        <w:rPr>
          <w:rFonts w:ascii="Arial" w:cs="Arial" w:eastAsia="Arial" w:hAnsi="Arial"/>
          <w:sz w:val="13"/>
          <w:szCs w:val="13"/>
          <w:color w:val="auto"/>
        </w:rPr>
        <w:t>consistent between periods.</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Our interest income for the nine months ended September 30, 2008 was $0.5 million, a decrease of $0.3 million from $0.8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as a result of decreased levels of cash and cash equivalents.</w:t>
      </w:r>
    </w:p>
    <w:p>
      <w:pPr>
        <w:spacing w:after="0" w:line="59"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Income tax expense. </w:t>
      </w:r>
      <w:r>
        <w:rPr>
          <w:rFonts w:ascii="Arial" w:cs="Arial" w:eastAsia="Arial" w:hAnsi="Arial"/>
          <w:sz w:val="13"/>
          <w:szCs w:val="13"/>
          <w:color w:val="auto"/>
        </w:rPr>
        <w:t>Income tax expense for the nine months ended September 30, 2008 was $2.8 million, an increase of $2.5 million from $0.3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This increase was primarily attributable to increased income before income taxes, partially offset by a slight decrease in our effective income tax rate to 39.1% from 40.0%.</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nine months ended September 30, 2008 was $4.5 million, an increase of $4.0 million, or 760%, as compared to net income of $0.5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nine months ended September 30, 2007,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Year Ended December 31, 2006</w:t>
      </w:r>
    </w:p>
    <w:p>
      <w:pPr>
        <w:spacing w:after="0" w:line="13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2007 was $99.3 million, an increase of $27.2 million, or 37.7%, as compared to net revenue of $72.1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Instructional cost and services expenses. </w:t>
      </w:r>
      <w:r>
        <w:rPr>
          <w:rFonts w:ascii="Arial" w:cs="Arial" w:eastAsia="Arial" w:hAnsi="Arial"/>
          <w:sz w:val="13"/>
          <w:szCs w:val="13"/>
          <w:color w:val="auto"/>
        </w:rPr>
        <w:t>Our instructional cost and services expenses for the year ended December 31, 2007 were $39.1 million, an increase of $7.8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2007 were $35.1 million, an increase of $15.1 million, or 74.9%,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$20.1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year ended December 31, 2007 were $17.0 million, an increase of $2.0 million, or 13.3%,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general and administrative expenses of $15.0 million for the year ended December 31, 2006. Bad debt expense increased to $6.3 million for the year ended December 31, 2007 from $4.7 million for the year ended December 31, 2006 primarily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3.7% to 17.1% for the year ended December 31, 2007, from 20.8% for the year ended December 31, 2006, as we benefited from leveraging our prior infrastructure investments over a larger enrollment and revenue base.</w:t>
      </w:r>
    </w:p>
    <w:p>
      <w:pPr>
        <w:spacing w:after="0" w:line="72"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2007 was $3.0 million, an increase of $0.2 million, from $2.8 million for the year ended December 31, 2006 due</w:t>
      </w:r>
      <w:r>
        <w:rPr>
          <w:rFonts w:ascii="Arial" w:cs="Arial" w:eastAsia="Arial" w:hAnsi="Arial"/>
          <w:sz w:val="13"/>
          <w:szCs w:val="13"/>
          <w:i w:val="1"/>
          <w:iCs w:val="1"/>
          <w:color w:val="auto"/>
        </w:rPr>
        <w:t xml:space="preserve"> </w:t>
      </w:r>
      <w:r>
        <w:rPr>
          <w:rFonts w:ascii="Arial" w:cs="Arial" w:eastAsia="Arial" w:hAnsi="Arial"/>
          <w:sz w:val="13"/>
          <w:szCs w:val="13"/>
          <w:color w:val="auto"/>
        </w:rPr>
        <w:t>to a higher average level of borrowings in 2007.</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2007 was $1.2 million, an increase of $0.3 million, or 28.5%, from $0.9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a result of increased levels of cash and cash equivalents, offset by slightly lower interest rates.</w:t>
      </w:r>
    </w:p>
    <w:p>
      <w:pPr>
        <w:spacing w:after="0" w:line="5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i w:val="1"/>
          <w:iCs w:val="1"/>
          <w:color w:val="auto"/>
        </w:rPr>
        <w:t xml:space="preserve">Income tax expense. </w:t>
      </w:r>
      <w:r>
        <w:rPr>
          <w:rFonts w:ascii="Arial" w:cs="Arial" w:eastAsia="Arial" w:hAnsi="Arial"/>
          <w:sz w:val="11"/>
          <w:szCs w:val="11"/>
          <w:color w:val="auto"/>
        </w:rPr>
        <w:t>Income tax expense for the year ended December 31, 2007 was $1.0 million, an increase of $0.5 million, or 92.1%, from $0.5 million for the year ended</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2006. This increase was primarily attributable to increased income before income taxes, partially offset by a decrease in our effective income tax rate to 40.0% from 46.9%.</w:t>
      </w:r>
    </w:p>
    <w:p>
      <w:pPr>
        <w:spacing w:after="0" w:line="1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year ended December 31, 2007 was $1.5 million, an increase of $0.9 million, or 155.2%, as compared to net income of $0.6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2006,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Year Ended December 31, 2005</w:t>
      </w:r>
    </w:p>
    <w:p>
      <w:pPr>
        <w:spacing w:after="0" w:line="13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2006 was $72.1 million, an increase of $20.3 million, or 39.2%, as compared to net revenue of $51.8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2005.</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60" w:lineRule="auto"/>
        <w:rPr>
          <w:sz w:val="20"/>
          <w:szCs w:val="20"/>
          <w:color w:val="auto"/>
        </w:rPr>
      </w:pPr>
      <w:r>
        <w:rPr>
          <w:rFonts w:ascii="Arial" w:cs="Arial" w:eastAsia="Arial" w:hAnsi="Arial"/>
          <w:sz w:val="13"/>
          <w:szCs w:val="13"/>
          <w:color w:val="auto"/>
        </w:rPr>
        <w:t>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 ground programs in an online delivery format, as limited by the growth restrictions imposed by the Department of Education, which were eliminated in October 2006.</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 cost and services expenses. </w:t>
      </w:r>
      <w:r>
        <w:rPr>
          <w:rFonts w:ascii="Arial" w:cs="Arial" w:eastAsia="Arial" w:hAnsi="Arial"/>
          <w:sz w:val="13"/>
          <w:szCs w:val="13"/>
          <w:color w:val="auto"/>
        </w:rPr>
        <w:t>Our instructional cost and services expenses for the year ended December 31, 2006 were $31.3 million, an increase of $3.2 million, or 11.5%,</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instructional cost and services expenses of $28.1 million for the year ended December 31, 2005. This increase was primarily due to increases in instructional compensation expense and student support services as a result of the increase in enrollments. Our instructional cost and services expenses as a percentage of net revenue decreased by 10.8% to 43.4% for the year ended December 31, 2006, as compared to 54.2% for the year ended December 31, 2005. This decrease in 2006 was a result of the continued shift of our student population to online programs, our ability to leverage the relatively fixed cost structure of our campus-based facilities and ground faculty across an increasing revenue base, and more efficient course scheduling and faculty utilization.</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2006 were $20.1 million, an increase of $6.0 million, or 43.0%,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year ended December 31, 2006 were $15.0 million, an increase of $2.0 million, or 15.8%,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$13.0 million for the year ended December 31, 2005. Bad debt expense increased to $4.7 million for the year ended December 31, 2006 from $2.6 million for the year ended December 31, 2005 due to an increase in net revenue and management’s assessment of our rapidly growing student base and changes in payment trends. Our general and administrative expenses as a percentage of net revenue decreased by 4.2% to 20.8% for the year ended December 31, 2006, from 25.0% for the year ended December 31, 2005, as we benefited from leveraging our prior infrastructure investments over a larger enrollment and revenue base.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our former owner, we incurred royalty expenses for the year ended December 31, 2006 of $2.7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2006 was $2.8 million, a decrease of $0.3 million, or 8.7%, from $3.1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2005. The decrease was primarily due to a lower average level of borrowings in 2006.</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2006 was $0.9 million, an increase of $0.6 million, from $0.3 million for the year ended December 31, 2005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increased levels of cash and cash equivalents earning interest.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for the year ended December 31, 2006 was $0.5 million, an increase of $4.0 million from income tax benefit of $3.4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2005. This increase was primarily attributable to our net income before income taxes and a change in our effective income tax rate to 46.9% from 44.5%.</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income (loss). </w:t>
      </w:r>
      <w:r>
        <w:rPr>
          <w:rFonts w:ascii="Arial" w:cs="Arial" w:eastAsia="Arial" w:hAnsi="Arial"/>
          <w:sz w:val="13"/>
          <w:szCs w:val="13"/>
          <w:color w:val="auto"/>
        </w:rPr>
        <w:t>Our net income for the year ended December 31, 2006 was $0.6 million, an increase of $4.9 million as compared to net loss of $4.3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due to the factors discussed above.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and Seasonality</w:t>
      </w:r>
    </w:p>
    <w:p>
      <w:pPr>
        <w:spacing w:after="0" w:line="100"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The following tables set forth certain unaudited financial and operating data in the first and second quarters of 2008 and each quarter during the years ended December 31, 2006 and 2007. We believe that the unaudited information reflects all adjustments, which include only normal and recurring adjustments, necessary to present fairly the information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First Quarter</w:t>
            </w:r>
          </w:p>
        </w:tc>
        <w:tc>
          <w:tcPr>
            <w:tcW w:w="140" w:type="dxa"/>
            <w:vAlign w:val="bottom"/>
          </w:tcPr>
          <w:p>
            <w:pPr>
              <w:spacing w:after="0"/>
              <w:rPr>
                <w:sz w:val="10"/>
                <w:szCs w:val="10"/>
                <w:color w:val="auto"/>
              </w:rPr>
            </w:pPr>
          </w:p>
        </w:tc>
        <w:tc>
          <w:tcPr>
            <w:tcW w:w="134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8"/>
              </w:rPr>
              <w:t>Second Quarter</w:t>
            </w:r>
          </w:p>
        </w:tc>
        <w:tc>
          <w:tcPr>
            <w:tcW w:w="120" w:type="dxa"/>
            <w:vAlign w:val="bottom"/>
          </w:tcPr>
          <w:p>
            <w:pPr>
              <w:spacing w:after="0"/>
              <w:rPr>
                <w:sz w:val="10"/>
                <w:szCs w:val="1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 Quarter</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Fourth Quarter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380" w:type="dxa"/>
            <w:vAlign w:val="bottom"/>
          </w:tcPr>
          <w:p>
            <w:pPr>
              <w:jc w:val="right"/>
              <w:ind w:right="73"/>
              <w:spacing w:after="0" w:line="81" w:lineRule="exact"/>
              <w:rPr>
                <w:sz w:val="20"/>
                <w:szCs w:val="20"/>
                <w:color w:val="auto"/>
              </w:rPr>
            </w:pPr>
            <w:r>
              <w:rPr>
                <w:rFonts w:ascii="Arial" w:cs="Arial" w:eastAsia="Arial" w:hAnsi="Arial"/>
                <w:sz w:val="9"/>
                <w:szCs w:val="9"/>
                <w:b w:val="1"/>
                <w:bCs w:val="1"/>
                <w:color w:val="auto"/>
                <w:w w:val="83"/>
              </w:rPr>
              <w:t>except</w:t>
            </w:r>
          </w:p>
        </w:tc>
        <w:tc>
          <w:tcPr>
            <w:tcW w:w="1000" w:type="dxa"/>
            <w:vAlign w:val="bottom"/>
            <w:tcBorders>
              <w:top w:val="single" w:sz="8" w:color="auto"/>
            </w:tcBorders>
            <w:gridSpan w:val="2"/>
          </w:tcPr>
          <w:p>
            <w:pPr>
              <w:spacing w:after="0" w:line="81" w:lineRule="exact"/>
              <w:rPr>
                <w:sz w:val="20"/>
                <w:szCs w:val="20"/>
                <w:color w:val="auto"/>
              </w:rPr>
            </w:pPr>
            <w:r>
              <w:rPr>
                <w:rFonts w:ascii="Arial" w:cs="Arial" w:eastAsia="Arial" w:hAnsi="Arial"/>
                <w:sz w:val="9"/>
                <w:szCs w:val="9"/>
                <w:b w:val="1"/>
                <w:bCs w:val="1"/>
                <w:color w:val="auto"/>
              </w:rPr>
              <w:t>enrollment data)</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3"/>
          </w:tcPr>
          <w:p>
            <w:pPr>
              <w:jc w:val="center"/>
              <w:ind w:left="756"/>
              <w:spacing w:after="0" w:line="108" w:lineRule="exact"/>
              <w:rPr>
                <w:sz w:val="20"/>
                <w:szCs w:val="20"/>
                <w:color w:val="auto"/>
              </w:rPr>
            </w:pPr>
            <w:r>
              <w:rPr>
                <w:rFonts w:ascii="Arial" w:cs="Arial" w:eastAsia="Arial" w:hAnsi="Arial"/>
                <w:sz w:val="10"/>
                <w:szCs w:val="10"/>
                <w:b w:val="1"/>
                <w:bCs w:val="1"/>
                <w:color w:val="auto"/>
                <w:w w:val="95"/>
              </w:rPr>
              <w:t>(unaudited)</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center"/>
              <w:ind w:left="756"/>
              <w:spacing w:after="0"/>
              <w:rPr>
                <w:sz w:val="20"/>
                <w:szCs w:val="20"/>
                <w:color w:val="auto"/>
              </w:rPr>
            </w:pPr>
            <w:r>
              <w:rPr>
                <w:rFonts w:ascii="Arial" w:cs="Arial" w:eastAsia="Arial" w:hAnsi="Arial"/>
                <w:sz w:val="10"/>
                <w:szCs w:val="10"/>
                <w:b w:val="1"/>
                <w:bCs w:val="1"/>
                <w:color w:val="auto"/>
                <w:w w:val="96"/>
              </w:rPr>
              <w:t>(restated)</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16,695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16,009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17,580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21,827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7,154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7,540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4,515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3,215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3,645</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15,647</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15,701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17,915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19,806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9,088</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8,137</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10,662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20,858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8,845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8,710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9,976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8,178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3,614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3,471</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19,074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22,673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24,508</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(2,190)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11,397</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10,332</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13,448</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35,709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34,566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39,351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11,620</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12,408</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12,967</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12,586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18,562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4,541</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6,419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5,032</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29,769</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34,180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36,685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(560)</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2,093</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2,076</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17,486</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16,510</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21,957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95"/>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4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Liquidity. </w:t>
      </w:r>
      <w:r>
        <w:rPr>
          <w:rFonts w:ascii="Arial" w:cs="Arial" w:eastAsia="Arial" w:hAnsi="Arial"/>
          <w:sz w:val="13"/>
          <w:szCs w:val="13"/>
          <w:color w:val="auto"/>
        </w:rPr>
        <w:t>We financed our operating activities and capital expenditures during the years ended December 31, 2005, 2006, and 2007 and the first nine months of 2008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cash provided by operating activities and several private placements of securities. Our unrestricted cash, cash equivalents, and marketable securities were $14.4 million, $23.2 million, and $22.2 million at December 31, 2006 and 2007 and September 30, 2008, respectively.</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Net cash provided by operating activities for the nine months ended September 30, 2008 was $18.1 million. Excluding the payment of $19.5 million that was</w:t>
      </w:r>
      <w:r>
        <w:rPr>
          <w:rFonts w:ascii="Arial" w:cs="Arial" w:eastAsia="Arial" w:hAnsi="Arial"/>
          <w:sz w:val="12"/>
          <w:szCs w:val="12"/>
          <w:i w:val="1"/>
          <w:iCs w:val="1"/>
          <w:color w:val="auto"/>
        </w:rPr>
        <w:t xml:space="preserve"> </w:t>
      </w:r>
      <w:r>
        <w:rPr>
          <w:rFonts w:ascii="Arial" w:cs="Arial" w:eastAsia="Arial" w:hAnsi="Arial"/>
          <w:sz w:val="12"/>
          <w:szCs w:val="12"/>
          <w:color w:val="auto"/>
        </w:rPr>
        <w:t>made to our former owner in April 2008 to satisfy in full all past royalties due under the royalty agreement and the elimination of the existing obligation to pay royalties for online student revenues in perpetuity, net cash provided by operating activities for the nine months ended September 30, 2008 would have been $30.4 million. Net cash provided by operating activities for the year ended December 31, 2007 was $7.1 million. Our operating cash flows were affected by our dispute with our former owner; as previously discussed, during 2007 we accrued</w:t>
      </w:r>
    </w:p>
    <w:p>
      <w:pPr>
        <w:spacing w:after="0" w:line="2"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$3.8 million of royalties payable to our former owner and funded a $3.0 million deposit in connection with a preliminary settlement of that dispute with our former owner. Excluding the accrual and payment to our former owner, net cash provided by operating activities would have been $6.3 million. Our tax payments exceeded our tax expense as our $5.0 million of income taxes paid represented a majority of our 2006 and 2007 tax obligations.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67"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3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Net cash provided by (used in) investing activities was $(10.0) million, $6.7 million, and $(7.6)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$(6.1) million for the nine months ended September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$6.0 million for the nine months ended September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Financing Activities. </w:t>
      </w:r>
      <w:r>
        <w:rPr>
          <w:rFonts w:ascii="Arial" w:cs="Arial" w:eastAsia="Arial" w:hAnsi="Arial"/>
          <w:sz w:val="12"/>
          <w:szCs w:val="12"/>
          <w:color w:val="auto"/>
        </w:rPr>
        <w:t>Net cash provided by (used in) financing activities was $16.0 million, $(1.7) million, and $9.3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$(13.1) million for the nine months ended September 30, 2008. During these periods, principal payments on notes payable, capital lease obligations and our line of credit were offset by private placements of securities by our stockholders and amounts drawn on our line of credit. Net cash used in financing activities for the nine months ended September 30, 2008 also included the $6.0 million related to the repurchase of a warrant from our former owner pursuant to the standstill agreement.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4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sets forth, as of December 31, 2007, the aggregate amounts of our significant contractual obligations and commitments with definitive payment terms due in each of the periods presented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9"/>
              </w:rPr>
              <w:t>Less than</w:t>
            </w:r>
          </w:p>
        </w:tc>
        <w:tc>
          <w:tcPr>
            <w:tcW w:w="220" w:type="dxa"/>
            <w:vAlign w:val="bottom"/>
          </w:tcPr>
          <w:p>
            <w:pPr>
              <w:spacing w:after="0"/>
              <w:rPr>
                <w:sz w:val="7"/>
                <w:szCs w:val="7"/>
                <w:color w:val="auto"/>
              </w:rPr>
            </w:pP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5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1 Year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37"/>
              <w:spacing w:after="0"/>
              <w:rPr>
                <w:sz w:val="20"/>
                <w:szCs w:val="20"/>
                <w:color w:val="auto"/>
              </w:rPr>
            </w:pPr>
            <w:r>
              <w:rPr>
                <w:rFonts w:ascii="Arial" w:cs="Arial" w:eastAsia="Arial" w:hAnsi="Arial"/>
                <w:sz w:val="10"/>
                <w:szCs w:val="10"/>
                <w:b w:val="1"/>
                <w:bCs w:val="1"/>
                <w:color w:val="auto"/>
                <w:w w:val="82"/>
              </w:rPr>
              <w:t>2-3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17"/>
              <w:spacing w:after="0"/>
              <w:rPr>
                <w:sz w:val="20"/>
                <w:szCs w:val="20"/>
                <w:color w:val="auto"/>
              </w:rPr>
            </w:pPr>
            <w:r>
              <w:rPr>
                <w:rFonts w:ascii="Arial" w:cs="Arial" w:eastAsia="Arial" w:hAnsi="Arial"/>
                <w:sz w:val="10"/>
                <w:szCs w:val="10"/>
                <w:b w:val="1"/>
                <w:bCs w:val="1"/>
                <w:color w:val="auto"/>
                <w:w w:val="96"/>
              </w:rPr>
              <w:t>4-5</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debt</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Capital lease obligations</w:t>
            </w: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52.5</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Tenant improvement obligations</w:t>
            </w: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lease obligations</w:t>
            </w: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30.4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60" w:hanging="259"/>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Note 8, “Notes Payable and Capital Lease Obligations,” to our financial statements, which are included elsewhere in this prospectus, for a discussion of our long term debt and capital lease obligations.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See Note 9, “Commitments and Contingencies,” to our financial statements, which are included elsewhere in this prospectus, for a discussion of our operating lease obligations.</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foregoing obligations exclude potential royalty payments to Blanchard Education, LLC under our license agreement, the amounts of which are contingent on tuition revenue from certain of our business programs.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4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4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inflation has not had a material impact on our results of operations for the years ended December 31, 2005, 2006, or 2007 and the nine months ended September 30, 2008. There can be no assurance that future inflation will not have an adverse impact on our operating results and financial condition.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Discussion</w:t>
      </w:r>
    </w:p>
    <w:p>
      <w:pPr>
        <w:spacing w:after="0" w:line="14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6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50" w:lineRule="exact"/>
        <w:rPr>
          <w:sz w:val="20"/>
          <w:szCs w:val="20"/>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cash expenditures for capital expenditures or contractual commitments;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changes in, or cash requirements for, our working capital requirements;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interest expense, or the cash requirements necessary to service interest or principal payments on our indebtedness;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cost or cash required to replace assets that are being depreciated or amortized; and</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5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right"/>
              <w:ind w:right="38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90"/>
              </w:rPr>
              <w:t>September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20" w:type="dxa"/>
            <w:vAlign w:val="bottom"/>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1"/>
              </w:rPr>
              <w:t>(Unaudited)</w:t>
            </w: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2,822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1,915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1,349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347</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1,879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2,396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2,319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5,438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4,536</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12,668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1,619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2,678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2,585</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(c)</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188</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9,074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7,309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14,468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313"/>
        <w:spacing w:after="0" w:line="276"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380" w:hanging="313"/>
        <w:spacing w:after="0" w:line="296" w:lineRule="auto"/>
        <w:tabs>
          <w:tab w:leader="none" w:pos="10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10" w:lineRule="exact"/>
        <w:rPr>
          <w:rFonts w:ascii="Arial" w:cs="Arial" w:eastAsia="Arial" w:hAnsi="Arial"/>
          <w:sz w:val="12"/>
          <w:szCs w:val="12"/>
          <w:color w:val="auto"/>
        </w:rPr>
      </w:pPr>
    </w:p>
    <w:p>
      <w:pPr>
        <w:ind w:left="1000" w:right="300" w:hanging="252"/>
        <w:spacing w:after="0" w:line="305" w:lineRule="auto"/>
        <w:tabs>
          <w:tab w:leader="none" w:pos="1000" w:val="left"/>
        </w:tabs>
        <w:numPr>
          <w:ilvl w:val="1"/>
          <w:numId w:val="31"/>
        </w:numPr>
        <w:rPr>
          <w:rFonts w:ascii="Arial" w:cs="Arial" w:eastAsia="Arial" w:hAnsi="Arial"/>
          <w:sz w:val="11"/>
          <w:szCs w:val="11"/>
          <w:color w:val="auto"/>
        </w:rPr>
      </w:pPr>
      <w:r>
        <w:rPr>
          <w:rFonts w:ascii="Arial" w:cs="Arial" w:eastAsia="Arial" w:hAnsi="Arial"/>
          <w:sz w:val="11"/>
          <w:szCs w:val="11"/>
          <w:color w:val="auto"/>
        </w:rPr>
        <w:t>Reflects management fees and expenses of $0.1 million, $0.3 million, and $0.3 million for the years ended December 31, 2005, 2006, and 2007, respectively, and $0.2 million and $0.2 million for the nine month periods ended September 30, 2007 and 2008, respectively, to the general partner of Endeavour Capital, and an aggregate of $0.4 million and</w:t>
      </w:r>
    </w:p>
    <w:p>
      <w:pPr>
        <w:jc w:val="both"/>
        <w:ind w:left="1000" w:right="100"/>
        <w:spacing w:after="0" w:line="258" w:lineRule="auto"/>
        <w:rPr>
          <w:rFonts w:ascii="Arial" w:cs="Arial" w:eastAsia="Arial" w:hAnsi="Arial"/>
          <w:sz w:val="11"/>
          <w:szCs w:val="11"/>
          <w:color w:val="auto"/>
        </w:rPr>
      </w:pPr>
      <w:r>
        <w:rPr>
          <w:rFonts w:ascii="Arial" w:cs="Arial" w:eastAsia="Arial" w:hAnsi="Arial"/>
          <w:sz w:val="13"/>
          <w:szCs w:val="13"/>
          <w:color w:val="auto"/>
        </w:rPr>
        <w:t>$0.7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To date, we have not granted or issued any stock-based compensation. We have adopted and implemented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portion of which will be fully vested upon grant. As a result, we expect to incur non-cash, stock-based compensation expenses in future periods, including expenses of approximately</w:t>
      </w:r>
    </w:p>
    <w:p>
      <w:pPr>
        <w:spacing w:after="0" w:line="27"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$8.6 million in the fourth quarter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 About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Market risk. </w:t>
      </w:r>
      <w:r>
        <w:rPr>
          <w:rFonts w:ascii="Arial" w:cs="Arial" w:eastAsia="Arial" w:hAnsi="Arial"/>
          <w:sz w:val="13"/>
          <w:szCs w:val="13"/>
          <w:color w:val="auto"/>
        </w:rPr>
        <w:t>We have no derivative financial instruments or derivative commodity instruments. We invest cash in excess of current operating requirements in short term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of deposit and money market instruments.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We manage interest rate risk by investing excess funds in cash equivalents and marketable securities bearing variable interest rates, which are tied to various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indices. Our future investment income may fall short of expectations due to changes in interest rates or we may suffer losses in principal if we are forced to sell securities that have declined in market value due to changes in interest rates. At December 31, 2007 and September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In June 2006, the FASB issued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among other things, creates a two 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its adoption did not have a material impact on our financial statements.</w:t>
      </w:r>
    </w:p>
    <w:p>
      <w:pPr>
        <w:spacing w:after="0" w:line="59"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have a material impact on our financial position or results of operations.</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In February 2007, the FASB issued SFAS No. 159, </w:t>
      </w:r>
      <w:r>
        <w:rPr>
          <w:rFonts w:ascii="Arial" w:cs="Arial" w:eastAsia="Arial" w:hAnsi="Arial"/>
          <w:sz w:val="11"/>
          <w:szCs w:val="11"/>
          <w:i w:val="1"/>
          <w:iCs w:val="1"/>
          <w:color w:val="auto"/>
        </w:rPr>
        <w:t>The Fair Value Option for Financial Assets and Financial Liabilities Including an Amendment of FASB Statement No. 115</w:t>
      </w:r>
      <w:r>
        <w:rPr>
          <w:rFonts w:ascii="Arial" w:cs="Arial" w:eastAsia="Arial" w:hAnsi="Arial"/>
          <w:sz w:val="11"/>
          <w:szCs w:val="11"/>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14,800, representing an increase of approximately 38% over our enrollment at December 31, 2006. Our net revenue and operating income for the year ended December 31, 2007 were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$99.3 million and $4.3 million, respectively, representing increases of 37.7% and 42.8%, respectively, over the year ended December 31, 2006. Our enrollment at September 30, 2008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22,000, representing an increase of approximately 63% over our enrollment at September 30, 2007. Our net revenue and operating income for the nine months ended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September 30, 2008 were $109.6 million and $9.0 million, respectively, representing increases of 60.1% and 305.5%, respectively, over the nine months ended September 30, 2007. We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believe our growth is the result of a combination of factors, including our:</w:t>
      </w:r>
    </w:p>
    <w:p>
      <w:pPr>
        <w:spacing w:after="0" w:line="89" w:lineRule="exact"/>
        <w:rPr>
          <w:sz w:val="20"/>
          <w:szCs w:val="20"/>
          <w:color w:val="auto"/>
        </w:rPr>
      </w:pPr>
    </w:p>
    <w:p>
      <w:pPr>
        <w:ind w:left="1680" w:hanging="187"/>
        <w:spacing w:after="0"/>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focus on our core disciplines of education, business, and healthcare;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convenient and flexible online delivery platform targeted at working adults;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innovative marketing, recruitment, and retention approach;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expanding portfolio of academically rigorous, career-oriented program offerings.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early 1980s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73"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Postsecondary education. </w:t>
      </w:r>
      <w:r>
        <w:rPr>
          <w:rFonts w:ascii="Arial" w:cs="Arial" w:eastAsia="Arial" w:hAnsi="Arial"/>
          <w:sz w:val="12"/>
          <w:szCs w:val="12"/>
          <w:color w:val="auto"/>
        </w:rPr>
        <w:t>The United States market for postsecondary education represents a large and growing opportunity. According to the March 2008 NCES report,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for all degree-granting postsecondary institutions was over $385 billion for the 2004-05 school year. In addition, according to a September 2008 NCES report, the number of students enrolled in postsecondary institutions was projected to be approximately 18.0 million in 2007 and the number was projected to grow to 18.6 million by 2010. We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 individuals without a degree. According to the U.S. Census Bureau, in 2006, the median income for individuals age 25 years or older with a bachelor’s or master’s degree was approximately 70% or 102% higher, respectively, than for a high school graduate of the same age with no college education.</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According to the March 2008 NCES report, as of 2007 71% of adults age 25 years or older did not possess a bachelor’s or higher degree. In the September 2008 report, the NCES estimated that, as of 2006, adults age 25 years or older represented 39% of total U.S. postsecondary enrollments, or approximately 6.9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7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Online postsecondary education. </w:t>
      </w:r>
      <w:r>
        <w:rPr>
          <w:rFonts w:ascii="Arial" w:cs="Arial" w:eastAsia="Arial" w:hAnsi="Arial"/>
          <w:sz w:val="12"/>
          <w:szCs w:val="12"/>
          <w:color w:val="auto"/>
        </w:rPr>
        <w:t>The market for online postsecondary education is growing more rapidly than the overall postsecondary market. A 2007 study by Eduventures, LLC,</w:t>
      </w:r>
      <w:r>
        <w:rPr>
          <w:rFonts w:ascii="Arial" w:cs="Arial" w:eastAsia="Arial" w:hAnsi="Arial"/>
          <w:sz w:val="12"/>
          <w:szCs w:val="12"/>
          <w:i w:val="1"/>
          <w:iCs w:val="1"/>
          <w:color w:val="auto"/>
        </w:rPr>
        <w:t xml:space="preserve"> </w:t>
      </w:r>
      <w:r>
        <w:rPr>
          <w:rFonts w:ascii="Arial" w:cs="Arial" w:eastAsia="Arial" w:hAnsi="Arial"/>
          <w:sz w:val="12"/>
          <w:szCs w:val="12"/>
          <w:color w:val="auto"/>
        </w:rPr>
        <w:t>an education consulting and research firm, projected that from 2002 to 2007 enrollment in online postsecondary programs increased from approximately 0.5 million to approximately</w:t>
      </w:r>
    </w:p>
    <w:p>
      <w:pPr>
        <w:ind w:left="680" w:right="240"/>
        <w:spacing w:after="0" w:line="281" w:lineRule="auto"/>
        <w:rPr>
          <w:sz w:val="20"/>
          <w:szCs w:val="20"/>
          <w:color w:val="auto"/>
        </w:rPr>
      </w:pPr>
      <w:r>
        <w:rPr>
          <w:rFonts w:ascii="Arial" w:cs="Arial" w:eastAsia="Arial" w:hAnsi="Arial"/>
          <w:sz w:val="12"/>
          <w:szCs w:val="12"/>
          <w:color w:val="auto"/>
        </w:rPr>
        <w:t>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6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Education, business, and healthcare. </w:t>
      </w:r>
      <w:r>
        <w:rPr>
          <w:rFonts w:ascii="Arial" w:cs="Arial" w:eastAsia="Arial" w:hAnsi="Arial"/>
          <w:sz w:val="11"/>
          <w:szCs w:val="11"/>
          <w:color w:val="auto"/>
        </w:rPr>
        <w:t>The education, business, and healthcare sectors represent a large and growing market for postsecondary education. According to the March 2008</w:t>
      </w:r>
      <w:r>
        <w:rPr>
          <w:rFonts w:ascii="Arial" w:cs="Arial" w:eastAsia="Arial" w:hAnsi="Arial"/>
          <w:sz w:val="11"/>
          <w:szCs w:val="11"/>
          <w:i w:val="1"/>
          <w:iCs w:val="1"/>
          <w:color w:val="auto"/>
        </w:rPr>
        <w:t xml:space="preserve"> </w:t>
      </w:r>
      <w:r>
        <w:rPr>
          <w:rFonts w:ascii="Arial" w:cs="Arial" w:eastAsia="Arial" w:hAnsi="Arial"/>
          <w:sz w:val="11"/>
          <w:szCs w:val="11"/>
          <w:color w:val="auto"/>
        </w:rPr>
        <w:t>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45" w:lineRule="exact"/>
        <w:rPr>
          <w:sz w:val="20"/>
          <w:szCs w:val="20"/>
          <w:color w:val="auto"/>
        </w:rPr>
      </w:pPr>
    </w:p>
    <w:p>
      <w:pPr>
        <w:ind w:left="1680" w:right="40" w:hanging="187"/>
        <w:spacing w:after="0" w:line="296"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49" w:lineRule="exact"/>
        <w:rPr>
          <w:rFonts w:ascii="Arial" w:cs="Arial" w:eastAsia="Arial" w:hAnsi="Arial"/>
          <w:sz w:val="12"/>
          <w:szCs w:val="12"/>
          <w:color w:val="auto"/>
        </w:rPr>
      </w:pPr>
    </w:p>
    <w:p>
      <w:pPr>
        <w:ind w:left="1680" w:right="240" w:hanging="187"/>
        <w:spacing w:after="0" w:line="276"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40" w:hanging="187"/>
        <w:spacing w:after="0" w:line="296"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i w:val="1"/>
          <w:iCs w:val="1"/>
          <w:color w:val="auto"/>
        </w:rPr>
        <w:t xml:space="preserve">Established presence in targeted, high demand disciplines. </w:t>
      </w:r>
      <w:r>
        <w:rPr>
          <w:rFonts w:ascii="Arial" w:cs="Arial" w:eastAsia="Arial" w:hAnsi="Arial"/>
          <w:sz w:val="12"/>
          <w:szCs w:val="12"/>
          <w:color w:val="auto"/>
        </w:rPr>
        <w:t>We have an established presence within our three core disciplines of education, business, and healthcare, which,</w:t>
      </w:r>
      <w:r>
        <w:rPr>
          <w:rFonts w:ascii="Arial" w:cs="Arial" w:eastAsia="Arial" w:hAnsi="Arial"/>
          <w:sz w:val="12"/>
          <w:szCs w:val="12"/>
          <w:i w:val="1"/>
          <w:iCs w:val="1"/>
          <w:color w:val="auto"/>
        </w:rPr>
        <w:t xml:space="preserve"> </w:t>
      </w:r>
      <w:r>
        <w:rPr>
          <w:rFonts w:ascii="Arial" w:cs="Arial" w:eastAsia="Arial" w:hAnsi="Arial"/>
          <w:sz w:val="12"/>
          <w:szCs w:val="12"/>
          <w:color w:val="auto"/>
        </w:rPr>
        <w:t>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59" w:lineRule="exact"/>
        <w:rPr>
          <w:sz w:val="20"/>
          <w:szCs w:val="20"/>
          <w:color w:val="auto"/>
        </w:rPr>
      </w:pPr>
    </w:p>
    <w:p>
      <w:pPr>
        <w:ind w:left="680" w:right="200" w:firstLine="798"/>
        <w:spacing w:after="0" w:line="285" w:lineRule="auto"/>
        <w:rPr>
          <w:sz w:val="20"/>
          <w:szCs w:val="20"/>
          <w:color w:val="auto"/>
        </w:rPr>
      </w:pPr>
      <w:r>
        <w:rPr>
          <w:rFonts w:ascii="Arial" w:cs="Arial" w:eastAsia="Arial" w:hAnsi="Arial"/>
          <w:sz w:val="12"/>
          <w:szCs w:val="12"/>
          <w:i w:val="1"/>
          <w:iCs w:val="1"/>
          <w:color w:val="auto"/>
        </w:rPr>
        <w:t xml:space="preserve">Focus on graduate degrees for working adults. </w:t>
      </w:r>
      <w:r>
        <w:rPr>
          <w:rFonts w:ascii="Arial" w:cs="Arial" w:eastAsia="Arial" w:hAnsi="Arial"/>
          <w:sz w:val="12"/>
          <w:szCs w:val="12"/>
          <w:color w:val="auto"/>
        </w:rPr>
        <w:t>We have designed our program offerings and our online delivery platform to meet the needs of working adults,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September 30, 2008, approximately 60.0% of our online students were enrolled in graduate degree programs.</w:t>
      </w:r>
    </w:p>
    <w:p>
      <w:pPr>
        <w:spacing w:after="0" w:line="55"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Innovative marketing, recruiting, and retention strategy. </w:t>
      </w:r>
      <w:r>
        <w:rPr>
          <w:rFonts w:ascii="Arial" w:cs="Arial" w:eastAsia="Arial" w:hAnsi="Arial"/>
          <w:sz w:val="12"/>
          <w:szCs w:val="12"/>
          <w:color w:val="auto"/>
        </w:rPr>
        <w:t>We have developed an integrated, innovative approach to student marketing, recruitment, and retention to reach our</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59"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72" w:lineRule="exact"/>
        <w:rPr>
          <w:sz w:val="20"/>
          <w:szCs w:val="20"/>
          <w:color w:val="auto"/>
        </w:rPr>
      </w:pPr>
    </w:p>
    <w:p>
      <w:pPr>
        <w:jc w:val="both"/>
        <w:ind w:left="680" w:right="120" w:firstLine="798"/>
        <w:spacing w:after="0" w:line="264" w:lineRule="auto"/>
        <w:rPr>
          <w:sz w:val="20"/>
          <w:szCs w:val="20"/>
          <w:color w:val="auto"/>
        </w:rPr>
      </w:pPr>
      <w:r>
        <w:rPr>
          <w:rFonts w:ascii="Arial" w:cs="Arial" w:eastAsia="Arial" w:hAnsi="Arial"/>
          <w:sz w:val="13"/>
          <w:szCs w:val="13"/>
          <w:i w:val="1"/>
          <w:iCs w:val="1"/>
          <w:color w:val="auto"/>
        </w:rPr>
        <w:t xml:space="preserve">Complementary online capabilities and campus-based tradition. </w:t>
      </w:r>
      <w:r>
        <w:rPr>
          <w:rFonts w:ascii="Arial" w:cs="Arial" w:eastAsia="Arial" w:hAnsi="Arial"/>
          <w:sz w:val="13"/>
          <w:szCs w:val="13"/>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70"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has worked in the education services sector for more than 20 years and has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72" w:lineRule="exact"/>
        <w:rPr>
          <w:sz w:val="20"/>
          <w:szCs w:val="20"/>
          <w:color w:val="auto"/>
        </w:rPr>
      </w:pPr>
    </w:p>
    <w:p>
      <w:pPr>
        <w:ind w:left="680" w:right="20" w:firstLine="798"/>
        <w:spacing w:after="0" w:line="258" w:lineRule="auto"/>
        <w:rPr>
          <w:sz w:val="20"/>
          <w:szCs w:val="20"/>
          <w:color w:val="auto"/>
        </w:rPr>
      </w:pPr>
      <w:r>
        <w:rPr>
          <w:rFonts w:ascii="Arial" w:cs="Arial" w:eastAsia="Arial" w:hAnsi="Arial"/>
          <w:sz w:val="13"/>
          <w:szCs w:val="13"/>
          <w:color w:val="auto"/>
        </w:rPr>
        <w:t>Effective July 1, 2008, we hired Brian Mueller, Stan Meyer, and Dan Bachus to serve as our Chief Executive Officer, Executive Vice President, and Chief Financial Officer, respectively. Mr. Mueller has been involved in the education industry for over 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continue to increase enrollment in our three core disciplines by identifying, enrolling, and retaining students seeking careers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over 200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59" w:lineRule="exact"/>
        <w:rPr>
          <w:sz w:val="20"/>
          <w:szCs w:val="20"/>
          <w:color w:val="auto"/>
        </w:rPr>
      </w:pPr>
    </w:p>
    <w:p>
      <w:pPr>
        <w:ind w:left="680" w:right="240" w:firstLine="798"/>
        <w:spacing w:after="0" w:line="285"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offerings in 2007, including the Ken Blanchard Executive MBA program, and twelve new online programs in the first nine months of 2008, including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55" w:lineRule="exact"/>
        <w:rPr>
          <w:sz w:val="20"/>
          <w:szCs w:val="20"/>
          <w:color w:val="auto"/>
        </w:rPr>
      </w:pPr>
    </w:p>
    <w:p>
      <w:pPr>
        <w:ind w:left="680" w:right="60" w:firstLine="798"/>
        <w:spacing w:after="0" w:line="264"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establishing strategic branding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with recognized industry leaders, and developing complementary resources in our core disciplines that increase the overall awareness of our offerings. In our marketing efforts, we emphasize the academic rigor and career orientation of our programs.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We seek to promote our brand by establishing relationships with industry leaders, such as Ken Blanchard, who have recognizable identities with potential students and further validate the quality and relevance of our program offerings.</w:t>
      </w:r>
    </w:p>
    <w:p>
      <w:pPr>
        <w:spacing w:after="0" w:line="59" w:lineRule="exact"/>
        <w:rPr>
          <w:sz w:val="20"/>
          <w:szCs w:val="20"/>
          <w:color w:val="auto"/>
        </w:rPr>
      </w:pPr>
    </w:p>
    <w:p>
      <w:pPr>
        <w:ind w:left="680" w:firstLine="798"/>
        <w:spacing w:after="0" w:line="257"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providers, and other employers through which we can market our offerings to their employees. As evidence of our success in these initiatives to date, in the first nine months of 2008, we taught courses at 29 hospitals and had direct billing arrangements with 28 employers covering programs being pursued by over 2,100 of their employees. We recently 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72" w:lineRule="exact"/>
        <w:rPr>
          <w:sz w:val="20"/>
          <w:szCs w:val="20"/>
          <w:color w:val="auto"/>
        </w:rPr>
      </w:pPr>
    </w:p>
    <w:p>
      <w:pPr>
        <w:ind w:left="680" w:right="100" w:firstLine="798"/>
        <w:spacing w:after="0" w:line="282"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significant investments in our people, processes, and technology infrastructure since 2004. We believe</w:t>
      </w:r>
      <w:r>
        <w:rPr>
          <w:rFonts w:ascii="Arial" w:cs="Arial" w:eastAsia="Arial" w:hAnsi="Arial"/>
          <w:sz w:val="12"/>
          <w:szCs w:val="12"/>
          <w:i w:val="1"/>
          <w:iCs w:val="1"/>
          <w:color w:val="auto"/>
        </w:rPr>
        <w:t xml:space="preserve"> </w:t>
      </w:r>
      <w:r>
        <w:rPr>
          <w:rFonts w:ascii="Arial" w:cs="Arial" w:eastAsia="Arial" w:hAnsi="Arial"/>
          <w:sz w:val="12"/>
          <w:szCs w:val="12"/>
          <w:color w:val="auto"/>
        </w:rPr>
        <w:t>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Approach to Academic Quality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key elements that we focus on to promote a high level of academic quality include:</w:t>
      </w:r>
    </w:p>
    <w:p>
      <w:pPr>
        <w:spacing w:after="0" w:line="96" w:lineRule="exact"/>
        <w:rPr>
          <w:sz w:val="20"/>
          <w:szCs w:val="20"/>
          <w:color w:val="auto"/>
        </w:rPr>
      </w:pPr>
    </w:p>
    <w:p>
      <w:pPr>
        <w:ind w:left="1680" w:hanging="187"/>
        <w:spacing w:after="0" w:line="289"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Academically rigorous, career oriented curricula. </w:t>
      </w:r>
      <w:r>
        <w:rPr>
          <w:rFonts w:ascii="Arial" w:cs="Arial" w:eastAsia="Arial" w:hAnsi="Arial"/>
          <w:sz w:val="12"/>
          <w:szCs w:val="12"/>
          <w:color w:val="auto"/>
        </w:rPr>
        <w:t>We create academically rigorous curricula that are designed to enable all students to gain the foundational knowledge,</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43" w:lineRule="exact"/>
        <w:rPr>
          <w:rFonts w:ascii="Arial" w:cs="Arial" w:eastAsia="Arial" w:hAnsi="Arial"/>
          <w:sz w:val="12"/>
          <w:szCs w:val="12"/>
          <w:color w:val="auto"/>
        </w:rPr>
      </w:pPr>
    </w:p>
    <w:p>
      <w:pPr>
        <w:ind w:left="1680" w:right="40" w:hanging="187"/>
        <w:spacing w:after="0" w:line="285"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Qualified faculty. </w:t>
      </w:r>
      <w:r>
        <w:rPr>
          <w:rFonts w:ascii="Arial" w:cs="Arial" w:eastAsia="Arial" w:hAnsi="Arial"/>
          <w:sz w:val="12"/>
          <w:szCs w:val="12"/>
          <w:color w:val="auto"/>
        </w:rPr>
        <w:t>We demonstrate our commitment to high quality education by hiring and contracting qualified faculty with relevant practical experience. Substantially</w:t>
      </w:r>
      <w:r>
        <w:rPr>
          <w:rFonts w:ascii="Arial" w:cs="Arial" w:eastAsia="Arial" w:hAnsi="Arial"/>
          <w:sz w:val="12"/>
          <w:szCs w:val="12"/>
          <w:i w:val="1"/>
          <w:iCs w:val="1"/>
          <w:color w:val="auto"/>
        </w:rPr>
        <w:t xml:space="preserve"> </w:t>
      </w:r>
      <w:r>
        <w:rPr>
          <w:rFonts w:ascii="Arial" w:cs="Arial" w:eastAsia="Arial" w:hAnsi="Arial"/>
          <w:sz w:val="12"/>
          <w:szCs w:val="12"/>
          <w:color w:val="auto"/>
        </w:rPr>
        <w:t>all of our current faculty members hold at least a master’s degree in their respective field and approximately 38%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45" w:lineRule="exact"/>
        <w:rPr>
          <w:rFonts w:ascii="Arial" w:cs="Arial" w:eastAsia="Arial" w:hAnsi="Arial"/>
          <w:sz w:val="12"/>
          <w:szCs w:val="12"/>
          <w:color w:val="auto"/>
        </w:rPr>
      </w:pPr>
    </w:p>
    <w:p>
      <w:pPr>
        <w:ind w:left="1680" w:right="220" w:hanging="187"/>
        <w:spacing w:after="0" w:line="296"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Standardized course design. </w:t>
      </w:r>
      <w:r>
        <w:rPr>
          <w:rFonts w:ascii="Arial" w:cs="Arial" w:eastAsia="Arial" w:hAnsi="Arial"/>
          <w:sz w:val="12"/>
          <w:szCs w:val="12"/>
          <w:color w:val="auto"/>
        </w:rPr>
        <w:t>We employ a standardized curriculum development process to ensure a consistent learning experience with frequent faculty-student</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39" w:lineRule="exact"/>
        <w:rPr>
          <w:rFonts w:ascii="Arial" w:cs="Arial" w:eastAsia="Arial" w:hAnsi="Arial"/>
          <w:sz w:val="12"/>
          <w:szCs w:val="12"/>
          <w:color w:val="auto"/>
        </w:rPr>
      </w:pPr>
    </w:p>
    <w:p>
      <w:pPr>
        <w:ind w:left="1680" w:right="100" w:hanging="187"/>
        <w:spacing w:after="0" w:line="264"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Effective student services. </w:t>
      </w:r>
      <w:r>
        <w:rPr>
          <w:rFonts w:ascii="Arial" w:cs="Arial" w:eastAsia="Arial" w:hAnsi="Arial"/>
          <w:sz w:val="13"/>
          <w:szCs w:val="13"/>
          <w:color w:val="auto"/>
        </w:rPr>
        <w:t>We establish teams comprised of academic and administrative personnel that act as the primary support contact point for each of our students,</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at the application stage and continuing through graduation. In recent years, we have also concentrated on improving the technology used to support student learning, including enhancing our online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40"/>
        <w:spacing w:after="0" w:line="264" w:lineRule="auto"/>
        <w:rPr>
          <w:sz w:val="20"/>
          <w:szCs w:val="20"/>
          <w:color w:val="auto"/>
        </w:rPr>
      </w:pPr>
      <w:r>
        <w:rPr>
          <w:rFonts w:ascii="Arial" w:cs="Arial" w:eastAsia="Arial" w:hAnsi="Arial"/>
          <w:sz w:val="13"/>
          <w:szCs w:val="13"/>
          <w:color w:val="auto"/>
        </w:rPr>
        <w:t>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67" w:lineRule="exact"/>
        <w:rPr>
          <w:sz w:val="20"/>
          <w:szCs w:val="20"/>
          <w:color w:val="auto"/>
        </w:rPr>
      </w:pPr>
    </w:p>
    <w:p>
      <w:pPr>
        <w:ind w:left="1680" w:hanging="187"/>
        <w:spacing w:after="0" w:line="281" w:lineRule="auto"/>
        <w:tabs>
          <w:tab w:leader="none" w:pos="168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Continual academic oversight. </w:t>
      </w:r>
      <w:r>
        <w:rPr>
          <w:rFonts w:ascii="Arial" w:cs="Arial" w:eastAsia="Arial" w:hAnsi="Arial"/>
          <w:sz w:val="12"/>
          <w:szCs w:val="12"/>
          <w:color w:val="auto"/>
        </w:rPr>
        <w:t>We have centralized the academic oversight and assessment functions for all of our programs through our Office of Assessment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 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We also offer, for both our online and ground programs, the following features in an effort to enrich the academic experience of current and prospective students:</w:t>
      </w:r>
    </w:p>
    <w:p>
      <w:pPr>
        <w:spacing w:after="0" w:line="96" w:lineRule="exact"/>
        <w:rPr>
          <w:sz w:val="20"/>
          <w:szCs w:val="20"/>
          <w:color w:val="auto"/>
        </w:rPr>
      </w:pPr>
    </w:p>
    <w:p>
      <w:pPr>
        <w:ind w:left="1680" w:right="100" w:hanging="187"/>
        <w:spacing w:after="0" w:line="316" w:lineRule="auto"/>
        <w:tabs>
          <w:tab w:leader="none" w:pos="1680" w:val="left"/>
        </w:tabs>
        <w:numPr>
          <w:ilvl w:val="0"/>
          <w:numId w:val="37"/>
        </w:numPr>
        <w:rPr>
          <w:rFonts w:ascii="Arial" w:cs="Arial" w:eastAsia="Arial" w:hAnsi="Arial"/>
          <w:sz w:val="11"/>
          <w:szCs w:val="11"/>
          <w:color w:val="auto"/>
        </w:rPr>
      </w:pPr>
      <w:r>
        <w:rPr>
          <w:rFonts w:ascii="Arial" w:cs="Arial" w:eastAsia="Arial" w:hAnsi="Arial"/>
          <w:sz w:val="11"/>
          <w:szCs w:val="11"/>
          <w:i w:val="1"/>
          <w:iCs w:val="1"/>
          <w:color w:val="auto"/>
        </w:rPr>
        <w:t xml:space="preserve">Flexibility in program delivery. </w:t>
      </w:r>
      <w:r>
        <w:rPr>
          <w:rFonts w:ascii="Arial" w:cs="Arial" w:eastAsia="Arial" w:hAnsi="Arial"/>
          <w:sz w:val="11"/>
          <w:szCs w:val="11"/>
          <w:color w:val="auto"/>
        </w:rPr>
        <w:t>We also seek to meet market demands by providing students with the flexibility to take courses exclusively online or to combine online</w:t>
      </w:r>
      <w:r>
        <w:rPr>
          <w:rFonts w:ascii="Arial" w:cs="Arial" w:eastAsia="Arial" w:hAnsi="Arial"/>
          <w:sz w:val="11"/>
          <w:szCs w:val="11"/>
          <w:i w:val="1"/>
          <w:iCs w:val="1"/>
          <w:color w:val="auto"/>
        </w:rPr>
        <w:t xml:space="preserve"> </w:t>
      </w:r>
      <w:r>
        <w:rPr>
          <w:rFonts w:ascii="Arial" w:cs="Arial" w:eastAsia="Arial" w:hAnsi="Arial"/>
          <w:sz w:val="11"/>
          <w:szCs w:val="11"/>
          <w:color w:val="auto"/>
        </w:rPr>
        <w:t>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42" w:lineRule="exact"/>
        <w:rPr>
          <w:rFonts w:ascii="Arial" w:cs="Arial" w:eastAsia="Arial" w:hAnsi="Arial"/>
          <w:sz w:val="11"/>
          <w:szCs w:val="11"/>
          <w:color w:val="auto"/>
        </w:rPr>
      </w:pPr>
    </w:p>
    <w:p>
      <w:pPr>
        <w:ind w:left="1680" w:right="20" w:hanging="187"/>
        <w:spacing w:after="0" w:line="322" w:lineRule="auto"/>
        <w:tabs>
          <w:tab w:leader="none" w:pos="1680" w:val="left"/>
        </w:tabs>
        <w:numPr>
          <w:ilvl w:val="0"/>
          <w:numId w:val="37"/>
        </w:numPr>
        <w:rPr>
          <w:rFonts w:ascii="Arial" w:cs="Arial" w:eastAsia="Arial" w:hAnsi="Arial"/>
          <w:sz w:val="11"/>
          <w:szCs w:val="11"/>
          <w:color w:val="auto"/>
        </w:rPr>
      </w:pPr>
      <w:r>
        <w:rPr>
          <w:rFonts w:ascii="Arial" w:cs="Arial" w:eastAsia="Arial" w:hAnsi="Arial"/>
          <w:sz w:val="11"/>
          <w:szCs w:val="11"/>
          <w:i w:val="1"/>
          <w:iCs w:val="1"/>
          <w:color w:val="auto"/>
        </w:rPr>
        <w:t xml:space="preserve">Small class size. </w:t>
      </w:r>
      <w:r>
        <w:rPr>
          <w:rFonts w:ascii="Arial" w:cs="Arial" w:eastAsia="Arial" w:hAnsi="Arial"/>
          <w:sz w:val="11"/>
          <w:szCs w:val="11"/>
          <w:color w:val="auto"/>
        </w:rPr>
        <w:t>At September 30, 2008, over 90% of our online classes had 25 or fewer students, with no classes exceeding 40 students, and over 80% of our ground</w:t>
      </w:r>
      <w:r>
        <w:rPr>
          <w:rFonts w:ascii="Arial" w:cs="Arial" w:eastAsia="Arial" w:hAnsi="Arial"/>
          <w:sz w:val="11"/>
          <w:szCs w:val="11"/>
          <w:i w:val="1"/>
          <w:iCs w:val="1"/>
          <w:color w:val="auto"/>
        </w:rPr>
        <w:t xml:space="preserve"> </w:t>
      </w:r>
      <w:r>
        <w:rPr>
          <w:rFonts w:ascii="Arial" w:cs="Arial" w:eastAsia="Arial" w:hAnsi="Arial"/>
          <w:sz w:val="11"/>
          <w:szCs w:val="11"/>
          <w:color w:val="auto"/>
        </w:rPr>
        <w:t>classes had 25 or fewer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 and Program Approvals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100" w:type="dxa"/>
            <w:vAlign w:val="bottom"/>
          </w:tcPr>
          <w:p>
            <w:pPr>
              <w:spacing w:after="0"/>
              <w:rPr>
                <w:sz w:val="20"/>
                <w:szCs w:val="20"/>
                <w:color w:val="auto"/>
              </w:rPr>
            </w:pPr>
            <w:r>
              <w:rPr>
                <w:rFonts w:ascii="Arial" w:cs="Arial" w:eastAsia="Arial" w:hAnsi="Arial"/>
                <w:sz w:val="10"/>
                <w:szCs w:val="10"/>
                <w:b w:val="1"/>
                <w:bCs w:val="1"/>
                <w:color w:val="auto"/>
              </w:rPr>
              <w:t>College</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Specialized Accreditations and Program Approvals</w:t>
            </w:r>
          </w:p>
        </w:tc>
        <w:tc>
          <w:tcPr>
            <w:tcW w:w="2020" w:type="dxa"/>
            <w:vAlign w:val="bottom"/>
          </w:tcPr>
          <w:p>
            <w:pPr>
              <w:ind w:left="1320"/>
              <w:spacing w:after="0"/>
              <w:rPr>
                <w:sz w:val="20"/>
                <w:szCs w:val="20"/>
                <w:color w:val="auto"/>
              </w:rPr>
            </w:pPr>
            <w:r>
              <w:rPr>
                <w:rFonts w:ascii="Arial" w:cs="Arial" w:eastAsia="Arial" w:hAnsi="Arial"/>
                <w:sz w:val="10"/>
                <w:szCs w:val="10"/>
                <w:b w:val="1"/>
                <w:bCs w:val="1"/>
                <w:color w:val="auto"/>
                <w:w w:val="97"/>
              </w:rPr>
              <w:t>Current Period</w:t>
            </w:r>
          </w:p>
        </w:tc>
      </w:tr>
      <w:tr>
        <w:trPr>
          <w:trHeight w:val="178"/>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Education</w:t>
            </w:r>
          </w:p>
        </w:tc>
        <w:tc>
          <w:tcPr>
            <w:tcW w:w="3500" w:type="dxa"/>
            <w:vAlign w:val="bottom"/>
          </w:tcPr>
          <w:p>
            <w:pPr>
              <w:spacing w:after="0"/>
              <w:rPr>
                <w:sz w:val="20"/>
                <w:szCs w:val="20"/>
                <w:color w:val="auto"/>
              </w:rPr>
            </w:pPr>
            <w:r>
              <w:rPr>
                <w:rFonts w:ascii="Arial" w:cs="Arial" w:eastAsia="Arial" w:hAnsi="Arial"/>
                <w:sz w:val="13"/>
                <w:szCs w:val="13"/>
                <w:color w:val="auto"/>
                <w:w w:val="93"/>
              </w:rPr>
              <w:t>•  The Arizona State Board of Education approves our College of</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2008 - 2010</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to offer Institutional Recommendations for the</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8"/>
              </w:rPr>
              <w:t>certification of elementary, secondary, and special education</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teachers and school administrators.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Ken Blanchard College of Business</w:t>
            </w:r>
          </w:p>
        </w:tc>
        <w:tc>
          <w:tcPr>
            <w:tcW w:w="3500" w:type="dxa"/>
            <w:vAlign w:val="bottom"/>
          </w:tcPr>
          <w:p>
            <w:pPr>
              <w:spacing w:after="0"/>
              <w:rPr>
                <w:sz w:val="20"/>
                <w:szCs w:val="20"/>
                <w:color w:val="auto"/>
              </w:rPr>
            </w:pPr>
            <w:r>
              <w:rPr>
                <w:rFonts w:ascii="Arial" w:cs="Arial" w:eastAsia="Arial" w:hAnsi="Arial"/>
                <w:sz w:val="13"/>
                <w:szCs w:val="13"/>
                <w:color w:val="auto"/>
                <w:w w:val="93"/>
              </w:rPr>
              <w:t>•  The Association of Collegiate Business Schools and Programs</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2007 - 2017</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accredits our Master of Business Administration degree program</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7"/>
              </w:rPr>
              <w:t>and our Bachelor of Science degree programs in Accounting,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Business Administration, and Marketing.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Nursing and Health Sciences</w:t>
            </w:r>
          </w:p>
        </w:tc>
        <w:tc>
          <w:tcPr>
            <w:tcW w:w="3500" w:type="dxa"/>
            <w:vAlign w:val="bottom"/>
          </w:tcPr>
          <w:p>
            <w:pPr>
              <w:spacing w:after="0"/>
              <w:rPr>
                <w:sz w:val="20"/>
                <w:szCs w:val="20"/>
                <w:color w:val="auto"/>
              </w:rPr>
            </w:pPr>
            <w:r>
              <w:rPr>
                <w:rFonts w:ascii="Arial" w:cs="Arial" w:eastAsia="Arial" w:hAnsi="Arial"/>
                <w:sz w:val="13"/>
                <w:szCs w:val="13"/>
                <w:color w:val="auto"/>
                <w:w w:val="98"/>
              </w:rPr>
              <w:t>•  The Commission on Collegiate Nursing Education accredits</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2"/>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our Bachelor of Science (B.S.) in Nursing and Master of Science</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(M.S.) — 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5"/>
              </w:rPr>
              <w:t>•  The Arizona State Board of Nursing approves our Bachelor of</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2"/>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Science (B.S.) in Nursing and Master of Science (M.S.) —</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  The Commission on Accreditation of Athletic Training</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2008 - 2013</w:t>
            </w:r>
          </w:p>
        </w:tc>
      </w:tr>
      <w:tr>
        <w:trPr>
          <w:trHeight w:val="165"/>
        </w:trPr>
        <w:tc>
          <w:tcPr>
            <w:tcW w:w="4100" w:type="dxa"/>
            <w:vAlign w:val="bottom"/>
          </w:tcPr>
          <w:p>
            <w:pPr>
              <w:spacing w:after="0"/>
              <w:rPr>
                <w:sz w:val="14"/>
                <w:szCs w:val="14"/>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accredits our Athletic Training Program.</w:t>
            </w:r>
          </w:p>
        </w:tc>
        <w:tc>
          <w:tcPr>
            <w:tcW w:w="2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2476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-1627505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Curricula</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began offering our first doctoral degree program, a Doctorate of Education in Organizational Leadership, in May 2008.</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our academic programs through our four distinct colleges:</w:t>
      </w:r>
    </w:p>
    <w:p>
      <w:pPr>
        <w:spacing w:after="0" w:line="96" w:lineRule="exact"/>
        <w:rPr>
          <w:sz w:val="20"/>
          <w:szCs w:val="20"/>
          <w:color w:val="auto"/>
        </w:rPr>
      </w:pPr>
    </w:p>
    <w:p>
      <w:pPr>
        <w:ind w:left="168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49" w:lineRule="exact"/>
        <w:rPr>
          <w:rFonts w:ascii="Arial" w:cs="Arial" w:eastAsia="Arial" w:hAnsi="Arial"/>
          <w:sz w:val="13"/>
          <w:szCs w:val="13"/>
          <w:color w:val="auto"/>
        </w:rPr>
      </w:pPr>
    </w:p>
    <w:p>
      <w:pPr>
        <w:ind w:left="1680" w:right="320" w:hanging="187"/>
        <w:spacing w:after="0" w:line="264"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College of Nursing and Health Sciences, which has a strong reputation within the Arizona healthcare community and is the second largest nursing program in Arizona; and</w:t>
      </w:r>
    </w:p>
    <w:p>
      <w:pPr>
        <w:spacing w:after="0" w:line="49"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license the right to utilize the name of Ken Blanchard in connection with our business school and Executive MBA Programs. See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College of Education</w:t>
            </w:r>
          </w:p>
        </w:tc>
        <w:tc>
          <w:tcPr>
            <w:tcW w:w="1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Ken Blanchard College of Business</w:t>
            </w:r>
          </w:p>
        </w:tc>
      </w:tr>
      <w:tr>
        <w:trPr>
          <w:trHeight w:val="98"/>
        </w:trPr>
        <w:tc>
          <w:tcPr>
            <w:tcW w:w="1800" w:type="dxa"/>
            <w:vAlign w:val="bottom"/>
            <w:tcBorders>
              <w:bottom w:val="single" w:sz="8" w:color="auto"/>
            </w:tcBorders>
          </w:tcPr>
          <w:p>
            <w:pPr>
              <w:ind w:left="780"/>
              <w:spacing w:after="0" w:line="98" w:lineRule="exact"/>
              <w:rPr>
                <w:sz w:val="20"/>
                <w:szCs w:val="20"/>
                <w:color w:val="auto"/>
              </w:rPr>
            </w:pPr>
            <w:r>
              <w:rPr>
                <w:rFonts w:ascii="Arial" w:cs="Arial" w:eastAsia="Arial" w:hAnsi="Arial"/>
                <w:sz w:val="10"/>
                <w:szCs w:val="10"/>
                <w:b w:val="1"/>
                <w:bCs w:val="1"/>
                <w:color w:val="auto"/>
              </w:rPr>
              <w:t>Degree Program</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480" w:type="dxa"/>
            <w:vAlign w:val="bottom"/>
            <w:tcBorders>
              <w:bottom w:val="single" w:sz="8" w:color="auto"/>
            </w:tcBorders>
          </w:tcPr>
          <w:p>
            <w:pPr>
              <w:ind w:left="620"/>
              <w:spacing w:after="0" w:line="98" w:lineRule="exact"/>
              <w:rPr>
                <w:sz w:val="20"/>
                <w:szCs w:val="20"/>
                <w:color w:val="auto"/>
              </w:rPr>
            </w:pPr>
            <w:r>
              <w:rPr>
                <w:rFonts w:ascii="Arial" w:cs="Arial" w:eastAsia="Arial" w:hAnsi="Arial"/>
                <w:sz w:val="10"/>
                <w:szCs w:val="10"/>
                <w:b w:val="1"/>
                <w:bCs w:val="1"/>
                <w:color w:val="auto"/>
              </w:rPr>
              <w:t>Degree Program</w:t>
            </w: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ind w:left="980"/>
              <w:spacing w:after="0" w:line="98" w:lineRule="exact"/>
              <w:rPr>
                <w:sz w:val="20"/>
                <w:szCs w:val="20"/>
                <w:color w:val="auto"/>
              </w:rPr>
            </w:pPr>
            <w:r>
              <w:rPr>
                <w:rFonts w:ascii="Arial" w:cs="Arial" w:eastAsia="Arial" w:hAnsi="Arial"/>
                <w:sz w:val="10"/>
                <w:szCs w:val="10"/>
                <w:b w:val="1"/>
                <w:bCs w:val="1"/>
                <w:color w:val="auto"/>
              </w:rPr>
              <w:t>Emphasis</w:t>
            </w:r>
          </w:p>
        </w:tc>
      </w:tr>
      <w:tr>
        <w:trPr>
          <w:trHeight w:val="134"/>
        </w:trPr>
        <w:tc>
          <w:tcPr>
            <w:tcW w:w="1800" w:type="dxa"/>
            <w:vAlign w:val="bottom"/>
          </w:tcPr>
          <w:p>
            <w:pPr>
              <w:spacing w:after="0"/>
              <w:rPr>
                <w:sz w:val="20"/>
                <w:szCs w:val="20"/>
                <w:color w:val="auto"/>
              </w:rPr>
            </w:pPr>
            <w:r>
              <w:rPr>
                <w:rFonts w:ascii="Arial" w:cs="Arial" w:eastAsia="Arial" w:hAnsi="Arial"/>
                <w:sz w:val="9"/>
                <w:szCs w:val="9"/>
                <w:color w:val="auto"/>
              </w:rPr>
              <w:t>Master of Arts in Teaching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Ken Blanchard Executive MBA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0"/>
        </w:trPr>
        <w:tc>
          <w:tcPr>
            <w:tcW w:w="1800" w:type="dxa"/>
            <w:vAlign w:val="bottom"/>
          </w:tcPr>
          <w:p>
            <w:pPr>
              <w:spacing w:after="0"/>
              <w:rPr>
                <w:sz w:val="20"/>
                <w:szCs w:val="20"/>
                <w:color w:val="auto"/>
              </w:rPr>
            </w:pPr>
            <w:r>
              <w:rPr>
                <w:rFonts w:ascii="Arial" w:cs="Arial" w:eastAsia="Arial" w:hAnsi="Arial"/>
                <w:sz w:val="9"/>
                <w:szCs w:val="9"/>
                <w:color w:val="auto"/>
              </w:rPr>
              <w:t>Master of Education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Master of Business Administration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rPr>
                <w:sz w:val="20"/>
                <w:szCs w:val="20"/>
                <w:color w:val="auto"/>
              </w:rPr>
            </w:pPr>
            <w:r>
              <w:rPr>
                <w:rFonts w:ascii="Arial" w:cs="Arial" w:eastAsia="Arial" w:hAnsi="Arial"/>
                <w:sz w:val="9"/>
                <w:szCs w:val="9"/>
                <w:color w:val="auto"/>
              </w:rPr>
              <w:t>General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20"/>
              <w:spacing w:after="0" w:line="98" w:lineRule="exact"/>
              <w:rPr>
                <w:sz w:val="20"/>
                <w:szCs w:val="20"/>
                <w:color w:val="auto"/>
              </w:rPr>
            </w:pPr>
            <w:r>
              <w:rPr>
                <w:rFonts w:ascii="Arial" w:cs="Arial" w:eastAsia="Arial" w:hAnsi="Arial"/>
                <w:sz w:val="9"/>
                <w:szCs w:val="9"/>
                <w:color w:val="auto"/>
              </w:rPr>
              <w:t>Institutional Recommendation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Health Systems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Organizational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3"/>
          </w:tcPr>
          <w:p>
            <w:pPr>
              <w:spacing w:after="0" w:line="98" w:lineRule="exact"/>
              <w:rPr>
                <w:sz w:val="20"/>
                <w:szCs w:val="20"/>
                <w:color w:val="auto"/>
              </w:rPr>
            </w:pPr>
            <w:r>
              <w:rPr>
                <w:rFonts w:ascii="Arial" w:cs="Arial" w:eastAsia="Arial" w:hAnsi="Arial"/>
                <w:sz w:val="9"/>
                <w:szCs w:val="9"/>
                <w:color w:val="auto"/>
              </w:rPr>
              <w:t>•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80"/>
              <w:spacing w:after="0" w:line="98" w:lineRule="exact"/>
              <w:rPr>
                <w:sz w:val="20"/>
                <w:szCs w:val="20"/>
                <w:color w:val="auto"/>
              </w:rPr>
            </w:pPr>
            <w:r>
              <w:rPr>
                <w:rFonts w:ascii="Arial" w:cs="Arial" w:eastAsia="Arial" w:hAnsi="Arial"/>
                <w:sz w:val="9"/>
                <w:szCs w:val="9"/>
                <w:color w:val="auto"/>
              </w:rPr>
              <w:t>School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Six Sigma</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Master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Reading</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Leadership — Disaster Preparedness Crisis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Executive Fire 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Non-IR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for Certified Special Educators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Business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Teaching English to Speakers of Other Languages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Business Administration — Healthcare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w w:val="97"/>
              </w:rPr>
              <w:t>•  Business Administration —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School Counseling — K-12*</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Applied Management•  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Finance</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Elementary/Special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Entrepreneurial Studies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Early Childhood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Public Safety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English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Math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Science</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Biology*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Business Education and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Chemistry*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Mathematics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Social Studies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16"/>
        </w:trPr>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ind w:left="40"/>
              <w:spacing w:after="0"/>
              <w:rPr>
                <w:sz w:val="20"/>
                <w:szCs w:val="20"/>
                <w:color w:val="auto"/>
              </w:rPr>
            </w:pPr>
            <w:r>
              <w:rPr>
                <w:rFonts w:ascii="Arial" w:cs="Arial" w:eastAsia="Arial" w:hAnsi="Arial"/>
                <w:sz w:val="9"/>
                <w:szCs w:val="9"/>
                <w:color w:val="auto"/>
              </w:rPr>
              <w:t>•  Secondary Education — Physical Education</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47"/>
        </w:trPr>
        <w:tc>
          <w:tcPr>
            <w:tcW w:w="1800" w:type="dxa"/>
            <w:vAlign w:val="bottom"/>
          </w:tcPr>
          <w:p>
            <w:pPr>
              <w:spacing w:after="0"/>
              <w:rPr>
                <w:sz w:val="20"/>
                <w:szCs w:val="20"/>
                <w:color w:val="auto"/>
              </w:rPr>
            </w:pPr>
            <w:r>
              <w:rPr>
                <w:rFonts w:ascii="Arial" w:cs="Arial" w:eastAsia="Arial" w:hAnsi="Arial"/>
                <w:sz w:val="9"/>
                <w:szCs w:val="9"/>
                <w:color w:val="auto"/>
              </w:rPr>
              <w:t>Bachelor of Arts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English for Secondary Teachers*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College of Nursing and Health Sciences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College of Liberal Arts</w:t>
            </w: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Degree Program</w:t>
            </w: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ind w:left="104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ind w:left="580"/>
              <w:spacing w:after="0" w:line="98" w:lineRule="exact"/>
              <w:rPr>
                <w:sz w:val="20"/>
                <w:szCs w:val="20"/>
                <w:color w:val="auto"/>
              </w:rPr>
            </w:pPr>
            <w:r>
              <w:rPr>
                <w:rFonts w:ascii="Arial" w:cs="Arial" w:eastAsia="Arial" w:hAnsi="Arial"/>
                <w:sz w:val="10"/>
                <w:szCs w:val="10"/>
                <w:b w:val="1"/>
                <w:bCs w:val="1"/>
                <w:color w:val="auto"/>
              </w:rPr>
              <w:t>Degree Program</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20"/>
                <w:szCs w:val="20"/>
                <w:color w:val="auto"/>
              </w:rPr>
            </w:pPr>
            <w:r>
              <w:rPr>
                <w:rFonts w:ascii="Arial" w:cs="Arial" w:eastAsia="Arial" w:hAnsi="Arial"/>
                <w:sz w:val="9"/>
                <w:szCs w:val="9"/>
                <w:color w:val="auto"/>
              </w:rPr>
              <w:t>Master of Science — Nursing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Family Nurse Practitioner*</w:t>
            </w:r>
          </w:p>
        </w:tc>
        <w:tc>
          <w:tcPr>
            <w:tcW w:w="10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 in 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Nursing Leadership in Healthcare Systems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Clinical Nurse Specialist*</w:t>
            </w:r>
          </w:p>
        </w:tc>
        <w:tc>
          <w:tcPr>
            <w:tcW w:w="100" w:type="dxa"/>
            <w:vAlign w:val="bottom"/>
          </w:tcPr>
          <w:p>
            <w:pPr>
              <w:spacing w:after="0"/>
              <w:rPr>
                <w:sz w:val="8"/>
                <w:szCs w:val="8"/>
                <w:color w:val="auto"/>
              </w:rPr>
            </w:pPr>
          </w:p>
        </w:tc>
        <w:tc>
          <w:tcPr>
            <w:tcW w:w="1680" w:type="dxa"/>
            <w:vAlign w:val="bottom"/>
            <w:gridSpan w:val="2"/>
          </w:tcPr>
          <w:p>
            <w:pPr>
              <w:spacing w:after="0" w:line="98" w:lineRule="exact"/>
              <w:rPr>
                <w:sz w:val="20"/>
                <w:szCs w:val="20"/>
                <w:color w:val="auto"/>
              </w:rPr>
            </w:pPr>
            <w:r>
              <w:rPr>
                <w:rFonts w:ascii="Arial" w:cs="Arial" w:eastAsia="Arial" w:hAnsi="Arial"/>
                <w:sz w:val="9"/>
                <w:szCs w:val="9"/>
                <w:color w:val="auto"/>
              </w:rPr>
              <w:t>Bachelor of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Clinical Nurse Specialist (Education Focus)*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2600" w:type="dxa"/>
            <w:vAlign w:val="bottom"/>
          </w:tcPr>
          <w:p>
            <w:pPr>
              <w:ind w:left="40"/>
              <w:spacing w:after="0"/>
              <w:rPr>
                <w:sz w:val="20"/>
                <w:szCs w:val="20"/>
                <w:color w:val="auto"/>
              </w:rPr>
            </w:pPr>
            <w:r>
              <w:rPr>
                <w:rFonts w:ascii="Arial" w:cs="Arial" w:eastAsia="Arial" w:hAnsi="Arial"/>
                <w:sz w:val="9"/>
                <w:szCs w:val="9"/>
                <w:color w:val="auto"/>
              </w:rPr>
              <w:t>Nursing Education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40"/>
              <w:spacing w:after="0"/>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9"/>
                <w:szCs w:val="9"/>
                <w:color w:val="auto"/>
              </w:rPr>
              <w:t>•  Communications — Digital Media*</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Graphic Design*</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 in Nursing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Basic Science*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Public Relations*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Pre-Medicine*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English Literature*</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Pre-Pharmacy*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Interdisciplinary Studies — Communication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Pre-Physician Assistant*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Intercultural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Pre-Occupational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Biblical/Theological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Pre-Veterinary*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Pastoral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w w:val="98"/>
              </w:rPr>
              <w:t>•  Health Science: Professional Development and Advanced Patient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Worship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Care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Youth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Medical Imaging Sciences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Athletic Training*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Corporate Fitness and Wellness*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spacing w:after="0" w:line="98" w:lineRule="exact"/>
              <w:rPr>
                <w:sz w:val="20"/>
                <w:szCs w:val="20"/>
                <w:color w:val="auto"/>
              </w:rPr>
            </w:pPr>
            <w:r>
              <w:rPr>
                <w:rFonts w:ascii="Arial" w:cs="Arial" w:eastAsia="Arial" w:hAnsi="Arial"/>
                <w:sz w:val="9"/>
                <w:szCs w:val="9"/>
                <w:color w:val="auto"/>
              </w:rPr>
              <w:t>Physical Education*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Recreation*</w:t>
            </w:r>
          </w:p>
        </w:tc>
        <w:tc>
          <w:tcPr>
            <w:tcW w:w="10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Undergraduate Minors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Athletic Coaching*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Behavioral Sciences*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Physical Education*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Business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Political Science*</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Critical Thinking and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Expression*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Recreation*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Exercise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Social Sciences*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Family Studies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Health Education*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Spanish*</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1580" w:type="dxa"/>
            <w:vAlign w:val="bottom"/>
          </w:tcPr>
          <w:p>
            <w:pPr>
              <w:ind w:left="40"/>
              <w:spacing w:after="0"/>
              <w:rPr>
                <w:sz w:val="20"/>
                <w:szCs w:val="20"/>
                <w:color w:val="auto"/>
              </w:rPr>
            </w:pPr>
            <w:r>
              <w:rPr>
                <w:rFonts w:ascii="Arial" w:cs="Arial" w:eastAsia="Arial" w:hAnsi="Arial"/>
                <w:sz w:val="9"/>
                <w:szCs w:val="9"/>
                <w:color w:val="auto"/>
              </w:rPr>
              <w:t>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40"/>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8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Program Development</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typically identify a potential new degree program or emphasis area through market demand or from proposals developed by faculty, staff, students, alumni, or partners, and then perform an analysis of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Faculty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faculty includes full-time, ground-based faculty who teach under a nine-month or twelve-month teaching contract, as well as adjunct ground-based faculty and online faculty who we contract to teach on a course-by-course basis for a specified fee. As of September 30, 2008, we employed 460 ground-based faculty members, of which 53 were full-time and 407 were part-time adjuncts, and maintained a pool of over 1,000 online faculty members, all of whom had completed our required training and 656 of which taught at least one course during the first nine months of 2008. Substantially all of our current faculty members hold at least a master’s degree in their respective field and approximately 29%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7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5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Student Support Services</w:t>
      </w:r>
    </w:p>
    <w:p>
      <w:pPr>
        <w:spacing w:after="0" w:line="100"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53" w:lineRule="exact"/>
        <w:rPr>
          <w:sz w:val="20"/>
          <w:szCs w:val="20"/>
          <w:color w:val="auto"/>
        </w:rPr>
      </w:pPr>
    </w:p>
    <w:p>
      <w:pPr>
        <w:ind w:left="680" w:right="100" w:firstLine="798"/>
        <w:spacing w:after="0" w:line="276" w:lineRule="auto"/>
        <w:rPr>
          <w:sz w:val="20"/>
          <w:szCs w:val="20"/>
          <w:color w:val="auto"/>
        </w:rPr>
      </w:pPr>
      <w:r>
        <w:rPr>
          <w:rFonts w:ascii="Arial" w:cs="Arial" w:eastAsia="Arial" w:hAnsi="Arial"/>
          <w:sz w:val="13"/>
          <w:szCs w:val="13"/>
          <w:i w:val="1"/>
          <w:iCs w:val="1"/>
          <w:color w:val="auto"/>
        </w:rPr>
        <w:t xml:space="preserve">Academic services. </w:t>
      </w:r>
      <w:r>
        <w:rPr>
          <w:rFonts w:ascii="Arial" w:cs="Arial" w:eastAsia="Arial" w:hAnsi="Arial"/>
          <w:sz w:val="13"/>
          <w:szCs w:val="13"/>
          <w:color w:val="auto"/>
        </w:rPr>
        <w:t>We provide students with a variety of services designed to support their academic studies. Our Center for Academic and Professional Success offers new</w:t>
      </w:r>
      <w:r>
        <w:rPr>
          <w:rFonts w:ascii="Arial" w:cs="Arial" w:eastAsia="Arial" w:hAnsi="Arial"/>
          <w:sz w:val="13"/>
          <w:szCs w:val="13"/>
          <w:i w:val="1"/>
          <w:iCs w:val="1"/>
          <w:color w:val="auto"/>
        </w:rPr>
        <w:t xml:space="preserve"> </w:t>
      </w:r>
      <w:r>
        <w:rPr>
          <w:rFonts w:ascii="Arial" w:cs="Arial" w:eastAsia="Arial" w:hAnsi="Arial"/>
          <w:sz w:val="13"/>
          <w:szCs w:val="13"/>
          <w:color w:val="auto"/>
        </w:rPr>
        <w:t>student orientation, academic advising, technical support, research services, writing services, and other tutoring to all our online and campus students.</w:t>
      </w:r>
    </w:p>
    <w:p>
      <w:pPr>
        <w:spacing w:after="0" w:line="59" w:lineRule="exact"/>
        <w:rPr>
          <w:sz w:val="20"/>
          <w:szCs w:val="20"/>
          <w:color w:val="auto"/>
        </w:rPr>
      </w:pPr>
    </w:p>
    <w:p>
      <w:pPr>
        <w:jc w:val="both"/>
        <w:ind w:left="680" w:right="80" w:firstLine="798"/>
        <w:spacing w:after="0" w:line="264" w:lineRule="auto"/>
        <w:rPr>
          <w:sz w:val="20"/>
          <w:szCs w:val="20"/>
          <w:color w:val="auto"/>
        </w:rPr>
      </w:pPr>
      <w:r>
        <w:rPr>
          <w:rFonts w:ascii="Arial" w:cs="Arial" w:eastAsia="Arial" w:hAnsi="Arial"/>
          <w:sz w:val="13"/>
          <w:szCs w:val="13"/>
          <w:i w:val="1"/>
          <w:iCs w:val="1"/>
          <w:color w:val="auto"/>
        </w:rPr>
        <w:t xml:space="preserve">Administrative services. </w:t>
      </w:r>
      <w:r>
        <w:rPr>
          <w:rFonts w:ascii="Arial" w:cs="Arial" w:eastAsia="Arial" w:hAnsi="Arial"/>
          <w:sz w:val="13"/>
          <w:szCs w:val="13"/>
          <w:color w:val="auto"/>
        </w:rPr>
        <w:t>We provide students with the ability to access a variety of administrative services both telephonically and via the Internet. For example, students can</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67" w:lineRule="exact"/>
        <w:rPr>
          <w:sz w:val="20"/>
          <w:szCs w:val="20"/>
          <w:color w:val="auto"/>
        </w:rPr>
      </w:pPr>
    </w:p>
    <w:p>
      <w:pPr>
        <w:ind w:left="680" w:right="40" w:firstLine="798"/>
        <w:spacing w:after="0" w:line="334" w:lineRule="auto"/>
        <w:rPr>
          <w:sz w:val="20"/>
          <w:szCs w:val="20"/>
          <w:color w:val="auto"/>
        </w:rPr>
      </w:pPr>
      <w:r>
        <w:rPr>
          <w:rFonts w:ascii="Arial" w:cs="Arial" w:eastAsia="Arial" w:hAnsi="Arial"/>
          <w:sz w:val="11"/>
          <w:szCs w:val="11"/>
          <w:i w:val="1"/>
          <w:iCs w:val="1"/>
          <w:color w:val="auto"/>
        </w:rPr>
        <w:t xml:space="preserve">Library services. </w:t>
      </w:r>
      <w:r>
        <w:rPr>
          <w:rFonts w:ascii="Arial" w:cs="Arial" w:eastAsia="Arial" w:hAnsi="Arial"/>
          <w:sz w:val="11"/>
          <w:szCs w:val="11"/>
          <w:color w:val="auto"/>
        </w:rPr>
        <w:t>We provide a mix of online and ground resources, services, and instruction to support the educational and research endeavors of all students, faculty, and</w:t>
      </w:r>
      <w:r>
        <w:rPr>
          <w:rFonts w:ascii="Arial" w:cs="Arial" w:eastAsia="Arial" w:hAnsi="Arial"/>
          <w:sz w:val="11"/>
          <w:szCs w:val="11"/>
          <w:i w:val="1"/>
          <w:iCs w:val="1"/>
          <w:color w:val="auto"/>
        </w:rPr>
        <w:t xml:space="preserve"> </w:t>
      </w:r>
      <w:r>
        <w:rPr>
          <w:rFonts w:ascii="Arial" w:cs="Arial" w:eastAsia="Arial" w:hAnsi="Arial"/>
          <w:sz w:val="11"/>
          <w:szCs w:val="11"/>
          <w:color w:val="auto"/>
        </w:rPr>
        <w:t>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32" w:lineRule="exact"/>
        <w:rPr>
          <w:sz w:val="20"/>
          <w:szCs w:val="20"/>
          <w:color w:val="auto"/>
        </w:rPr>
      </w:pPr>
    </w:p>
    <w:p>
      <w:pPr>
        <w:ind w:left="680" w:firstLine="798"/>
        <w:spacing w:after="0" w:line="260" w:lineRule="auto"/>
        <w:rPr>
          <w:sz w:val="20"/>
          <w:szCs w:val="20"/>
          <w:color w:val="auto"/>
        </w:rPr>
      </w:pPr>
      <w:r>
        <w:rPr>
          <w:rFonts w:ascii="Arial" w:cs="Arial" w:eastAsia="Arial" w:hAnsi="Arial"/>
          <w:sz w:val="13"/>
          <w:szCs w:val="13"/>
          <w:i w:val="1"/>
          <w:iCs w:val="1"/>
          <w:color w:val="auto"/>
        </w:rPr>
        <w:t xml:space="preserve">Career services. </w:t>
      </w:r>
      <w:r>
        <w:rPr>
          <w:rFonts w:ascii="Arial" w:cs="Arial" w:eastAsia="Arial" w:hAnsi="Arial"/>
          <w:sz w:val="13"/>
          <w:szCs w:val="13"/>
          <w:color w:val="auto"/>
        </w:rPr>
        <w:t>For those students seeking to change careers or explore new career opportunities, we offer career services support, including resume review and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0" w:lineRule="exact"/>
        <w:rPr>
          <w:sz w:val="20"/>
          <w:szCs w:val="20"/>
          <w:color w:val="auto"/>
        </w:rPr>
      </w:pPr>
    </w:p>
    <w:p>
      <w:pPr>
        <w:ind w:left="680" w:right="580" w:firstLine="798"/>
        <w:spacing w:after="0" w:line="276" w:lineRule="auto"/>
        <w:rPr>
          <w:sz w:val="20"/>
          <w:szCs w:val="20"/>
          <w:color w:val="auto"/>
        </w:rPr>
      </w:pPr>
      <w:r>
        <w:rPr>
          <w:rFonts w:ascii="Arial" w:cs="Arial" w:eastAsia="Arial" w:hAnsi="Arial"/>
          <w:sz w:val="13"/>
          <w:szCs w:val="13"/>
          <w:i w:val="1"/>
          <w:iCs w:val="1"/>
          <w:color w:val="auto"/>
        </w:rPr>
        <w:t xml:space="preserve">Technology support services. </w:t>
      </w:r>
      <w:r>
        <w:rPr>
          <w:rFonts w:ascii="Arial" w:cs="Arial" w:eastAsia="Arial" w:hAnsi="Arial"/>
          <w:sz w:val="13"/>
          <w:szCs w:val="13"/>
          <w:color w:val="auto"/>
        </w:rPr>
        <w:t>We provide online technical support 16 hours per day during the week and 14 hours per day on weekends to help our students remedy</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technology-related issues. We also provide online tutorials and “Frequently Asked Questions” for students who are new to online coursework.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Recruitment, and Retention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Marketing. </w:t>
      </w:r>
      <w:r>
        <w:rPr>
          <w:rFonts w:ascii="Arial" w:cs="Arial" w:eastAsia="Arial" w:hAnsi="Arial"/>
          <w:sz w:val="13"/>
          <w:szCs w:val="13"/>
          <w:color w:val="auto"/>
        </w:rPr>
        <w:t>We engage in a range of marketing activities designed to position us as a provider of academically rigorous, career-oriented educational programs, build strong brand</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enable us to gain a better understanding of the attributes of our students who ultimately enroll and graduate so that we can target our marketing and enrollment processes accordingly.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generate student leads, our marketing and enrollment personnel employ an integrated marketing approach that utilizes a variety of lead sources to identify prospective students.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lead generation sources include:</w:t>
      </w:r>
    </w:p>
    <w:p>
      <w:pPr>
        <w:spacing w:after="0" w:line="89" w:lineRule="exact"/>
        <w:rPr>
          <w:sz w:val="20"/>
          <w:szCs w:val="20"/>
          <w:color w:val="auto"/>
        </w:rPr>
      </w:pPr>
    </w:p>
    <w:p>
      <w:pPr>
        <w:ind w:left="1680" w:right="22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49"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search engine optimization techniques, through which we seek to obtain high placement in search engine results in response to key topic and word searches and drive traffic to our website;</w:t>
      </w:r>
    </w:p>
    <w:p>
      <w:pPr>
        <w:spacing w:after="0" w:line="49"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seminar and event marketing, in which our marketing and enrollment personnel host group events at various venues, including community colleges, corporations, and hospitals;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referrals from existing students, alumni, and employees;</w:t>
      </w:r>
    </w:p>
    <w:p>
      <w:pPr>
        <w:spacing w:after="0" w:line="86" w:lineRule="exact"/>
        <w:rPr>
          <w:rFonts w:ascii="Arial" w:cs="Arial" w:eastAsia="Arial" w:hAnsi="Arial"/>
          <w:sz w:val="13"/>
          <w:szCs w:val="13"/>
          <w:color w:val="auto"/>
        </w:rPr>
      </w:pPr>
    </w:p>
    <w:p>
      <w:pPr>
        <w:ind w:left="1680" w:hanging="187"/>
        <w:spacing w:after="0" w:line="264"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57"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print and direct mail advertising campaigns, and other public relations and communications efforts, including promoting our athletic programs and student and alumni events.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Recruitment. </w:t>
      </w:r>
      <w:r>
        <w:rPr>
          <w:rFonts w:ascii="Arial" w:cs="Arial" w:eastAsia="Arial" w:hAnsi="Arial"/>
          <w:sz w:val="13"/>
          <w:szCs w:val="13"/>
          <w:color w:val="auto"/>
        </w:rPr>
        <w:t>Once a prospective student has indicated an interest in enrolling in one of our programs, our lead management system identifies and directs an enrollment counselor to</w:t>
      </w:r>
      <w:r>
        <w:rPr>
          <w:rFonts w:ascii="Arial" w:cs="Arial" w:eastAsia="Arial" w:hAnsi="Arial"/>
          <w:sz w:val="13"/>
          <w:szCs w:val="13"/>
          <w:i w:val="1"/>
          <w:iCs w:val="1"/>
          <w:color w:val="auto"/>
        </w:rPr>
        <w:t xml:space="preserve"> </w:t>
      </w:r>
      <w:r>
        <w:rPr>
          <w:rFonts w:ascii="Arial" w:cs="Arial" w:eastAsia="Arial" w:hAnsi="Arial"/>
          <w:sz w:val="13"/>
          <w:szCs w:val="13"/>
          <w:color w:val="auto"/>
        </w:rPr>
        <w:t>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September 30, 2008, we employed over 550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 and have plans to add up to three additional facilities during the next six months.</w:t>
      </w:r>
    </w:p>
    <w:p>
      <w:pPr>
        <w:spacing w:after="0" w:line="5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i w:val="1"/>
          <w:iCs w:val="1"/>
          <w:color w:val="auto"/>
        </w:rPr>
        <w:t xml:space="preserve">Retention. </w:t>
      </w:r>
      <w:r>
        <w:rPr>
          <w:rFonts w:ascii="Arial" w:cs="Arial" w:eastAsia="Arial" w:hAnsi="Arial"/>
          <w:sz w:val="12"/>
          <w:szCs w:val="12"/>
          <w:color w:val="auto"/>
        </w:rPr>
        <w:t>We employ a retention team whose purpose is to support the student in advancing from matriculation through graduation. The retention team members, among other</w:t>
      </w:r>
      <w:r>
        <w:rPr>
          <w:rFonts w:ascii="Arial" w:cs="Arial" w:eastAsia="Arial" w:hAnsi="Arial"/>
          <w:sz w:val="12"/>
          <w:szCs w:val="12"/>
          <w:i w:val="1"/>
          <w:iCs w:val="1"/>
          <w:color w:val="auto"/>
        </w:rPr>
        <w:t xml:space="preserve"> </w:t>
      </w:r>
      <w:r>
        <w:rPr>
          <w:rFonts w:ascii="Arial" w:cs="Arial" w:eastAsia="Arial" w:hAnsi="Arial"/>
          <w:sz w:val="12"/>
          <w:szCs w:val="12"/>
          <w:color w:val="auto"/>
        </w:rPr>
        <w:t>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 significantly increase retention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Admissions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Enrollment</w:t>
      </w:r>
    </w:p>
    <w:p>
      <w:pPr>
        <w:spacing w:after="0" w:line="10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At September 30, 2008, we had 21,957 students enrolled in our courses, of which 19,287, or 87.8%, were enrolled in our online programs, and 2,670, or 12.2%, were enrolled in our ground programs. Of our online students, which were geographically distributed throughout all 50 states of the United States, and Canada, 91.6% were age 25 or older. Of our ground students, which, although we draw students from throughout the United States, were predominantly comprised of students from Arizona, 63.0% were age 25 or older.</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is a summary of our student enrollment at September 30, 2008 and December 31, 2007 (which included less than 100 students pursuing non-degree certificates)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920" w:type="dxa"/>
            <w:vAlign w:val="bottom"/>
            <w:gridSpan w:val="3"/>
          </w:tcPr>
          <w:p>
            <w:pPr>
              <w:jc w:val="right"/>
              <w:ind w:right="458"/>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Pr>
          <w:p>
            <w:pPr>
              <w:spacing w:after="0"/>
              <w:rPr>
                <w:sz w:val="10"/>
                <w:szCs w:val="10"/>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80" w:type="dxa"/>
            <w:vAlign w:val="bottom"/>
            <w:tcBorders>
              <w:top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74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rPr>
              <w:t># of Students</w:t>
            </w:r>
          </w:p>
        </w:tc>
        <w:tc>
          <w:tcPr>
            <w:tcW w:w="68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12,286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62.1%</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Bachelor’s</w:t>
            </w:r>
          </w:p>
        </w:tc>
        <w:tc>
          <w:tcPr>
            <w:tcW w:w="800" w:type="dxa"/>
            <w:vAlign w:val="bottom"/>
          </w:tcPr>
          <w:p>
            <w:pPr>
              <w:jc w:val="right"/>
              <w:spacing w:after="0"/>
              <w:rPr>
                <w:sz w:val="20"/>
                <w:szCs w:val="20"/>
                <w:color w:val="auto"/>
              </w:rPr>
            </w:pPr>
            <w:r>
              <w:rPr>
                <w:rFonts w:ascii="Arial" w:cs="Arial" w:eastAsia="Arial" w:hAnsi="Arial"/>
                <w:sz w:val="13"/>
                <w:szCs w:val="13"/>
                <w:color w:val="auto"/>
              </w:rPr>
              <w:t>9,671</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44.0</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37.9%</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21,957</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13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920" w:type="dxa"/>
            <w:vAlign w:val="bottom"/>
            <w:gridSpan w:val="3"/>
          </w:tcPr>
          <w:p>
            <w:pPr>
              <w:jc w:val="right"/>
              <w:ind w:right="458"/>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Pr>
          <w:p>
            <w:pPr>
              <w:spacing w:after="0"/>
              <w:rPr>
                <w:sz w:val="22"/>
                <w:szCs w:val="22"/>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380" w:type="dxa"/>
            <w:vAlign w:val="bottom"/>
            <w:tcBorders>
              <w:top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 of Students</w:t>
            </w:r>
          </w:p>
        </w:tc>
        <w:tc>
          <w:tcPr>
            <w:tcW w:w="40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147"/>
        </w:trPr>
        <w:tc>
          <w:tcPr>
            <w:tcW w:w="56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Online</w:t>
            </w:r>
          </w:p>
        </w:tc>
        <w:tc>
          <w:tcPr>
            <w:tcW w:w="11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19,287</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87.8</w:t>
            </w:r>
          </w:p>
        </w:tc>
        <w:tc>
          <w:tcPr>
            <w:tcW w:w="158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12,497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84.7%</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Ground*</w:t>
            </w:r>
          </w:p>
        </w:tc>
        <w:tc>
          <w:tcPr>
            <w:tcW w:w="800" w:type="dxa"/>
            <w:vAlign w:val="bottom"/>
          </w:tcPr>
          <w:p>
            <w:pPr>
              <w:jc w:val="right"/>
              <w:spacing w:after="0"/>
              <w:rPr>
                <w:sz w:val="20"/>
                <w:szCs w:val="20"/>
                <w:color w:val="auto"/>
              </w:rPr>
            </w:pPr>
            <w:r>
              <w:rPr>
                <w:rFonts w:ascii="Arial" w:cs="Arial" w:eastAsia="Arial" w:hAnsi="Arial"/>
                <w:sz w:val="13"/>
                <w:szCs w:val="13"/>
                <w:color w:val="auto"/>
              </w:rPr>
              <w:t>2,670</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21,957</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42"/>
        </w:numPr>
        <w:rPr>
          <w:rFonts w:ascii="Arial" w:cs="Arial" w:eastAsia="Arial" w:hAnsi="Arial"/>
          <w:sz w:val="10"/>
          <w:szCs w:val="10"/>
          <w:color w:val="auto"/>
        </w:rPr>
      </w:pPr>
      <w:r>
        <w:rPr>
          <w:rFonts w:ascii="Arial" w:cs="Arial" w:eastAsia="Arial" w:hAnsi="Arial"/>
          <w:sz w:val="10"/>
          <w:szCs w:val="10"/>
          <w:color w:val="auto"/>
        </w:rPr>
        <w:t>Includes our traditional ground students, as well as our professional studies ground students.</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Tuition and Fees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offer tuition scholarships to select students, including online students, athletes, employees, and participants in programs we offer through relationships with employers. For the years ended December 31, 2006 and 2007 and the nine months ended September 30, 2008, our revenue was reduced by approximately $8.0 million, $10.3 million, and $11.9 million, respectively, as a result of scholarships that we offered to our students.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Student Financing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students finance their education through a combination of methods, as follows: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Title IV programs. </w:t>
      </w:r>
      <w:r>
        <w:rPr>
          <w:rFonts w:ascii="Arial" w:cs="Arial" w:eastAsia="Arial" w:hAnsi="Arial"/>
          <w:sz w:val="13"/>
          <w:szCs w:val="13"/>
          <w:color w:val="auto"/>
        </w:rPr>
        <w:t>The federal government provides for grants and loans to students under the Title IV programs, and students can use those funds at any institution that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67" w:lineRule="exact"/>
        <w:rPr>
          <w:sz w:val="20"/>
          <w:szCs w:val="20"/>
          <w:color w:val="auto"/>
        </w:rPr>
      </w:pPr>
    </w:p>
    <w:p>
      <w:pPr>
        <w:ind w:left="1680" w:hanging="187"/>
        <w:spacing w:after="0" w:line="255"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FFEL. </w:t>
      </w:r>
      <w:r>
        <w:rPr>
          <w:rFonts w:ascii="Arial" w:cs="Arial" w:eastAsia="Arial" w:hAnsi="Arial"/>
          <w:sz w:val="13"/>
          <w:szCs w:val="13"/>
          <w:color w:val="auto"/>
        </w:rPr>
        <w:t>Under the FFEL Program, banks and other lending institutions make loans to students. The FFEL Program includes the Federal Stafford Loan Program, the</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5" w:lineRule="exact"/>
        <w:rPr>
          <w:rFonts w:ascii="Arial" w:cs="Arial" w:eastAsia="Arial" w:hAnsi="Arial"/>
          <w:sz w:val="13"/>
          <w:szCs w:val="13"/>
          <w:color w:val="auto"/>
        </w:rPr>
      </w:pPr>
    </w:p>
    <w:p>
      <w:pPr>
        <w:ind w:left="1680" w:right="120"/>
        <w:spacing w:after="0" w:line="276" w:lineRule="auto"/>
        <w:rPr>
          <w:rFonts w:ascii="Arial" w:cs="Arial" w:eastAsia="Arial" w:hAnsi="Arial"/>
          <w:sz w:val="13"/>
          <w:szCs w:val="13"/>
          <w:color w:val="auto"/>
        </w:rPr>
      </w:pPr>
      <w:r>
        <w:rPr>
          <w:rFonts w:ascii="Arial" w:cs="Arial" w:eastAsia="Arial" w:hAnsi="Arial"/>
          <w:sz w:val="13"/>
          <w:szCs w:val="13"/>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980" w:right="180"/>
        <w:spacing w:after="0" w:line="296" w:lineRule="auto"/>
        <w:rPr>
          <w:sz w:val="20"/>
          <w:szCs w:val="20"/>
          <w:color w:val="auto"/>
        </w:rPr>
      </w:pPr>
      <w:r>
        <w:rPr>
          <w:rFonts w:ascii="Arial" w:cs="Arial" w:eastAsia="Arial" w:hAnsi="Arial"/>
          <w:sz w:val="12"/>
          <w:szCs w:val="12"/>
          <w:color w:val="auto"/>
        </w:rPr>
        <w:t>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50" w:lineRule="exact"/>
        <w:rPr>
          <w:sz w:val="20"/>
          <w:szCs w:val="20"/>
          <w:color w:val="auto"/>
        </w:rPr>
      </w:pPr>
    </w:p>
    <w:p>
      <w:pPr>
        <w:jc w:val="both"/>
        <w:ind w:left="1680" w:hanging="187"/>
        <w:spacing w:after="0" w:line="260"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Pell. </w:t>
      </w:r>
      <w:r>
        <w:rPr>
          <w:rFonts w:ascii="Arial" w:cs="Arial" w:eastAsia="Arial" w:hAnsi="Arial"/>
          <w:sz w:val="13"/>
          <w:szCs w:val="13"/>
          <w:color w:val="auto"/>
        </w:rPr>
        <w:t>Under the Pell Program, the Department of Education makes grants to undergraduate students who demonstrate financial need. Effective July 1, 2008, the maximum</w:t>
      </w:r>
      <w:r>
        <w:rPr>
          <w:rFonts w:ascii="Arial" w:cs="Arial" w:eastAsia="Arial" w:hAnsi="Arial"/>
          <w:sz w:val="13"/>
          <w:szCs w:val="13"/>
          <w:i w:val="1"/>
          <w:iCs w:val="1"/>
          <w:color w:val="auto"/>
        </w:rPr>
        <w:t xml:space="preserve"> </w:t>
      </w:r>
      <w:r>
        <w:rPr>
          <w:rFonts w:ascii="Arial" w:cs="Arial" w:eastAsia="Arial" w:hAnsi="Arial"/>
          <w:sz w:val="13"/>
          <w:szCs w:val="13"/>
          <w:color w:val="auto"/>
        </w:rPr>
        <w:t>annual grant a student can receive under the Pell Program is $4,731. Under the August 2008 reauthorization of the Higher Education Act, students will be able for the first time to receive Pell Grant funds for attendance on a year-round basis, which means that the amount a student can receive in a given year will be more than the traditionally defined maximum annual amount.</w:t>
      </w:r>
    </w:p>
    <w:p>
      <w:pPr>
        <w:spacing w:after="0" w:line="70"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types of loans, the maximum annual loan amounts and other terms of the loans made under the Federal Direct Student Loan Program are similar to those for loans made under the FFEL Program.</w:t>
      </w:r>
    </w:p>
    <w:p>
      <w:pPr>
        <w:spacing w:after="0" w:line="5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Other financial aid programs. </w:t>
      </w:r>
      <w:r>
        <w:rPr>
          <w:rFonts w:ascii="Arial" w:cs="Arial" w:eastAsia="Arial" w:hAnsi="Arial"/>
          <w:sz w:val="13"/>
          <w:szCs w:val="13"/>
          <w:color w:val="auto"/>
        </w:rPr>
        <w:t>In addition to the Title IV programs listed above, eligible students may participate in several other financial aid programs or receive support from other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sources. These include veterans educational benefits administered by the U.S. Department of Veterans Affairs and state financial aid programs. During fiscal 2007 and the first nine months of 2008, we derived an immaterial amount of our net revenue from tuition financed by such programs.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Private loans. </w:t>
      </w:r>
      <w:r>
        <w:rPr>
          <w:rFonts w:ascii="Arial" w:cs="Arial" w:eastAsia="Arial" w:hAnsi="Arial"/>
          <w:sz w:val="13"/>
          <w:szCs w:val="13"/>
          <w:color w:val="auto"/>
        </w:rPr>
        <w:t>Some of our students also use private loan programs to help finance their education. Students can apply to a number of different lenders for private loans at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market interest rates. Private loans are intended to fund a portion of students’ cost of education not covered by the Title IV programs and other financial aid. During fiscal 2007, payments derived from private loans constituted approximately 5.1%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sources. </w:t>
      </w:r>
      <w:r>
        <w:rPr>
          <w:rFonts w:ascii="Arial" w:cs="Arial" w:eastAsia="Arial" w:hAnsi="Arial"/>
          <w:sz w:val="13"/>
          <w:szCs w:val="13"/>
          <w:color w:val="auto"/>
        </w:rPr>
        <w:t>We derived the remainder of our net revenue from tuition that is self-funded or attributable to employer tuition reimbursements.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Systems and Management</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Online course delivery and management. </w:t>
      </w:r>
      <w:r>
        <w:rPr>
          <w:rFonts w:ascii="Arial" w:cs="Arial" w:eastAsia="Arial" w:hAnsi="Arial"/>
          <w:sz w:val="12"/>
          <w:szCs w:val="12"/>
          <w:color w:val="auto"/>
        </w:rPr>
        <w:t>In 2007, we implemented the ANGEL Learning Management Suite, which is a web-based system and collaboration portal that stores,</w:t>
      </w:r>
      <w:r>
        <w:rPr>
          <w:rFonts w:ascii="Arial" w:cs="Arial" w:eastAsia="Arial" w:hAnsi="Arial"/>
          <w:sz w:val="12"/>
          <w:szCs w:val="12"/>
          <w:i w:val="1"/>
          <w:iCs w:val="1"/>
          <w:color w:val="auto"/>
        </w:rPr>
        <w:t xml:space="preserve"> </w:t>
      </w:r>
      <w:r>
        <w:rPr>
          <w:rFonts w:ascii="Arial" w:cs="Arial" w:eastAsia="Arial" w:hAnsi="Arial"/>
          <w:sz w:val="12"/>
          <w:szCs w:val="12"/>
          <w:color w:val="auto"/>
        </w:rPr>
        <w:t>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began for selected courses in the fall of 2008.</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Internal administration. </w:t>
      </w:r>
      <w:r>
        <w:rPr>
          <w:rFonts w:ascii="Arial" w:cs="Arial" w:eastAsia="Arial" w:hAnsi="Arial"/>
          <w:sz w:val="13"/>
          <w:szCs w:val="13"/>
          <w:color w:val="auto"/>
        </w:rPr>
        <w:t>We utilize a commercial customer relations management package to distribute, manage, track, and report on all prospective student leads developed, both</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and externally. We also utilize a commercial software package to track Title IV funds, student records, grades, accounts receivable,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accounts payable. Each of these packages is scalable to capacity levels well in excess of current requirements.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Infrastructure. </w:t>
      </w:r>
      <w:r>
        <w:rPr>
          <w:rFonts w:ascii="Arial" w:cs="Arial" w:eastAsia="Arial" w:hAnsi="Arial"/>
          <w:sz w:val="13"/>
          <w:szCs w:val="13"/>
          <w:color w:val="auto"/>
        </w:rPr>
        <w:t>We operate two data centers, one at our campus and one at a third party co-location facility. All of our servers are networked and we have redundant data backup. We</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Ground Campus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67"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20" w:lineRule="exact"/>
        <w:rPr>
          <w:sz w:val="20"/>
          <w:szCs w:val="20"/>
          <w:color w:val="auto"/>
        </w:rPr>
      </w:pPr>
    </w:p>
    <w:p>
      <w:pPr>
        <w:ind w:left="680" w:right="440" w:firstLine="399"/>
        <w:spacing w:after="0" w:line="296" w:lineRule="auto"/>
        <w:rPr>
          <w:sz w:val="20"/>
          <w:szCs w:val="20"/>
          <w:color w:val="auto"/>
        </w:rPr>
      </w:pPr>
      <w:r>
        <w:rPr>
          <w:rFonts w:ascii="Arial" w:cs="Arial" w:eastAsia="Arial" w:hAnsi="Arial"/>
          <w:sz w:val="12"/>
          <w:szCs w:val="12"/>
          <w:color w:val="auto"/>
        </w:rPr>
        <w:t>In addition to our faculty, as of September 30, 2008, we employed 1,121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2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University, University of Phoenix, and Walden University. In addition, many public and private schools, colleges, and universities, including most major colleges and universities, offer online programs.</w:t>
      </w:r>
    </w:p>
    <w:p>
      <w:pPr>
        <w:spacing w:after="0" w:line="8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competitive factors in the postsecondary education market include:</w:t>
      </w:r>
    </w:p>
    <w:p>
      <w:pPr>
        <w:spacing w:after="0" w:line="116" w:lineRule="exact"/>
        <w:rPr>
          <w:sz w:val="20"/>
          <w:szCs w:val="20"/>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availability of career-oriented and accredited program offerings;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types of degrees offered and marketability of those degrees;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reputation, regulatory approvals, and compliance history of the school;</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convenient, flexible and dependable access to programs and classes;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qualified and experienced faculty;</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level of student support services;</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cost of the program;</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marketing and selling effectiveness; and</w:t>
      </w:r>
    </w:p>
    <w:p>
      <w:pPr>
        <w:spacing w:after="0" w:line="10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time necessary to earn a degree.</w:t>
      </w:r>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w:t>
      </w:r>
    </w:p>
    <w:p>
      <w:pPr>
        <w:spacing w:after="0" w:line="12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and have plans to add up to three additional facilities during the next six months.</w:t>
      </w:r>
    </w:p>
    <w:p>
      <w:pPr>
        <w:spacing w:after="0" w:line="2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2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9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3"/>
          <w:szCs w:val="13"/>
          <w:u w:val="single" w:color="auto"/>
          <w:color w:val="auto"/>
        </w:rPr>
        <w:t>www.gcu.edu</w:t>
      </w:r>
      <w:r>
        <w:rPr>
          <w:rFonts w:ascii="Arial" w:cs="Arial" w:eastAsia="Arial" w:hAnsi="Arial"/>
          <w:sz w:val="13"/>
          <w:szCs w:val="13"/>
          <w:color w:val="auto"/>
        </w:rPr>
        <w:t>,” as well as other words and phrases important to our business.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28, 2007, we filed a complaint against SunGard Higher Education Managed Services, Inc. in the Maricopa County Superior Court, Case No. CV2007-003492, for breach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contract, breach of implied covenant of good faith and fair dealing, breach of warranty, breach of fiduciary duty, tortious interference with business expectancy, unjust enrichment,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consumer fraud related to a technology services agreement between the parties. In response, SunGard moved to stay the litigation and compel arbitration. The court granted the motion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stay, and compelled the parties to arbitrate. SunGard has also counterclaimed alleging breach of contract relating to the parties’ technology services agreement. Following discovery,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arbitration occurred in late May 2008 and final arguments were heard in July 2008. We sought approximately $1.4 million from SunGard, and SunGard counterclaimed for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$2.5 million. On October 22, 2008, the arbitration panel awarded SunGard net damages in the amount of approximately $250,000 plus interest. We will also be responsible for paying a share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related arbitration expenses.</w:t>
      </w:r>
    </w:p>
    <w:p>
      <w:pPr>
        <w:spacing w:after="0" w:line="11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“Regulation — Regulation of Federal Student Financial Aid Programs — Incentive compensation rule.” We are cooperating with the Office of Inspector General to facilitate its investigation, but cannot presently predict the ultimate outcome of the investigation or any liability or other sanctions that may result.</w:t>
      </w:r>
    </w:p>
    <w:p>
      <w:pPr>
        <w:spacing w:after="0" w:line="8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in respect of non-cash awards, are not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A number of similar lawsuits have been filed in recent years against educational institutions that receive Title IV funds. We plan to file our first responsive pleading on November 4, 2008 and to contest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complaint vigorously.</w:t>
      </w:r>
    </w:p>
    <w:p>
      <w:pPr>
        <w:spacing w:after="0" w:line="94"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If it were determined that any of our compensation practices violated the incentive compensation law, we could experience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case or any liability or other sanctions that may result. It is possible that, during the course of the litigation, other information may be discovered that would adversely affect the outcome of the litigation.</w:t>
      </w:r>
    </w:p>
    <w:p>
      <w:pPr>
        <w:spacing w:after="0" w:line="9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which we refer to in this prospectus as the Title IV programs. The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We believe we are licensed or authorized in those jurisdictions where a license or authorization is currently required, and we do not believe that any of the states in which we are currently licensed or authorized, other than Arizona, are individually material to our operations. Nevertheless, because we enroll students in all 50 states and the District of Columbia, we expect that other state regulatory authorities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50" w:lineRule="exact"/>
        <w:rPr>
          <w:sz w:val="20"/>
          <w:szCs w:val="20"/>
          <w:color w:val="auto"/>
        </w:rPr>
      </w:pPr>
    </w:p>
    <w:p>
      <w:pPr>
        <w:ind w:left="1680" w:right="360" w:hanging="187"/>
        <w:spacing w:after="0" w:line="27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i w:val="1"/>
          <w:iCs w:val="1"/>
          <w:color w:val="auto"/>
        </w:rPr>
        <w:t xml:space="preserve">Eligibility and certification procedures. </w:t>
      </w:r>
      <w:r>
        <w:rPr>
          <w:rFonts w:ascii="Arial" w:cs="Arial" w:eastAsia="Arial" w:hAnsi="Arial"/>
          <w:sz w:val="13"/>
          <w:szCs w:val="13"/>
          <w:color w:val="auto"/>
        </w:rPr>
        <w:t>Each institution must apply periodically to the Department of Education for continued certification to participate in the Title IV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or make other significant changes in our operations. With the exception of our newly instituted doctoral program in education, which is accredited but not yet eligible for Title IV funding and which is immaterial to our operations, we do not have any plans to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6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47"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57" w:lineRule="exact"/>
        <w:rPr>
          <w:sz w:val="20"/>
          <w:szCs w:val="20"/>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we are found not to have satisfied the Department of Education’s administrative capability requirements, our students could lose, or be limited in their access to, Title IV program funding.</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55"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6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The “90/10 Rule.” </w:t>
      </w:r>
      <w:r>
        <w:rPr>
          <w:rFonts w:ascii="Arial" w:cs="Arial" w:eastAsia="Arial" w:hAnsi="Arial"/>
          <w:sz w:val="13"/>
          <w:szCs w:val="13"/>
          <w:color w:val="auto"/>
        </w:rPr>
        <w:t>A requirement of the Higher Education Act commonly referred to as the “90/10 Rule” provides that an institution loses its eligibility to participate in the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our students’ employment circumstances could also increase their reliance on Title IV programs.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6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Student loan defaults. </w:t>
      </w:r>
      <w:r>
        <w:rPr>
          <w:rFonts w:ascii="Arial" w:cs="Arial" w:eastAsia="Arial" w:hAnsi="Arial"/>
          <w:sz w:val="13"/>
          <w:szCs w:val="13"/>
          <w:color w:val="auto"/>
        </w:rPr>
        <w:t>Under the Higher Education Act, an educational institution may lose its eligibility to participate in some or all of the Title IV programs if defaults by its</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2004, 2005, and 2006 federal fiscal years, the three most recent years for which such rates have been calculated, were 1.4%, 1.8%, and 1.6%, respectively.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6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If our students begin taking out loans under the Federal Direct Student Loan Program, those loans will be combined with our students’ FFEL loans in calculating our annual student loan cohort default rate. In such case, the potential sanctions discussed in this section would be tested based on the combined cohort default 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i w:val="1"/>
          <w:iCs w:val="1"/>
          <w:color w:val="auto"/>
        </w:rPr>
        <w:t xml:space="preserve">Incentive compensation rule. </w:t>
      </w:r>
      <w:r>
        <w:rPr>
          <w:rFonts w:ascii="Arial" w:cs="Arial" w:eastAsia="Arial" w:hAnsi="Arial"/>
          <w:sz w:val="12"/>
          <w:szCs w:val="12"/>
          <w:color w:val="auto"/>
        </w:rPr>
        <w:t>An institution that participates in the Title IV programs may not provide any commission, bonus, or other incentive payment based directly or indirectly</w:t>
      </w:r>
      <w:r>
        <w:rPr>
          <w:rFonts w:ascii="Arial" w:cs="Arial" w:eastAsia="Arial" w:hAnsi="Arial"/>
          <w:sz w:val="12"/>
          <w:szCs w:val="12"/>
          <w:i w:val="1"/>
          <w:iCs w:val="1"/>
          <w:color w:val="auto"/>
        </w:rPr>
        <w:t xml:space="preserve"> </w:t>
      </w:r>
      <w:r>
        <w:rPr>
          <w:rFonts w:ascii="Arial" w:cs="Arial" w:eastAsia="Arial" w:hAnsi="Arial"/>
          <w:sz w:val="12"/>
          <w:szCs w:val="12"/>
          <w:color w:val="auto"/>
        </w:rPr>
        <w:t>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63"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 xml:space="preserve">In this regard, on September 11, 2008, we were served with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In our case,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lawsuit was initially filed under seal in 2007 and was unsealed and served on us following the government’s decision not to intervene at this time.</w:t>
      </w:r>
    </w:p>
    <w:p>
      <w:pPr>
        <w:spacing w:after="0" w:line="5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compensation based on success in securing enrollments or financial aid. 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We are cooperating with the Office of Inspector General to facilitate its investigation and are currently reviewing documents and emails that may be responsive to the Office of Inspector General’s subpoena.</w:t>
      </w:r>
    </w:p>
    <w:p>
      <w:pPr>
        <w:spacing w:after="0" w:line="60" w:lineRule="exact"/>
        <w:rPr>
          <w:sz w:val="20"/>
          <w:szCs w:val="20"/>
          <w:color w:val="auto"/>
        </w:rPr>
      </w:pPr>
    </w:p>
    <w:p>
      <w:pPr>
        <w:jc w:val="both"/>
        <w:ind w:left="680" w:right="340" w:firstLine="399"/>
        <w:spacing w:after="0" w:line="296" w:lineRule="auto"/>
        <w:rPr>
          <w:sz w:val="20"/>
          <w:szCs w:val="20"/>
          <w:color w:val="auto"/>
        </w:rPr>
      </w:pPr>
      <w:r>
        <w:rPr>
          <w:rFonts w:ascii="Arial" w:cs="Arial" w:eastAsia="Arial" w:hAnsi="Arial"/>
          <w:sz w:val="12"/>
          <w:szCs w:val="12"/>
          <w:color w:val="auto"/>
        </w:rPr>
        <w:t xml:space="preserve">Any fine or other sanction resulting from the Department of Education investigation or otherwise, or any monetary liability resulting from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or the Office of Inspector General investigation or any liability or other sanctions that might result.</w:t>
      </w:r>
    </w:p>
    <w:p>
      <w:pPr>
        <w:spacing w:after="0" w:line="5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i w:val="1"/>
          <w:iCs w:val="1"/>
          <w:color w:val="auto"/>
        </w:rPr>
        <w:t xml:space="preserve">Privacy of student records. </w:t>
      </w:r>
      <w:r>
        <w:rPr>
          <w:rFonts w:ascii="Arial" w:cs="Arial" w:eastAsia="Arial" w:hAnsi="Arial"/>
          <w:sz w:val="12"/>
          <w:szCs w:val="12"/>
          <w:color w:val="auto"/>
        </w:rPr>
        <w:t>The Family Educational Rights and Privacy Act of 1974, or FERPA, and the Department of Education’s FERPA regulations require educational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6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Potential effect of regulatory violations. </w:t>
      </w:r>
      <w:r>
        <w:rPr>
          <w:rFonts w:ascii="Arial" w:cs="Arial" w:eastAsia="Arial" w:hAnsi="Arial"/>
          <w:sz w:val="13"/>
          <w:szCs w:val="13"/>
          <w:color w:val="auto"/>
        </w:rPr>
        <w:t>If we fail to comply with the regulatory standards governing the Title IV programs, the Department of Education could impose one or more</w:t>
      </w:r>
      <w:r>
        <w:rPr>
          <w:rFonts w:ascii="Arial" w:cs="Arial" w:eastAsia="Arial" w:hAnsi="Arial"/>
          <w:sz w:val="13"/>
          <w:szCs w:val="13"/>
          <w:i w:val="1"/>
          <w:iCs w:val="1"/>
          <w:color w:val="auto"/>
        </w:rPr>
        <w:t xml:space="preserve"> </w:t>
      </w:r>
      <w:r>
        <w:rPr>
          <w:rFonts w:ascii="Arial" w:cs="Arial" w:eastAsia="Arial" w:hAnsi="Arial"/>
          <w:sz w:val="13"/>
          <w:szCs w:val="13"/>
          <w:color w:val="auto"/>
        </w:rPr>
        <w:t>sanctions, including transferring us to the reimbursement or cash monitoring system of payment, requiring us to repay Title IV program funds,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2" w:lineRule="auto"/>
        <w:rPr>
          <w:sz w:val="20"/>
          <w:szCs w:val="20"/>
          <w:color w:val="auto"/>
        </w:rPr>
      </w:pPr>
      <w:r>
        <w:rPr>
          <w:rFonts w:ascii="Arial" w:cs="Arial" w:eastAsia="Arial" w:hAnsi="Arial"/>
          <w:sz w:val="12"/>
          <w:szCs w:val="12"/>
          <w:color w:val="auto"/>
        </w:rPr>
        <w:t>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i w:val="1"/>
          <w:iCs w:val="1"/>
          <w:color w:val="auto"/>
        </w:rPr>
        <w:t xml:space="preserve">Uncertainties, increased oversight, and changes in student loan environment. </w:t>
      </w:r>
      <w:r>
        <w:rPr>
          <w:rFonts w:ascii="Arial" w:cs="Arial" w:eastAsia="Arial" w:hAnsi="Arial"/>
          <w:sz w:val="11"/>
          <w:szCs w:val="11"/>
          <w:color w:val="auto"/>
        </w:rPr>
        <w:t>During 2007 and 2008, student loan programs, including the Title IV programs, have come under</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review will be.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208"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cumulative impact of these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20" w:lineRule="exact"/>
        <w:rPr>
          <w:sz w:val="20"/>
          <w:szCs w:val="20"/>
          <w:color w:val="auto"/>
        </w:rPr>
      </w:pPr>
    </w:p>
    <w:p>
      <w:pPr>
        <w:ind w:left="1680" w:right="80" w:hanging="187"/>
        <w:spacing w:after="0" w:line="27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jc w:val="both"/>
        <w:ind w:left="680" w:right="60"/>
        <w:spacing w:after="0" w:line="303" w:lineRule="auto"/>
        <w:rPr>
          <w:sz w:val="20"/>
          <w:szCs w:val="20"/>
          <w:color w:val="auto"/>
        </w:rPr>
      </w:pPr>
      <w:r>
        <w:rPr>
          <w:rFonts w:ascii="Arial" w:cs="Arial" w:eastAsia="Arial" w:hAnsi="Arial"/>
          <w:sz w:val="11"/>
          <w:szCs w:val="11"/>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jc w:val="both"/>
        <w:ind w:left="680" w:right="80"/>
        <w:spacing w:after="0" w:line="258" w:lineRule="auto"/>
        <w:rPr>
          <w:sz w:val="20"/>
          <w:szCs w:val="20"/>
          <w:color w:val="auto"/>
        </w:rPr>
      </w:pPr>
      <w:r>
        <w:rPr>
          <w:rFonts w:ascii="Arial" w:cs="Arial" w:eastAsia="Arial" w:hAnsi="Arial"/>
          <w:sz w:val="13"/>
          <w:szCs w:val="13"/>
          <w:color w:val="auto"/>
        </w:rPr>
        <w:t>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i w:val="1"/>
          <w:iCs w:val="1"/>
          <w:color w:val="auto"/>
        </w:rPr>
        <w:t xml:space="preserve">Acquiring other schools. </w:t>
      </w:r>
      <w:r>
        <w:rPr>
          <w:rFonts w:ascii="Arial" w:cs="Arial" w:eastAsia="Arial" w:hAnsi="Arial"/>
          <w:sz w:val="12"/>
          <w:szCs w:val="12"/>
          <w:color w:val="auto"/>
        </w:rPr>
        <w:t>While we have not acquired any other schools in the past, we may seek to do so in the future. The Department of Education and virtually all state education</w:t>
      </w:r>
      <w:r>
        <w:rPr>
          <w:rFonts w:ascii="Arial" w:cs="Arial" w:eastAsia="Arial" w:hAnsi="Arial"/>
          <w:sz w:val="12"/>
          <w:szCs w:val="12"/>
          <w:i w:val="1"/>
          <w:iCs w:val="1"/>
          <w:color w:val="auto"/>
        </w:rPr>
        <w:t xml:space="preserve"> </w:t>
      </w:r>
      <w:r>
        <w:rPr>
          <w:rFonts w:ascii="Arial" w:cs="Arial" w:eastAsia="Arial" w:hAnsi="Arial"/>
          <w:sz w:val="12"/>
          <w:szCs w:val="12"/>
          <w:color w:val="auto"/>
        </w:rPr>
        <w:t>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is pending, or at all, or that it will not impose restrictions as a condition of approving our pending recertification application or with respect to any future recertification.</w:t>
      </w:r>
    </w:p>
    <w:p>
      <w:pPr>
        <w:spacing w:after="0" w:line="7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i w:val="1"/>
          <w:iCs w:val="1"/>
          <w:color w:val="auto"/>
        </w:rPr>
        <w:t xml:space="preserve">Change in ownership resulting in a change in control. </w:t>
      </w:r>
      <w:r>
        <w:rPr>
          <w:rFonts w:ascii="Arial" w:cs="Arial" w:eastAsia="Arial" w:hAnsi="Arial"/>
          <w:sz w:val="13"/>
          <w:szCs w:val="13"/>
          <w:color w:val="auto"/>
        </w:rPr>
        <w:t>Many states and accrediting commissions require institutions of higher education to report or obtain approval of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control and changes in other 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59"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Postsecondary Education will impose any limitations or conditions on us, or identify any compliance issues related to us in the context of the change in control process, that could result in our loss of accreditation or authorization by such agency, as applicable. Any failure to comply with the requirements of either the Higher Learning Commission or the Arizona State Board for Private Postsecondary Education, or a failure to obtain their approval of the change in control, could result in our loss of accreditation or authorization by such agency, as applicable, which, in turn, would result in our loss of eligibility to participate in the Title IV programs and cause a significant decline in our student enrollments.</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also notified other accrediting commissions and state agencies, as we believed necessary, of this offering and the reasons why we believe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according to its procedures or suspend offering the applicable programs or suspend our activities in that state until we receive the required approval.</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our executive officers, directors, and director-nominees.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64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620" w:type="dxa"/>
            <w:vAlign w:val="bottom"/>
          </w:tcPr>
          <w:p>
            <w:pPr>
              <w:jc w:val="right"/>
              <w:ind w:right="95"/>
              <w:spacing w:after="0"/>
              <w:rPr>
                <w:sz w:val="20"/>
                <w:szCs w:val="20"/>
                <w:color w:val="auto"/>
              </w:rPr>
            </w:pPr>
            <w:r>
              <w:rPr>
                <w:rFonts w:ascii="Arial" w:cs="Arial" w:eastAsia="Arial" w:hAnsi="Arial"/>
                <w:sz w:val="10"/>
                <w:szCs w:val="10"/>
                <w:b w:val="1"/>
                <w:bCs w:val="1"/>
                <w:color w:val="auto"/>
              </w:rPr>
              <w:t>Age</w:t>
            </w:r>
          </w:p>
        </w:tc>
        <w:tc>
          <w:tcPr>
            <w:tcW w:w="3720" w:type="dxa"/>
            <w:vAlign w:val="bottom"/>
          </w:tcPr>
          <w:p>
            <w:pPr>
              <w:ind w:left="1920"/>
              <w:spacing w:after="0"/>
              <w:rPr>
                <w:sz w:val="20"/>
                <w:szCs w:val="20"/>
                <w:color w:val="auto"/>
              </w:rPr>
            </w:pPr>
            <w:r>
              <w:rPr>
                <w:rFonts w:ascii="Arial" w:cs="Arial" w:eastAsia="Arial" w:hAnsi="Arial"/>
                <w:sz w:val="10"/>
                <w:szCs w:val="10"/>
                <w:b w:val="1"/>
                <w:bCs w:val="1"/>
                <w:color w:val="auto"/>
              </w:rPr>
              <w:t>Position</w:t>
            </w:r>
          </w:p>
        </w:tc>
      </w:tr>
      <w:tr>
        <w:trPr>
          <w:trHeight w:val="49"/>
        </w:trPr>
        <w:tc>
          <w:tcPr>
            <w:tcW w:w="36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Chairman</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Brian E. Mueller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55</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Executive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John E. Crowley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52</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Operating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36</w:t>
            </w:r>
          </w:p>
        </w:tc>
        <w:tc>
          <w:tcPr>
            <w:tcW w:w="3720" w:type="dxa"/>
            <w:vAlign w:val="bottom"/>
          </w:tcPr>
          <w:p>
            <w:pPr>
              <w:ind w:left="140"/>
              <w:spacing w:after="0"/>
              <w:rPr>
                <w:sz w:val="20"/>
                <w:szCs w:val="20"/>
                <w:color w:val="auto"/>
              </w:rPr>
            </w:pPr>
            <w:r>
              <w:rPr>
                <w:rFonts w:ascii="Arial" w:cs="Arial" w:eastAsia="Arial" w:hAnsi="Arial"/>
                <w:sz w:val="13"/>
                <w:szCs w:val="13"/>
                <w:color w:val="auto"/>
              </w:rPr>
              <w:t>General Counsel and 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Daniel E. Bachus</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W. Stan Meyer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Timothy R. Fischer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59</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Administrative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Michael S. Lacrosse</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53</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Information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Grand Canyon University President</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Chad N. Heath</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David J. Johnson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62</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Director-Nominee</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65</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-1329055</wp:posOffset>
            </wp:positionV>
            <wp:extent cx="1841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i w:val="1"/>
          <w:iCs w:val="1"/>
          <w:color w:val="auto"/>
        </w:rPr>
        <w:t xml:space="preserve">Brent D. Richardson </w:t>
      </w:r>
      <w:r>
        <w:rPr>
          <w:rFonts w:ascii="Arial" w:cs="Arial" w:eastAsia="Arial" w:hAnsi="Arial"/>
          <w:sz w:val="11"/>
          <w:szCs w:val="11"/>
          <w:color w:val="auto"/>
        </w:rPr>
        <w:t>has been serving as our Executive Chairman since July 1, 2008. Mr. Richardson previously served as our Chief Executive Officer from 2004 to July 2008. From</w:t>
      </w:r>
      <w:r>
        <w:rPr>
          <w:rFonts w:ascii="Arial" w:cs="Arial" w:eastAsia="Arial" w:hAnsi="Arial"/>
          <w:sz w:val="11"/>
          <w:szCs w:val="11"/>
          <w:i w:val="1"/>
          <w:iCs w:val="1"/>
          <w:color w:val="auto"/>
        </w:rPr>
        <w:t xml:space="preserve"> </w:t>
      </w:r>
      <w:r>
        <w:rPr>
          <w:rFonts w:ascii="Arial" w:cs="Arial" w:eastAsia="Arial" w:hAnsi="Arial"/>
          <w:sz w:val="11"/>
          <w:szCs w:val="11"/>
          <w:color w:val="auto"/>
        </w:rPr>
        <w:t>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Richardson earned his Bachelor of Science degree in Finance from Eastern Illinois University. Brent Richardson and Chris Richardson are brothers.</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Brian E. Mueller </w:t>
      </w:r>
      <w:r>
        <w:rPr>
          <w:rFonts w:ascii="Arial" w:cs="Arial" w:eastAsia="Arial" w:hAnsi="Arial"/>
          <w:sz w:val="13"/>
          <w:szCs w:val="13"/>
          <w:color w:val="auto"/>
        </w:rPr>
        <w:t>has been serving as our Chief Executive Officer since July 1, 2008. From 1987 to 2008, Mr. Mueller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John E. Crowley </w:t>
      </w:r>
      <w:r>
        <w:rPr>
          <w:rFonts w:ascii="Arial" w:cs="Arial" w:eastAsia="Arial" w:hAnsi="Arial"/>
          <w:sz w:val="13"/>
          <w:szCs w:val="13"/>
          <w:color w:val="auto"/>
        </w:rPr>
        <w:t>has been serving as our Chief Operating Officer since 2004. Prior to 2004, Mr. Crowley served as the President of Educational Resources, a national distributor of</w:t>
      </w:r>
      <w:r>
        <w:rPr>
          <w:rFonts w:ascii="Arial" w:cs="Arial" w:eastAsia="Arial" w:hAnsi="Arial"/>
          <w:sz w:val="13"/>
          <w:szCs w:val="13"/>
          <w:i w:val="1"/>
          <w:iCs w:val="1"/>
          <w:color w:val="auto"/>
        </w:rPr>
        <w:t xml:space="preserve"> </w:t>
      </w:r>
      <w:r>
        <w:rPr>
          <w:rFonts w:ascii="Arial" w:cs="Arial" w:eastAsia="Arial" w:hAnsi="Arial"/>
          <w:sz w:val="13"/>
          <w:szCs w:val="13"/>
          <w:color w:val="auto"/>
        </w:rPr>
        <w:t>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Christopher C. Richardson </w:t>
      </w:r>
      <w:r>
        <w:rPr>
          <w:rFonts w:ascii="Arial" w:cs="Arial" w:eastAsia="Arial" w:hAnsi="Arial"/>
          <w:sz w:val="12"/>
          <w:szCs w:val="12"/>
          <w:color w:val="auto"/>
        </w:rPr>
        <w:t>has been serving as our General Counsel since 2007 and as a director since 2004. From 2004 to 2007, Mr. Richardson served as legal counsel in our Office</w:t>
      </w:r>
      <w:r>
        <w:rPr>
          <w:rFonts w:ascii="Arial" w:cs="Arial" w:eastAsia="Arial" w:hAnsi="Arial"/>
          <w:sz w:val="12"/>
          <w:szCs w:val="12"/>
          <w:i w:val="1"/>
          <w:iCs w:val="1"/>
          <w:color w:val="auto"/>
        </w:rPr>
        <w:t xml:space="preserve"> </w:t>
      </w:r>
      <w:r>
        <w:rPr>
          <w:rFonts w:ascii="Arial" w:cs="Arial" w:eastAsia="Arial" w:hAnsi="Arial"/>
          <w:sz w:val="12"/>
          <w:szCs w:val="12"/>
          <w:color w:val="auto"/>
        </w:rPr>
        <w:t>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University, and Juris Doctor from the University of Arizona College of Law, where he graduated summa cum laude. Brent Richardson and Chris Richardson are brothers.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Daniel E. Bachus </w:t>
      </w:r>
      <w:r>
        <w:rPr>
          <w:rFonts w:ascii="Arial" w:cs="Arial" w:eastAsia="Arial" w:hAnsi="Arial"/>
          <w:sz w:val="13"/>
          <w:szCs w:val="13"/>
          <w:color w:val="auto"/>
        </w:rPr>
        <w:t>has been serving as our Chief Financial Officer since July 1, 2008. From January 2007 until June 2008, Mr. Bachus served as chief financial officer for Loreto Bay</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 Stan Meyer </w:t>
      </w:r>
      <w:r>
        <w:rPr>
          <w:rFonts w:ascii="Arial" w:cs="Arial" w:eastAsia="Arial" w:hAnsi="Arial"/>
          <w:sz w:val="13"/>
          <w:szCs w:val="13"/>
          <w:color w:val="auto"/>
        </w:rPr>
        <w:t>has been serving as our Executive Vice President since July 1, 2008. From August 2002 to June 2008, Mr. Meyer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Timothy R. Fischer </w:t>
      </w:r>
      <w:r>
        <w:rPr>
          <w:rFonts w:ascii="Arial" w:cs="Arial" w:eastAsia="Arial" w:hAnsi="Arial"/>
          <w:sz w:val="13"/>
          <w:szCs w:val="13"/>
          <w:color w:val="auto"/>
        </w:rPr>
        <w:t>has been serving as our Chief Administrative Officer since July 1, 2008. Mr. Fischer previously served as our Chief Financial Officer from 2005 until July 2008.</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Michael S. Lacrosse </w:t>
      </w:r>
      <w:r>
        <w:rPr>
          <w:rFonts w:ascii="Arial" w:cs="Arial" w:eastAsia="Arial" w:hAnsi="Arial"/>
          <w:sz w:val="13"/>
          <w:szCs w:val="13"/>
          <w:color w:val="auto"/>
        </w:rPr>
        <w:t>has been serving as our Chief Information Officer since August 2006. From February 2001 to August 2006, Mr. Lacrosse served as chief information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Dr. Kathy Player </w:t>
      </w:r>
      <w:r>
        <w:rPr>
          <w:rFonts w:ascii="Arial" w:cs="Arial" w:eastAsia="Arial" w:hAnsi="Arial"/>
          <w:sz w:val="13"/>
          <w:szCs w:val="13"/>
          <w:color w:val="auto"/>
        </w:rPr>
        <w:t>has been serving as Grand Canyon University President since July 31, 2008. From 2007 to July 2008 she served as our Provost and Chief Academic Officer. From</w:t>
      </w:r>
      <w:r>
        <w:rPr>
          <w:rFonts w:ascii="Arial" w:cs="Arial" w:eastAsia="Arial" w:hAnsi="Arial"/>
          <w:sz w:val="13"/>
          <w:szCs w:val="13"/>
          <w:i w:val="1"/>
          <w:iCs w:val="1"/>
          <w:color w:val="auto"/>
        </w:rPr>
        <w:t xml:space="preserve"> </w:t>
      </w:r>
      <w:r>
        <w:rPr>
          <w:rFonts w:ascii="Arial" w:cs="Arial" w:eastAsia="Arial" w:hAnsi="Arial"/>
          <w:sz w:val="13"/>
          <w:szCs w:val="13"/>
          <w:color w:val="auto"/>
        </w:rPr>
        <w:t>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Chad N. Heath </w:t>
      </w:r>
      <w:r>
        <w:rPr>
          <w:rFonts w:ascii="Arial" w:cs="Arial" w:eastAsia="Arial" w:hAnsi="Arial"/>
          <w:sz w:val="13"/>
          <w:szCs w:val="13"/>
          <w:color w:val="auto"/>
        </w:rPr>
        <w:t>has been serving as a director of Grand Canyon University since 2005. Mr. Heath is a managing director of Endeavour Capital, a private equity firm based in Portland,</w:t>
      </w:r>
      <w:r>
        <w:rPr>
          <w:rFonts w:ascii="Arial" w:cs="Arial" w:eastAsia="Arial" w:hAnsi="Arial"/>
          <w:sz w:val="13"/>
          <w:szCs w:val="13"/>
          <w:i w:val="1"/>
          <w:iCs w:val="1"/>
          <w:color w:val="auto"/>
        </w:rPr>
        <w:t xml:space="preserve"> </w:t>
      </w:r>
      <w:r>
        <w:rPr>
          <w:rFonts w:ascii="Arial" w:cs="Arial" w:eastAsia="Arial" w:hAnsi="Arial"/>
          <w:sz w:val="13"/>
          <w:szCs w:val="13"/>
          <w:color w:val="auto"/>
        </w:rPr>
        <w:t>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 Mark Dorman </w:t>
      </w:r>
      <w:r>
        <w:rPr>
          <w:rFonts w:ascii="Arial" w:cs="Arial" w:eastAsia="Arial" w:hAnsi="Arial"/>
          <w:sz w:val="13"/>
          <w:szCs w:val="13"/>
          <w:color w:val="auto"/>
        </w:rPr>
        <w:t>has been serving as a director of Grand Canyon University since 2005. Mr. Dorman is a managing director of Endeavour Capital. Prior to joining Endeavour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David J. Johnson </w:t>
      </w:r>
      <w:r>
        <w:rPr>
          <w:rFonts w:ascii="Arial" w:cs="Arial" w:eastAsia="Arial" w:hAnsi="Arial"/>
          <w:sz w:val="13"/>
          <w:szCs w:val="13"/>
          <w:color w:val="auto"/>
        </w:rPr>
        <w:t>has been nominated and has agreed to serve as a member of our board of directors effective upon the closing of the offering. From 1997 to 2006, Mr. Johnson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3"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Jack A. Henry </w:t>
      </w:r>
      <w:r>
        <w:rPr>
          <w:rFonts w:ascii="Arial" w:cs="Arial" w:eastAsia="Arial" w:hAnsi="Arial"/>
          <w:sz w:val="12"/>
          <w:szCs w:val="12"/>
          <w:color w:val="auto"/>
        </w:rPr>
        <w:t>has been nominated and has agreed to serve as a member of our board of directors effective upon the closing of the offering. Mr. Henry began his career with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Brent Richardson and Chris Richardson, who are brothers, there are no family relationships among any of our directors or executive officers.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conjunction with the hiring of our new management team, we anticipate that John E. Crowley, our Chief Operating Officer, will transition out of his role with us within the next 12 months in order to pursue other interests.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Apollo Group, Inc. and certain of its current and former officers and directors, including Messrs. Mueller and Bachus, are named as defendants in various litigation matters arising out of alleged misconduct in connection with Apollo’s stock option grant practices and related financial statement reporting. As disclosed in Apollo Group’s most recent Annual Report on Form 10-K, one of these cases, a derivative action, has been settled. A securities class action arising from substantially the same facts and allegations is ongoing. In addition to the litigation in connection with the stock grant process, Mr. Bachus was also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has been appealed. Mr. Bachus also was originally named as a defendant in a related, ongoing derivative action, but was not named in the current, amended complaint in that action.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director does not have a relationship which, in the opinion of our board of directors, would interfere with the exercise of independent judgment by the director in carrying out the responsibilities of a director.</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 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w:t>
      </w:r>
    </w:p>
    <w:p>
      <w:pPr>
        <w:spacing w:after="0" w:line="1" w:lineRule="exact"/>
        <w:rPr>
          <w:sz w:val="20"/>
          <w:szCs w:val="20"/>
          <w:color w:val="auto"/>
        </w:rPr>
      </w:pPr>
    </w:p>
    <w:p>
      <w:pPr>
        <w:ind w:left="680" w:right="240"/>
        <w:spacing w:after="0" w:line="307" w:lineRule="auto"/>
        <w:rPr>
          <w:sz w:val="20"/>
          <w:szCs w:val="20"/>
          <w:color w:val="auto"/>
        </w:rPr>
      </w:pPr>
      <w:r>
        <w:rPr>
          <w:rFonts w:ascii="Arial" w:cs="Arial" w:eastAsia="Arial" w:hAnsi="Arial"/>
          <w:sz w:val="12"/>
          <w:szCs w:val="12"/>
          <w:color w:val="auto"/>
        </w:rPr>
        <w:t>Messrs. Dorman and Heath and the Endeavour Entities will positively align their interests with those of our public stockholders, our board of directors has affirmatively determined (with Messrs. Dorman and Heath abstaining) that, in its judgment, Messrs. Dorman and Heath meet the applicable independence standards established by the Nasdaq Stock Market.</w:t>
      </w:r>
    </w:p>
    <w:p>
      <w:pPr>
        <w:spacing w:after="0" w:line="4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each annual meeting, our stockholders elect our full board of directors. Directors may be removed at any time for cause by the affirmative vote of the holders of a majority of the voting power then entitled to vote.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will consist of Messrs. Henry (chair) and Johnson, each of whom will be “independent,” as defined under and required by the rules of Nasdaq</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will consist of Messrs. Johnson (chair), Heath, and Dorman, each of whom is or will be “independent,” as defined under and</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will consist of Messrs. Heath (chair) and Dorman, each of whom is “independent,” as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interlocking relationships requiring disclosure under the applicable rules promulgated under the U.S. federal securities laws.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following discussion and analysis should be read in conjunction with “Compensation of Named Executive Officers” and the related tables that follow.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67" w:lineRule="exact"/>
        <w:rPr>
          <w:sz w:val="20"/>
          <w:szCs w:val="20"/>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Brent D. Richardson, our Chief Executive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John E. Crowley, our Chief Operating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Christopher C. Richardson, our General Counsel;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Timothy R. Fischer, currently our Chief Administrative Officer and formerly our Chief Financial Officer;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Michael S. Lacrosse, our Chief Information Officer.</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Determinations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Objectives of Compensation Programs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Compensation philosophy. </w:t>
      </w:r>
      <w:r>
        <w:rPr>
          <w:rFonts w:ascii="Arial" w:cs="Arial" w:eastAsia="Arial" w:hAnsi="Arial"/>
          <w:sz w:val="13"/>
          <w:szCs w:val="13"/>
          <w:color w:val="auto"/>
        </w:rPr>
        <w:t>Under our compensation philosophy, a named executive officer’s total compensation will vary based on our overall performance and with the particular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objectives. </w:t>
      </w:r>
      <w:r>
        <w:rPr>
          <w:rFonts w:ascii="Arial" w:cs="Arial" w:eastAsia="Arial" w:hAnsi="Arial"/>
          <w:sz w:val="13"/>
          <w:szCs w:val="13"/>
          <w:color w:val="auto"/>
        </w:rPr>
        <w:t>We believe that the compensation program we follow helps us achieve the following objectives:</w:t>
      </w:r>
    </w:p>
    <w:p>
      <w:pPr>
        <w:spacing w:after="0" w:line="96" w:lineRule="exact"/>
        <w:rPr>
          <w:sz w:val="20"/>
          <w:szCs w:val="20"/>
          <w:color w:val="auto"/>
        </w:rPr>
      </w:pPr>
    </w:p>
    <w:p>
      <w:pPr>
        <w:jc w:val="both"/>
        <w:ind w:left="1680" w:right="40" w:hanging="187"/>
        <w:spacing w:after="0" w:line="264"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related to performance. </w:t>
      </w:r>
      <w:r>
        <w:rPr>
          <w:rFonts w:ascii="Arial" w:cs="Arial" w:eastAsia="Arial" w:hAnsi="Arial"/>
          <w:sz w:val="13"/>
          <w:szCs w:val="13"/>
          <w:color w:val="auto"/>
        </w:rPr>
        <w:t>We believe that the performance-based portion of an individual’s total compensation should increase as the individual’s</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responsibilities increase. Thus, a material portion of executive compensation should be linked to our and the individual’s performance, which also serves to align the named executive officers’ interests with those of our investors.</w:t>
      </w:r>
    </w:p>
    <w:p>
      <w:pPr>
        <w:spacing w:after="0" w:line="57" w:lineRule="exact"/>
        <w:rPr>
          <w:rFonts w:ascii="Arial" w:cs="Arial" w:eastAsia="Arial" w:hAnsi="Arial"/>
          <w:sz w:val="13"/>
          <w:szCs w:val="13"/>
          <w:color w:val="auto"/>
        </w:rPr>
      </w:pPr>
    </w:p>
    <w:p>
      <w:pPr>
        <w:ind w:left="1680" w:right="60" w:hanging="187"/>
        <w:spacing w:after="0" w:line="260"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competitive and cost effective. </w:t>
      </w:r>
      <w:r>
        <w:rPr>
          <w:rFonts w:ascii="Arial" w:cs="Arial" w:eastAsia="Arial" w:hAnsi="Arial"/>
          <w:sz w:val="13"/>
          <w:szCs w:val="13"/>
          <w:color w:val="auto"/>
        </w:rPr>
        <w:t>We believe that our compensation programs should foster an innovative, high integrity, and performance-oriented</w:t>
      </w:r>
      <w:r>
        <w:rPr>
          <w:rFonts w:ascii="Arial" w:cs="Arial" w:eastAsia="Arial" w:hAnsi="Arial"/>
          <w:sz w:val="13"/>
          <w:szCs w:val="13"/>
          <w:i w:val="1"/>
          <w:iCs w:val="1"/>
          <w:color w:val="auto"/>
        </w:rPr>
        <w:t xml:space="preserve"> </w:t>
      </w:r>
      <w:r>
        <w:rPr>
          <w:rFonts w:ascii="Arial" w:cs="Arial" w:eastAsia="Arial" w:hAnsi="Arial"/>
          <w:sz w:val="13"/>
          <w:szCs w:val="13"/>
          <w:color w:val="auto"/>
        </w:rPr>
        <w:t>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7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Company compensation policies. </w:t>
      </w:r>
      <w:r>
        <w:rPr>
          <w:rFonts w:ascii="Arial" w:cs="Arial" w:eastAsia="Arial" w:hAnsi="Arial"/>
          <w:sz w:val="13"/>
          <w:szCs w:val="13"/>
          <w:color w:val="auto"/>
        </w:rPr>
        <w:t>A named executive officer’s total in-service compensation consists of base salary, a cash bonus, and limited perquisites. With regard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we have in the past adhered to the following compensation policies:</w:t>
      </w:r>
    </w:p>
    <w:p>
      <w:pPr>
        <w:spacing w:after="0" w:line="59" w:lineRule="exact"/>
        <w:rPr>
          <w:sz w:val="20"/>
          <w:szCs w:val="20"/>
          <w:color w:val="auto"/>
        </w:rPr>
      </w:pPr>
    </w:p>
    <w:p>
      <w:pPr>
        <w:ind w:left="1680" w:right="20" w:hanging="187"/>
        <w:spacing w:after="0" w:line="260"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Founders with significant equity stakes require limited incentives. </w:t>
      </w:r>
      <w:r>
        <w:rPr>
          <w:rFonts w:ascii="Arial" w:cs="Arial" w:eastAsia="Arial" w:hAnsi="Arial"/>
          <w:sz w:val="13"/>
          <w:szCs w:val="13"/>
          <w:color w:val="auto"/>
        </w:rPr>
        <w:t>As founders of our company, Brent Richardson and Chris Richardson have significant equity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59" w:lineRule="exact"/>
        <w:rPr>
          <w:rFonts w:ascii="Arial" w:cs="Arial" w:eastAsia="Arial" w:hAnsi="Arial"/>
          <w:sz w:val="13"/>
          <w:szCs w:val="13"/>
          <w:color w:val="auto"/>
        </w:rPr>
      </w:pPr>
    </w:p>
    <w:p>
      <w:pPr>
        <w:ind w:left="1680" w:right="100" w:hanging="187"/>
        <w:spacing w:after="0" w:line="296" w:lineRule="auto"/>
        <w:tabs>
          <w:tab w:leader="none" w:pos="1680" w:val="left"/>
        </w:tabs>
        <w:numPr>
          <w:ilvl w:val="0"/>
          <w:numId w:val="55"/>
        </w:numPr>
        <w:rPr>
          <w:rFonts w:ascii="Arial" w:cs="Arial" w:eastAsia="Arial" w:hAnsi="Arial"/>
          <w:sz w:val="12"/>
          <w:szCs w:val="12"/>
          <w:color w:val="auto"/>
        </w:rPr>
      </w:pPr>
      <w:r>
        <w:rPr>
          <w:rFonts w:ascii="Arial" w:cs="Arial" w:eastAsia="Arial" w:hAnsi="Arial"/>
          <w:sz w:val="12"/>
          <w:szCs w:val="12"/>
          <w:i w:val="1"/>
          <w:iCs w:val="1"/>
          <w:color w:val="auto"/>
        </w:rPr>
        <w:t>Base salaries should be the largest component of compensation</w:t>
      </w:r>
      <w:r>
        <w:rPr>
          <w:rFonts w:ascii="Arial" w:cs="Arial" w:eastAsia="Arial" w:hAnsi="Arial"/>
          <w:sz w:val="12"/>
          <w:szCs w:val="12"/>
          <w:color w:val="auto"/>
        </w:rPr>
        <w:t>. Our compensation programs should reflect base salaries as being compensation for the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39" w:lineRule="exact"/>
        <w:rPr>
          <w:rFonts w:ascii="Arial" w:cs="Arial" w:eastAsia="Arial" w:hAnsi="Arial"/>
          <w:sz w:val="12"/>
          <w:szCs w:val="12"/>
          <w:color w:val="auto"/>
        </w:rPr>
      </w:pPr>
    </w:p>
    <w:p>
      <w:pPr>
        <w:ind w:left="1680" w:hanging="187"/>
        <w:spacing w:after="0" w:line="260"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paid in cash. </w:t>
      </w:r>
      <w:r>
        <w:rPr>
          <w:rFonts w:ascii="Arial" w:cs="Arial" w:eastAsia="Arial" w:hAnsi="Arial"/>
          <w:sz w:val="13"/>
          <w:szCs w:val="13"/>
          <w:color w:val="auto"/>
        </w:rPr>
        <w:t>As a private company whose equity securities were not publicly traded prior to completion of this offering, we believed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our policies have helped us achieve our compensation objectives of motivation and retention, as evidenced by the limited turnover in our executive officer ranks over the past several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Programs Design and Elements of Compensation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9"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Elements of In-Service Compensation. </w:t>
      </w:r>
      <w:r>
        <w:rPr>
          <w:rFonts w:ascii="Arial" w:cs="Arial" w:eastAsia="Arial" w:hAnsi="Arial"/>
          <w:sz w:val="13"/>
          <w:szCs w:val="13"/>
          <w:color w:val="auto"/>
        </w:rPr>
        <w:t>For our 2007 fiscal year, our executive compensation mix included base salary, discretionary cash bonuses, and other benefits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all employees. Perquisites were not a significant component of executive compensation. We generally determine the nature and amount of each element of compensation as follows:</w:t>
      </w:r>
    </w:p>
    <w:p>
      <w:pPr>
        <w:spacing w:after="0" w:line="67" w:lineRule="exact"/>
        <w:rPr>
          <w:sz w:val="20"/>
          <w:szCs w:val="20"/>
          <w:color w:val="auto"/>
        </w:rPr>
      </w:pPr>
    </w:p>
    <w:p>
      <w:pPr>
        <w:ind w:left="1680" w:hanging="187"/>
        <w:spacing w:after="0" w:line="276"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typically agree upon a base salary with a named executive officer at the time of initial employment, which may or may not be reflected in an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 of base salary agreed upon, which is not at risk, reflects our views as to the individual executive’s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60"/>
        <w:spacing w:after="0" w:line="281" w:lineRule="auto"/>
        <w:rPr>
          <w:sz w:val="20"/>
          <w:szCs w:val="20"/>
          <w:color w:val="auto"/>
        </w:rPr>
      </w:pPr>
      <w:r>
        <w:rPr>
          <w:rFonts w:ascii="Arial" w:cs="Arial" w:eastAsia="Arial" w:hAnsi="Arial"/>
          <w:sz w:val="12"/>
          <w:szCs w:val="12"/>
          <w:color w:val="auto"/>
        </w:rPr>
        <w:t>past experience, future potential, knowledge, scope of anticipated responsibilities, skills, expertise, and potential to add value through performance, as well as competitive industry salary practices. Although minimum base salaries for Brent Richardson, John Crowley, and Chris Richardson are set by their respective employment agreements, as described below, we review executive salaries annually and may adjust them based on an evaluation of the company’s performance for the year and the performance of the functional area(s) under an executive’s scope of responsibility. For example, base salaries for each of Brent Richardson, John Crowley, and Chris Richardson were increased from $250,000 in fiscal 2006 to $292,019 in fiscal 2007 as a result of the growth in our net revenue and Adjusted EBITDA for 2006, which was driven, in part, by the leadership and execution of our strategy by these named executive officers. We also consider qualitative criteria, such as education and experience requirements, complexity, and scope or impact of the position compared to other executive positions internally.</w:t>
      </w:r>
    </w:p>
    <w:p>
      <w:pPr>
        <w:spacing w:after="0" w:line="58" w:lineRule="exact"/>
        <w:rPr>
          <w:sz w:val="20"/>
          <w:szCs w:val="20"/>
          <w:color w:val="auto"/>
        </w:rPr>
      </w:pPr>
    </w:p>
    <w:p>
      <w:pPr>
        <w:ind w:left="1680" w:hanging="187"/>
        <w:spacing w:after="0" w:line="264"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We provide cash bonuses, which are at-risk, to recognize and reward our named executive officers with cash payments above base salary based on our success in</w:t>
      </w:r>
      <w:r>
        <w:rPr>
          <w:rFonts w:ascii="Arial" w:cs="Arial" w:eastAsia="Arial" w:hAnsi="Arial"/>
          <w:sz w:val="13"/>
          <w:szCs w:val="13"/>
          <w:i w:val="1"/>
          <w:iCs w:val="1"/>
          <w:color w:val="auto"/>
        </w:rPr>
        <w:t xml:space="preserve"> </w:t>
      </w:r>
      <w:r>
        <w:rPr>
          <w:rFonts w:ascii="Arial" w:cs="Arial" w:eastAsia="Arial" w:hAnsi="Arial"/>
          <w:sz w:val="13"/>
          <w:szCs w:val="13"/>
          <w:color w:val="auto"/>
        </w:rPr>
        <w:t>a given year. In the past, we have awarded bonuses on a discretionary basis, and we have not implemented or followed a formal bonus plan tied to specific financial and non-financial objectives.</w:t>
      </w:r>
    </w:p>
    <w:p>
      <w:pPr>
        <w:spacing w:after="0" w:line="57" w:lineRule="exact"/>
        <w:rPr>
          <w:rFonts w:ascii="Arial" w:cs="Arial" w:eastAsia="Arial" w:hAnsi="Arial"/>
          <w:sz w:val="13"/>
          <w:szCs w:val="13"/>
          <w:color w:val="auto"/>
        </w:rPr>
      </w:pPr>
    </w:p>
    <w:p>
      <w:pPr>
        <w:ind w:left="1680" w:right="140" w:hanging="187"/>
        <w:spacing w:after="0" w:line="264"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We seek to compensate our named executive officers at levels that eliminate the need for perquisites and enable each individual officer to provide for his or</w:t>
      </w:r>
      <w:r>
        <w:rPr>
          <w:rFonts w:ascii="Arial" w:cs="Arial" w:eastAsia="Arial" w:hAnsi="Arial"/>
          <w:sz w:val="13"/>
          <w:szCs w:val="13"/>
          <w:i w:val="1"/>
          <w:iCs w:val="1"/>
          <w:color w:val="auto"/>
        </w:rPr>
        <w:t xml:space="preserve"> </w:t>
      </w:r>
      <w:r>
        <w:rPr>
          <w:rFonts w:ascii="Arial" w:cs="Arial" w:eastAsia="Arial" w:hAnsi="Arial"/>
          <w:sz w:val="13"/>
          <w:szCs w:val="13"/>
          <w:color w:val="auto"/>
        </w:rPr>
        <w:t>her own needs. Accordingly, in 2007, the only perquisite we provided to any of our named executive officers was allowing Brent Richardson to utilize a car leased by Grand Canyon University.</w:t>
      </w:r>
    </w:p>
    <w:p>
      <w:pPr>
        <w:spacing w:after="0" w:line="57" w:lineRule="exact"/>
        <w:rPr>
          <w:rFonts w:ascii="Arial" w:cs="Arial" w:eastAsia="Arial" w:hAnsi="Arial"/>
          <w:sz w:val="13"/>
          <w:szCs w:val="13"/>
          <w:color w:val="auto"/>
        </w:rPr>
      </w:pPr>
    </w:p>
    <w:p>
      <w:pPr>
        <w:ind w:left="1680" w:right="40" w:hanging="187"/>
        <w:spacing w:after="0" w:line="258"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offer other employee benefits to key executives for the purpose of meeting current and future health and security needs for the executives and their families.</w:t>
      </w:r>
      <w:r>
        <w:rPr>
          <w:rFonts w:ascii="Arial" w:cs="Arial" w:eastAsia="Arial" w:hAnsi="Arial"/>
          <w:sz w:val="13"/>
          <w:szCs w:val="13"/>
          <w:i w:val="1"/>
          <w:iCs w:val="1"/>
          <w:color w:val="auto"/>
        </w:rPr>
        <w:t xml:space="preserve"> </w:t>
      </w:r>
      <w:r>
        <w:rPr>
          <w:rFonts w:ascii="Arial" w:cs="Arial" w:eastAsia="Arial" w:hAnsi="Arial"/>
          <w:sz w:val="13"/>
          <w:szCs w:val="13"/>
          <w:color w:val="auto"/>
        </w:rPr>
        <w:t>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Elements of Post-Termination Compensation and Benefits. </w:t>
      </w:r>
      <w:r>
        <w:rPr>
          <w:rFonts w:ascii="Arial" w:cs="Arial" w:eastAsia="Arial" w:hAnsi="Arial"/>
          <w:sz w:val="12"/>
          <w:szCs w:val="12"/>
          <w:color w:val="auto"/>
        </w:rPr>
        <w:t>We are a party to written agreements that provide certain of our named executive officers with post-termination salary and</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2007 consisted of the following:</w:t>
      </w:r>
    </w:p>
    <w:p>
      <w:pPr>
        <w:spacing w:after="0" w:line="53" w:lineRule="exact"/>
        <w:rPr>
          <w:sz w:val="20"/>
          <w:szCs w:val="20"/>
          <w:color w:val="auto"/>
        </w:rPr>
      </w:pPr>
    </w:p>
    <w:p>
      <w:pPr>
        <w:ind w:left="1680" w:hanging="187"/>
        <w:spacing w:after="0" w:line="276"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t xml:space="preserve">Salary continuation. </w:t>
      </w:r>
      <w:r>
        <w:rPr>
          <w:rFonts w:ascii="Arial" w:cs="Arial" w:eastAsia="Arial" w:hAnsi="Arial"/>
          <w:sz w:val="12"/>
          <w:szCs w:val="12"/>
          <w:color w:val="auto"/>
        </w:rPr>
        <w:t>Each of Brent Richardson, John Crowley, and Chris Richardson had a written employment agreement under which he would receive continuing</w:t>
      </w:r>
      <w:r>
        <w:rPr>
          <w:rFonts w:ascii="Arial" w:cs="Arial" w:eastAsia="Arial" w:hAnsi="Arial"/>
          <w:sz w:val="12"/>
          <w:szCs w:val="12"/>
          <w:i w:val="1"/>
          <w:iCs w:val="1"/>
          <w:color w:val="auto"/>
        </w:rPr>
        <w:t xml:space="preserve"> </w:t>
      </w:r>
      <w:r>
        <w:rPr>
          <w:rFonts w:ascii="Arial" w:cs="Arial" w:eastAsia="Arial" w:hAnsi="Arial"/>
          <w:sz w:val="12"/>
          <w:szCs w:val="12"/>
          <w:color w:val="auto"/>
        </w:rPr>
        <w:t>salary 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w:t>
      </w:r>
    </w:p>
    <w:p>
      <w:pPr>
        <w:spacing w:after="0" w:line="1"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3"/>
          <w:szCs w:val="13"/>
          <w:color w:val="auto"/>
        </w:rPr>
        <w:t>12 months if we seek to extend their post-termination non-compete and related covenants.</w:t>
      </w:r>
    </w:p>
    <w:p>
      <w:pPr>
        <w:spacing w:after="0" w:line="88" w:lineRule="exact"/>
        <w:rPr>
          <w:rFonts w:ascii="Arial" w:cs="Arial" w:eastAsia="Arial" w:hAnsi="Arial"/>
          <w:sz w:val="12"/>
          <w:szCs w:val="12"/>
          <w:color w:val="auto"/>
        </w:rPr>
      </w:pPr>
    </w:p>
    <w:p>
      <w:pPr>
        <w:ind w:left="1680" w:right="120" w:hanging="187"/>
        <w:spacing w:after="0" w:line="276"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Benefits continuation. </w:t>
      </w:r>
      <w:r>
        <w:rPr>
          <w:rFonts w:ascii="Arial" w:cs="Arial" w:eastAsia="Arial" w:hAnsi="Arial"/>
          <w:sz w:val="13"/>
          <w:szCs w:val="13"/>
          <w:color w:val="auto"/>
        </w:rPr>
        <w:t>Under their agreements, Brent Richardson, John Crowley, and Chris Richardson would also receive continuation of benefits during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continuation period.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Performance on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we have reviewed overall company and individual performance in connection with our review of named executive officer compensation.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Company performance. </w:t>
      </w:r>
      <w:r>
        <w:rPr>
          <w:rFonts w:ascii="Arial" w:cs="Arial" w:eastAsia="Arial" w:hAnsi="Arial"/>
          <w:sz w:val="12"/>
          <w:szCs w:val="12"/>
          <w:color w:val="auto"/>
        </w:rPr>
        <w:t>In reviewing our performance, we focus principally on the achievement of net revenue and Adjusted EBITDA levels, and on maintaining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We presently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Individual performance. </w:t>
      </w:r>
      <w:r>
        <w:rPr>
          <w:rFonts w:ascii="Arial" w:cs="Arial" w:eastAsia="Arial" w:hAnsi="Arial"/>
          <w:sz w:val="13"/>
          <w:szCs w:val="13"/>
          <w:color w:val="auto"/>
        </w:rPr>
        <w:t>In reviewing individual performance, we also look at an executive’s achievement of non-financial objectives that, with respect to a given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may include achieving objectives related to some or all of the following:</w:t>
      </w:r>
    </w:p>
    <w:p>
      <w:pPr>
        <w:spacing w:after="0" w:line="59" w:lineRule="exact"/>
        <w:rPr>
          <w:sz w:val="20"/>
          <w:szCs w:val="20"/>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enrollment growth;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program development and expansion;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regulatory compliance.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compensation amounts paid to our named executive officers for their service in 2007 were reasonable and appropriate and in our best interests.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Actions Taken in Current Fiscal Year</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i w:val="1"/>
          <w:iCs w:val="1"/>
          <w:color w:val="auto"/>
        </w:rPr>
        <w:t xml:space="preserve">Equity Plans. </w:t>
      </w:r>
      <w:r>
        <w:rPr>
          <w:rFonts w:ascii="Arial" w:cs="Arial" w:eastAsia="Arial" w:hAnsi="Arial"/>
          <w:sz w:val="13"/>
          <w:szCs w:val="13"/>
          <w:color w:val="auto"/>
        </w:rPr>
        <w:t>As discussed above, we have historically relied upon base salaries and cash bonuses to attract, motivate and retain our named executive officers. We have adopted a</w:t>
      </w:r>
      <w:r>
        <w:rPr>
          <w:rFonts w:ascii="Arial" w:cs="Arial" w:eastAsia="Arial" w:hAnsi="Arial"/>
          <w:sz w:val="13"/>
          <w:szCs w:val="13"/>
          <w:i w:val="1"/>
          <w:iCs w:val="1"/>
          <w:color w:val="auto"/>
        </w:rPr>
        <w:t xml:space="preserve"> </w:t>
      </w:r>
      <w:r>
        <w:rPr>
          <w:rFonts w:ascii="Arial" w:cs="Arial" w:eastAsia="Arial" w:hAnsi="Arial"/>
          <w:sz w:val="13"/>
          <w:szCs w:val="13"/>
          <w:color w:val="auto"/>
        </w:rPr>
        <w:t>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 Incentive Plan became effective on September 27, 2008 following approval by our stockholders on such date, and the ESPP, which was also approved by our stockholders on September 27, 2008, will be effective upon consummation of this offering.</w:t>
      </w:r>
    </w:p>
    <w:p>
      <w:pPr>
        <w:spacing w:after="0" w:line="7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Incentive Plan. </w:t>
      </w:r>
      <w:r>
        <w:rPr>
          <w:rFonts w:ascii="Arial" w:cs="Arial" w:eastAsia="Arial" w:hAnsi="Arial"/>
          <w:sz w:val="12"/>
          <w:szCs w:val="12"/>
          <w:color w:val="auto"/>
        </w:rPr>
        <w:t>We have authorized and reserved a total of 4,199,937 shares of our common stock for issuance under the Incentive Plan. This reserve automatically increases on a</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67"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5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conjunction with adoption of the Incentive Plan, our board of directors has approved a comprehensive policy relating to the granting of stock options and other equity-based awards. Under this policy:</w:t>
      </w:r>
    </w:p>
    <w:p>
      <w:pPr>
        <w:spacing w:after="0" w:line="59" w:lineRule="exact"/>
        <w:rPr>
          <w:sz w:val="20"/>
          <w:szCs w:val="20"/>
          <w:color w:val="auto"/>
        </w:rPr>
      </w:pPr>
    </w:p>
    <w:p>
      <w:pPr>
        <w:ind w:left="1680" w:hanging="187"/>
        <w:spacing w:after="0" w:line="276" w:lineRule="auto"/>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all stock option grants, restricted stock awards, and other equity based awards, which we collectively refer to as stock-based grants, must be approved by the compensation committee;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all stock-based grants will be approved at formal meetings (including telephonic) of the compensation committee;</w:t>
      </w:r>
    </w:p>
    <w:p>
      <w:pPr>
        <w:spacing w:after="0" w:line="86" w:lineRule="exact"/>
        <w:rPr>
          <w:rFonts w:ascii="Arial" w:cs="Arial" w:eastAsia="Arial" w:hAnsi="Arial"/>
          <w:sz w:val="13"/>
          <w:szCs w:val="13"/>
          <w:color w:val="auto"/>
        </w:rPr>
      </w:pPr>
    </w:p>
    <w:p>
      <w:pPr>
        <w:ind w:left="1680" w:right="360" w:hanging="187"/>
        <w:spacing w:after="0" w:line="320" w:lineRule="auto"/>
        <w:tabs>
          <w:tab w:leader="none" w:pos="16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5" w:lineRule="exact"/>
        <w:rPr>
          <w:rFonts w:ascii="Arial" w:cs="Arial" w:eastAsia="Arial" w:hAnsi="Arial"/>
          <w:sz w:val="12"/>
          <w:szCs w:val="12"/>
          <w:color w:val="auto"/>
        </w:rPr>
      </w:pPr>
    </w:p>
    <w:p>
      <w:pPr>
        <w:ind w:left="1680" w:right="160" w:hanging="187"/>
        <w:spacing w:after="0" w:line="296" w:lineRule="auto"/>
        <w:tabs>
          <w:tab w:leader="none" w:pos="16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39" w:lineRule="exact"/>
        <w:rPr>
          <w:rFonts w:ascii="Arial" w:cs="Arial" w:eastAsia="Arial" w:hAnsi="Arial"/>
          <w:sz w:val="12"/>
          <w:szCs w:val="12"/>
          <w:color w:val="auto"/>
        </w:rPr>
      </w:pPr>
    </w:p>
    <w:p>
      <w:pPr>
        <w:ind w:left="1680" w:hanging="187"/>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annual grant to executive officers and directors, if any, will occur at the same time as the annual grant to other employees;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compensation committee will approve stock-based grants only for persons specifically identified at the meeting by management.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780" w:right="160" w:firstLine="395"/>
        <w:spacing w:after="0" w:line="276" w:lineRule="auto"/>
        <w:rPr>
          <w:sz w:val="20"/>
          <w:szCs w:val="20"/>
          <w:color w:val="auto"/>
        </w:rPr>
      </w:pPr>
      <w:r>
        <w:rPr>
          <w:rFonts w:ascii="Arial" w:cs="Arial" w:eastAsia="Arial" w:hAnsi="Arial"/>
          <w:sz w:val="13"/>
          <w:szCs w:val="13"/>
          <w:color w:val="auto"/>
        </w:rPr>
        <w:t>In connection with the initial public offering, we plan to issue 704,923 fully vested and 2,492,256 unvested stock options with an exercise price equal to the initial public offering price to employees and a director under this Incentive Plan.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ESPP. </w:t>
      </w:r>
      <w:r>
        <w:rPr>
          <w:rFonts w:ascii="Arial" w:cs="Arial" w:eastAsia="Arial" w:hAnsi="Arial"/>
          <w:sz w:val="11"/>
          <w:szCs w:val="11"/>
          <w:color w:val="auto"/>
        </w:rPr>
        <w:t>We have authorized and reserved a total of 1,049,984 shares of our common stock for sale under the ESPP. In addition, the ESPP provides for an automatic annual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(b) 1,049,984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ESPP will be implemented through a series of sequential offering periods, generally three months in duration beginning on the first trading days of February, May, August, and November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maximum number of shares a participant may purchase in any three-month offering period will be the lesser of (a) that number of shares determined by multiplying (i) 100 shares by (ii) the number of months (rounded to the nearest whole month) in the offering period and rounding to the nearest whole share, or (b) that number of whole shares determined by dividing</w:t>
      </w:r>
    </w:p>
    <w:p>
      <w:pPr>
        <w:spacing w:after="0" w:line="1" w:lineRule="exact"/>
        <w:rPr>
          <w:sz w:val="20"/>
          <w:szCs w:val="20"/>
          <w:color w:val="auto"/>
        </w:rPr>
      </w:pPr>
    </w:p>
    <w:p>
      <w:pPr>
        <w:ind w:left="680" w:right="60" w:firstLine="7"/>
        <w:spacing w:after="0" w:line="281" w:lineRule="auto"/>
        <w:tabs>
          <w:tab w:leader="none" w:pos="836"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product of $1,979.17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6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Executive Employment Agreements. </w:t>
      </w:r>
      <w:r>
        <w:rPr>
          <w:rFonts w:ascii="Arial" w:cs="Arial" w:eastAsia="Arial" w:hAnsi="Arial"/>
          <w:sz w:val="13"/>
          <w:szCs w:val="13"/>
          <w:color w:val="auto"/>
        </w:rPr>
        <w:t>Effective July 1, 2008, we entered into employment agreements with Brian E. Mueller, Daniel E. Bachus, and W. Stan Meyer that govern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their service as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Chief Executive Officer, Chief Financial Officer, and Executive Vice President, respectively. Effective September 10, 2008, we entered into new employment agreements with each of Brent D. Richardson and Chris C. Richardson.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agreements with each of Brent Richardson and Chris Richardson provide for a base salary of $297,500, and entitle each to receive performance bonuses as determined by the board based upon Grand Canyon University’s achievement of performance, budgetary, and other objectives, as set in advance by the board. The agreements do not set a target performance bonus amount and, as discussed elsewhere in this prospectus, although Brent Richardson and Chris Richardson are eligible to participate in the Incentive Plan, we do not anticipate granting any material awards under the Incentive Plan to them and their agreements do not provide for any such awards.</w:t>
      </w:r>
    </w:p>
    <w:p>
      <w:pPr>
        <w:spacing w:after="0" w:line="53"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agreement with Mr. Mueller provides for a base salary of $500,000 per year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prior to the completion of this offering, Mr. Mueller is also entitled to receive (i) a grant of an option to purchase approximately 1.0 million shares of our common stock, which will vest ratably, on an annual basis, over a five-year period, and (ii) a grant of 104,998 shares of our common stock which shares shall be fully vested on the grant date. The shares subject to the foregoing grants will have a grant or exercise price equal to the initial public offering price.</w:t>
      </w:r>
    </w:p>
    <w:p>
      <w:pPr>
        <w:spacing w:after="0" w:line="55"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agreement with Mr. Bachus provides for a base salary of $275,000 per year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Bachus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5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agreement with Mr. Meyer provides for a base salary of $300,000 per year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Meyer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number of shares actually issued or granted to Messrs. Mueller, Meyer, and Bachus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numbers above, we have assumed an initial public offering price of $19.00 per share, which is the midpoint of the range set forth on the cover page of this prospectus.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Each agreement entitles the executive to receive customary and usual fringe benefits generally available to our senior management, and to be reimbursed for reasonable out-of-pocket business expenses.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agreements prohibit the executives from engaging in any work that creates an actual conflict of interest with us, and include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55"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w:t>
      </w:r>
    </w:p>
    <w:p>
      <w:pPr>
        <w:spacing w:after="0" w:line="2"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12 months of COBRA premiums, and partial acceleration of the vesting of their stock options to the next vesting date. If, within the 12 months after a change in control (as defined in the agreement), the executives are terminated other than for cause or they resign for good reason, they shall be entitled to the same severance package as described above for similar separation reasons, plus the full vesting of all stock options held by the executives.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Named Executive Officer Salary Adjustments. </w:t>
      </w:r>
      <w:r>
        <w:rPr>
          <w:rFonts w:ascii="Arial" w:cs="Arial" w:eastAsia="Arial" w:hAnsi="Arial"/>
          <w:sz w:val="13"/>
          <w:szCs w:val="13"/>
          <w:color w:val="auto"/>
        </w:rPr>
        <w:t>Effective January 1, 2008, the base salary of each of Brent Richardson, John Crowley, and Chris Richardson was increased by $5,000</w:t>
      </w:r>
      <w:r>
        <w:rPr>
          <w:rFonts w:ascii="Arial" w:cs="Arial" w:eastAsia="Arial" w:hAnsi="Arial"/>
          <w:sz w:val="13"/>
          <w:szCs w:val="13"/>
          <w:i w:val="1"/>
          <w:iCs w:val="1"/>
          <w:color w:val="auto"/>
        </w:rPr>
        <w:t xml:space="preserve"> </w:t>
      </w:r>
      <w:r>
        <w:rPr>
          <w:rFonts w:ascii="Arial" w:cs="Arial" w:eastAsia="Arial" w:hAnsi="Arial"/>
          <w:sz w:val="13"/>
          <w:szCs w:val="13"/>
          <w:color w:val="auto"/>
        </w:rPr>
        <w:t>per year to $297,500.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than as described above, there have been no other material changes to items of compensation applicable to our named executive officers or directors for fiscal 2008.</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Named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total compensation earned for services rendered during fiscal year 2007 by our named executive officers.</w:t>
      </w:r>
    </w:p>
    <w:p>
      <w:pPr>
        <w:spacing w:after="0" w:line="13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2007 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Year</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Salary</w:t>
            </w: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Bonus</w:t>
            </w:r>
            <w:r>
              <w:rPr>
                <w:rFonts w:ascii="Arial" w:cs="Arial" w:eastAsia="Arial" w:hAnsi="Arial"/>
                <w:sz w:val="8"/>
                <w:szCs w:val="8"/>
                <w:b w:val="1"/>
                <w:bCs w:val="1"/>
                <w:color w:val="auto"/>
                <w:w w:val="92"/>
              </w:rPr>
              <w:t>(2)</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3"/>
                <w:szCs w:val="13"/>
                <w:color w:val="auto"/>
              </w:rPr>
              <w:t>15,312</w:t>
            </w:r>
            <w:r>
              <w:rPr>
                <w:rFonts w:ascii="Arial" w:cs="Arial" w:eastAsia="Arial" w:hAnsi="Arial"/>
                <w:sz w:val="17"/>
                <w:szCs w:val="17"/>
                <w:color w:val="auto"/>
                <w:vertAlign w:val="subscript"/>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307,331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John E. Crowley</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292,019</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306,019</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Operating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292,019</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General Counsel</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Timothy R. Fischer</w:t>
            </w:r>
            <w:r>
              <w:rPr>
                <w:rFonts w:ascii="Arial" w:cs="Arial" w:eastAsia="Arial" w:hAnsi="Arial"/>
                <w:sz w:val="11"/>
                <w:szCs w:val="11"/>
                <w:color w:val="auto"/>
              </w:rPr>
              <w:t>(4)</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194,500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219,500</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Administrative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160,385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185,385</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Information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59"/>
        <w:spacing w:after="0" w:line="276"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For Brent Richardson, John Crowley, and Chris Richardson, represents the minimum base salary payable under their respective employment agreements of $250,000, as adjusted for fiscal year 2007 by the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cash bonuses awarded to the recipients by the board of directors on a discretionary basis.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value of lease payments made by Grand Canyon University on a vehicle utilized by Mr. Richardson.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Fischer was appointed our Chief Administrative Officer effective July 1, 2008. During 2007, he served as our Chief Financial Officer.</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were a party to employment agreements with Brent D. Richardson, John E. Crowley, and Christopher C. Richardson relating to 2007 compensation. In 2008, we entered into employment agreements with Brian E. Mueller, Daniel E. Bachus, and W. Stan Meyer and new employment agreements with Brent D. Richardson and Chris C. Richardson.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new agreements with Brent and Chris Richardson and the agreements with Messrs. Mueller, Bachus, and Meyer.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Agreement with Brent D. Richardson. </w:t>
      </w:r>
      <w:r>
        <w:rPr>
          <w:rFonts w:ascii="Arial" w:cs="Arial" w:eastAsia="Arial" w:hAnsi="Arial"/>
          <w:sz w:val="12"/>
          <w:szCs w:val="12"/>
          <w:color w:val="auto"/>
        </w:rPr>
        <w:t>Effective August 24, 2005, we and Brent Richardson entered into an employment agreement. The agreement remains in effect until</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Agreement with John E. Crowley. </w:t>
      </w:r>
      <w:r>
        <w:rPr>
          <w:rFonts w:ascii="Arial" w:cs="Arial" w:eastAsia="Arial" w:hAnsi="Arial"/>
          <w:sz w:val="12"/>
          <w:szCs w:val="12"/>
          <w:color w:val="auto"/>
        </w:rPr>
        <w:t>Effective August 24, 2005, we and John Crowley entered into an employment agreement. The agreement remains in effect until Mr. Crowley’s</w:t>
      </w:r>
      <w:r>
        <w:rPr>
          <w:rFonts w:ascii="Arial" w:cs="Arial" w:eastAsia="Arial" w:hAnsi="Arial"/>
          <w:sz w:val="12"/>
          <w:szCs w:val="12"/>
          <w:i w:val="1"/>
          <w:iCs w:val="1"/>
          <w:color w:val="auto"/>
        </w:rPr>
        <w:t xml:space="preserve"> </w:t>
      </w:r>
      <w:r>
        <w:rPr>
          <w:rFonts w:ascii="Arial" w:cs="Arial" w:eastAsia="Arial" w:hAnsi="Arial"/>
          <w:sz w:val="12"/>
          <w:szCs w:val="12"/>
          <w:color w:val="auto"/>
        </w:rPr>
        <w:t>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Agreement with Christopher C. Richardson. </w:t>
      </w:r>
      <w:r>
        <w:rPr>
          <w:rFonts w:ascii="Arial" w:cs="Arial" w:eastAsia="Arial" w:hAnsi="Arial"/>
          <w:sz w:val="13"/>
          <w:szCs w:val="13"/>
          <w:color w:val="auto"/>
        </w:rPr>
        <w:t>Effective August 24, 2005, we and Chris Richardson entered into an employment agreement. The agreement with Chris Richardson</w:t>
      </w:r>
      <w:r>
        <w:rPr>
          <w:rFonts w:ascii="Arial" w:cs="Arial" w:eastAsia="Arial" w:hAnsi="Arial"/>
          <w:sz w:val="13"/>
          <w:szCs w:val="13"/>
          <w:i w:val="1"/>
          <w:iCs w:val="1"/>
          <w:color w:val="auto"/>
        </w:rPr>
        <w:t xml:space="preserve"> </w:t>
      </w:r>
      <w:r>
        <w:rPr>
          <w:rFonts w:ascii="Arial" w:cs="Arial" w:eastAsia="Arial" w:hAnsi="Arial"/>
          <w:sz w:val="13"/>
          <w:szCs w:val="13"/>
          <w:color w:val="auto"/>
        </w:rPr>
        <w:t>contains substantially the same terms as the agreement with John Crowley. The agreement also provides for certain benefits upon separation as further described in the “Severance and Change of Control Payments” section below.</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i w:val="1"/>
          <w:iCs w:val="1"/>
          <w:color w:val="auto"/>
        </w:rPr>
        <w:t xml:space="preserve">Severance and Change of Control Payments. </w:t>
      </w:r>
      <w:r>
        <w:rPr>
          <w:rFonts w:ascii="Arial" w:cs="Arial" w:eastAsia="Arial" w:hAnsi="Arial"/>
          <w:sz w:val="12"/>
          <w:szCs w:val="12"/>
          <w:color w:val="auto"/>
        </w:rPr>
        <w:t>The employment agreements with Brent Richardson, John Crowley, and Chris Richardson entitle them to certain severance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0800"/>
          </w:cols>
          <w:pgMar w:left="220" w:top="343" w:right="879" w:bottom="1440" w:gutter="0" w:footer="0" w:header="0"/>
        </w:sectPr>
      </w:pP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4"/>
              </w:rPr>
              <w:t>Named Executive</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12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Officer</w:t>
            </w: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Triggering Event</w:t>
            </w:r>
            <w:r>
              <w:rPr>
                <w:rFonts w:ascii="Arial" w:cs="Arial" w:eastAsia="Arial" w:hAnsi="Arial"/>
                <w:sz w:val="8"/>
                <w:szCs w:val="8"/>
                <w:b w:val="1"/>
                <w:bCs w:val="1"/>
                <w:color w:val="auto"/>
              </w:rPr>
              <w:t>(1)(2)</w:t>
            </w: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Brent Richardson</w:t>
            </w: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350"/>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John Crowley</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Crowley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disability of Mr. Crowley, separation by Mr.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Crowley without “Good Reason,” or sale of</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Chris Richardson</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20459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6"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Continued payment of base salary and provision of benefits for 12 months following separation</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136"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9"/>
          <w:szCs w:val="9"/>
          <w:color w:val="auto"/>
        </w:rPr>
        <w:t>No severance payments, but Mr. Crowley will receive benefits as determined in accordance with the plans or programs providing for such benefits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Material Conditions</w:t>
            </w:r>
          </w:p>
        </w:tc>
        <w:tc>
          <w:tcPr>
            <w:tcW w:w="5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Potential Value</w:t>
            </w:r>
            <w:r>
              <w:rPr>
                <w:rFonts w:ascii="Arial" w:cs="Arial" w:eastAsia="Arial" w:hAnsi="Arial"/>
                <w:sz w:val="8"/>
                <w:szCs w:val="8"/>
                <w:b w:val="1"/>
                <w:bCs w:val="1"/>
                <w:color w:val="auto"/>
              </w:rPr>
              <w:t>(3)</w:t>
            </w:r>
          </w:p>
        </w:tc>
      </w:tr>
      <w:tr>
        <w:trPr>
          <w:trHeight w:val="124"/>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jc w:val="right"/>
              <w:ind w:right="208"/>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w w:val="99"/>
              </w:rPr>
              <w:t>covenants discussed above for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65"/>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Crowley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295,004</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2,985</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-2252980</wp:posOffset>
            </wp:positionV>
            <wp:extent cx="635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3">
            <w:col w:w="5100" w:space="200"/>
            <w:col w:w="1860" w:space="240"/>
            <w:col w:w="3400"/>
          </w:cols>
          <w:pgMar w:left="220" w:top="343" w:right="879" w:bottom="1440" w:gutter="0" w:footer="0" w:header="0"/>
          <w:type w:val="continuous"/>
        </w:sectPr>
      </w:pPr>
    </w:p>
    <w:p>
      <w:pPr>
        <w:spacing w:after="0" w:line="76" w:lineRule="exact"/>
        <w:rPr>
          <w:sz w:val="20"/>
          <w:szCs w:val="20"/>
          <w:color w:val="auto"/>
        </w:rPr>
      </w:pPr>
    </w:p>
    <w:p>
      <w:pPr>
        <w:jc w:val="center"/>
        <w:ind w:right="-559"/>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259"/>
        <w:spacing w:after="0" w:line="323" w:lineRule="auto"/>
        <w:tabs>
          <w:tab w:leader="none" w:pos="10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ind w:left="1000" w:right="40" w:hanging="259"/>
        <w:spacing w:after="0" w:line="277" w:lineRule="auto"/>
        <w:tabs>
          <w:tab w:leader="none" w:pos="10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w:t>
      </w:r>
    </w:p>
    <w:p>
      <w:pPr>
        <w:spacing w:after="0" w:line="1"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(c) the executive’s engaging in conduct that constitutes cause for separation under applicable law, and (d) the executive’s breaching the confidentiality, non-competition,</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non-solicitation, and non-disparagement covenants applicable to him.</w:t>
      </w:r>
    </w:p>
    <w:p>
      <w:pPr>
        <w:spacing w:after="0" w:line="40" w:lineRule="exact"/>
        <w:rPr>
          <w:sz w:val="20"/>
          <w:szCs w:val="20"/>
          <w:color w:val="auto"/>
        </w:rPr>
      </w:pPr>
    </w:p>
    <w:p>
      <w:pPr>
        <w:ind w:left="1000" w:right="100" w:hanging="259"/>
        <w:spacing w:after="0" w:line="264" w:lineRule="auto"/>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upon the completion of this offering, we intend to pay our non-employee directors an annual cash retainer of $30,000 for their board service and a per meeting fee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$2,000 for each meeting of the board attended. We also intend to pay the members of our audit, compensation, and nominating and corporate governance committees an additional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cash retainer of $5,000, with the chair of the audit committee receiving an additional annual cash retainer of $5,000, and the chairs of the other committees each receiving an additional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 cash retainer of $2,500. In addition, non-employee directors will be eligible to receive awards under our Incentive Plan valued at $35,000 per year. We will reimburse all directors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reasonable expenses incurred to attend our board and board committee meetings.</w:t>
      </w:r>
    </w:p>
    <w:p>
      <w:pPr>
        <w:spacing w:after="0" w:line="8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Effective upon completion of this offering, we anticipate that we will appoint David J. Johnson, one of our director-nominees, as our lead independent director. For such services, Mr. Johnson would receive (i) a grant of an option to purchase approximately 0.1 million shares of our common stock equal, which will vest ratably, on an annual basis, over a three-year period, and (ii) in addition to the other items of compensation specified herein, an annual retainer of $33,333, payable in quarterly installments. The number of shares actually issued or granted to Mr. Johnson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 above, we have assumed an initial public offering price of $19.00 per share, which is the midpoint of the range set forth on the cover page of this prospectus.</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have adopted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Agreement</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45.3% of our outstanding shares of capital stock. See “Beneficial Ownership of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 5% of Endeavour Capital IV, LLC’s consolidated gross revenues for each such year. The professional services agreement will terminate by its terms upon the closing of this offering.</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59"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i w:val="1"/>
          <w:iCs w:val="1"/>
          <w:color w:val="auto"/>
        </w:rPr>
        <w:t xml:space="preserve">Series A Convertible Preferred Stock Issuance. </w:t>
      </w:r>
      <w:r>
        <w:rPr>
          <w:rFonts w:ascii="Arial" w:cs="Arial" w:eastAsia="Arial" w:hAnsi="Arial"/>
          <w:sz w:val="11"/>
          <w:szCs w:val="11"/>
          <w:color w:val="auto"/>
        </w:rPr>
        <w:t>On March 31, 2005, we sold $14.0 million aggregate principal amount of notes to the Endeavour Entities. On August 24, 2005, we</w:t>
      </w:r>
      <w:r>
        <w:rPr>
          <w:rFonts w:ascii="Arial" w:cs="Arial" w:eastAsia="Arial" w:hAnsi="Arial"/>
          <w:sz w:val="11"/>
          <w:szCs w:val="11"/>
          <w:i w:val="1"/>
          <w:iCs w:val="1"/>
          <w:color w:val="auto"/>
        </w:rPr>
        <w:t xml:space="preserve"> </w:t>
      </w:r>
      <w:r>
        <w:rPr>
          <w:rFonts w:ascii="Arial" w:cs="Arial" w:eastAsia="Arial" w:hAnsi="Arial"/>
          <w:sz w:val="11"/>
          <w:szCs w:val="11"/>
          <w:color w:val="auto"/>
        </w:rPr>
        <w:t>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w:t>
      </w:r>
    </w:p>
    <w:p>
      <w:pPr>
        <w:spacing w:after="0" w:line="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Mr. Chad N. Heath, two of our directors, are managing directors. Mr. Charles M. Preston III, one of our former directors, is an affiliate of 220 Management, LLC, which is the general partner of 220 GCU GP, L.P., the general partner of 220 GCU, L.P.</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Series B Convertible Preferred Stock Issuance. </w:t>
      </w:r>
      <w:r>
        <w:rPr>
          <w:rFonts w:ascii="Arial" w:cs="Arial" w:eastAsia="Arial" w:hAnsi="Arial"/>
          <w:sz w:val="13"/>
          <w:szCs w:val="13"/>
          <w:color w:val="auto"/>
        </w:rPr>
        <w:t>On December 31, 2005, we issued 2,163 shares of our newly designated Series B preferred stock and received gross proceeds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Series C Preferred Stock Issuance. </w:t>
      </w:r>
      <w:r>
        <w:rPr>
          <w:rFonts w:ascii="Arial" w:cs="Arial" w:eastAsia="Arial" w:hAnsi="Arial"/>
          <w:sz w:val="13"/>
          <w:szCs w:val="13"/>
          <w:color w:val="auto"/>
        </w:rPr>
        <w:t>On December 18, 2007 and January 11, 2008, we sold an aggregate of 3,829 shares of our newly designated Series C preferred stock at a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price of $3,500.00 per share, or approximately $13.4 million in total gross proceeds, of which 1,675 shares 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September 26,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Assuming an initial public offering price of $19.00 per share, which is the midpoint of the price range set forth on the cover page of this prospectus, we estimate that the amount of the special distribution will be $149.6 million, or $4.75 per common share on an as-if converted basis (exclusive of any amounts that may be received from the underwriters’ exercise of the over-allotment option).</w:t>
      </w:r>
    </w:p>
    <w:p>
      <w:pPr>
        <w:spacing w:after="0" w:line="59"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Each $1.00 increase or decrease in the assumed public offering price of $19.00 per share would increase or decrease, as applicable, the aggregate amount of the special distribution by $7.9 million and the per share amount of the special distribution by $0.25, assuming the number of shares offered by us, as set forth on the cover page of this prospectus, remains the same. Similarly, any increase or decrease in the number of shares that we sell in the offering will increase or decrease the special distribution in proportion to such increase or decrease, as applicable, multiplied by the offering price per share.</w:t>
      </w:r>
    </w:p>
    <w:p>
      <w:pPr>
        <w:spacing w:after="0" w:line="7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Of the estimated aggregate amount of the special distribution, $81.1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7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3,250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8,717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9,563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32,776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(5)</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1,443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16,299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2,377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Significant Ventures, LLC</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1,259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12,974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00" w:type="dxa"/>
            <w:vAlign w:val="bottom"/>
            <w:gridSpan w:val="2"/>
          </w:tcPr>
          <w:p>
            <w:pPr>
              <w:jc w:val="right"/>
              <w:ind w:right="1458"/>
              <w:spacing w:after="0"/>
              <w:rPr>
                <w:sz w:val="20"/>
                <w:szCs w:val="20"/>
                <w:color w:val="auto"/>
              </w:rPr>
            </w:pPr>
            <w:r>
              <w:rPr>
                <w:rFonts w:ascii="Arial" w:cs="Arial" w:eastAsia="Arial" w:hAnsi="Arial"/>
                <w:sz w:val="13"/>
                <w:szCs w:val="13"/>
                <w:color w:val="auto"/>
              </w:rPr>
              <w:t>118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right"/>
        <w:ind w:right="302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Original Acquisition</w:t>
            </w: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Special Distribution</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2"/>
          </w:tcPr>
          <w:p>
            <w:pPr>
              <w:ind w:left="1180"/>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880" w:space="720"/>
            <w:col w:w="506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(3)</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3740" w:type="dxa"/>
            <w:vAlign w:val="bottom"/>
            <w:gridSpan w:val="2"/>
          </w:tcPr>
          <w:p>
            <w:pPr>
              <w:jc w:val="center"/>
              <w:spacing w:after="0"/>
              <w:rPr>
                <w:sz w:val="20"/>
                <w:szCs w:val="20"/>
                <w:color w:val="auto"/>
              </w:rPr>
            </w:pPr>
            <w:r>
              <w:rPr>
                <w:rFonts w:ascii="Arial" w:cs="Arial" w:eastAsia="Arial" w:hAnsi="Arial"/>
                <w:sz w:val="13"/>
                <w:szCs w:val="13"/>
                <w:color w:val="auto"/>
                <w:w w:val="92"/>
              </w:rPr>
              <w:t>August 24, 2005</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16,000</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42,917</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shd w:val="clear" w:color="auto" w:fill="CCEEFF"/>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5,863</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2,931</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45,849</w:t>
            </w: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16,299</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16,766</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(6)</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1,678</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16,308</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16,775</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374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26,898</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line="264"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$19.00 per share, which is the midpoint of the range set forth on the cover page of this prospectus.</w:t>
      </w:r>
    </w:p>
    <w:p>
      <w:pPr>
        <w:spacing w:after="0" w:line="20"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47"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Richardson, our Executive Chairman,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Chris Richardson, our General Counsel and a director. Pursuant to this agreement, Mind Streams identifies qualified applicants for admission to Grand Canyon University in return for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it is a paid a stated percentage of the net revenue (calculated as tuition actually received, less scholarships, refunds, and allowances) derived by us from those identified applicants that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matriculate at Grand Canyon University. The term of the agreement runs through December 31, 2010, and can be terminated by either party upon 45 days’ prior written notice. We previously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a party to an agreement with 21st Century Learning, which was owned by Gail Richardson, Brent Richardson, and Chris Richardson, providing for a similar revenue sharing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arrangement. This agreement was terminated in 2005 when we entered into the agreement with Mind Streams. For the years ended December 31, 2005, 2006 and 2007, and for the nine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months ended September 30, 2008, we expensed $2.8 million, $3.7 million, $4.3 million, and $4.3 million, respectively, to these parties pursuant to this arrangement for students enrolled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expenses reimbursed.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Arrowhead Management</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320" w:firstLine="399"/>
        <w:spacing w:after="0" w:line="334" w:lineRule="auto"/>
        <w:rPr>
          <w:sz w:val="20"/>
          <w:szCs w:val="20"/>
          <w:color w:val="auto"/>
        </w:rPr>
      </w:pPr>
      <w:r>
        <w:rPr>
          <w:rFonts w:ascii="Arial" w:cs="Arial" w:eastAsia="Arial" w:hAnsi="Arial"/>
          <w:sz w:val="11"/>
          <w:szCs w:val="11"/>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nine months ended September 30, 2008, we paid approximately $0.6 million and $0, respectively, of expenses incurred by The Center for Educational Excellence, LLC, of which $0.3 million and $0, respectively, were reimbursed to us.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Youth in Motion Consulting Arrangement</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Youth in Motion, Inc. is owned by John Crowley, our Chief Operating Officer. For the years ended December 31, 2005, 2006, and 2007 and the nine months ended September 30, 2008, we paid to Youth in Motion, Inc. $0.2 million, $0.1 million, $0, and $0, respectively, for consulting services rendered.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Ventures Consulting Agreement</w:t>
      </w:r>
    </w:p>
    <w:p>
      <w:pPr>
        <w:spacing w:after="0" w:line="100"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nine months ended September 30, 2008, we paid $0.1 million, $0.4 million, $0, and $0, respectively, to Significant Ventures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220 Consulting Agreement</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nine months ended September 30, 2008, we paid $0.3 million, $0.3 million, $0, and $0, respectively, to 220 Partners, LLC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sets forth information regarding the beneficial ownership of our common stock as of September 30, 2008, and as adjusted to reflect the sale of common stock being offered in this offering, for:</w:t>
      </w:r>
    </w:p>
    <w:p>
      <w:pPr>
        <w:spacing w:after="0" w:line="59" w:lineRule="exact"/>
        <w:rPr>
          <w:sz w:val="20"/>
          <w:szCs w:val="20"/>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directors and director-nominees;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calculating beneficial ownership, we have assumed that, as of September 30, 2008:</w:t>
      </w:r>
    </w:p>
    <w:p>
      <w:pPr>
        <w:spacing w:after="0" w:line="96" w:lineRule="exact"/>
        <w:rPr>
          <w:sz w:val="20"/>
          <w:szCs w:val="20"/>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A convertible preferred stock are converted into 10,870,178 shares of common stock;</w:t>
      </w:r>
    </w:p>
    <w:p>
      <w:pPr>
        <w:spacing w:after="0" w:line="8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C preferred stock, which will convert into common stock upon the closing of the offering based on a conversion price equal to the initial public offering price per share, are converted into 1,410,526 shares of common stock at an initial public offering price of $19.00 per share, which is the midpoint of the range set forth on the cover page of this prospectus;</w:t>
      </w:r>
    </w:p>
    <w:p>
      <w:pPr>
        <w:spacing w:after="0" w:line="57" w:lineRule="exact"/>
        <w:rPr>
          <w:rFonts w:ascii="Arial" w:cs="Arial" w:eastAsia="Arial" w:hAnsi="Arial"/>
          <w:sz w:val="13"/>
          <w:szCs w:val="13"/>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issue 10,500,000 shares of common stock in the offering;</w:t>
      </w:r>
    </w:p>
    <w:p>
      <w:pPr>
        <w:spacing w:after="0" w:line="8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grant 104,998 shares of fully vested restricted stock to Brian E. Mueller, and fully vested options to purchase 28,296 shares of our common stock to each of Timothy N. Fischer, Michael S. Lacrosse, and Kathy Player, immediately following the effectiveness of the offering; and</w:t>
      </w:r>
    </w:p>
    <w:p>
      <w:pPr>
        <w:spacing w:after="0" w:line="4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Brent and Chris Richardson will be granted the right to vote an additional 12,160,950 shares of our common stock as a result of the voting agreement that will be effective upon the closing of this offering, as described in the notes below the table.</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4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2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5100" w:type="dxa"/>
            <w:vAlign w:val="bottom"/>
          </w:tcPr>
          <w:p>
            <w:pPr>
              <w:spacing w:after="0"/>
              <w:rPr>
                <w:sz w:val="9"/>
                <w:szCs w:val="9"/>
                <w:color w:val="auto"/>
              </w:rPr>
            </w:pPr>
          </w:p>
        </w:tc>
        <w:tc>
          <w:tcPr>
            <w:tcW w:w="174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Owned Prior to the</w:t>
            </w:r>
          </w:p>
        </w:tc>
        <w:tc>
          <w:tcPr>
            <w:tcW w:w="98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w w:val="97"/>
              </w:rPr>
              <w:t>Owned After</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rPr>
              <w:t>Owned After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5100" w:type="dxa"/>
            <w:vAlign w:val="bottom"/>
          </w:tcPr>
          <w:p>
            <w:pPr>
              <w:spacing w:after="0"/>
              <w:rPr>
                <w:sz w:val="10"/>
                <w:szCs w:val="10"/>
                <w:color w:val="auto"/>
              </w:rPr>
            </w:pPr>
          </w:p>
        </w:tc>
        <w:tc>
          <w:tcPr>
            <w:tcW w:w="1040" w:type="dxa"/>
            <w:vAlign w:val="bottom"/>
            <w:gridSpan w:val="2"/>
          </w:tcPr>
          <w:p>
            <w:pPr>
              <w:jc w:val="center"/>
              <w:ind w:left="368"/>
              <w:spacing w:after="0"/>
              <w:rPr>
                <w:sz w:val="20"/>
                <w:szCs w:val="20"/>
                <w:color w:val="auto"/>
              </w:rPr>
            </w:pPr>
            <w:r>
              <w:rPr>
                <w:rFonts w:ascii="Arial" w:cs="Arial" w:eastAsia="Arial" w:hAnsi="Arial"/>
                <w:sz w:val="10"/>
                <w:szCs w:val="10"/>
                <w:b w:val="1"/>
                <w:bCs w:val="1"/>
                <w:color w:val="auto"/>
              </w:rPr>
              <w:t>Offering</w:t>
            </w:r>
            <w:r>
              <w:rPr>
                <w:rFonts w:ascii="Arial" w:cs="Arial" w:eastAsia="Arial" w:hAnsi="Arial"/>
                <w:sz w:val="8"/>
                <w:szCs w:val="8"/>
                <w:b w:val="1"/>
                <w:bCs w:val="1"/>
                <w:color w:val="auto"/>
              </w:rPr>
              <w:t>(1)</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7"/>
              </w:rPr>
              <w:t>Offering</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7"/>
              </w:rPr>
              <w:t>Over-Allotment</w:t>
            </w:r>
            <w:r>
              <w:rPr>
                <w:rFonts w:ascii="Arial" w:cs="Arial" w:eastAsia="Arial" w:hAnsi="Arial"/>
                <w:sz w:val="8"/>
                <w:szCs w:val="8"/>
                <w:b w:val="1"/>
                <w:bCs w:val="1"/>
                <w:color w:val="auto"/>
                <w:w w:val="97"/>
              </w:rPr>
              <w:t>(2)</w:t>
            </w:r>
          </w:p>
        </w:tc>
      </w:tr>
      <w:tr>
        <w:trPr>
          <w:trHeight w:val="98"/>
        </w:trPr>
        <w:tc>
          <w:tcPr>
            <w:tcW w:w="5100" w:type="dxa"/>
            <w:vAlign w:val="bottom"/>
          </w:tcPr>
          <w:p>
            <w:pPr>
              <w:spacing w:after="0"/>
              <w:rPr>
                <w:sz w:val="8"/>
                <w:szCs w:val="8"/>
                <w:color w:val="auto"/>
              </w:rPr>
            </w:pPr>
          </w:p>
        </w:tc>
        <w:tc>
          <w:tcPr>
            <w:tcW w:w="1040" w:type="dxa"/>
            <w:vAlign w:val="bottom"/>
            <w:tcBorders>
              <w:top w:val="single" w:sz="8" w:color="auto"/>
            </w:tcBorders>
            <w:gridSpan w:val="2"/>
          </w:tcPr>
          <w:p>
            <w:pPr>
              <w:ind w:left="22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8"/>
              </w:rPr>
              <w:t>Percent</w:t>
            </w:r>
          </w:p>
        </w:tc>
        <w:tc>
          <w:tcPr>
            <w:tcW w:w="300" w:type="dxa"/>
            <w:vAlign w:val="bottom"/>
          </w:tcPr>
          <w:p>
            <w:pPr>
              <w:spacing w:after="0"/>
              <w:rPr>
                <w:sz w:val="8"/>
                <w:szCs w:val="8"/>
                <w:color w:val="auto"/>
              </w:rPr>
            </w:pPr>
          </w:p>
        </w:tc>
        <w:tc>
          <w:tcPr>
            <w:tcW w:w="980" w:type="dxa"/>
            <w:vAlign w:val="bottom"/>
            <w:tcBorders>
              <w:top w:val="single" w:sz="8" w:color="auto"/>
            </w:tcBorders>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Percent</w:t>
            </w:r>
          </w:p>
        </w:tc>
        <w:tc>
          <w:tcPr>
            <w:tcW w:w="280" w:type="dxa"/>
            <w:vAlign w:val="bottom"/>
          </w:tcPr>
          <w:p>
            <w:pPr>
              <w:spacing w:after="0"/>
              <w:rPr>
                <w:sz w:val="8"/>
                <w:szCs w:val="8"/>
                <w:color w:val="auto"/>
              </w:rPr>
            </w:pPr>
          </w:p>
        </w:tc>
        <w:tc>
          <w:tcPr>
            <w:tcW w:w="1000" w:type="dxa"/>
            <w:vAlign w:val="bottom"/>
            <w:tcBorders>
              <w:top w:val="single" w:sz="8" w:color="auto"/>
            </w:tcBorders>
            <w:gridSpan w:val="2"/>
          </w:tcPr>
          <w:p>
            <w:pPr>
              <w:ind w:left="200"/>
              <w:spacing w:after="0" w:line="9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100" w:type="dxa"/>
            <w:vAlign w:val="bottom"/>
          </w:tcPr>
          <w:p>
            <w:pPr>
              <w:spacing w:after="0"/>
              <w:rPr>
                <w:sz w:val="8"/>
                <w:szCs w:val="8"/>
                <w:color w:val="auto"/>
              </w:rPr>
            </w:pPr>
          </w:p>
        </w:tc>
      </w:tr>
      <w:tr>
        <w:trPr>
          <w:trHeight w:val="29"/>
        </w:trPr>
        <w:tc>
          <w:tcPr>
            <w:tcW w:w="5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5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b w:val="1"/>
                <w:bCs w:val="1"/>
                <w:color w:val="auto"/>
              </w:rPr>
              <w:t>Principal Stockholders:</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8"/>
                <w:szCs w:val="8"/>
                <w:color w:val="auto"/>
              </w:rPr>
              <w:t>(3)</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8"/>
                <w:szCs w:val="8"/>
                <w:color w:val="auto"/>
              </w:rPr>
              <w:t>(4)</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6,935,807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6,935,807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16.5%</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6,935,807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15.9%</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Staci L. Buse</w:t>
            </w:r>
            <w:r>
              <w:rPr>
                <w:rFonts w:ascii="Arial" w:cs="Arial" w:eastAsia="Arial" w:hAnsi="Arial"/>
                <w:sz w:val="8"/>
                <w:szCs w:val="8"/>
                <w:color w:val="auto"/>
              </w:rPr>
              <w:t>(5)</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3,445,801</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3,445,801</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8.2%</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3,445,801</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7.9%</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Significant Ventures, LLC</w:t>
            </w:r>
            <w:r>
              <w:rPr>
                <w:rFonts w:ascii="Arial" w:cs="Arial" w:eastAsia="Arial" w:hAnsi="Arial"/>
                <w:sz w:val="8"/>
                <w:szCs w:val="8"/>
                <w:color w:val="auto"/>
              </w:rPr>
              <w:t>(6)</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2,896,051</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9.2%</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2,896,051</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6.9%</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2,896,051</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Directors and Executive Officers:</w:t>
            </w: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Brent D. Richardson</w:t>
            </w:r>
            <w:r>
              <w:rPr>
                <w:rFonts w:ascii="Arial" w:cs="Arial" w:eastAsia="Arial" w:hAnsi="Arial"/>
                <w:sz w:val="8"/>
                <w:szCs w:val="8"/>
                <w:color w:val="auto"/>
              </w:rPr>
              <w:t>(7)(10)</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3,445,801</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45.3%</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43.6%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Brian E. Mueller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104,998</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104,998</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John E. Crowley</w:t>
            </w:r>
            <w:r>
              <w:rPr>
                <w:rFonts w:ascii="Arial" w:cs="Arial" w:eastAsia="Arial" w:hAnsi="Arial"/>
                <w:sz w:val="8"/>
                <w:szCs w:val="8"/>
                <w:color w:val="auto"/>
              </w:rPr>
              <w:t>(8)</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394,728</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394,728</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394,728</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8"/>
                <w:szCs w:val="8"/>
                <w:color w:val="auto"/>
              </w:rPr>
              <w:t>(9)(10)</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3,446,666</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45.3%</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19,053,417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43.6%</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Daniel E. Bachus</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 Stan Meyer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Timothy N. Fischer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Michael S. Lacrosse</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Kathy Player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28,296</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Chad N. Heath</w:t>
            </w:r>
            <w:r>
              <w:rPr>
                <w:rFonts w:ascii="Arial" w:cs="Arial" w:eastAsia="Arial" w:hAnsi="Arial"/>
                <w:sz w:val="8"/>
                <w:szCs w:val="8"/>
                <w:color w:val="auto"/>
              </w:rPr>
              <w:t>(11)</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 Mark Dorman</w:t>
            </w:r>
            <w:r>
              <w:rPr>
                <w:rFonts w:ascii="Arial" w:cs="Arial" w:eastAsia="Arial" w:hAnsi="Arial"/>
                <w:sz w:val="8"/>
                <w:szCs w:val="8"/>
                <w:color w:val="auto"/>
              </w:rPr>
              <w:t>(11)</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9,652,157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30.6%</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22.9%</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9,652,157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22.1%</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David J. Johnson</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Jack A. Henry</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All directors, director-nominees, and executive officers as a group (12 persons)</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16,939,352</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53.8%</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28,895,460</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28,895,460</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0"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60" w:hanging="191"/>
        <w:spacing w:after="0" w:line="276" w:lineRule="auto"/>
        <w:tabs>
          <w:tab w:leader="none" w:pos="18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7,692,938 shares of common stock issuable upon the conversion of shares of Series A convertible preferred stock and approximately 525,402 shares of common stock issuable upon the conversion of shares of Series C preferred stock, in each case held of record by Endeavour Capital Fund IV, L.P.;</w:t>
      </w:r>
    </w:p>
    <w:p>
      <w:pPr>
        <w:spacing w:after="0" w:line="10" w:lineRule="exact"/>
        <w:rPr>
          <w:rFonts w:ascii="Arial" w:cs="Arial" w:eastAsia="Arial" w:hAnsi="Arial"/>
          <w:sz w:val="13"/>
          <w:szCs w:val="13"/>
          <w:color w:val="auto"/>
        </w:rPr>
      </w:pPr>
    </w:p>
    <w:p>
      <w:pPr>
        <w:ind w:left="1880" w:right="220" w:hanging="191"/>
        <w:spacing w:after="0" w:line="307"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471,108 shares of common stock issuable upon the conversion of shares of Series A convertible preferred stock and approximately 32,215 shares of common stock issuable upon the conversion of shares of Series C preferred stock, in each case held of record by Endeavour Associates Fund IV, L.P.; and</w:t>
      </w:r>
    </w:p>
    <w:p>
      <w:pPr>
        <w:ind w:left="1880" w:right="220" w:hanging="191"/>
        <w:spacing w:after="0" w:line="316"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871,002 shares of common stock issuable upon the conversion of shares of Series A convertible preferred stock and approximately 59,493 shares of common stock issuable upon the conversion of shares of Series C preferred stock, in each case held of record by Endeavour Capital Parallel Fund IV, L.P.</w:t>
      </w:r>
    </w:p>
    <w:p>
      <w:pPr>
        <w:ind w:left="1600" w:right="80"/>
        <w:spacing w:after="0" w:line="260" w:lineRule="auto"/>
        <w:rPr>
          <w:sz w:val="20"/>
          <w:szCs w:val="20"/>
          <w:color w:val="auto"/>
        </w:rPr>
      </w:pPr>
      <w:r>
        <w:rPr>
          <w:rFonts w:ascii="Arial" w:cs="Arial" w:eastAsia="Arial" w:hAnsi="Arial"/>
          <w:sz w:val="13"/>
          <w:szCs w:val="13"/>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Consists of</w:t>
      </w:r>
    </w:p>
    <w:p>
      <w:pPr>
        <w:spacing w:after="0" w:line="57" w:lineRule="exact"/>
        <w:rPr>
          <w:sz w:val="20"/>
          <w:szCs w:val="20"/>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1,835,130 shares of common stock issuable upon the conversion of shares of Series A convertible preferred stock and approximately 125,341 shares of common stock issuable upon the conversion of shares of Series C preferred stock, in each case held of record by 220 GCU, L.P.;</w:t>
      </w:r>
    </w:p>
    <w:p>
      <w:pPr>
        <w:spacing w:after="0" w:line="10"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1,297,172 shares of common stock and approximately 59,728 shares of common stock issuable upon the conversion of shares of Series C preferred stock, in each case held of record by 220 Education, L.P.;</w:t>
      </w:r>
    </w:p>
    <w:p>
      <w:pPr>
        <w:spacing w:after="0" w:line="10"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1,037,752 shares of common stock and approximately 47,784 shares of common stock issuable upon the conversion of shares of Series C preferred stock, in each case held of record by 220-SigEd, L.P.; and</w:t>
      </w:r>
    </w:p>
    <w:p>
      <w:pPr>
        <w:spacing w:after="0" w:line="10" w:lineRule="exact"/>
        <w:rPr>
          <w:rFonts w:ascii="Arial" w:cs="Arial" w:eastAsia="Arial" w:hAnsi="Arial"/>
          <w:sz w:val="13"/>
          <w:szCs w:val="13"/>
          <w:color w:val="auto"/>
        </w:rPr>
      </w:pPr>
    </w:p>
    <w:p>
      <w:pPr>
        <w:ind w:left="188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2,421,404 shares of common stock and approximately 111,495 shares of common stock issuable upon the conversion of shares of Series C preferred stock, in each case held of record by SV One, L.P.</w:t>
      </w:r>
    </w:p>
    <w:p>
      <w:pPr>
        <w:spacing w:after="0" w:line="20" w:lineRule="exact"/>
        <w:rPr>
          <w:sz w:val="20"/>
          <w:szCs w:val="20"/>
          <w:color w:val="auto"/>
        </w:rPr>
      </w:pPr>
    </w:p>
    <w:p>
      <w:pPr>
        <w:ind w:left="1600" w:right="60"/>
        <w:spacing w:after="0" w:line="280" w:lineRule="auto"/>
        <w:rPr>
          <w:sz w:val="20"/>
          <w:szCs w:val="20"/>
          <w:color w:val="auto"/>
        </w:rPr>
      </w:pPr>
      <w:r>
        <w:rPr>
          <w:rFonts w:ascii="Arial" w:cs="Arial" w:eastAsia="Arial" w:hAnsi="Arial"/>
          <w:sz w:val="12"/>
          <w:szCs w:val="12"/>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 stock. Each of Messrs. Brent Richardson and Chris Richardson disclaim beneficial ownership of such shares, except to the extent of such voting interest.</w:t>
      </w:r>
    </w:p>
    <w:p>
      <w:pPr>
        <w:spacing w:after="0" w:line="19" w:lineRule="exact"/>
        <w:rPr>
          <w:sz w:val="20"/>
          <w:szCs w:val="20"/>
          <w:color w:val="auto"/>
        </w:rPr>
      </w:pPr>
    </w:p>
    <w:p>
      <w:pPr>
        <w:ind w:left="1000" w:right="4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spacing w:after="0" w:line="22" w:lineRule="exact"/>
        <w:rPr>
          <w:rFonts w:ascii="Arial" w:cs="Arial" w:eastAsia="Arial" w:hAnsi="Arial"/>
          <w:sz w:val="13"/>
          <w:szCs w:val="13"/>
          <w:color w:val="auto"/>
        </w:rPr>
      </w:pPr>
    </w:p>
    <w:p>
      <w:pPr>
        <w:ind w:left="100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2,767,321 shares of common stock and approximately 128,730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22" w:lineRule="exact"/>
        <w:rPr>
          <w:rFonts w:ascii="Arial" w:cs="Arial" w:eastAsia="Arial" w:hAnsi="Arial"/>
          <w:sz w:val="13"/>
          <w:szCs w:val="13"/>
          <w:color w:val="auto"/>
        </w:rPr>
      </w:pPr>
    </w:p>
    <w:p>
      <w:pPr>
        <w:jc w:val="both"/>
        <w:ind w:left="1000" w:right="28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Prior to this offering, the total for Brent D. Richardson consists of 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Mr. Richardson.</w:t>
      </w:r>
    </w:p>
    <w:p>
      <w:pPr>
        <w:spacing w:after="0" w:line="17"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382,435 shares of common stock and approximately 12,294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0"/>
        <w:spacing w:after="0" w:line="276" w:lineRule="auto"/>
        <w:rPr>
          <w:sz w:val="20"/>
          <w:szCs w:val="20"/>
          <w:color w:val="auto"/>
        </w:rPr>
      </w:pPr>
      <w:r>
        <w:rPr>
          <w:rFonts w:ascii="Arial" w:cs="Arial" w:eastAsia="Arial" w:hAnsi="Arial"/>
          <w:sz w:val="13"/>
          <w:szCs w:val="13"/>
          <w:color w:val="auto"/>
        </w:rPr>
        <w:t>and Chris Richardson have voting power over the shares beneficially owned by Mr. Crowley. Each of Messrs. Brent Richardson and Chris Richardson disclaim beneficial ownership of such shares, except to the extent of such voting interest.</w:t>
      </w:r>
    </w:p>
    <w:p>
      <w:pPr>
        <w:spacing w:after="0" w:line="10" w:lineRule="exact"/>
        <w:rPr>
          <w:sz w:val="20"/>
          <w:szCs w:val="20"/>
          <w:color w:val="auto"/>
        </w:rPr>
      </w:pPr>
    </w:p>
    <w:p>
      <w:pPr>
        <w:ind w:left="1000" w:right="180" w:hanging="259"/>
        <w:spacing w:after="0" w:line="264" w:lineRule="auto"/>
        <w:tabs>
          <w:tab w:leader="none" w:pos="10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Prior to this offering, the total for Christopher C. Richardson consists of 3,348,317 shares of common stock held of record by Rich Crow Enterprises, LLC and Masters Online, LLC and 98,349 shares of common stock issuable upon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80" w:hanging="307"/>
        <w:spacing w:after="0"/>
        <w:tabs>
          <w:tab w:leader="none" w:pos="10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Following this offering, the total for Brent D. Richardson and Christopher C. Richardson consists of:</w:t>
      </w:r>
    </w:p>
    <w:p>
      <w:pPr>
        <w:spacing w:after="0" w:line="56" w:lineRule="exact"/>
        <w:rPr>
          <w:rFonts w:ascii="Arial" w:cs="Arial" w:eastAsia="Arial" w:hAnsi="Arial"/>
          <w:sz w:val="13"/>
          <w:szCs w:val="13"/>
          <w:color w:val="auto"/>
        </w:rPr>
      </w:pPr>
    </w:p>
    <w:p>
      <w:pPr>
        <w:ind w:left="1880" w:right="8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Mr. Brent D. Richardson.</w:t>
      </w:r>
    </w:p>
    <w:p>
      <w:pPr>
        <w:spacing w:after="0" w:line="17" w:lineRule="exact"/>
        <w:rPr>
          <w:rFonts w:ascii="Arial" w:cs="Arial" w:eastAsia="Arial" w:hAnsi="Arial"/>
          <w:sz w:val="13"/>
          <w:szCs w:val="13"/>
          <w:color w:val="auto"/>
        </w:rPr>
      </w:pPr>
    </w:p>
    <w:p>
      <w:pPr>
        <w:ind w:left="1880" w:right="420" w:hanging="191"/>
        <w:spacing w:after="0" w:line="280"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3,348,317 shares of common stock held of record by Rich Crow Enterprises, LLC and Masters Online, LLC and 98,349 shares of common stock issuable upon conversion of Series C preferred stock held of record by Rich Crow Enterprises, LLC, in each case which are attributable to, and beneficially owned by,</w:t>
      </w:r>
    </w:p>
    <w:p>
      <w:pPr>
        <w:ind w:left="1880"/>
        <w:spacing w:after="0"/>
        <w:rPr>
          <w:rFonts w:ascii="Arial" w:cs="Arial" w:eastAsia="Arial" w:hAnsi="Arial"/>
          <w:sz w:val="12"/>
          <w:szCs w:val="12"/>
          <w:color w:val="auto"/>
        </w:rPr>
      </w:pPr>
      <w:r>
        <w:rPr>
          <w:rFonts w:ascii="Arial" w:cs="Arial" w:eastAsia="Arial" w:hAnsi="Arial"/>
          <w:sz w:val="13"/>
          <w:szCs w:val="13"/>
          <w:color w:val="auto"/>
        </w:rPr>
        <w:t>Mr. Christopher C. Richardson.</w:t>
      </w:r>
    </w:p>
    <w:p>
      <w:pPr>
        <w:spacing w:after="0" w:line="39" w:lineRule="exact"/>
        <w:rPr>
          <w:rFonts w:ascii="Arial" w:cs="Arial" w:eastAsia="Arial" w:hAnsi="Arial"/>
          <w:sz w:val="12"/>
          <w:szCs w:val="12"/>
          <w:color w:val="auto"/>
        </w:rPr>
      </w:pPr>
    </w:p>
    <w:p>
      <w:pPr>
        <w:ind w:left="1880" w:right="14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98,349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17" w:lineRule="exact"/>
        <w:rPr>
          <w:rFonts w:ascii="Arial" w:cs="Arial" w:eastAsia="Arial" w:hAnsi="Arial"/>
          <w:sz w:val="13"/>
          <w:szCs w:val="13"/>
          <w:color w:val="auto"/>
        </w:rPr>
      </w:pPr>
    </w:p>
    <w:p>
      <w:pPr>
        <w:ind w:left="1880" w:right="160" w:hanging="191"/>
        <w:spacing w:after="0" w:line="307"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382,435 shares of common stock held of record by Rich Crow Enterprises, LLC and approximately 12,294 shares of common stock issuable upon the conversion of Series C preferred stock held of record by Rich Crow Enterprises, LLC, in each case which are attributable to, and beneficially owned by, Mr. John Crowley.</w:t>
      </w:r>
    </w:p>
    <w:p>
      <w:pPr>
        <w:ind w:left="1880" w:hanging="191"/>
        <w:spacing w:after="0"/>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The shares held by the 220 Entities and the shares held by Significant Ventures, as described in Notes (4) and (5) above.</w:t>
      </w:r>
    </w:p>
    <w:p>
      <w:pPr>
        <w:spacing w:after="0" w:line="47" w:lineRule="exact"/>
        <w:rPr>
          <w:rFonts w:ascii="Arial" w:cs="Arial" w:eastAsia="Arial" w:hAnsi="Arial"/>
          <w:sz w:val="13"/>
          <w:szCs w:val="13"/>
          <w:color w:val="auto"/>
        </w:rPr>
      </w:pPr>
    </w:p>
    <w:p>
      <w:pPr>
        <w:ind w:left="1880" w:hanging="191"/>
        <w:spacing w:after="0"/>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310,694 shares of common stock and 12,998 shares of common stock issuable upon the conversion of Series C preferred stock held of record by other stockholders.</w:t>
      </w:r>
    </w:p>
    <w:p>
      <w:pPr>
        <w:spacing w:after="0" w:line="68" w:lineRule="exact"/>
        <w:rPr>
          <w:sz w:val="20"/>
          <w:szCs w:val="20"/>
          <w:color w:val="auto"/>
        </w:rPr>
      </w:pPr>
    </w:p>
    <w:p>
      <w:pPr>
        <w:ind w:left="1600" w:right="80"/>
        <w:spacing w:after="0" w:line="329" w:lineRule="auto"/>
        <w:rPr>
          <w:sz w:val="20"/>
          <w:szCs w:val="20"/>
          <w:color w:val="auto"/>
        </w:rPr>
      </w:pPr>
      <w:r>
        <w:rPr>
          <w:rFonts w:ascii="Arial" w:cs="Arial" w:eastAsia="Arial" w:hAnsi="Arial"/>
          <w:sz w:val="11"/>
          <w:szCs w:val="11"/>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1" w:lineRule="exact"/>
        <w:rPr>
          <w:sz w:val="20"/>
          <w:szCs w:val="20"/>
          <w:color w:val="auto"/>
        </w:rPr>
      </w:pPr>
    </w:p>
    <w:p>
      <w:pPr>
        <w:ind w:left="1080" w:hanging="302"/>
        <w:spacing w:after="0" w:line="260" w:lineRule="auto"/>
        <w:tabs>
          <w:tab w:leader="none" w:pos="10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9,035,048 shares of common stock issuable upon conversion of Series A convertible preferred stock and 617,109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following description of our capital stock summarizes provisions of our certificate of incorporation and bylaws as they will be in effect upon completion of the offering. As of the date of this prospectus, our authorized capital stock consists of 100,000,000 shares of common stock, $0.01 par value per share, and 15,800 shares of preferred stock, $0.01 par value per share, of which 9,700 are designated as Series A convertible preferred stock, 2,200 are designated as Series B preferred stock (which are no longer outstanding) and 3,900 are designated as Series C preferred stock. Immediately after completion of this offering, after giving effect to the conversion of our outstanding Series A convertible preferred stock and Series C preferred stock into common stock and the effectiveness of our amended and restated certificate of incorporation, our authorized capital stock will consist of 100,000,000 shares of common stock, $0.01 par value per share, and 10,000,000 shares of undesignated preferred stock, $0.01 par value per share.</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As of September 30, 2008, there were 31,499,354 shares of our common stock outstanding and held of record by fourteen stockholders, assuming conversion of all outstanding shares of Series A preferred stock into 10,870,178 shares of common stock and all outstanding shares of Series C preferred stock into 1,410,526 shares of common stock based on a conversion price equal to the initial public offering price per share, which is estimated to be $19.00 per share, which is the midpoint of the range set forth on the cover page of this prospectus.</w:t>
      </w:r>
    </w:p>
    <w:p>
      <w:pPr>
        <w:spacing w:after="0" w:line="3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delaying, deferring or preventing a change in control of our company and may adversely affect the market price of our common stock and the voting and other rights of the holders of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of September 30, 2008, we had outstanding a warrant to purchase an aggregate of 909,348 shares of our common stock at an exercise price of approximately $0.58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owned by our original investors. In connection with this offering, we have the right to repurchase the warrant or the underlying shares and intend to use $16.0 million of the net proceeds of this offering to effect such repurchase. Following such repurchase we would have no shares of common stock issuable upon exercise of outstanding warrants. See “Use of Proceeds” for further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will provide that directors may be removed only for cause by the affirmative vote of the holders of a majority of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will provide that all stockholder actions are required to be taken by a vote of the stockholders at an annual or special meeting,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stockholders may not take any action by written consent in lieu of a meeting.</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will provide that only a majority of the members of our board of directors then in office may call special meetings of stockholders and only</w:t>
      </w:r>
      <w:r>
        <w:rPr>
          <w:rFonts w:ascii="Arial" w:cs="Arial" w:eastAsia="Arial" w:hAnsi="Arial"/>
          <w:sz w:val="13"/>
          <w:szCs w:val="13"/>
          <w:i w:val="1"/>
          <w:iCs w:val="1"/>
          <w:color w:val="auto"/>
        </w:rPr>
        <w:t xml:space="preserve"> </w:t>
      </w:r>
      <w:r>
        <w:rPr>
          <w:rFonts w:ascii="Arial" w:cs="Arial" w:eastAsia="Arial" w:hAnsi="Arial"/>
          <w:sz w:val="13"/>
          <w:szCs w:val="13"/>
          <w:color w:val="auto"/>
        </w:rPr>
        <w:t>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Advance Notice Requirements. </w:t>
      </w:r>
      <w:r>
        <w:rPr>
          <w:rFonts w:ascii="Arial" w:cs="Arial" w:eastAsia="Arial" w:hAnsi="Arial"/>
          <w:sz w:val="12"/>
          <w:szCs w:val="12"/>
          <w:color w:val="auto"/>
        </w:rPr>
        <w:t>Our bylaws will establish advance notice procedures with regard to stockholder proposals relating to the nomination of candidates for election as</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120 days prior to the first anniversary date of the annual meeting for the preceding year. The notice must contain certain information specified in the bylaws.</w:t>
      </w:r>
    </w:p>
    <w:p>
      <w:pPr>
        <w:spacing w:after="0" w:line="53"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 or</w:t>
      </w:r>
      <w:r>
        <w:rPr>
          <w:rFonts w:ascii="Arial" w:cs="Arial" w:eastAsia="Arial" w:hAnsi="Arial"/>
          <w:sz w:val="13"/>
          <w:szCs w:val="13"/>
          <w:i w:val="1"/>
          <w:iCs w:val="1"/>
          <w:color w:val="auto"/>
        </w:rPr>
        <w:t xml:space="preserve"> </w:t>
      </w:r>
      <w:r>
        <w:rPr>
          <w:rFonts w:ascii="Arial" w:cs="Arial" w:eastAsia="Arial" w:hAnsi="Arial"/>
          <w:sz w:val="13"/>
          <w:szCs w:val="13"/>
          <w:color w:val="auto"/>
        </w:rPr>
        <w:t>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will provide for 10,000,000 authorized shares of preferred stock. The existence of authorized but unissued shares of preferred stock may</w:t>
      </w:r>
      <w:r>
        <w:rPr>
          <w:rFonts w:ascii="Arial" w:cs="Arial" w:eastAsia="Arial" w:hAnsi="Arial"/>
          <w:sz w:val="13"/>
          <w:szCs w:val="13"/>
          <w:i w:val="1"/>
          <w:iCs w:val="1"/>
          <w:color w:val="auto"/>
        </w:rPr>
        <w:t xml:space="preserve"> </w:t>
      </w:r>
      <w:r>
        <w:rPr>
          <w:rFonts w:ascii="Arial" w:cs="Arial" w:eastAsia="Arial" w:hAnsi="Arial"/>
          <w:sz w:val="13"/>
          <w:szCs w:val="13"/>
          <w:color w:val="auto"/>
        </w:rPr>
        <w:t>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combination between a corporation and an interested stockholder is prohibited unless it satisfies one of the following conditions:</w:t>
      </w:r>
    </w:p>
    <w:p>
      <w:pPr>
        <w:spacing w:after="0" w:line="96" w:lineRule="exact"/>
        <w:rPr>
          <w:sz w:val="20"/>
          <w:szCs w:val="20"/>
          <w:color w:val="auto"/>
        </w:rPr>
      </w:pPr>
    </w:p>
    <w:p>
      <w:pPr>
        <w:ind w:left="168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permitted by the DGCL, provisions in our charter and bylaws that will be in effect at the closing of this offering will limit or eliminate the personal liability of our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Consequently, directors will not be personally liable to us or our stockholders for monetary damages or breach of fiduciary duty as a director, except for liability for:</w:t>
      </w:r>
    </w:p>
    <w:p>
      <w:pPr>
        <w:spacing w:after="0" w:line="89" w:lineRule="exact"/>
        <w:rPr>
          <w:sz w:val="20"/>
          <w:szCs w:val="20"/>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right="6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also intend to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University, we have been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informed that in the opinion of the SEC such indemnification is against public policy as expressed in the Securities Act and is therefore unenforceable.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Before the date of this prospectus, there has been no public market for the common stock. We have received approval to have our common stock listed on the Nasdaq Global Market, subject to notice of issuance, under the symbol “LOPE.”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Upon the closing of this offering, we will have outstanding an aggregate of 42,104,352 shares of common stock (inclusive of stock grants made in connection with the offering under the Incentive Plan). Of these shares, 10,500,000 shares of common stock to be sold in this offering, or 12,075,000 shares if the underwriters exercise their over-allotment option in 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 for the purchase of 3,212,575 shares of common stock.</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59" w:lineRule="exact"/>
        <w:rPr>
          <w:sz w:val="20"/>
          <w:szCs w:val="20"/>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on the date of this prospectus;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under Rule 144 or Rule 701 beginning 90 days after the date of this prospectus; and</w:t>
      </w:r>
    </w:p>
    <w:p>
      <w:pPr>
        <w:spacing w:after="0" w:line="8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of our shares of common stock shares will be eligible for sale upon the expiration of the lock-up agreements, as more particularly and except as described below, beginning after expiration of the lock-up period pursuant to Rule 144 or Rule 701.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50" w:lineRule="exact"/>
        <w:rPr>
          <w:sz w:val="20"/>
          <w:szCs w:val="20"/>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one percent of the number of shares of common stock then outstanding, which will equal approximately 421,044 shares immediately after this offering;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0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 approximately 31,604,352 shares of our outstanding restricted securities will be eligible for sale under Rule 144.</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 on Form S-8</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intend to file one or more registration statements on Form S-8 under the Securities Act covering up to 5,249,921 shares of common stock reserved for issuance under our Incentive Plan and our ESPP. These registration statements are expected to be filed soon after the date of this prospectus and will automatically become effective upon filing. Accordingly, shares registered under such registration statements will be available for sale in the open market, unless such shares are subject to vesting restrictions with us or are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otherwise subject to the lock-up agreements and manner of sale and notice requirements that apply to affiliates under Rule 144 described above.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 description of the lock-up agreements with the underwriters that restrict sales of shares by us, or directors, executive officers, and stockholders, see the information under the heading “Underwriting.”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registration rights with respect to our common stock, see the information under the heading titled “Description of Capital Stock — Registration Rights.”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6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Code;</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2008, we have agreed to sell to the underwriters named below, for whom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Suisse Securities (USA) LLC and Merrill Lynch, Pierce, Fenner &amp; Smith Incorporated are acting as the representatives, the following respective numbers of shares of common stock:</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400" w:type="dxa"/>
            <w:vAlign w:val="bottom"/>
            <w:gridSpan w:val="2"/>
          </w:tcPr>
          <w:p>
            <w:pPr>
              <w:spacing w:after="0"/>
              <w:rPr>
                <w:sz w:val="20"/>
                <w:szCs w:val="20"/>
                <w:color w:val="auto"/>
              </w:rPr>
            </w:pPr>
            <w:r>
              <w:rPr>
                <w:rFonts w:ascii="Arial" w:cs="Arial" w:eastAsia="Arial" w:hAnsi="Arial"/>
                <w:sz w:val="10"/>
                <w:szCs w:val="10"/>
                <w:b w:val="1"/>
                <w:bCs w:val="1"/>
                <w:color w:val="auto"/>
              </w:rPr>
              <w:t>Underwriter</w:t>
            </w:r>
          </w:p>
        </w:tc>
        <w:tc>
          <w:tcPr>
            <w:tcW w:w="1580" w:type="dxa"/>
            <w:vAlign w:val="bottom"/>
            <w:gridSpan w:val="2"/>
          </w:tcPr>
          <w:p>
            <w:pPr>
              <w:ind w:left="340"/>
              <w:spacing w:after="0"/>
              <w:rPr>
                <w:sz w:val="20"/>
                <w:szCs w:val="20"/>
                <w:color w:val="auto"/>
              </w:rPr>
            </w:pPr>
            <w:r>
              <w:rPr>
                <w:rFonts w:ascii="Arial" w:cs="Arial" w:eastAsia="Arial" w:hAnsi="Arial"/>
                <w:sz w:val="10"/>
                <w:szCs w:val="10"/>
                <w:b w:val="1"/>
                <w:bCs w:val="1"/>
                <w:color w:val="auto"/>
              </w:rPr>
              <w:t>Number of Shares</w:t>
            </w:r>
          </w:p>
        </w:tc>
      </w:tr>
      <w:tr>
        <w:trPr>
          <w:trHeight w:val="29"/>
        </w:trPr>
        <w:tc>
          <w:tcPr>
            <w:tcW w:w="8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84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 w:type="dxa"/>
            <w:vAlign w:val="bottom"/>
          </w:tcPr>
          <w:p>
            <w:pPr>
              <w:spacing w:after="0"/>
              <w:rPr>
                <w:sz w:val="14"/>
                <w:szCs w:val="14"/>
                <w:color w:val="auto"/>
              </w:rPr>
            </w:pPr>
          </w:p>
        </w:tc>
        <w:tc>
          <w:tcPr>
            <w:tcW w:w="8320" w:type="dxa"/>
            <w:vAlign w:val="bottom"/>
          </w:tcPr>
          <w:p>
            <w:pPr>
              <w:ind w:left="620"/>
              <w:spacing w:after="0"/>
              <w:rPr>
                <w:sz w:val="20"/>
                <w:szCs w:val="20"/>
                <w:color w:val="auto"/>
              </w:rPr>
            </w:pPr>
            <w:r>
              <w:rPr>
                <w:rFonts w:ascii="Arial" w:cs="Arial" w:eastAsia="Arial" w:hAnsi="Arial"/>
                <w:sz w:val="13"/>
                <w:szCs w:val="13"/>
                <w:color w:val="auto"/>
              </w:rPr>
              <w:t>Incorporated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BMO Capital Markets Corp.</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Piper Jaffray &amp; Co.</w:t>
            </w:r>
          </w:p>
        </w:tc>
        <w:tc>
          <w:tcPr>
            <w:tcW w:w="14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80" w:type="dxa"/>
            <w:vAlign w:val="bottom"/>
          </w:tcPr>
          <w:p>
            <w:pPr>
              <w:spacing w:after="0"/>
              <w:rPr>
                <w:sz w:val="14"/>
                <w:szCs w:val="14"/>
                <w:color w:val="auto"/>
              </w:rPr>
            </w:pPr>
          </w:p>
        </w:tc>
        <w:tc>
          <w:tcPr>
            <w:tcW w:w="8320" w:type="dxa"/>
            <w:vAlign w:val="bottom"/>
          </w:tcPr>
          <w:p>
            <w:pPr>
              <w:ind w:left="6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10,500,000</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granted to the underwriters a 30-day option to purchase on a pro rata basis up to 1,575,000 additional shares from us at the initial public offering price less the underwriting discounts and commissions. The option may be exercised only to cover any over-allotments of common stock.</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Per Share</w:t>
            </w:r>
          </w:p>
        </w:tc>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81"/>
        </w:trPr>
        <w:tc>
          <w:tcPr>
            <w:tcW w:w="4700" w:type="dxa"/>
            <w:vAlign w:val="bottom"/>
          </w:tcPr>
          <w:p>
            <w:pPr>
              <w:spacing w:after="0"/>
              <w:rPr>
                <w:sz w:val="7"/>
                <w:szCs w:val="7"/>
                <w:color w:val="auto"/>
              </w:rPr>
            </w:pPr>
          </w:p>
        </w:tc>
        <w:tc>
          <w:tcPr>
            <w:tcW w:w="920" w:type="dxa"/>
            <w:vAlign w:val="bottom"/>
          </w:tcPr>
          <w:p>
            <w:pPr>
              <w:jc w:val="center"/>
              <w:ind w:left="50"/>
              <w:spacing w:after="0" w:line="81" w:lineRule="exact"/>
              <w:rPr>
                <w:sz w:val="20"/>
                <w:szCs w:val="20"/>
                <w:color w:val="auto"/>
              </w:rPr>
            </w:pPr>
            <w:r>
              <w:rPr>
                <w:rFonts w:ascii="Arial" w:cs="Arial" w:eastAsia="Arial" w:hAnsi="Arial"/>
                <w:sz w:val="9"/>
                <w:szCs w:val="9"/>
                <w:b w:val="1"/>
                <w:bCs w:val="1"/>
                <w:color w:val="auto"/>
              </w:rPr>
              <w:t>Without</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38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Without</w:t>
            </w:r>
          </w:p>
        </w:tc>
        <w:tc>
          <w:tcPr>
            <w:tcW w:w="400" w:type="dxa"/>
            <w:vAlign w:val="bottom"/>
          </w:tcPr>
          <w:p>
            <w:pPr>
              <w:spacing w:after="0"/>
              <w:rPr>
                <w:sz w:val="7"/>
                <w:szCs w:val="7"/>
                <w:color w:val="auto"/>
              </w:rPr>
            </w:pPr>
          </w:p>
        </w:tc>
        <w:tc>
          <w:tcPr>
            <w:tcW w:w="9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0"/>
                <w:szCs w:val="10"/>
                <w:b w:val="1"/>
                <w:bCs w:val="1"/>
                <w:color w:val="auto"/>
                <w:w w:val="96"/>
              </w:rPr>
              <w:t>Over-allotment</w:t>
            </w: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Over-allotment</w:t>
            </w:r>
          </w:p>
        </w:tc>
      </w:tr>
      <w:tr>
        <w:trPr>
          <w:trHeight w:val="178"/>
        </w:trPr>
        <w:tc>
          <w:tcPr>
            <w:tcW w:w="562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 paid by 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3"/>
                <w:szCs w:val="13"/>
                <w:color w:val="auto"/>
              </w:rPr>
              <w:t>Expenses payable by us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representatives have informed us that they do not expect sales to accounts over which the underwriters have discretionary authority to exceed 5% of the shares of common stock being offered.</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w:t>
      </w:r>
    </w:p>
    <w:p>
      <w:pPr>
        <w:spacing w:after="0" w:line="1"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directors, executive officers, and stockholders have agreed that they will not offer, sell, contract to sell, pledge, or otherwise dispose of, directly or indirectly, any shares of our common stock or securities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underwriters have reserved for sale at the initial public offering price up to approximately 525,000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32" w:lineRule="exact"/>
        <w:rPr>
          <w:sz w:val="20"/>
          <w:szCs w:val="20"/>
          <w:color w:val="auto"/>
        </w:rPr>
      </w:pPr>
    </w:p>
    <w:p>
      <w:pPr>
        <w:ind w:left="1080" w:right="260"/>
        <w:spacing w:after="0" w:line="394" w:lineRule="auto"/>
        <w:rPr>
          <w:sz w:val="20"/>
          <w:szCs w:val="20"/>
          <w:color w:val="auto"/>
        </w:rPr>
      </w:pPr>
      <w:r>
        <w:rPr>
          <w:rFonts w:ascii="Arial" w:cs="Arial" w:eastAsia="Arial" w:hAnsi="Arial"/>
          <w:sz w:val="13"/>
          <w:szCs w:val="13"/>
          <w:color w:val="auto"/>
        </w:rPr>
        <w:t>We have agreed to indemnify the underwriters against liabilities under the Securities Act, or contribute to payments that the underwriters may be required to make in that respect. We have received approval to list the shares of common stock on the Nasdaq Global Market under the symbol “LOPE.”</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35"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35" w:lineRule="exact"/>
        <w:rPr>
          <w:sz w:val="20"/>
          <w:szCs w:val="20"/>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presented in this prospectus and otherwise available to the underwriters;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history of and the prospects for the industry in which we will compete;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ability of our management;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prospects for our future earning;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present state of our development and our current financial condition;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recent market prices of, and the demand for, publicly traded common stock of generally comparable companies;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general condition of the securities markets at the time of the offering.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hanging="187"/>
        <w:spacing w:after="0"/>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89" w:lineRule="exact"/>
        <w:rPr>
          <w:sz w:val="20"/>
          <w:szCs w:val="20"/>
          <w:color w:val="auto"/>
        </w:rPr>
      </w:pPr>
    </w:p>
    <w:p>
      <w:pPr>
        <w:ind w:left="1680" w:hanging="195"/>
        <w:spacing w:after="0"/>
        <w:tabs>
          <w:tab w:leader="none" w:pos="1680" w:val="left"/>
        </w:tabs>
        <w:numPr>
          <w:ilvl w:val="1"/>
          <w:numId w:val="83"/>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w:t>
      </w:r>
    </w:p>
    <w:p>
      <w:pPr>
        <w:spacing w:after="0" w:line="88" w:lineRule="exact"/>
        <w:rPr>
          <w:rFonts w:ascii="Arial" w:cs="Arial" w:eastAsia="Arial" w:hAnsi="Arial"/>
          <w:sz w:val="13"/>
          <w:szCs w:val="13"/>
          <w:color w:val="auto"/>
        </w:rPr>
      </w:pPr>
    </w:p>
    <w:p>
      <w:pPr>
        <w:ind w:left="1660" w:hanging="175"/>
        <w:spacing w:after="0"/>
        <w:tabs>
          <w:tab w:leader="none" w:pos="16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 or</w:t>
      </w:r>
    </w:p>
    <w:p>
      <w:pPr>
        <w:spacing w:after="0" w:line="88" w:lineRule="exact"/>
        <w:rPr>
          <w:rFonts w:ascii="Arial" w:cs="Arial" w:eastAsia="Arial" w:hAnsi="Arial"/>
          <w:sz w:val="12"/>
          <w:szCs w:val="12"/>
          <w:color w:val="auto"/>
        </w:rPr>
      </w:pPr>
    </w:p>
    <w:p>
      <w:pPr>
        <w:ind w:left="1680" w:hanging="195"/>
        <w:spacing w:after="0"/>
        <w:tabs>
          <w:tab w:leader="none" w:pos="1680" w:val="left"/>
        </w:tabs>
        <w:numPr>
          <w:ilvl w:val="1"/>
          <w:numId w:val="84"/>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us of a prospectus pursuant to Article 3 of the Prospectus Directive.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NOTICE TO UNITED KINGDOM RESIDENTS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underwriters severally represents, warrants and agrees as follows:</w:t>
      </w:r>
    </w:p>
    <w:p>
      <w:pPr>
        <w:spacing w:after="0" w:line="96" w:lineRule="exact"/>
        <w:rPr>
          <w:sz w:val="20"/>
          <w:szCs w:val="20"/>
          <w:color w:val="auto"/>
        </w:rPr>
      </w:pPr>
    </w:p>
    <w:p>
      <w:pPr>
        <w:ind w:left="680" w:right="220" w:firstLine="805"/>
        <w:spacing w:after="0" w:line="296" w:lineRule="auto"/>
        <w:tabs>
          <w:tab w:leader="none" w:pos="1657"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49" w:lineRule="exact"/>
        <w:rPr>
          <w:rFonts w:ascii="Arial" w:cs="Arial" w:eastAsia="Arial" w:hAnsi="Arial"/>
          <w:sz w:val="12"/>
          <w:szCs w:val="12"/>
          <w:color w:val="auto"/>
        </w:rPr>
      </w:pPr>
    </w:p>
    <w:p>
      <w:pPr>
        <w:ind w:left="680" w:right="220" w:firstLine="805"/>
        <w:spacing w:after="0" w:line="276" w:lineRule="auto"/>
        <w:tabs>
          <w:tab w:leader="none" w:pos="1664" w:val="left"/>
        </w:tabs>
        <w:numPr>
          <w:ilvl w:val="0"/>
          <w:numId w:val="85"/>
        </w:numPr>
        <w:rPr>
          <w:rFonts w:ascii="Arial" w:cs="Arial" w:eastAsia="Arial" w:hAnsi="Arial"/>
          <w:sz w:val="13"/>
          <w:szCs w:val="13"/>
          <w:color w:val="auto"/>
        </w:rPr>
      </w:pPr>
      <w:r>
        <w:rPr>
          <w:rFonts w:ascii="Arial" w:cs="Arial" w:eastAsia="Arial" w:hAnsi="Arial"/>
          <w:sz w:val="13"/>
          <w:szCs w:val="13"/>
          <w:color w:val="auto"/>
        </w:rPr>
        <w:t>it has complied with, and will comply with all applicable provisions of FSMA with respect to anything done by it in relation to the shares of common stock in, from or otherwise involving the United Kingdom.</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Canadian securities regulatory authority. Purchasers are advised to seek legal advice prior to any resale of the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By purchasing the common stock in Canada and accepting a purchase confirmation a purchaser is representing to us and the dealer from whom the purchase confirmation is received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w:t>
      </w:r>
    </w:p>
    <w:p>
      <w:pPr>
        <w:spacing w:after="0" w:line="89" w:lineRule="exact"/>
        <w:rPr>
          <w:sz w:val="20"/>
          <w:szCs w:val="20"/>
          <w:color w:val="auto"/>
        </w:rPr>
      </w:pPr>
    </w:p>
    <w:p>
      <w:pPr>
        <w:ind w:left="1680" w:hanging="187"/>
        <w:spacing w:after="0"/>
        <w:tabs>
          <w:tab w:leader="none" w:pos="16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109" w:lineRule="exact"/>
        <w:rPr>
          <w:rFonts w:ascii="Arial" w:cs="Arial" w:eastAsia="Arial" w:hAnsi="Arial"/>
          <w:sz w:val="11"/>
          <w:szCs w:val="11"/>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ind w:left="45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148">
              <w:r>
                <w:rPr>
                  <w:rFonts w:ascii="Arial" w:cs="Arial" w:eastAsia="Arial" w:hAnsi="Arial"/>
                  <w:sz w:val="13"/>
                  <w:szCs w:val="13"/>
                  <w:color w:val="0000EE"/>
                  <w:w w:val="92"/>
                </w:rPr>
                <w:t>Report of Independent Registered Public Accounting Firm</w:t>
              </w:r>
            </w:hyperlink>
          </w:p>
        </w:tc>
        <w:tc>
          <w:tcPr>
            <w:tcW w:w="6580" w:type="dxa"/>
            <w:vAlign w:val="bottom"/>
            <w:gridSpan w:val="5"/>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51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149">
              <w:r>
                <w:rPr>
                  <w:rFonts w:ascii="Arial" w:cs="Arial" w:eastAsia="Arial" w:hAnsi="Arial"/>
                  <w:sz w:val="13"/>
                  <w:szCs w:val="13"/>
                  <w:color w:val="0000EE"/>
                  <w:w w:val="89"/>
                </w:rPr>
                <w:t>Balance Sheets as of December 31, 2006 and 2007 (restated) and September 30, 2008 (unaudited)</w:t>
              </w:r>
            </w:hyperlink>
          </w:p>
        </w:tc>
        <w:tc>
          <w:tcPr>
            <w:tcW w:w="4520" w:type="dxa"/>
            <w:vAlign w:val="bottom"/>
            <w:gridSpan w:val="4"/>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06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150">
              <w:r>
                <w:rPr>
                  <w:rFonts w:ascii="Arial" w:cs="Arial" w:eastAsia="Arial" w:hAnsi="Arial"/>
                  <w:sz w:val="13"/>
                  <w:szCs w:val="13"/>
                  <w:color w:val="0000EE"/>
                  <w:w w:val="89"/>
                </w:rPr>
                <w:t>Statements of Operations for the years ended December 31, 2005, 2006, and 2007 (restated) and for the nine month periods ended September 30, 2007 and 2008 (unaudited)</w:t>
              </w:r>
            </w:hyperlink>
          </w:p>
        </w:tc>
        <w:tc>
          <w:tcPr>
            <w:tcW w:w="600" w:type="dxa"/>
            <w:vAlign w:val="bottom"/>
            <w:gridSpan w:val="2"/>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w w:val="95"/>
              </w:rPr>
            </w:pPr>
            <w:hyperlink w:anchor="page151">
              <w:r>
                <w:rPr>
                  <w:rFonts w:ascii="Arial" w:cs="Arial" w:eastAsia="Arial" w:hAnsi="Arial"/>
                  <w:sz w:val="13"/>
                  <w:szCs w:val="13"/>
                  <w:color w:val="0000EE"/>
                  <w:w w:val="95"/>
                </w:rPr>
                <w:t>Statements of Preferred Stock and Stockholders’ Deficit for the years ended December 31, 2005, 2006, and 2007 (restated) and for the nine month period ended September 30,</w:t>
              </w:r>
            </w:hyperlink>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9"/>
              </w:rPr>
            </w:pPr>
            <w:hyperlink w:anchor="page151">
              <w:r>
                <w:rPr>
                  <w:rFonts w:ascii="Arial" w:cs="Arial" w:eastAsia="Arial" w:hAnsi="Arial"/>
                  <w:sz w:val="13"/>
                  <w:szCs w:val="13"/>
                  <w:color w:val="0000EE"/>
                  <w:w w:val="89"/>
                </w:rPr>
                <w:t>2008 (unaudited)</w:t>
              </w:r>
            </w:hyperlink>
          </w:p>
        </w:tc>
        <w:tc>
          <w:tcPr>
            <w:tcW w:w="8140" w:type="dxa"/>
            <w:vAlign w:val="bottom"/>
            <w:tcBorders>
              <w:top w:val="single" w:sz="8" w:color="0000EE"/>
            </w:tcBorders>
            <w:gridSpan w:val="6"/>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85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152">
              <w:r>
                <w:rPr>
                  <w:rFonts w:ascii="Arial" w:cs="Arial" w:eastAsia="Arial" w:hAnsi="Arial"/>
                  <w:sz w:val="13"/>
                  <w:szCs w:val="13"/>
                  <w:color w:val="0000EE"/>
                  <w:w w:val="90"/>
                </w:rPr>
                <w:t>Statements of Cash Flows for the years ended December 31, 2005, 2006, and 2007 (restated) and for the nine month period ended September 30, 2008 (unaudited)</w:t>
              </w:r>
            </w:hyperlink>
          </w:p>
        </w:tc>
        <w:tc>
          <w:tcPr>
            <w:tcW w:w="1120" w:type="dxa"/>
            <w:vAlign w:val="bottom"/>
            <w:gridSpan w:val="3"/>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53">
              <w:r>
                <w:rPr>
                  <w:rFonts w:ascii="Arial" w:cs="Arial" w:eastAsia="Arial" w:hAnsi="Arial"/>
                  <w:sz w:val="13"/>
                  <w:szCs w:val="13"/>
                  <w:color w:val="0000EE"/>
                </w:rPr>
                <w:t>Notes to Financial Statements</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5"/>
          </w:tcPr>
          <w:p>
            <w:pPr>
              <w:ind w:left="182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 except for Note 3, as to which the date is August 11, 2008, and Note 17, as to which the date is September 29,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(In thousands, except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5"/>
          </w:tcPr>
          <w:p>
            <w:pPr>
              <w:jc w:val="right"/>
              <w:ind w:right="520"/>
              <w:spacing w:after="0"/>
              <w:rPr>
                <w:sz w:val="20"/>
                <w:szCs w:val="20"/>
                <w:color w:val="auto"/>
              </w:rPr>
            </w:pPr>
            <w:r>
              <w:rPr>
                <w:rFonts w:ascii="Arial" w:cs="Arial" w:eastAsia="Arial" w:hAnsi="Arial"/>
                <w:sz w:val="8"/>
                <w:szCs w:val="8"/>
                <w:b w:val="1"/>
                <w:bCs w:val="1"/>
                <w:color w:val="auto"/>
              </w:rPr>
              <w:t>As of December 31,</w:t>
            </w:r>
          </w:p>
        </w:tc>
        <w:tc>
          <w:tcPr>
            <w:tcW w:w="100" w:type="dxa"/>
            <w:vAlign w:val="bottom"/>
          </w:tcPr>
          <w:p>
            <w:pPr>
              <w:spacing w:after="0"/>
              <w:rPr>
                <w:sz w:val="8"/>
                <w:szCs w:val="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8"/>
                <w:szCs w:val="8"/>
                <w:b w:val="1"/>
                <w:bCs w:val="1"/>
                <w:color w:val="auto"/>
                <w:w w:val="87"/>
              </w:rPr>
              <w:t>September 30,</w:t>
            </w:r>
          </w:p>
        </w:tc>
        <w:tc>
          <w:tcPr>
            <w:tcW w:w="120" w:type="dxa"/>
            <w:vAlign w:val="bottom"/>
          </w:tcPr>
          <w:p>
            <w:pPr>
              <w:spacing w:after="0"/>
              <w:rPr>
                <w:sz w:val="8"/>
                <w:szCs w:val="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Pro forma</w:t>
            </w:r>
          </w:p>
        </w:tc>
      </w:tr>
      <w:tr>
        <w:trPr>
          <w:trHeight w:val="78"/>
        </w:trPr>
        <w:tc>
          <w:tcPr>
            <w:tcW w:w="6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2006</w:t>
            </w: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ind w:right="54"/>
              <w:spacing w:after="0" w:line="79" w:lineRule="exact"/>
              <w:rPr>
                <w:sz w:val="20"/>
                <w:szCs w:val="20"/>
                <w:color w:val="auto"/>
              </w:rPr>
            </w:pPr>
            <w:r>
              <w:rPr>
                <w:rFonts w:ascii="Arial" w:cs="Arial" w:eastAsia="Arial" w:hAnsi="Arial"/>
                <w:sz w:val="8"/>
                <w:szCs w:val="8"/>
                <w:b w:val="1"/>
                <w:bCs w:val="1"/>
                <w:color w:val="auto"/>
              </w:rPr>
              <w:t>2007</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jc w:val="center"/>
              <w:ind w:right="55"/>
              <w:spacing w:after="0" w:line="79" w:lineRule="exact"/>
              <w:rPr>
                <w:sz w:val="20"/>
                <w:szCs w:val="20"/>
                <w:color w:val="auto"/>
              </w:rPr>
            </w:pPr>
            <w:r>
              <w:rPr>
                <w:rFonts w:ascii="Arial" w:cs="Arial" w:eastAsia="Arial" w:hAnsi="Arial"/>
                <w:sz w:val="8"/>
                <w:szCs w:val="8"/>
                <w:b w:val="1"/>
                <w:bCs w:val="1"/>
                <w:color w:val="auto"/>
                <w:w w:val="89"/>
              </w:rPr>
              <w:t>2008</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5"/>
              </w:rPr>
              <w:t>September 30, 2008</w:t>
            </w:r>
          </w:p>
        </w:tc>
      </w:tr>
      <w:tr>
        <w:trPr>
          <w:trHeight w:val="90"/>
        </w:trPr>
        <w:tc>
          <w:tcPr>
            <w:tcW w:w="6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jc w:val="right"/>
              <w:spacing w:after="0" w:line="81" w:lineRule="exact"/>
              <w:rPr>
                <w:sz w:val="20"/>
                <w:szCs w:val="20"/>
                <w:color w:val="auto"/>
              </w:rPr>
            </w:pPr>
            <w:r>
              <w:rPr>
                <w:rFonts w:ascii="Arial" w:cs="Arial" w:eastAsia="Arial" w:hAnsi="Arial"/>
                <w:sz w:val="8"/>
                <w:szCs w:val="8"/>
                <w:b w:val="1"/>
                <w:bCs w:val="1"/>
                <w:color w:val="auto"/>
                <w:w w:val="71"/>
              </w:rPr>
              <w:t>(Restated)</w:t>
            </w: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ind w:right="55"/>
              <w:spacing w:after="0" w:line="90" w:lineRule="exact"/>
              <w:rPr>
                <w:sz w:val="20"/>
                <w:szCs w:val="20"/>
                <w:color w:val="auto"/>
              </w:rPr>
            </w:pPr>
            <w:r>
              <w:rPr>
                <w:rFonts w:ascii="Arial" w:cs="Arial" w:eastAsia="Arial" w:hAnsi="Arial"/>
                <w:sz w:val="8"/>
                <w:szCs w:val="8"/>
                <w:b w:val="1"/>
                <w:bCs w:val="1"/>
                <w:color w:val="auto"/>
                <w:w w:val="89"/>
              </w:rPr>
              <w:t>(Unaudited)</w:t>
            </w:r>
          </w:p>
        </w:tc>
        <w:tc>
          <w:tcPr>
            <w:tcW w:w="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75"/>
              <w:spacing w:after="0" w:line="90" w:lineRule="exact"/>
              <w:rPr>
                <w:sz w:val="20"/>
                <w:szCs w:val="20"/>
                <w:color w:val="auto"/>
              </w:rPr>
            </w:pPr>
            <w:r>
              <w:rPr>
                <w:rFonts w:ascii="Arial" w:cs="Arial" w:eastAsia="Arial" w:hAnsi="Arial"/>
                <w:sz w:val="8"/>
                <w:szCs w:val="8"/>
                <w:b w:val="1"/>
                <w:bCs w:val="1"/>
                <w:color w:val="auto"/>
                <w:w w:val="89"/>
              </w:rPr>
              <w:t>(Unaudited)</w:t>
            </w:r>
          </w:p>
        </w:tc>
        <w:tc>
          <w:tcPr>
            <w:tcW w:w="100" w:type="dxa"/>
            <w:vAlign w:val="bottom"/>
          </w:tcPr>
          <w:p>
            <w:pPr>
              <w:spacing w:after="0"/>
              <w:rPr>
                <w:sz w:val="7"/>
                <w:szCs w:val="7"/>
                <w:color w:val="auto"/>
              </w:rPr>
            </w:pPr>
          </w:p>
        </w:tc>
      </w:tr>
      <w:tr>
        <w:trPr>
          <w:trHeight w:val="28"/>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ASSETS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Current assets: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14,361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23,210</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22,227</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22,227</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w w:val="99"/>
              </w:rPr>
              <w:t>Accounts receivable, net of allowance for doubtful accounts of $7,380 and $12,158 at December 31, 2006 and 2007, and $16,327 at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4,798</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7,114</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10,097</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10,097</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from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6,001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2,984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7,436</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7,436</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Prepaid expenses and other current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893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1,349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2,164</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2,164</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current assets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23,036</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42,314</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41,924</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41,924</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Property and equipment, net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29,017</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33,849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38,984</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38,984</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Restricted cash and investments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3,074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3,298</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3,391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3,391</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Prepaid royalties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317</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8,226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8,226</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2,941</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2,835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5,553</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5,553</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Deposit with former owner</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3,000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43</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4,599</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4,599</w:t>
            </w:r>
          </w:p>
        </w:tc>
      </w:tr>
      <w:tr>
        <w:trPr>
          <w:trHeight w:val="107"/>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61,232</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88,568</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105,618</w:t>
            </w:r>
          </w:p>
        </w:tc>
        <w:tc>
          <w:tcPr>
            <w:tcW w:w="3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105,618</w:t>
            </w:r>
          </w:p>
        </w:tc>
        <w:tc>
          <w:tcPr>
            <w:tcW w:w="100" w:type="dxa"/>
            <w:vAlign w:val="bottom"/>
          </w:tcPr>
          <w:p>
            <w:pPr>
              <w:spacing w:after="0"/>
              <w:rPr>
                <w:sz w:val="9"/>
                <w:szCs w:val="9"/>
                <w:color w:val="auto"/>
              </w:rPr>
            </w:pPr>
          </w:p>
        </w:tc>
      </w:tr>
      <w:tr>
        <w:trPr>
          <w:trHeight w:val="59"/>
        </w:trPr>
        <w:tc>
          <w:tcPr>
            <w:tcW w:w="6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LIABILITIES, PREFERRED STOCK AND 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Current liabilities: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Accounts payable</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3,181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3,434</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3,733</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3,733</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Accrued liabilities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3,044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6,893</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12,006</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161,631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Income taxes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2,535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241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4,046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4,046</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Deferred revenue and student deposits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6,133</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10,369</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25,583</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25,583</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Royalty payable to former owner</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3,646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7,428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to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836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1,005</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2,379</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2,379</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Line of credit</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6,000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Current portion of capital lease obligations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949</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1,150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1,100</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1,100</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Current portion of notes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374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392</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392</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current liabilities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20,698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37,166</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49,239</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198,864</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lease obligations, less current portion</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28,779</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28,078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29,675</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29,675</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Notes payable, less current portion</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2,088</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1,762</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1,422</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1,422</w:t>
            </w: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51,565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67,006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80,336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229,961</w:t>
            </w:r>
          </w:p>
        </w:tc>
      </w:tr>
      <w:tr>
        <w:trPr>
          <w:trHeight w:val="104"/>
        </w:trPr>
        <w:tc>
          <w:tcPr>
            <w:tcW w:w="6300" w:type="dxa"/>
            <w:vAlign w:val="bottom"/>
          </w:tcPr>
          <w:p>
            <w:pPr>
              <w:spacing w:after="0"/>
              <w:rPr>
                <w:sz w:val="20"/>
                <w:szCs w:val="20"/>
                <w:color w:val="auto"/>
              </w:rPr>
            </w:pPr>
            <w:r>
              <w:rPr>
                <w:rFonts w:ascii="Arial" w:cs="Arial" w:eastAsia="Arial" w:hAnsi="Arial"/>
                <w:sz w:val="9"/>
                <w:szCs w:val="9"/>
                <w:color w:val="auto"/>
              </w:rPr>
              <w:t>Commitments and contingencies</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43"/>
        </w:trPr>
        <w:tc>
          <w:tcPr>
            <w:tcW w:w="6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A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7,500 shares at December 31, 2006, and 9,700 shares at December 31,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5,953 shares at December 31, 2006, 2007 and September 30, 2008; 0 shares pro forma at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$57,750 at December 31, 2007 and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B 12%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2,200 shares at December 31, 2006,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865 shares at December 31, 2006, and 0 shares at December 31, 2007 and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$0 at December 31, 2007 and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C 8%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0 shares at December 31, 2006, and 3,900 shares at December 31,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w w:val="91"/>
              </w:rPr>
              <w:t>Issued and outstanding — 0 shares at December 31, 2006, and 3,829 shares at December 31, 2007 and September 30, 2008; 0 shares pro forma at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6"/>
        </w:trPr>
        <w:tc>
          <w:tcPr>
            <w:tcW w:w="6300" w:type="dxa"/>
            <w:vAlign w:val="bottom"/>
          </w:tcPr>
          <w:p>
            <w:pPr>
              <w:ind w:left="100"/>
              <w:spacing w:after="0"/>
              <w:rPr>
                <w:sz w:val="20"/>
                <w:szCs w:val="20"/>
                <w:color w:val="auto"/>
              </w:rPr>
            </w:pPr>
            <w:r>
              <w:rPr>
                <w:rFonts w:ascii="Arial" w:cs="Arial" w:eastAsia="Arial" w:hAnsi="Arial"/>
                <w:sz w:val="9"/>
                <w:szCs w:val="9"/>
                <w:color w:val="auto"/>
              </w:rPr>
              <w:t>Liquidation value — $26,829 at December 31, 2007 and September 30, 2008</w:t>
            </w:r>
          </w:p>
        </w:tc>
        <w:tc>
          <w:tcPr>
            <w:tcW w:w="100" w:type="dxa"/>
            <w:vAlign w:val="bottom"/>
          </w:tcPr>
          <w:p>
            <w:pPr>
              <w:spacing w:after="0"/>
              <w:rPr>
                <w:sz w:val="10"/>
                <w:szCs w:val="10"/>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color w:val="auto"/>
              </w:rPr>
              <w:t>13,338</w:t>
            </w:r>
          </w:p>
        </w:tc>
        <w:tc>
          <w:tcPr>
            <w:tcW w:w="10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14,129</w:t>
            </w:r>
          </w:p>
        </w:tc>
        <w:tc>
          <w:tcPr>
            <w:tcW w:w="12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32"/>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Common stock, $0.01 par value: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Authorized — 100,000,000 shares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87"/>
        </w:trPr>
        <w:tc>
          <w:tcPr>
            <w:tcW w:w="6300" w:type="dxa"/>
            <w:vAlign w:val="bottom"/>
          </w:tcPr>
          <w:p>
            <w:pPr>
              <w:ind w:left="280"/>
              <w:spacing w:after="0" w:line="88" w:lineRule="exact"/>
              <w:rPr>
                <w:sz w:val="20"/>
                <w:szCs w:val="20"/>
                <w:color w:val="auto"/>
              </w:rPr>
            </w:pPr>
            <w:r>
              <w:rPr>
                <w:rFonts w:ascii="Arial" w:cs="Arial" w:eastAsia="Arial" w:hAnsi="Arial"/>
                <w:sz w:val="9"/>
                <w:szCs w:val="9"/>
                <w:color w:val="auto"/>
                <w:w w:val="94"/>
              </w:rPr>
              <w:t>Issued and outstanding — 18,853,450 shares at December 31, 2006, 19,036,050 shares at December 31, 2007, and 19,218,650 shares at September 30, 2008;</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6300" w:type="dxa"/>
            <w:vAlign w:val="bottom"/>
          </w:tcPr>
          <w:p>
            <w:pPr>
              <w:ind w:left="380"/>
              <w:spacing w:after="0"/>
              <w:rPr>
                <w:sz w:val="20"/>
                <w:szCs w:val="20"/>
                <w:color w:val="auto"/>
              </w:rPr>
            </w:pPr>
            <w:r>
              <w:rPr>
                <w:rFonts w:ascii="Arial" w:cs="Arial" w:eastAsia="Arial" w:hAnsi="Arial"/>
                <w:sz w:val="9"/>
                <w:szCs w:val="9"/>
                <w:color w:val="auto"/>
              </w:rPr>
              <w:t>31,499,354 shares pro forma at September 30, 2008</w:t>
            </w:r>
          </w:p>
        </w:tc>
        <w:tc>
          <w:tcPr>
            <w:tcW w:w="100" w:type="dxa"/>
            <w:vAlign w:val="bottom"/>
          </w:tcPr>
          <w:p>
            <w:pPr>
              <w:spacing w:after="0"/>
              <w:rPr>
                <w:sz w:val="9"/>
                <w:szCs w:val="9"/>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189</w:t>
            </w:r>
          </w:p>
        </w:tc>
        <w:tc>
          <w:tcPr>
            <w:tcW w:w="80" w:type="dxa"/>
            <w:vAlign w:val="bottom"/>
          </w:tcPr>
          <w:p>
            <w:pPr>
              <w:spacing w:after="0"/>
              <w:rPr>
                <w:sz w:val="9"/>
                <w:szCs w:val="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color w:val="auto"/>
              </w:rPr>
              <w:t>190</w:t>
            </w:r>
          </w:p>
        </w:tc>
        <w:tc>
          <w:tcPr>
            <w:tcW w:w="100" w:type="dxa"/>
            <w:vAlign w:val="bottom"/>
          </w:tcPr>
          <w:p>
            <w:pPr>
              <w:spacing w:after="0"/>
              <w:rPr>
                <w:sz w:val="9"/>
                <w:szCs w:val="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192</w:t>
            </w:r>
          </w:p>
        </w:tc>
        <w:tc>
          <w:tcPr>
            <w:tcW w:w="120" w:type="dxa"/>
            <w:vAlign w:val="bottom"/>
          </w:tcPr>
          <w:p>
            <w:pPr>
              <w:spacing w:after="0"/>
              <w:rPr>
                <w:sz w:val="9"/>
                <w:szCs w:val="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color w:val="auto"/>
              </w:rPr>
              <w:t>315</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Additional paid-in capital</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7,953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7,719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6,238</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(110,771)</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Accumulated other comprehensive income</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35</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79</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Accumulated deficit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1"/>
              <w:spacing w:after="0" w:line="98" w:lineRule="exact"/>
              <w:rPr>
                <w:sz w:val="20"/>
                <w:szCs w:val="20"/>
                <w:color w:val="auto"/>
              </w:rPr>
            </w:pPr>
            <w:r>
              <w:rPr>
                <w:rFonts w:ascii="Arial" w:cs="Arial" w:eastAsia="Arial" w:hAnsi="Arial"/>
                <w:sz w:val="9"/>
                <w:szCs w:val="9"/>
                <w:color w:val="auto"/>
              </w:rPr>
              <w:t>(19,900)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w w:val="95"/>
              </w:rPr>
              <w:t>(18,374)</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(13,898)</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(13,898)</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stockholders’ deficit</w:t>
            </w: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(11,723)</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(10,386)</w:t>
            </w:r>
          </w:p>
        </w:tc>
        <w:tc>
          <w:tcPr>
            <w:tcW w:w="3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(7,457)</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(124,343)</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 preferred stock and stockholders’ deficit</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61,232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88,568</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105,618</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105,618</w:t>
            </w: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6"/>
              </w:rPr>
              <w:t>Year Ended December 31,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7"/>
              </w:rPr>
              <w:t>Nine Months Ended 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35"/>
              <w:spacing w:after="0" w:line="98" w:lineRule="exact"/>
              <w:rPr>
                <w:sz w:val="20"/>
                <w:szCs w:val="20"/>
                <w:color w:val="auto"/>
              </w:rPr>
            </w:pPr>
            <w:r>
              <w:rPr>
                <w:rFonts w:ascii="Arial" w:cs="Arial" w:eastAsia="Arial" w:hAnsi="Arial"/>
                <w:sz w:val="10"/>
                <w:szCs w:val="10"/>
                <w:b w:val="1"/>
                <w:bCs w:val="1"/>
                <w:color w:val="auto"/>
              </w:rPr>
              <w:t>(Restated)</w:t>
            </w: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51,793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72,111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99,326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68,472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109,626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28,063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31,287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39,050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27,531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36,995</w:t>
            </w:r>
          </w:p>
        </w:tc>
        <w:tc>
          <w:tcPr>
            <w:tcW w:w="0" w:type="dxa"/>
            <w:vAlign w:val="bottom"/>
          </w:tcPr>
          <w:p>
            <w:pPr>
              <w:spacing w:after="0"/>
              <w:rPr>
                <w:sz w:val="1"/>
                <w:szCs w:val="1"/>
                <w:color w:val="auto"/>
              </w:rPr>
            </w:pPr>
          </w:p>
        </w:tc>
      </w:tr>
      <w:tr>
        <w:trPr>
          <w:trHeight w:val="148"/>
        </w:trPr>
        <w:tc>
          <w:tcPr>
            <w:tcW w:w="52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Selling and promotional, including $2,839 in 2005; $3,742 in 2006, and $4,293 in 2007,</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w w:val="97"/>
              </w:rPr>
              <w:t>$3,120 and $4,323 for the nine months ended September 30, 2007 and 2008, to related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parties</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14,047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20,093</w:t>
            </w: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35,148</w:t>
            </w:r>
          </w:p>
        </w:tc>
        <w:tc>
          <w:tcPr>
            <w:tcW w:w="120" w:type="dxa"/>
            <w:vAlign w:val="bottom"/>
          </w:tcPr>
          <w:p>
            <w:pPr>
              <w:spacing w:after="0"/>
              <w:rPr>
                <w:sz w:val="14"/>
                <w:szCs w:val="14"/>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24,291</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46,035</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15,011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11,848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15,992</w:t>
            </w: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2,585</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94,981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66,255</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100,634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2,217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8,992</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(2,236)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887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(7,726)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868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(3,440)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347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521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(251)</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3,685</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Earnings (loss),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0.01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0.01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18,853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18,923</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18,885</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19,133</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35,143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35,189</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32,097</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Pro forma earnings per common share (Unaudited)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pro forma earnings per common share (Unaudited)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38,913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39,047</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44,263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41,141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Grand Canyon Education, Inc.</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Statements of Preferred Stock and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vMerge w:val="restart"/>
          </w:tcPr>
          <w:p>
            <w:pPr>
              <w:jc w:val="right"/>
              <w:ind w:right="44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9"/>
                <w:szCs w:val="9"/>
                <w:b w:val="1"/>
                <w:bCs w:val="1"/>
                <w:color w:val="auto"/>
              </w:rPr>
              <w:t>Members’/Stockholders’ Deficit</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7"/>
          </w:tcPr>
          <w:p>
            <w:pPr>
              <w:jc w:val="right"/>
              <w:ind w:right="320"/>
              <w:spacing w:after="0" w:line="75" w:lineRule="exact"/>
              <w:rPr>
                <w:sz w:val="20"/>
                <w:szCs w:val="20"/>
                <w:color w:val="auto"/>
              </w:rPr>
            </w:pPr>
            <w:r>
              <w:rPr>
                <w:rFonts w:ascii="Arial" w:cs="Arial" w:eastAsia="Arial" w:hAnsi="Arial"/>
                <w:sz w:val="8"/>
                <w:szCs w:val="8"/>
                <w:b w:val="1"/>
                <w:bCs w:val="1"/>
                <w:color w:val="auto"/>
              </w:rPr>
              <w:t>Series A Convertible</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6"/>
          </w:tcPr>
          <w:p>
            <w:pPr>
              <w:jc w:val="right"/>
              <w:ind w:right="320"/>
              <w:spacing w:after="0" w:line="75" w:lineRule="exact"/>
              <w:rPr>
                <w:sz w:val="20"/>
                <w:szCs w:val="20"/>
                <w:color w:val="auto"/>
              </w:rPr>
            </w:pPr>
            <w:r>
              <w:rPr>
                <w:rFonts w:ascii="Arial" w:cs="Arial" w:eastAsia="Arial" w:hAnsi="Arial"/>
                <w:sz w:val="8"/>
                <w:szCs w:val="8"/>
                <w:b w:val="1"/>
                <w:bCs w:val="1"/>
                <w:color w:val="auto"/>
              </w:rPr>
              <w:t>Series B Convertible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4"/>
          </w:tcPr>
          <w:p>
            <w:pPr>
              <w:jc w:val="center"/>
              <w:ind w:left="334"/>
              <w:spacing w:after="0" w:line="75" w:lineRule="exact"/>
              <w:rPr>
                <w:sz w:val="20"/>
                <w:szCs w:val="20"/>
                <w:color w:val="auto"/>
              </w:rPr>
            </w:pPr>
            <w:r>
              <w:rPr>
                <w:rFonts w:ascii="Arial" w:cs="Arial" w:eastAsia="Arial" w:hAnsi="Arial"/>
                <w:sz w:val="8"/>
                <w:szCs w:val="8"/>
                <w:b w:val="1"/>
                <w:bCs w:val="1"/>
                <w:color w:val="auto"/>
                <w:w w:val="99"/>
              </w:rPr>
              <w:t>Series C</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5"/>
          </w:tcPr>
          <w:p>
            <w:pPr>
              <w:ind w:left="20"/>
              <w:spacing w:after="0" w:line="75" w:lineRule="exact"/>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6"/>
                <w:szCs w:val="6"/>
                <w:color w:val="auto"/>
              </w:rPr>
            </w:pPr>
          </w:p>
        </w:tc>
        <w:tc>
          <w:tcPr>
            <w:tcW w:w="48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7"/>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right w:val="single" w:sz="8" w:color="auto"/>
            </w:tcBorders>
            <w:gridSpan w:val="7"/>
          </w:tcPr>
          <w:p>
            <w:pPr>
              <w:jc w:val="center"/>
              <w:ind w:right="260"/>
              <w:spacing w:after="0"/>
              <w:rPr>
                <w:sz w:val="20"/>
                <w:szCs w:val="20"/>
                <w:color w:val="auto"/>
              </w:rPr>
            </w:pPr>
            <w:r>
              <w:rPr>
                <w:rFonts w:ascii="Arial" w:cs="Arial" w:eastAsia="Arial" w:hAnsi="Arial"/>
                <w:sz w:val="9"/>
                <w:szCs w:val="9"/>
                <w:b w:val="1"/>
                <w:bCs w:val="1"/>
                <w:color w:val="auto"/>
                <w:w w:val="92"/>
              </w:rPr>
              <w:t>Preferred Stock</w:t>
            </w:r>
          </w:p>
        </w:tc>
        <w:tc>
          <w:tcPr>
            <w:tcW w:w="60" w:type="dxa"/>
            <w:vAlign w:val="bottom"/>
          </w:tcPr>
          <w:p>
            <w:pPr>
              <w:spacing w:after="0"/>
              <w:rPr>
                <w:sz w:val="9"/>
                <w:szCs w:val="9"/>
                <w:color w:val="auto"/>
              </w:rPr>
            </w:pPr>
          </w:p>
        </w:tc>
        <w:tc>
          <w:tcPr>
            <w:tcW w:w="1080" w:type="dxa"/>
            <w:vAlign w:val="bottom"/>
            <w:gridSpan w:val="7"/>
          </w:tcPr>
          <w:p>
            <w:pPr>
              <w:jc w:val="right"/>
              <w:ind w:right="120"/>
              <w:spacing w:after="0"/>
              <w:rPr>
                <w:sz w:val="20"/>
                <w:szCs w:val="20"/>
                <w:color w:val="auto"/>
              </w:rPr>
            </w:pPr>
            <w:r>
              <w:rPr>
                <w:rFonts w:ascii="Arial" w:cs="Arial" w:eastAsia="Arial" w:hAnsi="Arial"/>
                <w:sz w:val="9"/>
                <w:szCs w:val="9"/>
                <w:b w:val="1"/>
                <w:bCs w:val="1"/>
                <w:color w:val="auto"/>
              </w:rPr>
              <w:t>Membership Interests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6"/>
          </w:tcPr>
          <w:p>
            <w:pPr>
              <w:jc w:val="right"/>
              <w:ind w:right="16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440" w:type="dxa"/>
            <w:vAlign w:val="bottom"/>
            <w:gridSpan w:val="4"/>
          </w:tcPr>
          <w:p>
            <w:pPr>
              <w:ind w:left="60"/>
              <w:spacing w:after="0"/>
              <w:rPr>
                <w:sz w:val="20"/>
                <w:szCs w:val="20"/>
                <w:color w:val="auto"/>
              </w:rPr>
            </w:pPr>
            <w:r>
              <w:rPr>
                <w:rFonts w:ascii="Arial" w:cs="Arial" w:eastAsia="Arial" w:hAnsi="Arial"/>
                <w:sz w:val="9"/>
                <w:szCs w:val="9"/>
                <w:b w:val="1"/>
                <w:bCs w:val="1"/>
                <w:color w:val="auto"/>
              </w:rPr>
              <w:t>Paid-in</w:t>
            </w:r>
          </w:p>
        </w:tc>
        <w:tc>
          <w:tcPr>
            <w:tcW w:w="1180" w:type="dxa"/>
            <w:vAlign w:val="bottom"/>
            <w:gridSpan w:val="8"/>
          </w:tcPr>
          <w:p>
            <w:pPr>
              <w:spacing w:after="0"/>
              <w:rPr>
                <w:sz w:val="20"/>
                <w:szCs w:val="20"/>
                <w:color w:val="auto"/>
              </w:rPr>
            </w:pPr>
            <w:r>
              <w:rPr>
                <w:rFonts w:ascii="Arial" w:cs="Arial" w:eastAsia="Arial" w:hAnsi="Arial"/>
                <w:sz w:val="9"/>
                <w:szCs w:val="9"/>
                <w:b w:val="1"/>
                <w:bCs w:val="1"/>
                <w:color w:val="auto"/>
                <w:w w:val="91"/>
              </w:rPr>
              <w:t>Comprehensive Accumulated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7"/>
              </w:rPr>
              <w:t>Units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gridSpan w:val="2"/>
          </w:tcPr>
          <w:p>
            <w:pPr>
              <w:jc w:val="right"/>
              <w:ind w:right="120"/>
              <w:spacing w:after="0" w:line="88" w:lineRule="exact"/>
              <w:rPr>
                <w:sz w:val="20"/>
                <w:szCs w:val="20"/>
                <w:color w:val="auto"/>
              </w:rPr>
            </w:pPr>
            <w:r>
              <w:rPr>
                <w:rFonts w:ascii="Arial" w:cs="Arial" w:eastAsia="Arial" w:hAnsi="Arial"/>
                <w:sz w:val="9"/>
                <w:szCs w:val="9"/>
                <w:b w:val="1"/>
                <w:bCs w:val="1"/>
                <w:color w:val="auto"/>
              </w:rPr>
              <w:t>Shares</w:t>
            </w: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92"/>
              </w:rPr>
              <w:t>Par Value</w:t>
            </w:r>
          </w:p>
        </w:tc>
        <w:tc>
          <w:tcPr>
            <w:tcW w:w="20" w:type="dxa"/>
            <w:vAlign w:val="bottom"/>
          </w:tcPr>
          <w:p>
            <w:pPr>
              <w:spacing w:after="0"/>
              <w:rPr>
                <w:sz w:val="7"/>
                <w:szCs w:val="7"/>
                <w:color w:val="auto"/>
              </w:rPr>
            </w:pPr>
          </w:p>
        </w:tc>
        <w:tc>
          <w:tcPr>
            <w:tcW w:w="400" w:type="dxa"/>
            <w:vAlign w:val="bottom"/>
            <w:tcBorders>
              <w:bottom w:val="single" w:sz="8" w:color="auto"/>
            </w:tcBorders>
            <w:gridSpan w:val="3"/>
          </w:tcPr>
          <w:p>
            <w:pPr>
              <w:ind w:left="60"/>
              <w:spacing w:after="0" w:line="88"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5"/>
              </w:rPr>
              <w:t>Income</w:t>
            </w: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114"/>
              <w:spacing w:after="0" w:line="88" w:lineRule="exact"/>
              <w:rPr>
                <w:sz w:val="20"/>
                <w:szCs w:val="20"/>
                <w:color w:val="auto"/>
              </w:rPr>
            </w:pPr>
            <w:r>
              <w:rPr>
                <w:rFonts w:ascii="Arial" w:cs="Arial" w:eastAsia="Arial" w:hAnsi="Arial"/>
                <w:sz w:val="9"/>
                <w:szCs w:val="9"/>
                <w:b w:val="1"/>
                <w:bCs w:val="1"/>
                <w:color w:val="auto"/>
                <w:w w:val="87"/>
              </w:rPr>
              <w:t>Deficit</w:t>
            </w: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8"/>
        </w:trPr>
        <w:tc>
          <w:tcPr>
            <w:tcW w:w="28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December 31, 2004</w:t>
            </w:r>
          </w:p>
        </w:tc>
        <w:tc>
          <w:tcPr>
            <w:tcW w:w="160" w:type="dxa"/>
            <w:vAlign w:val="bottom"/>
            <w:shd w:val="clear" w:color="auto" w:fill="CCEEFF"/>
          </w:tcPr>
          <w:p>
            <w:pPr>
              <w:spacing w:after="0"/>
              <w:rPr>
                <w:sz w:val="7"/>
                <w:szCs w:val="7"/>
                <w:color w:val="auto"/>
              </w:rPr>
            </w:pPr>
          </w:p>
        </w:tc>
        <w:tc>
          <w:tcPr>
            <w:tcW w:w="5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20" w:type="dxa"/>
            <w:vAlign w:val="bottom"/>
            <w:tcBorders>
              <w:right w:val="single" w:sz="8" w:color="auto"/>
            </w:tcBorders>
            <w:gridSpan w:val="3"/>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620" w:type="dxa"/>
            <w:vAlign w:val="bottom"/>
            <w:gridSpan w:val="3"/>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1,000,000</w:t>
            </w:r>
          </w:p>
        </w:tc>
        <w:tc>
          <w:tcPr>
            <w:tcW w:w="16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w w:val="97"/>
              </w:rPr>
              <w:t>8,567</w:t>
            </w: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CCEEFF"/>
            </w:tcBorders>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88" w:lineRule="exact"/>
              <w:rPr>
                <w:sz w:val="20"/>
                <w:szCs w:val="20"/>
                <w:color w:val="auto"/>
              </w:rPr>
            </w:pPr>
            <w:r>
              <w:rPr>
                <w:rFonts w:ascii="Arial" w:cs="Arial" w:eastAsia="Arial" w:hAnsi="Arial"/>
                <w:sz w:val="9"/>
                <w:szCs w:val="9"/>
                <w:color w:val="auto"/>
              </w:rPr>
              <w:t>$(16,212)</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(7,645)</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Distribution to members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(240)</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(240)</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Exchange of membership interests for common shares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(1,000,000)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1"/>
              </w:rPr>
              <w:t>(8,327)</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18,260,000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8,144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w w:val="96"/>
              </w:rPr>
              <w:t>Conversion of Promissory Notes into Series A Convertible Preferred Stock</w:t>
            </w:r>
          </w:p>
        </w:tc>
        <w:tc>
          <w:tcPr>
            <w:tcW w:w="6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4,329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14,000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for services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593,450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60</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400" w:type="dxa"/>
            <w:vAlign w:val="bottom"/>
            <w:tcBorders>
              <w:right w:val="single" w:sz="8" w:color="auto"/>
            </w:tcBorders>
            <w:gridSpan w:val="26"/>
          </w:tcPr>
          <w:p>
            <w:pPr>
              <w:spacing w:after="0" w:line="88" w:lineRule="exact"/>
              <w:rPr>
                <w:sz w:val="20"/>
                <w:szCs w:val="20"/>
                <w:color w:val="auto"/>
              </w:rPr>
            </w:pPr>
            <w:r>
              <w:rPr>
                <w:rFonts w:ascii="Arial" w:cs="Arial" w:eastAsia="Arial" w:hAnsi="Arial"/>
                <w:sz w:val="9"/>
                <w:szCs w:val="9"/>
                <w:color w:val="auto"/>
                <w:w w:val="96"/>
              </w:rPr>
              <w:t>Issuance of Series A Convertible Preferred Stock for cash, net of issuance</w:t>
            </w:r>
          </w:p>
        </w:tc>
        <w:tc>
          <w:tcPr>
            <w:tcW w:w="4060" w:type="dxa"/>
            <w:vAlign w:val="bottom"/>
            <w:gridSpan w:val="3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tcPr>
          <w:p>
            <w:pPr>
              <w:ind w:left="100"/>
              <w:spacing w:after="0"/>
              <w:rPr>
                <w:sz w:val="20"/>
                <w:szCs w:val="20"/>
                <w:color w:val="auto"/>
              </w:rPr>
            </w:pPr>
            <w:r>
              <w:rPr>
                <w:rFonts w:ascii="Arial" w:cs="Arial" w:eastAsia="Arial" w:hAnsi="Arial"/>
                <w:sz w:val="9"/>
                <w:szCs w:val="9"/>
                <w:color w:val="auto"/>
              </w:rPr>
              <w:t>costs of $639</w:t>
            </w:r>
          </w:p>
        </w:tc>
        <w:tc>
          <w:tcPr>
            <w:tcW w:w="620" w:type="dxa"/>
            <w:vAlign w:val="bottom"/>
            <w:gridSpan w:val="3"/>
          </w:tcPr>
          <w:p>
            <w:pPr>
              <w:jc w:val="right"/>
              <w:ind w:right="20"/>
              <w:spacing w:after="0"/>
              <w:rPr>
                <w:sz w:val="20"/>
                <w:szCs w:val="20"/>
                <w:color w:val="auto"/>
              </w:rPr>
            </w:pPr>
            <w:r>
              <w:rPr>
                <w:rFonts w:ascii="Arial" w:cs="Arial" w:eastAsia="Arial" w:hAnsi="Arial"/>
                <w:sz w:val="9"/>
                <w:szCs w:val="9"/>
                <w:color w:val="auto"/>
              </w:rPr>
              <w:t>1,624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4,610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w w:val="96"/>
              </w:rPr>
              <w:t>Issuance of Series B Convertible Preferred Stock for cash, net of issuance</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costs of $20</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loss (Restated)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74"/>
              <w:spacing w:after="0" w:line="98" w:lineRule="exact"/>
              <w:rPr>
                <w:sz w:val="20"/>
                <w:szCs w:val="20"/>
                <w:color w:val="auto"/>
              </w:rPr>
            </w:pPr>
            <w:r>
              <w:rPr>
                <w:rFonts w:ascii="Arial" w:cs="Arial" w:eastAsia="Arial" w:hAnsi="Arial"/>
                <w:sz w:val="9"/>
                <w:szCs w:val="9"/>
                <w:color w:val="auto"/>
              </w:rPr>
              <w:t>(4,286)</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(4,286)</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2005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76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18,853,450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8,198</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(20,498)</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(12,111)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94"/>
              <w:spacing w:after="0" w:line="98" w:lineRule="exact"/>
              <w:rPr>
                <w:sz w:val="20"/>
                <w:szCs w:val="20"/>
                <w:color w:val="auto"/>
              </w:rPr>
            </w:pPr>
            <w:r>
              <w:rPr>
                <w:rFonts w:ascii="Arial" w:cs="Arial" w:eastAsia="Arial" w:hAnsi="Arial"/>
                <w:sz w:val="9"/>
                <w:szCs w:val="9"/>
                <w:color w:val="auto"/>
              </w:rPr>
              <w:t>598</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598</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$23</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w:t>
            </w:r>
          </w:p>
        </w:tc>
        <w:tc>
          <w:tcPr>
            <w:tcW w:w="4060" w:type="dxa"/>
            <w:vAlign w:val="bottom"/>
            <w:gridSpan w:val="32"/>
          </w:tcPr>
          <w:p>
            <w:pPr>
              <w:jc w:val="right"/>
              <w:ind w:right="4060"/>
              <w:spacing w:after="0"/>
              <w:rPr>
                <w:sz w:val="20"/>
                <w:szCs w:val="20"/>
                <w:color w:val="auto"/>
              </w:rPr>
            </w:pPr>
            <w:r>
              <w:rPr>
                <w:rFonts w:ascii="Arial" w:cs="Arial" w:eastAsia="Arial" w:hAnsi="Arial"/>
                <w:sz w:val="9"/>
                <w:szCs w:val="9"/>
                <w:color w:val="auto"/>
              </w:rPr>
              <w:t>633</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Redemption of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(1,298)</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(4,200)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Value assigned to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282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282</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(527)</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December 31, 2006 (Restated)</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865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18,853,450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7,953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w:t>
            </w:r>
          </w:p>
        </w:tc>
        <w:tc>
          <w:tcPr>
            <w:tcW w:w="1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7"/>
              </w:rPr>
              <w:t>(19,900)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(11,723)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$30</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00" w:type="dxa"/>
            <w:vAlign w:val="bottom"/>
            <w:tcBorders>
              <w:right w:val="single" w:sz="8" w:color="CCEEFF"/>
            </w:tcBorders>
            <w:gridSpan w:val="7"/>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1520" w:type="dxa"/>
            <w:vAlign w:val="bottom"/>
            <w:tcBorders>
              <w:right w:val="single" w:sz="8" w:color="CCEEFF"/>
            </w:tcBorders>
            <w:gridSpan w:val="8"/>
            <w:shd w:val="clear" w:color="auto" w:fill="CCEEFF"/>
          </w:tcPr>
          <w:p>
            <w:pPr>
              <w:spacing w:after="0"/>
              <w:rPr>
                <w:sz w:val="8"/>
                <w:szCs w:val="8"/>
                <w:color w:val="auto"/>
              </w:rPr>
            </w:pPr>
          </w:p>
        </w:tc>
        <w:tc>
          <w:tcPr>
            <w:tcW w:w="2080" w:type="dxa"/>
            <w:vAlign w:val="bottom"/>
            <w:tcBorders>
              <w:right w:val="single" w:sz="8" w:color="auto"/>
            </w:tcBorders>
            <w:gridSpan w:val="11"/>
            <w:shd w:val="clear" w:color="auto" w:fill="CCEEFF"/>
          </w:tcPr>
          <w:p>
            <w:pPr>
              <w:spacing w:after="0"/>
              <w:rPr>
                <w:sz w:val="8"/>
                <w:szCs w:val="8"/>
                <w:color w:val="auto"/>
              </w:rPr>
            </w:pPr>
          </w:p>
        </w:tc>
        <w:tc>
          <w:tcPr>
            <w:tcW w:w="1820" w:type="dxa"/>
            <w:vAlign w:val="bottom"/>
            <w:tcBorders>
              <w:right w:val="single" w:sz="8" w:color="CCEEFF"/>
            </w:tcBorders>
            <w:gridSpan w:val="14"/>
            <w:shd w:val="clear" w:color="auto" w:fill="CCEEFF"/>
          </w:tcPr>
          <w:p>
            <w:pPr>
              <w:spacing w:after="0"/>
              <w:rPr>
                <w:sz w:val="8"/>
                <w:szCs w:val="8"/>
                <w:color w:val="auto"/>
              </w:rPr>
            </w:pPr>
          </w:p>
        </w:tc>
        <w:tc>
          <w:tcPr>
            <w:tcW w:w="380" w:type="dxa"/>
            <w:vAlign w:val="bottom"/>
            <w:tcBorders>
              <w:right w:val="single" w:sz="8" w:color="CCEEFF"/>
            </w:tcBorders>
            <w:gridSpan w:val="4"/>
            <w:shd w:val="clear" w:color="auto" w:fill="CCEEFF"/>
          </w:tcPr>
          <w:p>
            <w:pPr>
              <w:spacing w:after="0"/>
              <w:rPr>
                <w:sz w:val="8"/>
                <w:szCs w:val="8"/>
                <w:color w:val="auto"/>
              </w:rPr>
            </w:pPr>
          </w:p>
        </w:tc>
        <w:tc>
          <w:tcPr>
            <w:tcW w:w="1860" w:type="dxa"/>
            <w:vAlign w:val="bottom"/>
            <w:gridSpan w:val="14"/>
            <w:shd w:val="clear" w:color="auto" w:fill="CCEEFF"/>
          </w:tcPr>
          <w:p>
            <w:pPr>
              <w:jc w:val="right"/>
              <w:ind w:right="1860"/>
              <w:spacing w:after="0"/>
              <w:rPr>
                <w:sz w:val="20"/>
                <w:szCs w:val="20"/>
                <w:color w:val="auto"/>
              </w:rPr>
            </w:pPr>
            <w:r>
              <w:rPr>
                <w:rFonts w:ascii="Arial" w:cs="Arial" w:eastAsia="Arial" w:hAnsi="Arial"/>
                <w:sz w:val="9"/>
                <w:szCs w:val="9"/>
                <w:color w:val="auto"/>
              </w:rPr>
              <w:t>1,570</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Conversion of Series B Convertible Preferred Stock to</w:t>
            </w:r>
          </w:p>
        </w:tc>
        <w:tc>
          <w:tcPr>
            <w:tcW w:w="4060" w:type="dxa"/>
            <w:vAlign w:val="bottom"/>
            <w:gridSpan w:val="3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Series C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(865)</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(2,780)</w:t>
            </w:r>
          </w:p>
        </w:tc>
        <w:tc>
          <w:tcPr>
            <w:tcW w:w="72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2,780</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Payment of amounts due to related party with Series C Preferred Stock</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120</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4"/>
              </w:rPr>
              <w:t>Issuance of Series C Preferred Stock for cash, net of issuance costs of $36</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2,995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10,409</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115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116</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(320)</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(320)</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Accretion of Series C Preferred Stock Dividend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2007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13,338</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19,036,050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190</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7,719</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79</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(18,374)</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(10,386)</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3"/>
          </w:tcPr>
          <w:p>
            <w:pPr>
              <w:jc w:val="right"/>
              <w:spacing w:after="0" w:line="98" w:lineRule="exact"/>
              <w:rPr>
                <w:sz w:val="20"/>
                <w:szCs w:val="20"/>
                <w:color w:val="auto"/>
              </w:rPr>
            </w:pPr>
            <w:r>
              <w:rPr>
                <w:rFonts w:ascii="Arial" w:cs="Arial" w:eastAsia="Arial" w:hAnsi="Arial"/>
                <w:sz w:val="9"/>
                <w:szCs w:val="9"/>
                <w:color w:val="auto"/>
              </w:rPr>
              <w:t>4,476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4,476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rPr>
              <w:t>Unrealized losses on available for-sale securities, net of taxes of $45</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(unaudited)</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(68)</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(68)</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 (unaudited)</w:t>
            </w:r>
          </w:p>
        </w:tc>
        <w:tc>
          <w:tcPr>
            <w:tcW w:w="3740" w:type="dxa"/>
            <w:vAlign w:val="bottom"/>
            <w:gridSpan w:val="30"/>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4,408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Undeclared dividends on Series C Preferred Stock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791</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(791)</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(791)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97"/>
              </w:rPr>
              <w:t>2,994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2,996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Cancellation of IAS warrant, net of $2,316 deferred taxes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83"/>
              </w:rPr>
              <w:t>(3,684)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(3,684)</w:t>
            </w:r>
          </w:p>
        </w:tc>
        <w:tc>
          <w:tcPr>
            <w:tcW w:w="0" w:type="dxa"/>
            <w:vAlign w:val="bottom"/>
          </w:tcPr>
          <w:p>
            <w:pPr>
              <w:spacing w:after="0"/>
              <w:rPr>
                <w:sz w:val="1"/>
                <w:szCs w:val="1"/>
                <w:color w:val="auto"/>
              </w:rPr>
            </w:pPr>
          </w:p>
        </w:tc>
      </w:tr>
      <w:tr>
        <w:trPr>
          <w:trHeight w:val="117"/>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September 30, 2008 (unaudited)</w:t>
            </w: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tcPr>
          <w:p>
            <w:pPr>
              <w:spacing w:after="0"/>
              <w:rPr>
                <w:sz w:val="10"/>
                <w:szCs w:val="10"/>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14,129</w:t>
            </w: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60" w:type="dxa"/>
            <w:vAlign w:val="bottom"/>
            <w:gridSpan w:val="2"/>
          </w:tcPr>
          <w:p>
            <w:pPr>
              <w:ind w:left="100"/>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19,218,650</w:t>
            </w:r>
          </w:p>
        </w:tc>
        <w:tc>
          <w:tcPr>
            <w:tcW w:w="40" w:type="dxa"/>
            <w:vAlign w:val="bottom"/>
          </w:tcPr>
          <w:p>
            <w:pPr>
              <w:spacing w:after="0"/>
              <w:rPr>
                <w:sz w:val="10"/>
                <w:szCs w:val="10"/>
                <w:color w:val="auto"/>
              </w:rPr>
            </w:pPr>
          </w:p>
        </w:tc>
        <w:tc>
          <w:tcPr>
            <w:tcW w:w="180" w:type="dxa"/>
            <w:vAlign w:val="bottom"/>
            <w:gridSpan w:val="2"/>
          </w:tcPr>
          <w:p>
            <w:pPr>
              <w:jc w:val="right"/>
              <w:ind w:right="14"/>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192</w:t>
            </w:r>
          </w:p>
        </w:tc>
        <w:tc>
          <w:tcPr>
            <w:tcW w:w="60" w:type="dxa"/>
            <w:vAlign w:val="bottom"/>
          </w:tcPr>
          <w:p>
            <w:pPr>
              <w:spacing w:after="0"/>
              <w:rPr>
                <w:sz w:val="10"/>
                <w:szCs w:val="10"/>
                <w:color w:val="auto"/>
              </w:rPr>
            </w:pP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6,238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140" w:type="dxa"/>
            <w:vAlign w:val="bottom"/>
          </w:tcPr>
          <w:p>
            <w:pPr>
              <w:spacing w:after="0"/>
              <w:rPr>
                <w:sz w:val="10"/>
                <w:szCs w:val="10"/>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5"/>
              </w:rPr>
              <w:t>(13,898</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(7,457)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restart"/>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Pr>
          <w:p>
            <w:pPr>
              <w:spacing w:after="0"/>
              <w:rPr>
                <w:sz w:val="10"/>
                <w:szCs w:val="10"/>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Nine Months</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2007</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7"/>
              </w:rPr>
              <w:t>(Restated)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right"/>
              <w:ind w:right="208"/>
              <w:spacing w:after="0"/>
              <w:rPr>
                <w:sz w:val="20"/>
                <w:szCs w:val="20"/>
                <w:color w:val="auto"/>
              </w:rPr>
            </w:pPr>
            <w:r>
              <w:rPr>
                <w:rFonts w:ascii="Arial" w:cs="Arial" w:eastAsia="Arial" w:hAnsi="Arial"/>
                <w:sz w:val="10"/>
                <w:szCs w:val="10"/>
                <w:b w:val="1"/>
                <w:bCs w:val="1"/>
                <w:color w:val="auto"/>
                <w:w w:val="7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(4,286)</w:t>
            </w:r>
          </w:p>
        </w:tc>
        <w:tc>
          <w:tcPr>
            <w:tcW w:w="1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1,526</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521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4,476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Provision for bad debts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4,664</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6,257</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4,335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5,301</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2,319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3,676</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(3,693)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(2,148)</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(3,227)</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(5,356)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(5,974)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(8,573)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(7,573)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(8,284)</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(451)</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(442)</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(273)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(316)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Due to/from related parties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362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1,650</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1,663</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253</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3,596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Income taxes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2,280</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(2,294)</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(3,386)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3,805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Deferred revenue and student deposits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2,668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9,668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15,214</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royalties to former owner</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(5,920)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Royalty payable to former owner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2,678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3,782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2,584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(7,428)</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Deposit with former owner</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(6,972)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7,103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12,209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18,140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(2,387)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(7,406)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(5,136)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(6,015)</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Purchases of investments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(2,620)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sale or maturity of investments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9,045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(130)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2,570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(9,969)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6,658</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(7,555)</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(5,266)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(6,065)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Principal payments on notes payable and capital lease obligations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(1,179)</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(1,230)</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(954)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(1,165)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Repayment on line of credit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line of credit and other debt obligations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of Institute Warrant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Repayment of Institute Note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(1,250)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proceeds from issuances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related party payable on preferred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4,200</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5,725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Redemptions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Distributions to members and dividends on preferred stock</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(497)</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(125)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Amounts paid related to initial public offering</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(4,368)</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16,044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(1,676)</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9,301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(1,079)</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6"/>
              </w:rPr>
              <w:t>(13,058)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11,782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5,864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(983)</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3,476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2,579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7"/>
              </w:rPr>
              <w:t>14,361</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w w:val="97"/>
              </w:rPr>
              <w:t>14,361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23,210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14,361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23,210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20,225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22,227</w:t>
            </w:r>
          </w:p>
        </w:tc>
        <w:tc>
          <w:tcPr>
            <w:tcW w:w="0" w:type="dxa"/>
            <w:vAlign w:val="bottom"/>
          </w:tcPr>
          <w:p>
            <w:pPr>
              <w:spacing w:after="0"/>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during the year for: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Interest paid</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2,994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2,523</w:t>
            </w: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2,645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1,930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3,019</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Income taxes paid</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397</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4,964</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13" w:lineRule="exact"/>
              <w:rPr>
                <w:sz w:val="20"/>
                <w:szCs w:val="20"/>
                <w:color w:val="auto"/>
              </w:rPr>
            </w:pPr>
            <w:r>
              <w:rPr>
                <w:rFonts w:ascii="Arial" w:cs="Arial" w:eastAsia="Arial" w:hAnsi="Arial"/>
                <w:sz w:val="10"/>
                <w:szCs w:val="10"/>
                <w:color w:val="auto"/>
              </w:rPr>
              <w:t>3,803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2,169</w:t>
            </w:r>
          </w:p>
        </w:tc>
        <w:tc>
          <w:tcPr>
            <w:tcW w:w="0" w:type="dxa"/>
            <w:vAlign w:val="bottom"/>
          </w:tcPr>
          <w:p>
            <w:pPr>
              <w:spacing w:after="0"/>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Schedule of Noncash Investing and Financing Activities:</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equipment through capital lease obligations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858</w:t>
            </w:r>
          </w:p>
        </w:tc>
        <w:tc>
          <w:tcPr>
            <w:tcW w:w="1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657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2,481</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B convertible preferred stock and Series C preferred stock for notes receivable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5,725</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senior secured notes to Series A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Exchange of membership interest into common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Receipt of marketable securities for Series B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2,908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C preferred stock for settlement of balances owed</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Accretion of dividends on Series B and C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791</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Value assigned to Blanchard shares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282</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116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Assumption of future obligations under gift annuities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887</w:t>
            </w:r>
          </w:p>
        </w:tc>
        <w:tc>
          <w:tcPr>
            <w:tcW w:w="0" w:type="dxa"/>
            <w:vAlign w:val="bottom"/>
          </w:tcPr>
          <w:p>
            <w:pPr>
              <w:spacing w:after="0"/>
              <w:rPr>
                <w:sz w:val="1"/>
                <w:szCs w:val="1"/>
                <w:color w:val="auto"/>
              </w:rPr>
            </w:pPr>
          </w:p>
        </w:tc>
      </w:tr>
      <w:tr>
        <w:trPr>
          <w:trHeight w:val="131"/>
        </w:trPr>
        <w:tc>
          <w:tcPr>
            <w:tcW w:w="7000" w:type="dxa"/>
            <w:vAlign w:val="bottom"/>
          </w:tcPr>
          <w:p>
            <w:pPr>
              <w:ind w:left="120"/>
              <w:spacing w:after="0"/>
              <w:rPr>
                <w:sz w:val="20"/>
                <w:szCs w:val="20"/>
                <w:color w:val="auto"/>
              </w:rPr>
            </w:pPr>
            <w:r>
              <w:rPr>
                <w:rFonts w:ascii="Arial" w:cs="Arial" w:eastAsia="Arial" w:hAnsi="Arial"/>
                <w:sz w:val="10"/>
                <w:szCs w:val="10"/>
                <w:color w:val="auto"/>
              </w:rPr>
              <w:t>Deferred tax on repurchase of Institute Warrant</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(2,316)</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w:t>
      </w:r>
    </w:p>
    <w:p>
      <w:pPr>
        <w:spacing w:after="0" w:line="140"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Business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7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The accompanying unaudited interim financial statements as of September 30, 2008 and for the nine month periods ended September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New Accounting Standards</w:t>
      </w:r>
      <w:r>
        <w:rPr>
          <w:rFonts w:ascii="Arial" w:cs="Arial" w:eastAsia="Arial" w:hAnsi="Arial"/>
          <w:sz w:val="12"/>
          <w:szCs w:val="12"/>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30" w:lineRule="exact"/>
        <w:rPr>
          <w:sz w:val="20"/>
          <w:szCs w:val="20"/>
          <w:color w:val="auto"/>
        </w:rPr>
      </w:pPr>
    </w:p>
    <w:p>
      <w:pPr>
        <w:ind w:left="1000" w:hanging="313"/>
        <w:spacing w:after="0"/>
        <w:tabs>
          <w:tab w:leader="none" w:pos="100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Formation and Transactions with Former Owner</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59"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$26,750 in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assumption of a $1,500 note payable to a third party (the “Kirksville Note”);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280" w:right="180" w:hanging="190"/>
        <w:spacing w:after="0" w:line="320"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value of the warrant was estimated at $420 which approximates 10% of the estimated fair value of the Company at the date of grant and was included as a component of the cost of the campus and related buildings.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55"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67" w:lineRule="exact"/>
        <w:rPr>
          <w:sz w:val="20"/>
          <w:szCs w:val="20"/>
          <w:color w:val="auto"/>
        </w:rPr>
      </w:pPr>
    </w:p>
    <w:p>
      <w:pPr>
        <w:ind w:left="1280" w:right="40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all past royalties due to the Institute under the Royalty Agreement and the elimination of the existing obligation to pay royalties for online student revenues in perpetuity;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repurchase of the Institute Warrant;</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acquisition by the Company of the real property and related building located on the Campus that was owned by the Institute and not transferred in connection with the Ancillary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termination of a sublease agreement pursuant to which the Institute leased office space on the Campus;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assumption by the Company of all future payment obligations in respect to certain gift annuities made to the school by donors prior to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the $1,250 Institute Loan (including all accrued and unpaid interest thereon).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the April 15, 2008 Settlement of the Standstill Agreement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1"/>
              </w:rPr>
              <w:t>in thousands)</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Payment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Optional Payment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19,500</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Payment to be allocated</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166"/>
        </w:trPr>
        <w:tc>
          <w:tcPr>
            <w:tcW w:w="120" w:type="dxa"/>
            <w:vAlign w:val="bottom"/>
          </w:tcPr>
          <w:p>
            <w:pPr>
              <w:spacing w:after="0"/>
              <w:rPr>
                <w:sz w:val="20"/>
                <w:szCs w:val="20"/>
                <w:color w:val="auto"/>
              </w:rPr>
            </w:pPr>
            <w:r>
              <w:rPr>
                <w:rFonts w:ascii="Arial" w:cs="Arial" w:eastAsia="Arial" w:hAnsi="Arial"/>
                <w:sz w:val="13"/>
                <w:szCs w:val="13"/>
                <w:i w:val="1"/>
                <w:iCs w:val="1"/>
                <w:color w:val="auto"/>
                <w:w w:val="86"/>
              </w:rPr>
              <w:t>1)</w:t>
            </w:r>
          </w:p>
        </w:tc>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Obligations settled</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royalties due under Royalty Agreement (as of April 15, 2008)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8,730</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—Repurchase of Institute Warrant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6,000</w:t>
            </w: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Institute Loan, including accrued interest</w:t>
            </w: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—Other amounts due to the Institute</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2)</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assumed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—Assumption of gift annuities obligation, at fair value</w:t>
            </w:r>
          </w:p>
        </w:tc>
        <w:tc>
          <w:tcPr>
            <w:tcW w:w="3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(887)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3)</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Cost to be allocated to assets acquired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—Real property and prepaid royalty asset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6,073</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fair value estimates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3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3"/>
          <w:szCs w:val="13"/>
          <w:i w:val="1"/>
          <w:iCs w:val="1"/>
          <w:color w:val="auto"/>
        </w:rPr>
        <w:t>i.e.</w:t>
      </w:r>
      <w:r>
        <w:rPr>
          <w:rFonts w:ascii="Arial" w:cs="Arial" w:eastAsia="Arial" w:hAnsi="Arial"/>
          <w:sz w:val="13"/>
          <w:szCs w:val="13"/>
          <w:color w:val="auto"/>
        </w:rPr>
        <w:t>, land) and related building acquired from the Institute in the transaction as an asset at the option exercise date and these assets totaling $129 and $24, respectively, have been classified within “Property and Equipment” on the Company’s balance sheet at September 30, 2008.</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$5,920 value of the settlement of future royalty payment obligations to the Institute was determined based on its relative fair value at the option exercise date and is included in the accompanying balance sheet at September 30, 2008 as a “Prepaid Royalty,” and will be amortized over a period of 20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of prior year amounts have been made to the prior year balances to conform to the current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 and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Investments in Debt and Equity Securities</w:t>
      </w:r>
      <w:r>
        <w:rPr>
          <w:rFonts w:ascii="Arial" w:cs="Arial" w:eastAsia="Arial" w:hAnsi="Arial"/>
          <w:sz w:val="12"/>
          <w:szCs w:val="12"/>
          <w:color w:val="auto"/>
        </w:rPr>
        <w:t>. Available-for-sale investments are carried at fair value as determined by quoted market prices, with unrealized gains and losses, net of tax,</w:t>
      </w:r>
      <w:r>
        <w:rPr>
          <w:rFonts w:ascii="Arial" w:cs="Arial" w:eastAsia="Arial" w:hAnsi="Arial"/>
          <w:sz w:val="12"/>
          <w:szCs w:val="12"/>
          <w:i w:val="1"/>
          <w:iCs w:val="1"/>
          <w:color w:val="auto"/>
        </w:rPr>
        <w:t xml:space="preserve"> </w:t>
      </w:r>
      <w:r>
        <w:rPr>
          <w:rFonts w:ascii="Arial" w:cs="Arial" w:eastAsia="Arial" w:hAnsi="Arial"/>
          <w:sz w:val="12"/>
          <w:szCs w:val="12"/>
          <w:color w:val="auto"/>
        </w:rPr>
        <w:t>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67"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At September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53"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also Note 3, “Restatement of Financial Statements,” for the discussion of the restatement to the allowance for doubtful accounts.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nine months ended September 30, 2007 and 2008 are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tcPr>
          <w:p>
            <w:pPr>
              <w:ind w:left="4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7"/>
              </w:rPr>
              <w:t>Nine Months Ended September 30,</w:t>
            </w:r>
          </w:p>
        </w:tc>
      </w:tr>
      <w:tr>
        <w:trPr>
          <w:trHeight w:val="98"/>
        </w:trPr>
        <w:tc>
          <w:tcPr>
            <w:tcW w:w="5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2005</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incurred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2,331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 capitalized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r>
      <w:tr>
        <w:trPr>
          <w:trHeight w:val="20"/>
        </w:trPr>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2,236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2,156</w:t>
            </w:r>
          </w:p>
        </w:tc>
      </w:tr>
      <w:tr>
        <w:trPr>
          <w:trHeight w:val="29"/>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Goodwill represents the excess of the cost over the fair market value of net assets acquired, including identified intangible assets. Goodwill is tested annually or more frequently if circumstances indicate potential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impairment, by comparing its fair value to its carrying amount as defined by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32"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 xml:space="preserve">Effective January 1, 2008, the Company adopted FASB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xml:space="preserve"> Textbook sales and other revenues are recognized as sales occur or services are performed and represent less than 10% of total revenues.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Instructional Costs and Services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Promotional</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 Advertising costs, which include marketing leads, events, and promotional materials for the years ended December 31, 2005, 2006, and 2007 were $3,423, $4,674, and $10,213 respectively, and for the nine months ended September 30, 2007 and 2008 were $7,052 and $13,656, respectively.</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and for the nine months ended September 30, 2007 and 2008, $3,120 and $4,323, respectively, pursuant to these arrangements. As of December 31, 2006 and 2007, and as of the nine months ended September 30, 2008, $475, $416, and $1,534, respectively, were due to these related parties.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to Former Owner</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1"/>
          <w:szCs w:val="11"/>
          <w:i w:val="1"/>
          <w:iCs w:val="1"/>
          <w:color w:val="auto"/>
        </w:rPr>
        <w:t>Formation and Transactions with Former Owner.</w:t>
      </w:r>
      <w:r>
        <w:rPr>
          <w:rFonts w:ascii="Arial" w:cs="Arial" w:eastAsia="Arial" w:hAnsi="Arial"/>
          <w:sz w:val="11"/>
          <w:szCs w:val="11"/>
          <w:color w:val="auto"/>
        </w:rPr>
        <w:t xml:space="preserve"> The royalties accrued through April 2008 were applied against the payments made to the former owner.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Insurance/Self-Insurance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Accumulated Other Comprehensive Income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$11 (net of taxes of $7) at September 30,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Standards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September 2006, the FASB issued SFAS No. 157, which provides enhanced guidance for using fair value to measure assets and liabilities. SFAS No. 157 establishes a common definition of fair value, provides a framework for measuring fair value under 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Restatement of Financial Statements</w:t>
      </w:r>
    </w:p>
    <w:p>
      <w:pPr>
        <w:spacing w:after="0" w:line="100" w:lineRule="exact"/>
        <w:rPr>
          <w:sz w:val="20"/>
          <w:szCs w:val="20"/>
          <w:color w:val="auto"/>
        </w:rPr>
      </w:pPr>
    </w:p>
    <w:p>
      <w:pPr>
        <w:ind w:left="680" w:right="820" w:firstLine="399"/>
        <w:spacing w:after="0" w:line="308" w:lineRule="auto"/>
        <w:rPr>
          <w:sz w:val="20"/>
          <w:szCs w:val="20"/>
          <w:color w:val="auto"/>
        </w:rPr>
      </w:pPr>
      <w:r>
        <w:rPr>
          <w:rFonts w:ascii="Arial" w:cs="Arial" w:eastAsia="Arial" w:hAnsi="Arial"/>
          <w:sz w:val="11"/>
          <w:szCs w:val="11"/>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is a summary of the impact of the restatement: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7"/>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 for doubtful accounts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25,339</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23,036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46,046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2,027</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275"/>
        </w:trPr>
        <w:tc>
          <w:tcPr>
            <w:tcW w:w="6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Arial" w:cs="Arial" w:eastAsia="Arial" w:hAnsi="Arial"/>
                <w:sz w:val="13"/>
                <w:szCs w:val="13"/>
                <w:b w:val="1"/>
                <w:bCs w:val="1"/>
                <w:color w:val="auto"/>
              </w:rPr>
              <w:t>LIABILITIES, PREFERRED STOCK AND STOCKHOLDERS’ DEFICIT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7,671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(19,900)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(15,383)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stockholders’ deficit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(11,723)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(10,386)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preferred stock and stockholders’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F-15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2005</w:t>
            </w:r>
          </w:p>
        </w:tc>
        <w:tc>
          <w:tcPr>
            <w:tcW w:w="100" w:type="dxa"/>
            <w:vAlign w:val="bottom"/>
          </w:tcPr>
          <w:p>
            <w:pPr>
              <w:spacing w:after="0"/>
              <w:rPr>
                <w:sz w:val="10"/>
                <w:szCs w:val="10"/>
                <w:color w:val="auto"/>
              </w:rPr>
            </w:pPr>
          </w:p>
        </w:tc>
        <w:tc>
          <w:tcPr>
            <w:tcW w:w="2280" w:type="dxa"/>
            <w:vAlign w:val="bottom"/>
            <w:gridSpan w:val="5"/>
          </w:tcPr>
          <w:p>
            <w:pPr>
              <w:jc w:val="right"/>
              <w:ind w:right="96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3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r>
      <w:tr>
        <w:trPr>
          <w:trHeight w:val="29"/>
        </w:trPr>
        <w:tc>
          <w:tcPr>
            <w:tcW w:w="3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94,981</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Operating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4,832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4,345</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(2,975)</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(5,707)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(7,726)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2,542</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(3,813)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1,526</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12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r>
      <w:tr>
        <w:trPr>
          <w:trHeight w:val="34"/>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0.03</w:t>
            </w:r>
          </w:p>
        </w:tc>
      </w:tr>
      <w:tr>
        <w:trPr>
          <w:trHeight w:val="29"/>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Restricted Cash and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amounts included in Restricted cash and investments. The Company considers all investments as available for sale;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As of December 31, 2006</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As of December 31, 2007</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As of September 30, 2008</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1880"/>
              <w:spacing w:after="0"/>
              <w:rPr>
                <w:sz w:val="20"/>
                <w:szCs w:val="20"/>
                <w:color w:val="auto"/>
              </w:rPr>
            </w:pPr>
            <w:r>
              <w:rPr>
                <w:rFonts w:ascii="Arial" w:cs="Arial" w:eastAsia="Arial" w:hAnsi="Arial"/>
                <w:sz w:val="13"/>
                <w:szCs w:val="13"/>
                <w:color w:val="auto"/>
              </w:rPr>
              <w:t>F-16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ind w:left="14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0"/>
                <w:szCs w:val="1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r>
      <w:tr>
        <w:trPr>
          <w:trHeight w:val="98"/>
        </w:trPr>
        <w:tc>
          <w:tcPr>
            <w:tcW w:w="66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r>
      <w:tr>
        <w:trPr>
          <w:trHeight w:val="29"/>
        </w:trPr>
        <w:tc>
          <w:tcPr>
            <w:tcW w:w="6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2,924</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Due in one to five years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in five to ten years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1,567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1,572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r>
      <w:tr>
        <w:trPr>
          <w:trHeight w:val="29"/>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Gross realized gains and losses resulting from the sale of available-for-sale securities were $0 for the years ended December 31, 2005, 2006, and 2007, and $111 for the nine months ended September 30, 2008. For the years ended December 31, 2005, 2006, and 2007, respectively the net unrealized gain (loss) on available-for-sale securities were $0, $35, and $44, net of tax effect, respectively, and $(68), net of tax effect, for the nine months ended September 30, 2008.</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1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61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r>
      <w:tr>
        <w:trPr>
          <w:trHeight w:val="98"/>
        </w:trPr>
        <w:tc>
          <w:tcPr>
            <w:tcW w:w="3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r>
      <w:tr>
        <w:trPr>
          <w:trHeight w:val="29"/>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 under 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20,562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Equipment under capital leases</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1,726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2,236</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3,974</w:t>
            </w: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8,073</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11,206</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Furniture, fixtures and equipment</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5,225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9,515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12,528</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6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805</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1,233</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1,168</w:t>
            </w:r>
          </w:p>
        </w:tc>
      </w:tr>
      <w:tr>
        <w:trPr>
          <w:trHeight w:val="20"/>
        </w:trPr>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42,211</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50,671</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(5,215)</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(8,362)</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(11,687)</w:t>
            </w:r>
          </w:p>
        </w:tc>
      </w:tr>
      <w:tr>
        <w:trPr>
          <w:trHeight w:val="20"/>
        </w:trPr>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33,849</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38,984</w:t>
            </w:r>
          </w:p>
        </w:tc>
      </w:tr>
      <w:tr>
        <w:trPr>
          <w:trHeight w:val="29"/>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Depreciation and amortization expense associated with property and equipment, including assets under capital lease, totaled $1,849, $2,298, and $3,270 for the years ended December 31, 2005, 2006, and 2007, respectively, and $2,294 and $3,356 for the nine months ended September 30, 2007 and 2008.</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700" w:right="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Accrued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liabilities consist of the following:</w:t>
      </w:r>
    </w:p>
    <w:p>
      <w:pPr>
        <w:spacing w:after="0" w:line="98" w:lineRule="exact"/>
        <w:rPr>
          <w:sz w:val="20"/>
          <w:szCs w:val="20"/>
          <w:color w:val="auto"/>
        </w:rPr>
      </w:pPr>
    </w:p>
    <w:p>
      <w:pPr>
        <w:jc w:val="center"/>
        <w:ind w:left="730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6350</wp:posOffset>
            </wp:positionV>
            <wp:extent cx="88646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ind w:left="7440"/>
        <w:spacing w:after="0"/>
        <w:tabs>
          <w:tab w:leader="none" w:pos="830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wp:posOffset>
            </wp:positionV>
            <wp:extent cx="32448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-635</wp:posOffset>
            </wp:positionV>
            <wp:extent cx="31178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9"/>
          <w:szCs w:val="9"/>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94869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660" w:space="720"/>
            <w:col w:w="2080"/>
          </w:cols>
          <w:pgMar w:left="220" w:top="344" w:right="219" w:bottom="1440" w:gutter="0" w:footer="0" w:header="0"/>
        </w:sectPr>
      </w:pPr>
    </w:p>
    <w:tbl>
      <w:tblPr>
        <w:tblLayout w:type="fixed"/>
        <w:tblInd w:w="680" w:type="dxa"/>
        <w:tblCellMar>
          <w:top w:w="0" w:type="dxa"/>
          <w:left w:w="0" w:type="dxa"/>
          <w:bottom w:w="0" w:type="dxa"/>
          <w:right w:w="0" w:type="dxa"/>
        </w:tblCellMar>
      </w:tblP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3,775</w:t>
            </w: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7,172</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1,096</w:t>
            </w:r>
          </w:p>
        </w:tc>
        <w:tc>
          <w:tcPr>
            <w:tcW w:w="6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Other accrued expenses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4,600</w:t>
            </w:r>
          </w:p>
        </w:tc>
      </w:tr>
      <w:tr>
        <w:trPr>
          <w:trHeight w:val="20"/>
        </w:trPr>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3,044</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6,893</w:t>
            </w:r>
          </w:p>
        </w:tc>
        <w:tc>
          <w:tcPr>
            <w:tcW w:w="400" w:type="dxa"/>
            <w:vAlign w:val="bottom"/>
          </w:tcPr>
          <w:p>
            <w:pPr>
              <w:spacing w:after="0"/>
              <w:rPr>
                <w:sz w:val="13"/>
                <w:szCs w:val="13"/>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12,006</w:t>
            </w:r>
          </w:p>
        </w:tc>
      </w:tr>
      <w:tr>
        <w:trPr>
          <w:trHeight w:val="30"/>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0" w:lineRule="exact"/>
        <w:rPr>
          <w:sz w:val="20"/>
          <w:szCs w:val="20"/>
          <w:color w:val="auto"/>
        </w:rPr>
      </w:pPr>
    </w:p>
    <w:p>
      <w:pPr>
        <w:jc w:val="both"/>
        <w:ind w:left="680" w:right="840" w:firstLine="399"/>
        <w:spacing w:after="0" w:line="296" w:lineRule="auto"/>
        <w:rPr>
          <w:sz w:val="20"/>
          <w:szCs w:val="20"/>
          <w:color w:val="auto"/>
        </w:rPr>
      </w:pPr>
      <w:r>
        <w:rPr>
          <w:rFonts w:ascii="Arial" w:cs="Arial" w:eastAsia="Arial" w:hAnsi="Arial"/>
          <w:sz w:val="12"/>
          <w:szCs w:val="12"/>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5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September 30, 2008, the Company was obligated to spend $2,287 and $1,258, respectively, by July 2010 on such improvements.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6280" w:type="dxa"/>
            <w:vAlign w:val="bottom"/>
          </w:tcPr>
          <w:p>
            <w:pPr>
              <w:ind w:left="200"/>
              <w:spacing w:after="0"/>
              <w:rPr>
                <w:sz w:val="20"/>
                <w:szCs w:val="20"/>
                <w:color w:val="auto"/>
              </w:rPr>
            </w:pPr>
            <w:r>
              <w:rPr>
                <w:rFonts w:ascii="Arial" w:cs="Arial" w:eastAsia="Arial" w:hAnsi="Arial"/>
                <w:sz w:val="13"/>
                <w:szCs w:val="13"/>
                <w:b w:val="1"/>
                <w:bCs w:val="1"/>
                <w:color w:val="auto"/>
              </w:rPr>
              <w:t>Notes Payable and Capital Lease Obligations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280"/>
              <w:spacing w:after="0"/>
              <w:rPr>
                <w:sz w:val="20"/>
                <w:szCs w:val="20"/>
                <w:color w:val="auto"/>
              </w:rPr>
            </w:pPr>
            <w:r>
              <w:rPr>
                <w:rFonts w:ascii="Arial" w:cs="Arial" w:eastAsia="Arial" w:hAnsi="Arial"/>
                <w:sz w:val="13"/>
                <w:szCs w:val="13"/>
                <w:color w:val="auto"/>
              </w:rPr>
              <w:t>Notes payable and capital lease obligations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24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Capital lease for buildings (monthly payments of $301 at an implicit interest rate of 8.7% through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29,161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28,451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30,319</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8"/>
              </w:rPr>
              <w:t>Capital leases for equipment (various leases extending into 2012, with implicit interest rates ranging from 7.4% to</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9.3%, monthly payments totaling $35)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29,728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29,228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28,779</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28,078</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29,675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76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type w:val="continuous"/>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700" w:right="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4" w:lineRule="exact"/>
        <w:rPr>
          <w:sz w:val="20"/>
          <w:szCs w:val="20"/>
          <w:color w:val="auto"/>
        </w:rPr>
      </w:pPr>
    </w:p>
    <w:p>
      <w:pPr>
        <w:jc w:val="center"/>
        <w:ind w:left="712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6350</wp:posOffset>
            </wp:positionV>
            <wp:extent cx="101092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ind w:left="7280"/>
        <w:spacing w:after="0"/>
        <w:tabs>
          <w:tab w:leader="none" w:pos="826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-635</wp:posOffset>
            </wp:positionV>
            <wp:extent cx="101092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400"/>
        <w:spacing w:after="0"/>
        <w:rPr>
          <w:sz w:val="20"/>
          <w:szCs w:val="20"/>
          <w:color w:val="auto"/>
        </w:rPr>
      </w:pPr>
      <w:r>
        <w:rPr>
          <w:rFonts w:ascii="Arial" w:cs="Arial" w:eastAsia="Arial" w:hAnsi="Arial"/>
          <w:sz w:val="9"/>
          <w:szCs w:val="9"/>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94869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660" w:space="720"/>
            <w:col w:w="128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Notes Payable</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400" w:type="dxa"/>
            <w:vAlign w:val="bottom"/>
          </w:tcPr>
          <w:p>
            <w:pPr>
              <w:spacing w:after="0" w:line="149" w:lineRule="exact"/>
              <w:rPr>
                <w:sz w:val="20"/>
                <w:szCs w:val="20"/>
                <w:color w:val="auto"/>
              </w:rPr>
            </w:pPr>
            <w:r>
              <w:rPr>
                <w:rFonts w:ascii="Arial" w:cs="Arial" w:eastAsia="Arial" w:hAnsi="Arial"/>
                <w:sz w:val="13"/>
                <w:szCs w:val="13"/>
                <w:color w:val="auto"/>
                <w:w w:val="96"/>
              </w:rPr>
              <w:t>Institute Loan; 8 quarterly payments of $60 through June 2006 and $120 for 20 quarters through June 2011; implicit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400" w:type="dxa"/>
            <w:vAlign w:val="bottom"/>
          </w:tcPr>
          <w:p>
            <w:pPr>
              <w:ind w:left="140"/>
              <w:spacing w:after="0"/>
              <w:rPr>
                <w:sz w:val="20"/>
                <w:szCs w:val="20"/>
                <w:color w:val="auto"/>
              </w:rPr>
            </w:pPr>
            <w:r>
              <w:rPr>
                <w:rFonts w:ascii="Arial" w:cs="Arial" w:eastAsia="Arial" w:hAnsi="Arial"/>
                <w:sz w:val="13"/>
                <w:szCs w:val="13"/>
                <w:color w:val="auto"/>
              </w:rPr>
              <w:t>interest at 23.6%</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Kirksville Note; monthly payments of $20; interest at 3.9% through September 2011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6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Various Gift Annuities; quarterly payments of $34 extending through 2018; interest at 10%</w:t>
            </w:r>
          </w:p>
        </w:tc>
        <w:tc>
          <w:tcPr>
            <w:tcW w:w="2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874</w:t>
            </w:r>
          </w:p>
        </w:tc>
      </w:tr>
      <w:tr>
        <w:trPr>
          <w:trHeight w:val="148"/>
        </w:trPr>
        <w:tc>
          <w:tcPr>
            <w:tcW w:w="6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Notes payable for vehicles requiring monthly payments with interest rates ranging from 9.5% to 11.0% extending into</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January 2013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2,462</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2,408</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1,814</w:t>
            </w: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2,088</w:t>
            </w:r>
          </w:p>
        </w:tc>
        <w:tc>
          <w:tcPr>
            <w:tcW w:w="3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1,762</w:t>
            </w:r>
          </w:p>
        </w:tc>
        <w:tc>
          <w:tcPr>
            <w:tcW w:w="40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1,422</w:t>
            </w:r>
          </w:p>
        </w:tc>
      </w:tr>
      <w:tr>
        <w:trPr>
          <w:trHeight w:val="30"/>
        </w:trPr>
        <w:tc>
          <w:tcPr>
            <w:tcW w:w="6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2"/>
          <w:szCs w:val="12"/>
          <w:i w:val="1"/>
          <w:iCs w:val="1"/>
          <w:color w:val="auto"/>
        </w:rPr>
        <w:t>Accounting for Leases</w:t>
      </w:r>
      <w:r>
        <w:rPr>
          <w:rFonts w:ascii="Arial" w:cs="Arial" w:eastAsia="Arial" w:hAnsi="Arial"/>
          <w:sz w:val="12"/>
          <w:szCs w:val="12"/>
          <w:color w:val="auto"/>
        </w:rPr>
        <w:t>, the lease of the campus land was treated as an operating lease and the lease of the buildings was treated as a 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September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September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due under the notes payable and future minimum lease payments under the capital lease obligations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0"/>
                <w:szCs w:val="10"/>
                <w:b w:val="1"/>
                <w:bCs w:val="1"/>
                <w:color w:val="auto"/>
              </w:rPr>
              <w:t>December 31, 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Capital Lease</w:t>
            </w:r>
          </w:p>
        </w:tc>
        <w:tc>
          <w:tcPr>
            <w:tcW w:w="120" w:type="dxa"/>
            <w:vAlign w:val="bottom"/>
          </w:tcPr>
          <w:p>
            <w:pPr>
              <w:spacing w:after="0"/>
              <w:rPr>
                <w:sz w:val="7"/>
                <w:szCs w:val="7"/>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Notes Payable</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Obligations</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3,544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3,397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34,951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Less: Portion representing interest</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23,234</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leases certain land, buildings and equipment under non-cancelable operating leases expiring at various dates through 2023. Future minimum lease payments under operating leases due each year are as follows at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2,153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20,326</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30,389</w:t>
            </w:r>
          </w:p>
        </w:tc>
      </w:tr>
      <w:tr>
        <w:trPr>
          <w:trHeight w:val="29"/>
        </w:trPr>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Total rent expense and related taxes and operating expenses under operating leases for the years ended December 31, 2005, 2006 and 2007 and for the nine months ended September 30, 2007 and 2008 was $2,052, $2,136, $2,260, $1,571 and $1,663,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Matters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 xml:space="preserve">counterclaimed alleging breach of contract relating to the parties’ technology services agreement. Following discovery, the arbitration occurred in late May 2008 and final arguments were heard in July 2008. See Note 17 </w:t>
      </w:r>
      <w:r>
        <w:rPr>
          <w:rFonts w:ascii="Arial" w:cs="Arial" w:eastAsia="Arial" w:hAnsi="Arial"/>
          <w:sz w:val="13"/>
          <w:szCs w:val="13"/>
          <w:i w:val="1"/>
          <w:iCs w:val="1"/>
          <w:color w:val="auto"/>
        </w:rPr>
        <w:t>SunGard Arbitration Settlement (unaudited)</w:t>
      </w:r>
      <w:r>
        <w:rPr>
          <w:rFonts w:ascii="Arial" w:cs="Arial" w:eastAsia="Arial" w:hAnsi="Arial"/>
          <w:sz w:val="13"/>
          <w:szCs w:val="13"/>
          <w:color w:val="auto"/>
        </w:rPr>
        <w:t>.</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December 31, 2007.</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34"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corporation occurred on January 1, 2005 combined with the weighted number of shares of common stock outstanding after the conversion to a corporation.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3"/>
          </w:tcPr>
          <w:p>
            <w:pPr>
              <w:jc w:val="center"/>
              <w:ind w:left="538"/>
              <w:spacing w:after="0"/>
              <w:rPr>
                <w:sz w:val="20"/>
                <w:szCs w:val="20"/>
                <w:color w:val="auto"/>
              </w:rPr>
            </w:pPr>
            <w:r>
              <w:rPr>
                <w:rFonts w:ascii="Arial" w:cs="Arial" w:eastAsia="Arial" w:hAnsi="Arial"/>
                <w:sz w:val="10"/>
                <w:szCs w:val="10"/>
                <w:b w:val="1"/>
                <w:bCs w:val="1"/>
                <w:color w:val="auto"/>
                <w:w w:val="97"/>
              </w:rPr>
              <w:t>Nine Month Period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0"/>
                <w:szCs w:val="10"/>
                <w:b w:val="1"/>
                <w:bCs w:val="1"/>
                <w:color w:val="auto"/>
                <w:w w:val="94"/>
              </w:rPr>
              <w:t>Ended September 30,</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9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8"/>
                <w:szCs w:val="8"/>
                <w:color w:val="auto"/>
              </w:rPr>
            </w:pPr>
          </w:p>
        </w:tc>
        <w:tc>
          <w:tcPr>
            <w:tcW w:w="116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8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90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18,853,450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18,922,838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18,884,887</w:t>
            </w:r>
          </w:p>
        </w:tc>
        <w:tc>
          <w:tcPr>
            <w:tcW w:w="2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19,132,681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14,494,788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12,393,062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12,449,668</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10,870,178</w:t>
            </w: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Effect of dilutive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3,509,572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3,805,384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3,824,845</w:t>
            </w:r>
          </w:p>
        </w:tc>
        <w:tc>
          <w:tcPr>
            <w:tcW w:w="2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2,068,987</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contingently issuable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30,210</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40"/>
              <w:spacing w:after="0"/>
              <w:rPr>
                <w:sz w:val="20"/>
                <w:szCs w:val="20"/>
                <w:color w:val="auto"/>
              </w:rPr>
            </w:pPr>
            <w:r>
              <w:rPr>
                <w:rFonts w:ascii="Arial" w:cs="Arial" w:eastAsia="Arial" w:hAnsi="Arial"/>
                <w:sz w:val="13"/>
                <w:szCs w:val="13"/>
                <w:color w:val="auto"/>
              </w:rPr>
              <w:t>Diluted common shares outstanding</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36,857,810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35,189,610</w:t>
            </w:r>
          </w:p>
        </w:tc>
        <w:tc>
          <w:tcPr>
            <w:tcW w:w="2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32,097,356</w:t>
            </w: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securities that could potentially dilute earnings</w:t>
            </w: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per share in the future that are not included above as they are anti-</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Series A contingently redeemable convertible 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2,120</w:t>
            </w:r>
          </w:p>
        </w:tc>
        <w:tc>
          <w:tcPr>
            <w:tcW w:w="26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B contingently redeemable convertible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20" w:type="dxa"/>
            <w:vAlign w:val="bottom"/>
          </w:tcPr>
          <w:p>
            <w:pPr>
              <w:ind w:left="140"/>
              <w:spacing w:after="0"/>
              <w:rPr>
                <w:sz w:val="20"/>
                <w:szCs w:val="20"/>
                <w:color w:val="auto"/>
              </w:rPr>
            </w:pPr>
            <w:r>
              <w:rPr>
                <w:rFonts w:ascii="Arial" w:cs="Arial" w:eastAsia="Arial" w:hAnsi="Arial"/>
                <w:sz w:val="13"/>
                <w:szCs w:val="13"/>
                <w:color w:val="auto"/>
              </w:rPr>
              <w:t>Common stock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4,267,362</w:t>
            </w:r>
          </w:p>
        </w:tc>
        <w:tc>
          <w:tcPr>
            <w:tcW w:w="2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 and Equity Transactions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and September 30, 2008, the following series of preferred stock have been authorized: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Convertible Preferred Stock</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Series A was originally convertible into common stock on a one for one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both"/>
        <w:ind w:left="680" w:right="120"/>
        <w:spacing w:after="0" w:line="260" w:lineRule="auto"/>
        <w:rPr>
          <w:sz w:val="20"/>
          <w:szCs w:val="20"/>
          <w:color w:val="auto"/>
        </w:rPr>
      </w:pPr>
      <w:r>
        <w:rPr>
          <w:rFonts w:ascii="Arial" w:cs="Arial" w:eastAsia="Arial" w:hAnsi="Arial"/>
          <w:sz w:val="13"/>
          <w:szCs w:val="13"/>
          <w:color w:val="auto"/>
        </w:rPr>
        <w:t>offering price per share to the public of not less than $5 (as adjusted to reflect 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During 2005, the Company issued 1,624 shares of Series A and received net proceeds of $4,610. Additionally, the Company converted $14,000 of principal on senior secured promissory notes into 4,329 shares of Series 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Convertible Preferred Stock</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is non-voting.</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September 30, 2008, no shares of Series B remain outstanding.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 Such dividends accrue whether or not declared by the board of directors, whether or not there are funds legally available to pay dividends, and compound on an annual basis. In the event of liquidation, or a change in control, as defined,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5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 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On August 24, 2005, in connection with its conversion from a limited liability company to a corporation, the Company issued and exchanged one share of common stock to its membership holders in exchange for each 182,600 of their previously outstanding membership units in the limited liability company. Concurrently, the Company also issued 593,450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June 2004, the Company entered into a license agreement with Blanchard relating to the Company’s use of the Ken Blanchard name for its College of Business. Under the terms of that agreement the Company agreed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 to Purchase Common Stock</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28, 2004, the Company issued to Spirit a warrant to purchase a 5.0% membership interest in common stock of the Company (the “Spirit Warrant”) for $526, as adjusted to be 909,348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and September 30, 2008, the warrant had not been exercised nor had any of the repurchase rights been executed.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Investor Rights Agreement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35"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September 30, 2008.</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restart"/>
          </w:tcPr>
          <w:p>
            <w:pPr>
              <w:jc w:val="right"/>
              <w:ind w:right="120"/>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w w:val="96"/>
              </w:rPr>
              <w:t>For the Nine Months Ended</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2,221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2,194</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$ 306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4,996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2,677</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2,672</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6,054</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(1,792)</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(1,358)</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(2,640)</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(3,693)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(2,148)</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(1,656)</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(3,186)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$ 347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income tax computed at the U.S. statutory rate to the effective income tax rate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6"/>
              </w:rPr>
              <w:t>For the 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0"/>
                <w:szCs w:val="10"/>
                <w:b w:val="1"/>
                <w:bCs w:val="1"/>
                <w:color w:val="auto"/>
                <w:w w:val="90"/>
              </w:rPr>
              <w:t>September 30,</w:t>
            </w: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2005</w:t>
            </w:r>
          </w:p>
        </w:tc>
        <w:tc>
          <w:tcPr>
            <w:tcW w:w="440" w:type="dxa"/>
            <w:vAlign w:val="bottom"/>
          </w:tcPr>
          <w:p>
            <w:pPr>
              <w:spacing w:after="0"/>
              <w:rPr>
                <w:sz w:val="8"/>
                <w:szCs w:val="8"/>
                <w:color w:val="auto"/>
              </w:rPr>
            </w:pPr>
          </w:p>
        </w:tc>
        <w:tc>
          <w:tcPr>
            <w:tcW w:w="60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Statutory U.S. federal income tax rate (benefit)</w:t>
            </w:r>
          </w:p>
        </w:tc>
        <w:tc>
          <w:tcPr>
            <w:tcW w:w="240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(34.0)%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2400" w:type="dxa"/>
            <w:vAlign w:val="bottom"/>
            <w:gridSpan w:val="3"/>
          </w:tcPr>
          <w:p>
            <w:pPr>
              <w:jc w:val="right"/>
              <w:ind w:right="348"/>
              <w:spacing w:after="0"/>
              <w:rPr>
                <w:sz w:val="20"/>
                <w:szCs w:val="20"/>
                <w:color w:val="auto"/>
              </w:rPr>
            </w:pPr>
            <w:r>
              <w:rPr>
                <w:rFonts w:ascii="Arial" w:cs="Arial" w:eastAsia="Arial" w:hAnsi="Arial"/>
                <w:sz w:val="13"/>
                <w:szCs w:val="13"/>
                <w:color w:val="auto"/>
              </w:rPr>
              <w:t>(2.5)</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5.5</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4.7</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Recognition of deferred taxes upon charter conversion</w:t>
            </w:r>
          </w:p>
        </w:tc>
        <w:tc>
          <w:tcPr>
            <w:tcW w:w="24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(24.1)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Loss prior to charter conversion not subject to tax</w:t>
            </w:r>
          </w:p>
        </w:tc>
        <w:tc>
          <w:tcPr>
            <w:tcW w:w="2400" w:type="dxa"/>
            <w:vAlign w:val="bottom"/>
            <w:gridSpan w:val="3"/>
          </w:tcPr>
          <w:p>
            <w:pPr>
              <w:jc w:val="right"/>
              <w:ind w:right="388"/>
              <w:spacing w:after="0"/>
              <w:rPr>
                <w:sz w:val="20"/>
                <w:szCs w:val="20"/>
                <w:color w:val="auto"/>
              </w:rPr>
            </w:pPr>
            <w:r>
              <w:rPr>
                <w:rFonts w:ascii="Arial" w:cs="Arial" w:eastAsia="Arial" w:hAnsi="Arial"/>
                <w:sz w:val="13"/>
                <w:szCs w:val="13"/>
                <w:color w:val="auto"/>
              </w:rPr>
              <w:t>15.2</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Non deductible expenses</w:t>
            </w:r>
          </w:p>
        </w:tc>
        <w:tc>
          <w:tcPr>
            <w:tcW w:w="240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0.2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w:t>
            </w: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0.7</w:t>
            </w: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42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0.8</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 (benefit)</w:t>
            </w:r>
          </w:p>
        </w:tc>
        <w:tc>
          <w:tcPr>
            <w:tcW w:w="1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(44.5)%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Arial" w:cs="Arial" w:eastAsia="Arial" w:hAnsi="Arial"/>
                <w:sz w:val="13"/>
                <w:szCs w:val="13"/>
                <w:color w:val="auto"/>
              </w:rPr>
              <w:t>F-26</w:t>
            </w: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Significant components of the Company’s deferred income tax assets and liabilities as of December 31, 2006 and 2007, and at September 30,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As of September 30,</w:t>
            </w: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jc w:val="right"/>
              <w:ind w:right="5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 (liability):</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Accounts receivable allowance for doubtful accounts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4,981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6,418</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taxes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1,474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7,436</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Arial" w:cs="Arial" w:eastAsia="Arial" w:hAnsi="Arial"/>
                <w:sz w:val="13"/>
                <w:szCs w:val="13"/>
                <w:color w:val="auto"/>
              </w:rPr>
              <w:t>Non-current deferred tax asset (liability):</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2,204</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Unrealized gains on available for sale securities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Redemption of Institute warrant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1,146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80"/>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5,819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7,446</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12,989</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 xml:space="preserve">As of January 1, 2008, the Company adopted FASB interpretation No. 48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an interpretation of FASB Statement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which clarifies the accounting for uncertainty in tax positions. FIN 48 requires that the Company recognize the impact of a tax position in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if that position is more-likely-than-not of being sustained on audit, based on the technical merits of the position.</w:t>
      </w:r>
    </w:p>
    <w:p>
      <w:pPr>
        <w:spacing w:after="0" w:line="67"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adoption of FIN 48 did not result in an adjustment to opening retained earnings. The Company recognizes interest and penalties related to uncertain tax positions in income tax expense. As of September 30, 2008, the unrecognized tax benefit recorded was approximately $52, which, if reversed, would impact the effective tax rate. The Company’s uncertain tax positions are related to tax years that remain subject to examination by tax authorities. As of September 30, 2008, the earliest tax year still subject to examination for federal and state purposes is 2005. During the second quarter ended June 30, 2008, the Internal Revenue Service (“IRS”) commenced an examination of our 2005 income tax return.</w:t>
      </w:r>
    </w:p>
    <w:p>
      <w:pPr>
        <w:spacing w:after="0" w:line="128"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2007 and September 30, 2008, management believes the Company is in compliance with the applicable regulations in all material respects.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60" w:right="198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55"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28"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w:t>
      </w:r>
    </w:p>
    <w:p>
      <w:pPr>
        <w:spacing w:after="0" w:line="10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Effective February 1, 2004 the Company adopted a 401(k) Defined Contribution Benefit Plan (the “Plan”). The Plan provides eligible employees, upon date of hire, with an opportunity to make tax-deferred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nine months of 2007 or 2008.</w:t>
      </w:r>
    </w:p>
    <w:p>
      <w:pPr>
        <w:spacing w:after="0" w:line="144"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As of and for the years ended December 31, 2005, 2006, and 2007, and as of and for the nine months ended September 30, 2008, related party transactions consisted of the following:</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Significant Education Holding, LLC (Sig Ed) </w:t>
      </w:r>
      <w:r>
        <w:rPr>
          <w:rFonts w:ascii="Arial" w:cs="Arial" w:eastAsia="Arial" w:hAnsi="Arial"/>
          <w:sz w:val="13"/>
          <w:szCs w:val="13"/>
          <w:color w:val="auto"/>
        </w:rPr>
        <w:t>— At December 31, 2007 and September 30, 2008, Sig Ed holds 18,260,000 shares of the Company’s common stock. The Company has</w:t>
      </w:r>
      <w:r>
        <w:rPr>
          <w:rFonts w:ascii="Arial" w:cs="Arial" w:eastAsia="Arial" w:hAnsi="Arial"/>
          <w:sz w:val="13"/>
          <w:szCs w:val="13"/>
          <w:i w:val="1"/>
          <w:iCs w:val="1"/>
          <w:color w:val="auto"/>
        </w:rPr>
        <w:t xml:space="preserve"> </w:t>
      </w:r>
      <w:r>
        <w:rPr>
          <w:rFonts w:ascii="Arial" w:cs="Arial" w:eastAsia="Arial" w:hAnsi="Arial"/>
          <w:sz w:val="13"/>
          <w:szCs w:val="13"/>
          <w:color w:val="auto"/>
        </w:rPr>
        <w:t>not engaged in any transactions with Sig Ed, but has engaged in certain transactions with members of Sig Ed, as discussed below.</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220 Partners, LLC (220 Partners) </w:t>
      </w:r>
      <w:r>
        <w:rPr>
          <w:rFonts w:ascii="Arial" w:cs="Arial" w:eastAsia="Arial" w:hAnsi="Arial"/>
          <w:sz w:val="12"/>
          <w:szCs w:val="12"/>
          <w:color w:val="auto"/>
        </w:rPr>
        <w:t>— 220 Partners, which is affiliated with several entities that hold membership interests in Sig Ed and a former director of the Company,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consulting fees, and reimbursed expenses of $299, $299, $0 and $0 in the years ended December 31, 2005, 2006, and 2007, and in the nine months ended September 30, 2008, respectively. There were no amounts due from or payable to 220 Partners at December 31, 2006, and 2007 or at September 30, 2008.</w:t>
      </w:r>
    </w:p>
    <w:p>
      <w:pPr>
        <w:spacing w:after="0" w:line="5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Affiliates of 220 Partners purchased 632 shares of Series C for $2,212 in 2007, of which $1,409 was due as of December 31, 2007 and was included in the due from related parties on the accompanying balance sheet. This amount was paid January 6, 2008. There were no other amounts due from or payable to an affiliate of 220 Partners at December 31, 2006 and 2007 or at September 30, 2008.</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Rich Crow Enterprises, LLC (Rich Crow) </w:t>
      </w:r>
      <w:r>
        <w:rPr>
          <w:rFonts w:ascii="Arial" w:cs="Arial" w:eastAsia="Arial" w:hAnsi="Arial"/>
          <w:sz w:val="12"/>
          <w:szCs w:val="12"/>
          <w:color w:val="auto"/>
        </w:rPr>
        <w:t>— Members of Rich Crow include the Executive Chairman and General Counsel of the Company who are also both Directors. Rich Crow</w:t>
      </w:r>
      <w:r>
        <w:rPr>
          <w:rFonts w:ascii="Arial" w:cs="Arial" w:eastAsia="Arial" w:hAnsi="Arial"/>
          <w:sz w:val="12"/>
          <w:szCs w:val="12"/>
          <w:i w:val="1"/>
          <w:iCs w:val="1"/>
          <w:color w:val="auto"/>
        </w:rPr>
        <w:t xml:space="preserve"> </w:t>
      </w:r>
      <w:r>
        <w:rPr>
          <w:rFonts w:ascii="Arial" w:cs="Arial" w:eastAsia="Arial" w:hAnsi="Arial"/>
          <w:sz w:val="12"/>
          <w:szCs w:val="12"/>
          <w:color w:val="auto"/>
        </w:rPr>
        <w:t>also is a member of Sig Ed. A member of Rich Crow is also related to the owner of a company that provided marketing services totaling $454 and $309 in the year ended December 31, 2007, and the nine months ended September 30, 2008, respectively, of which $72 and $0 were owed at December 31, 2007, and September 30, 2008, respectively.</w:t>
      </w:r>
    </w:p>
    <w:p>
      <w:pPr>
        <w:spacing w:after="0" w:line="5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nine months ended September 30, 2008, respectively.</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Significant Ventures, LLC (Significant Ventures) </w:t>
      </w:r>
      <w:r>
        <w:rPr>
          <w:rFonts w:ascii="Arial" w:cs="Arial" w:eastAsia="Arial" w:hAnsi="Arial"/>
          <w:sz w:val="13"/>
          <w:szCs w:val="13"/>
          <w:color w:val="auto"/>
        </w:rPr>
        <w:t>— Significant Ventures is a member of Sig Ed. In the years ended December 31, 2005, 2006, and 2007, and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2008, the Company made payments of $124, $390, $0, and $0, respectively, to Significant Ventures for services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reimbursement of expenses. There were no amounts due from or payable to Significant Ventures as of December 31, 2006, and 2007 or September 30, 2008.</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Endeavour Capital Fund IV, LP, Endeavour Associated Fund IV, LP, and Endeavour Capital Parallel Fund IV, LP (Endeavour) </w:t>
      </w:r>
      <w:r>
        <w:rPr>
          <w:rFonts w:ascii="Arial" w:cs="Arial" w:eastAsia="Arial" w:hAnsi="Arial"/>
          <w:sz w:val="12"/>
          <w:szCs w:val="12"/>
          <w:color w:val="auto"/>
        </w:rPr>
        <w:t>— Members of the Company’s Board of Directors are</w:t>
      </w:r>
      <w:r>
        <w:rPr>
          <w:rFonts w:ascii="Arial" w:cs="Arial" w:eastAsia="Arial" w:hAnsi="Arial"/>
          <w:sz w:val="12"/>
          <w:szCs w:val="12"/>
          <w:i w:val="1"/>
          <w:iCs w:val="1"/>
          <w:color w:val="auto"/>
        </w:rPr>
        <w:t xml:space="preserve"> </w:t>
      </w:r>
      <w:r>
        <w:rPr>
          <w:rFonts w:ascii="Arial" w:cs="Arial" w:eastAsia="Arial" w:hAnsi="Arial"/>
          <w:sz w:val="12"/>
          <w:szCs w:val="12"/>
          <w:color w:val="auto"/>
        </w:rPr>
        <w:t>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$288 for the years ended December 31, 2005, 2006 and 2007, and the nine months ended September 30, 2008, respectively. As of December 31, 2006 and 2007 and September 30, 2008 there were no amounts due from or payable to Endeavour.</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Affiliates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Mind Streams, LLC (Mind Streams) and 21st Century, LLC (21st Century) </w:t>
      </w:r>
      <w:r>
        <w:rPr>
          <w:rFonts w:ascii="Arial" w:cs="Arial" w:eastAsia="Arial" w:hAnsi="Arial"/>
          <w:sz w:val="13"/>
          <w:szCs w:val="13"/>
          <w:color w:val="auto"/>
        </w:rPr>
        <w:t>— Mind Streams and 21st Century are owned and operated, in part, by the father of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Chairman and General Counsel. See further discussion in Note 2, Summary of Significant Accounting Policies — Selling and Promotional.</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Youth In Motion </w:t>
      </w:r>
      <w:r>
        <w:rPr>
          <w:rFonts w:ascii="Arial" w:cs="Arial" w:eastAsia="Arial" w:hAnsi="Arial"/>
          <w:sz w:val="13"/>
          <w:szCs w:val="13"/>
          <w:color w:val="auto"/>
        </w:rPr>
        <w:t>— Youth In Motion is owned by the Chief Operating Officer (COO) of the Company. The Company paid consulting fees and expense reimbursements to Youth In</w:t>
      </w:r>
      <w:r>
        <w:rPr>
          <w:rFonts w:ascii="Arial" w:cs="Arial" w:eastAsia="Arial" w:hAnsi="Arial"/>
          <w:sz w:val="13"/>
          <w:szCs w:val="13"/>
          <w:i w:val="1"/>
          <w:iCs w:val="1"/>
          <w:color w:val="auto"/>
        </w:rPr>
        <w:t xml:space="preserve"> </w:t>
      </w:r>
      <w:r>
        <w:rPr>
          <w:rFonts w:ascii="Arial" w:cs="Arial" w:eastAsia="Arial" w:hAnsi="Arial"/>
          <w:sz w:val="13"/>
          <w:szCs w:val="13"/>
          <w:color w:val="auto"/>
        </w:rPr>
        <w:t>Motion of $188, $113, $0 and $0 in the years ended December 31, 2005, 2006, and 2007, and the nine months ended September 30, 2008, respectively. There were no amounts due from or payable to Youth In Motion at December 31, 2006 and 2007 or September 30, 2008.</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The Center for Educational Excellence, LLC (CEE) </w:t>
      </w:r>
      <w:r>
        <w:rPr>
          <w:rFonts w:ascii="Arial" w:cs="Arial" w:eastAsia="Arial" w:hAnsi="Arial"/>
          <w:sz w:val="13"/>
          <w:szCs w:val="13"/>
          <w:color w:val="auto"/>
        </w:rPr>
        <w:t>— Members of CEE include the COO of the Company. The Company paid $607 and $0 of expenses on CEE’s behalf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2007 and the nine months ended September 30, 2008, respectively, and was reimbursed $331, and $4, respectively, and was owed $276 and $0, respectively, included in due from related parties at December 31, 2007 and September 30, 2008.</w:t>
      </w:r>
    </w:p>
    <w:p>
      <w:pPr>
        <w:spacing w:after="0" w:line="102"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Balance at</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Charged to</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118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Deductions</w:t>
            </w: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Year</w:t>
            </w: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Expense</w:t>
            </w: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2,632</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4,368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7,380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6,257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12,158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Nine months ended September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12,158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5,301</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Deductions represent accounts written off, net of recoveries.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Higher Education Opportunity Act: </w:t>
      </w:r>
      <w:r>
        <w:rPr>
          <w:rFonts w:ascii="Arial" w:cs="Arial" w:eastAsia="Arial" w:hAnsi="Arial"/>
          <w:sz w:val="13"/>
          <w:szCs w:val="13"/>
          <w:color w:val="auto"/>
        </w:rPr>
        <w:t>On July 31, 2008, Congress passed the Higher Education Opportunity Act (the “2008 Act”), which reauthorized and made numerous changes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 and its programs. President Bush signed the 2008 Act on August 14, 2008. The HEA, as reauthorized and amended</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by the 2008 Act, continues the access of the Company and its students to Title IV funds. In addition, changes made to the HEA will affect how the Company complies with the requirement that it receives a certain proportion of its revenue from other than the Title IV programs and with the cohort default rate requirement. Prior to the enactment of the 2008 Act, changes made by Congress have expanded the access of the Company and its students to Title IV funds by increasing loan limits for first and second year students and lifting restrictions on on-line education programs and students.</w:t>
      </w:r>
    </w:p>
    <w:p>
      <w:pPr>
        <w:spacing w:after="0" w:line="3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Litigation: </w:t>
      </w:r>
      <w:r>
        <w:rPr>
          <w:rFonts w:ascii="Arial" w:cs="Arial" w:eastAsia="Arial" w:hAnsi="Arial"/>
          <w:sz w:val="12"/>
          <w:szCs w:val="12"/>
          <w:color w:val="auto"/>
        </w:rPr>
        <w:t>On August 14, 2008, the Office of Inspector General (“OIG”) served an administrative subpoena on the Company requiring it to provide certain records and 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related to performance reviews and salary adjustments for all of its enrollment counselors and managers from January 1, 2004 to the present. The Company is cooperating with the Office of Inspector General to facilitate its investigation, but cannot presently predict the ultimate outcome of the investigation or any liability or other sanctions that may result.</w:t>
      </w:r>
    </w:p>
    <w:p>
      <w:pPr>
        <w:spacing w:after="0" w:line="1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On September 11, 2008, the Company was served with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that had been filed against it in August 2007, in the United States District Court for the District of Arizona by a then-current employee on behalf of the federal government.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on behalf of the government. In this case,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was initially filed under seal in August 2007 and was unsealed and served on the Company following the government’s decision not to intervene at this time.</w:t>
      </w:r>
    </w:p>
    <w:p>
      <w:pPr>
        <w:spacing w:after="0" w:line="32"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w:t>
      </w:r>
    </w:p>
    <w:p>
      <w:pPr>
        <w:spacing w:after="0" w:line="2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w:t>
      </w:r>
    </w:p>
    <w:p>
      <w:pPr>
        <w:spacing w:after="0" w:line="20" w:lineRule="exact"/>
        <w:rPr>
          <w:sz w:val="20"/>
          <w:szCs w:val="20"/>
          <w:color w:val="auto"/>
        </w:rPr>
      </w:pPr>
    </w:p>
    <w:p>
      <w:pPr>
        <w:ind w:left="680" w:right="100" w:firstLine="399"/>
        <w:spacing w:after="0" w:line="345" w:lineRule="auto"/>
        <w:rPr>
          <w:sz w:val="20"/>
          <w:szCs w:val="20"/>
          <w:color w:val="auto"/>
        </w:rPr>
      </w:pPr>
      <w:r>
        <w:rPr>
          <w:rFonts w:ascii="Arial" w:cs="Arial" w:eastAsia="Arial" w:hAnsi="Arial"/>
          <w:sz w:val="11"/>
          <w:szCs w:val="11"/>
          <w:b w:val="1"/>
          <w:bCs w:val="1"/>
          <w:i w:val="1"/>
          <w:iCs w:val="1"/>
          <w:color w:val="auto"/>
        </w:rPr>
        <w:t xml:space="preserve">Charter Amendment: </w:t>
      </w:r>
      <w:r>
        <w:rPr>
          <w:rFonts w:ascii="Arial" w:cs="Arial" w:eastAsia="Arial" w:hAnsi="Arial"/>
          <w:sz w:val="11"/>
          <w:szCs w:val="11"/>
          <w:color w:val="auto"/>
        </w:rPr>
        <w:t>On September 26, 2008 the Company’s Board of Directors approved an amendment to the Company’s charter to increase the Company’s authorized common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to 100,000,000 common shares. This charter amendment was approved by the Company’s stockholders on September 27, 2008 and became effective on September 29, 2008.</w:t>
      </w:r>
    </w:p>
    <w:p>
      <w:pPr>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Stock Split: </w:t>
      </w:r>
      <w:r>
        <w:rPr>
          <w:rFonts w:ascii="Arial" w:cs="Arial" w:eastAsia="Arial" w:hAnsi="Arial"/>
          <w:sz w:val="12"/>
          <w:szCs w:val="12"/>
          <w:color w:val="auto"/>
        </w:rPr>
        <w:t>On September 26, 2008, the Company’s Board of Directors declared a 1,826 for one stock split of its outstanding common stock, which became effective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1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Initial Public Offering and Distribution of Dividends: </w:t>
      </w:r>
      <w:r>
        <w:rPr>
          <w:rFonts w:ascii="Arial" w:cs="Arial" w:eastAsia="Arial" w:hAnsi="Arial"/>
          <w:sz w:val="13"/>
          <w:szCs w:val="13"/>
          <w:color w:val="auto"/>
        </w:rPr>
        <w:t>In 2008, the Company commenced preparation for an initial public offering. On September 26, 2008 the Company’s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approved the payment of a special distribution to its stockholders of record as of September 26, 2008 to be paid from the proceeds of the initial public offering in the amount of 75% of the gross offering proceeds, if and when it is completed.</w:t>
      </w:r>
    </w:p>
    <w:p>
      <w:pPr>
        <w:spacing w:after="0" w:line="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Adoption of Equity Plans: </w:t>
      </w:r>
      <w:r>
        <w:rPr>
          <w:rFonts w:ascii="Arial" w:cs="Arial" w:eastAsia="Arial" w:hAnsi="Arial"/>
          <w:sz w:val="13"/>
          <w:szCs w:val="13"/>
          <w:color w:val="auto"/>
        </w:rPr>
        <w:t>On September 27, 2008 the Company’s stockholders approved the adoption of the 2008 Equity Incentive Plan (“Incentive Plan”) and the 2008 Employee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Purchase (“ESPP”).</w:t>
      </w:r>
    </w:p>
    <w:p>
      <w:pPr>
        <w:spacing w:after="0" w:line="2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 total of 4,199,937 shares of our common stock has been authorized for issuance under the Incentive Plan. This reserve will automatically increase on a cumulative basis on January 1, 2009 and each subsequent anniversary through 2017, by an amount equal to the smaller of (a) 2.5% of the number of shares of common stock issued and outstanding on the immediately preceding December 31, or (b) a lesser amount determined by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20"/>
        <w:spacing w:after="0" w:line="277" w:lineRule="auto"/>
        <w:rPr>
          <w:sz w:val="20"/>
          <w:szCs w:val="20"/>
          <w:color w:val="auto"/>
        </w:rPr>
      </w:pPr>
      <w:r>
        <w:rPr>
          <w:rFonts w:ascii="Arial" w:cs="Arial" w:eastAsia="Arial" w:hAnsi="Arial"/>
          <w:sz w:val="12"/>
          <w:szCs w:val="12"/>
          <w:color w:val="auto"/>
        </w:rPr>
        <w:t>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2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SunGard Arbitration Settlement (unaudited): </w:t>
      </w:r>
      <w:r>
        <w:rPr>
          <w:rFonts w:ascii="Arial" w:cs="Arial" w:eastAsia="Arial" w:hAnsi="Arial"/>
          <w:sz w:val="13"/>
          <w:szCs w:val="13"/>
          <w:color w:val="auto"/>
        </w:rPr>
        <w:t>In connection with the SunGard litigation described in Note 9 above, on October 22, 2008, the arbitration panel awarded SunGard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damages in the amount of approximately $250 plus interest. In connection with the settlement, the Company will also be responsible for paying a share of the related arbitration expenses. As a result, the Company has reduced its reserve for litigation by $300 in the nine month period ended September 30, 2008 given that there is no further legal recourse for either party and the remaining actions necessary to settle the matters are administrative in nature.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Information (Unaudited)</w:t>
      </w:r>
    </w:p>
    <w:p>
      <w:pPr>
        <w:spacing w:after="0" w:line="61"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As the special distribution referred to in Note 17 represents distributions to existing shareholders to be made from the proceeds of an initial public offering, the accompanying pro forma balance sheet as of September 30, 2008 reflecting the distribution, but not giving effect to the offering proceeds, is presented. The pro forma September 30, 2008 balance sheet also assumes conversion of all outstanding shares of Series A convertible preferred stock into 10,870,178 shares of common stock and conversion of all outstanding shares of Series C preferred stock into 1,410,526 shares of common stock.</w:t>
      </w:r>
    </w:p>
    <w:p>
      <w:pPr>
        <w:spacing w:after="0" w:line="70" w:lineRule="exact"/>
        <w:rPr>
          <w:sz w:val="20"/>
          <w:szCs w:val="20"/>
          <w:color w:val="auto"/>
        </w:rPr>
      </w:pPr>
    </w:p>
    <w:p>
      <w:pPr>
        <w:ind w:left="680" w:right="860" w:firstLine="399"/>
        <w:spacing w:after="0" w:line="257" w:lineRule="auto"/>
        <w:rPr>
          <w:sz w:val="20"/>
          <w:szCs w:val="20"/>
          <w:color w:val="auto"/>
        </w:rPr>
      </w:pPr>
      <w:r>
        <w:rPr>
          <w:rFonts w:ascii="Arial" w:cs="Arial" w:eastAsia="Arial" w:hAnsi="Arial"/>
          <w:sz w:val="13"/>
          <w:szCs w:val="13"/>
          <w:color w:val="auto"/>
        </w:rPr>
        <w:t>In addition, as the amount of distribution exceeds net income for the twelve-month period ended September 30, 2008, pro forma earnings per common share, basic and diluted, are presented in the accompanying statements of operations for the year ended December 31, 2007 and for the nine-month period ended September 30, 2008, giving effect to the number of shares that would be required to be issued at an assumed initial public offering price of $19.00 per share to pay the amount of dividends that exceeds net income for the twelve-month period ended September 30, 2008. The calculations of the pro forma earnings per common share, basic and diluted, discussed above assume conversion of all outstanding shares of Series A convertible preferred stock into 10,870,178 shares of common stock and conversion of all outstanding shares of Series C preferred stock into 1,410,526 shares of common stock and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520" w:type="dxa"/>
            <w:vAlign w:val="bottom"/>
          </w:tcPr>
          <w:p>
            <w:pPr>
              <w:spacing w:after="0"/>
              <w:rPr>
                <w:sz w:val="20"/>
                <w:szCs w:val="20"/>
                <w:color w:val="auto"/>
              </w:rPr>
            </w:pPr>
            <w:r>
              <w:rPr>
                <w:rFonts w:ascii="Arial" w:cs="Arial" w:eastAsia="Arial" w:hAnsi="Arial"/>
                <w:sz w:val="13"/>
                <w:szCs w:val="13"/>
                <w:b w:val="1"/>
                <w:bCs w:val="1"/>
                <w:color w:val="auto"/>
              </w:rPr>
              <w:t>Calculation of number of additional shares to be issued: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00"/>
        </w:trPr>
        <w:tc>
          <w:tcPr>
            <w:tcW w:w="68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 for the year ended December 31, 2007</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Less net income available to common stockholders for the nine-month period ended September 30, 2007</w:t>
            </w: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Plus net income available to common stockholders for the nine-month period ended September 30, 2008</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Net income available to common stockholders for the twelve-month period ended September 30, 2008</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color w:val="auto"/>
              </w:rPr>
              <w:t>4,592</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 of dividends to be paid</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149,625</w:t>
            </w: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Excess of dividends over earnings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145,033</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4"/>
        </w:trPr>
        <w:tc>
          <w:tcPr>
            <w:tcW w:w="680" w:type="dxa"/>
            <w:vAlign w:val="bottom"/>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Number of shares required to be issued at $19 per share to pay excess of dividends over earnings</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7,633,316</w:t>
            </w:r>
          </w:p>
        </w:tc>
        <w:tc>
          <w:tcPr>
            <w:tcW w:w="800" w:type="dxa"/>
            <w:vAlign w:val="bottom"/>
          </w:tcPr>
          <w:p>
            <w:pPr>
              <w:spacing w:after="0"/>
              <w:rPr>
                <w:sz w:val="15"/>
                <w:szCs w:val="15"/>
                <w:color w:val="auto"/>
              </w:rPr>
            </w:pPr>
          </w:p>
        </w:tc>
      </w:tr>
      <w:tr>
        <w:trPr>
          <w:trHeight w:val="461"/>
        </w:trPr>
        <w:tc>
          <w:tcPr>
            <w:tcW w:w="680" w:type="dxa"/>
            <w:vAlign w:val="bottom"/>
          </w:tcPr>
          <w:p>
            <w:pPr>
              <w:spacing w:after="0"/>
              <w:rPr>
                <w:sz w:val="24"/>
                <w:szCs w:val="24"/>
                <w:color w:val="auto"/>
              </w:rPr>
            </w:pPr>
          </w:p>
        </w:tc>
        <w:tc>
          <w:tcPr>
            <w:tcW w:w="8520" w:type="dxa"/>
            <w:vAlign w:val="bottom"/>
          </w:tcPr>
          <w:p>
            <w:pPr>
              <w:ind w:left="4880"/>
              <w:spacing w:after="0"/>
              <w:rPr>
                <w:sz w:val="20"/>
                <w:szCs w:val="20"/>
                <w:color w:val="auto"/>
              </w:rPr>
            </w:pPr>
            <w:r>
              <w:rPr>
                <w:rFonts w:ascii="Arial" w:cs="Arial" w:eastAsia="Arial" w:hAnsi="Arial"/>
                <w:sz w:val="13"/>
                <w:szCs w:val="13"/>
                <w:color w:val="auto"/>
              </w:rPr>
              <w:t>F-33</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Calculation of pro forma earnings per common share, basic and diluted: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4"/>
              </w:rPr>
              <w:t>Year Ended</w:t>
            </w:r>
          </w:p>
        </w:tc>
        <w:tc>
          <w:tcPr>
            <w:tcW w:w="200" w:type="dxa"/>
            <w:vAlign w:val="bottom"/>
          </w:tcPr>
          <w:p>
            <w:pPr>
              <w:spacing w:after="0"/>
              <w:rPr>
                <w:sz w:val="10"/>
                <w:szCs w:val="10"/>
                <w:color w:val="auto"/>
              </w:rPr>
            </w:pPr>
          </w:p>
        </w:tc>
        <w:tc>
          <w:tcPr>
            <w:tcW w:w="23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8"/>
              </w:rPr>
              <w:t>Nine-Month 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2"/>
          </w:tcPr>
          <w:p>
            <w:pPr>
              <w:jc w:val="center"/>
              <w:ind w:right="1200"/>
              <w:spacing w:after="0" w:line="108" w:lineRule="exact"/>
              <w:rPr>
                <w:sz w:val="20"/>
                <w:szCs w:val="20"/>
                <w:color w:val="auto"/>
              </w:rPr>
            </w:pPr>
            <w:r>
              <w:rPr>
                <w:rFonts w:ascii="Arial" w:cs="Arial" w:eastAsia="Arial" w:hAnsi="Arial"/>
                <w:sz w:val="10"/>
                <w:szCs w:val="10"/>
                <w:b w:val="1"/>
                <w:bCs w:val="1"/>
                <w:color w:val="auto"/>
                <w:w w:val="98"/>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3"/>
              </w:rPr>
              <w:t>December 31, 2007</w:t>
            </w:r>
          </w:p>
        </w:tc>
        <w:tc>
          <w:tcPr>
            <w:tcW w:w="200" w:type="dxa"/>
            <w:vAlign w:val="bottom"/>
          </w:tcPr>
          <w:p>
            <w:pPr>
              <w:spacing w:after="0"/>
              <w:rPr>
                <w:sz w:val="10"/>
                <w:szCs w:val="10"/>
                <w:color w:val="auto"/>
              </w:rPr>
            </w:pPr>
          </w:p>
        </w:tc>
        <w:tc>
          <w:tcPr>
            <w:tcW w:w="23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4"/>
              </w:rPr>
              <w:t>September 30, 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1,177</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3,685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Shares used in computing earnings per common share — historical:</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18,922,838</w:t>
            </w:r>
          </w:p>
        </w:tc>
        <w:tc>
          <w:tcPr>
            <w:tcW w:w="20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19,132,681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20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32,097,356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per common share — pro forma:</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Basic</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38,913,113</w:t>
            </w:r>
          </w:p>
        </w:tc>
        <w:tc>
          <w:tcPr>
            <w:tcW w:w="20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39,046,701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44,263,293</w:t>
            </w:r>
          </w:p>
        </w:tc>
        <w:tc>
          <w:tcPr>
            <w:tcW w:w="20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41,141,198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Pro forma earnings per common share:</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0.03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3"/>
                <w:szCs w:val="13"/>
                <w:color w:val="auto"/>
              </w:rPr>
              <w:t>F-34</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0" w:name="page181"/>
    <w:bookmarkEnd w:id="18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1" w:name="page182"/>
    <w:bookmarkEnd w:id="181"/>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538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53860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2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Inc. filing fee. The following expenses will be borne solely by the registrant.</w:t>
      </w:r>
    </w:p>
    <w:p>
      <w:pPr>
        <w:sectPr>
          <w:pgSz w:w="11900" w:h="16838" w:orient="portrait"/>
          <w:cols w:equalWidth="0" w:num="1">
            <w:col w:w="10660"/>
          </w:cols>
          <w:pgMar w:left="220" w:top="344"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608" w:hanging="608"/>
        <w:spacing w:after="0"/>
        <w:tabs>
          <w:tab w:leader="none" w:pos="608" w:val="left"/>
        </w:tabs>
        <w:numPr>
          <w:ilvl w:val="0"/>
          <w:numId w:val="107"/>
        </w:numPr>
        <w:rPr>
          <w:rFonts w:ascii="Arial" w:cs="Arial" w:eastAsia="Arial" w:hAnsi="Arial"/>
          <w:sz w:val="11"/>
          <w:szCs w:val="11"/>
          <w:color w:val="auto"/>
        </w:rPr>
      </w:pPr>
      <w:r>
        <w:rPr>
          <w:rFonts w:ascii="Arial" w:cs="Arial" w:eastAsia="Arial" w:hAnsi="Arial"/>
          <w:sz w:val="11"/>
          <w:szCs w:val="11"/>
          <w:color w:val="auto"/>
        </w:rPr>
        <w:t>9,491</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23,500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125,000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2,406,000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2,410,000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528,000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248,009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5,800,000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952" w:space="720"/>
            <w:col w:w="988"/>
          </w:cols>
          <w:pgMar w:left="220" w:top="344" w:right="1019" w:bottom="1440" w:gutter="0" w:footer="0" w:header="0"/>
          <w:type w:val="continuous"/>
        </w:sectPr>
      </w:pPr>
    </w:p>
    <w:p>
      <w:pPr>
        <w:spacing w:after="0" w:line="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type w:val="continuous"/>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Article IX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The sales were made in reliance on Section 4(2) of the Securities Act.</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the 220 Entities. The purchase price payable by Rich Crow Enterprises for its shares of Series C</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preferred stock was paid in part by the exchange of the 865 outstanding shares of Series B preferred stock it purchased in 2006. The sales were made in reliance on Rule 506 of Regulation D promulgated under the Securities Act.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7" w:lineRule="exact"/>
        <w:rPr>
          <w:sz w:val="20"/>
          <w:szCs w:val="20"/>
          <w:color w:val="auto"/>
        </w:rPr>
      </w:pPr>
    </w:p>
    <w:p>
      <w:pPr>
        <w:ind w:left="900" w:hanging="213"/>
        <w:spacing w:after="0"/>
        <w:tabs>
          <w:tab w:leader="none" w:pos="9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October 31,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20"/>
        <w:spacing w:after="0"/>
        <w:tabs>
          <w:tab w:leader="none" w:pos="6940" w:val="left"/>
          <w:tab w:leader="none" w:pos="99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860" w:type="dxa"/>
            <w:vAlign w:val="bottom"/>
          </w:tcPr>
          <w:p>
            <w:pPr>
              <w:jc w:val="center"/>
              <w:ind w:left="434"/>
              <w:spacing w:after="0"/>
              <w:rPr>
                <w:sz w:val="20"/>
                <w:szCs w:val="20"/>
                <w:color w:val="auto"/>
              </w:rPr>
            </w:pPr>
            <w:r>
              <w:rPr>
                <w:rFonts w:ascii="Arial" w:cs="Arial" w:eastAsia="Arial" w:hAnsi="Arial"/>
                <w:sz w:val="13"/>
                <w:szCs w:val="13"/>
                <w:color w:val="auto"/>
                <w:w w:val="92"/>
              </w:rPr>
              <w:t>Executive Chairman</w:t>
            </w:r>
          </w:p>
        </w:tc>
        <w:tc>
          <w:tcPr>
            <w:tcW w:w="2800" w:type="dxa"/>
            <w:vAlign w:val="bottom"/>
          </w:tcPr>
          <w:p>
            <w:pPr>
              <w:ind w:left="800"/>
              <w:spacing w:after="0"/>
              <w:rPr>
                <w:sz w:val="20"/>
                <w:szCs w:val="20"/>
                <w:color w:val="auto"/>
              </w:rPr>
            </w:pPr>
            <w:r>
              <w:rPr>
                <w:rFonts w:ascii="Arial" w:cs="Arial" w:eastAsia="Arial" w:hAnsi="Arial"/>
                <w:sz w:val="13"/>
                <w:szCs w:val="13"/>
                <w:color w:val="auto"/>
              </w:rPr>
              <w:t>October 31,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Brent D. Richardson</w:t>
            </w:r>
          </w:p>
        </w:tc>
        <w:tc>
          <w:tcPr>
            <w:tcW w:w="38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E. Mueller</w:t>
            </w:r>
          </w:p>
        </w:tc>
        <w:tc>
          <w:tcPr>
            <w:tcW w:w="3860" w:type="dxa"/>
            <w:vAlign w:val="bottom"/>
          </w:tcPr>
          <w:p>
            <w:pPr>
              <w:jc w:val="center"/>
              <w:ind w:left="454"/>
              <w:spacing w:after="0"/>
              <w:rPr>
                <w:sz w:val="20"/>
                <w:szCs w:val="20"/>
                <w:color w:val="auto"/>
              </w:rPr>
            </w:pPr>
            <w:r>
              <w:rPr>
                <w:rFonts w:ascii="Arial" w:cs="Arial" w:eastAsia="Arial" w:hAnsi="Arial"/>
                <w:sz w:val="13"/>
                <w:szCs w:val="13"/>
                <w:color w:val="auto"/>
                <w:w w:val="95"/>
              </w:rPr>
              <w:t>Chief Executive Officer</w:t>
            </w:r>
          </w:p>
        </w:tc>
        <w:tc>
          <w:tcPr>
            <w:tcW w:w="2800" w:type="dxa"/>
            <w:vAlign w:val="bottom"/>
          </w:tcPr>
          <w:p>
            <w:pPr>
              <w:ind w:left="800"/>
              <w:spacing w:after="0"/>
              <w:rPr>
                <w:sz w:val="20"/>
                <w:szCs w:val="20"/>
                <w:color w:val="auto"/>
              </w:rPr>
            </w:pPr>
            <w:r>
              <w:rPr>
                <w:rFonts w:ascii="Arial" w:cs="Arial" w:eastAsia="Arial" w:hAnsi="Arial"/>
                <w:sz w:val="13"/>
                <w:szCs w:val="13"/>
                <w:color w:val="auto"/>
              </w:rPr>
              <w:t>October 31, 2008</w:t>
            </w: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Brian E. Mueller</w:t>
            </w:r>
          </w:p>
        </w:tc>
        <w:tc>
          <w:tcPr>
            <w:tcW w:w="3860" w:type="dxa"/>
            <w:vAlign w:val="bottom"/>
          </w:tcPr>
          <w:p>
            <w:pPr>
              <w:jc w:val="center"/>
              <w:ind w:left="434"/>
              <w:spacing w:after="0" w:line="145" w:lineRule="exact"/>
              <w:rPr>
                <w:sz w:val="20"/>
                <w:szCs w:val="20"/>
                <w:color w:val="auto"/>
              </w:rPr>
            </w:pPr>
            <w:r>
              <w:rPr>
                <w:rFonts w:ascii="Arial" w:cs="Arial" w:eastAsia="Arial" w:hAnsi="Arial"/>
                <w:sz w:val="13"/>
                <w:szCs w:val="13"/>
                <w:color w:val="auto"/>
                <w:w w:val="94"/>
              </w:rPr>
              <w:t>(Principal Executive Officer)</w:t>
            </w:r>
          </w:p>
        </w:tc>
        <w:tc>
          <w:tcPr>
            <w:tcW w:w="280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E. Bachus</w:t>
            </w:r>
          </w:p>
        </w:tc>
        <w:tc>
          <w:tcPr>
            <w:tcW w:w="3860" w:type="dxa"/>
            <w:vAlign w:val="bottom"/>
          </w:tcPr>
          <w:p>
            <w:pPr>
              <w:jc w:val="center"/>
              <w:ind w:left="454"/>
              <w:spacing w:after="0"/>
              <w:rPr>
                <w:sz w:val="20"/>
                <w:szCs w:val="20"/>
                <w:color w:val="auto"/>
              </w:rPr>
            </w:pPr>
            <w:r>
              <w:rPr>
                <w:rFonts w:ascii="Arial" w:cs="Arial" w:eastAsia="Arial" w:hAnsi="Arial"/>
                <w:sz w:val="13"/>
                <w:szCs w:val="13"/>
                <w:color w:val="auto"/>
                <w:w w:val="95"/>
              </w:rPr>
              <w:t>Chief Financial Officer</w:t>
            </w:r>
          </w:p>
        </w:tc>
        <w:tc>
          <w:tcPr>
            <w:tcW w:w="2800" w:type="dxa"/>
            <w:vAlign w:val="bottom"/>
          </w:tcPr>
          <w:p>
            <w:pPr>
              <w:ind w:left="800"/>
              <w:spacing w:after="0"/>
              <w:rPr>
                <w:sz w:val="20"/>
                <w:szCs w:val="20"/>
                <w:color w:val="auto"/>
              </w:rPr>
            </w:pPr>
            <w:r>
              <w:rPr>
                <w:rFonts w:ascii="Arial" w:cs="Arial" w:eastAsia="Arial" w:hAnsi="Arial"/>
                <w:sz w:val="13"/>
                <w:szCs w:val="13"/>
                <w:color w:val="auto"/>
              </w:rPr>
              <w:t>October 31, 2008</w:t>
            </w:r>
          </w:p>
        </w:tc>
      </w:tr>
      <w:tr>
        <w:trPr>
          <w:trHeight w:val="130"/>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line="130" w:lineRule="exact"/>
              <w:rPr>
                <w:sz w:val="20"/>
                <w:szCs w:val="20"/>
                <w:color w:val="auto"/>
              </w:rPr>
            </w:pPr>
            <w:r>
              <w:rPr>
                <w:rFonts w:ascii="Arial" w:cs="Arial" w:eastAsia="Arial" w:hAnsi="Arial"/>
                <w:sz w:val="13"/>
                <w:szCs w:val="13"/>
                <w:color w:val="auto"/>
              </w:rPr>
              <w:t>Daniel E. Bachus</w:t>
            </w:r>
          </w:p>
        </w:tc>
        <w:tc>
          <w:tcPr>
            <w:tcW w:w="3860" w:type="dxa"/>
            <w:vAlign w:val="bottom"/>
          </w:tcPr>
          <w:p>
            <w:pPr>
              <w:jc w:val="center"/>
              <w:ind w:left="434"/>
              <w:spacing w:after="0" w:line="130" w:lineRule="exact"/>
              <w:rPr>
                <w:sz w:val="20"/>
                <w:szCs w:val="20"/>
                <w:color w:val="auto"/>
              </w:rPr>
            </w:pPr>
            <w:r>
              <w:rPr>
                <w:rFonts w:ascii="Arial" w:cs="Arial" w:eastAsia="Arial" w:hAnsi="Arial"/>
                <w:sz w:val="13"/>
                <w:szCs w:val="13"/>
                <w:color w:val="auto"/>
                <w:w w:val="93"/>
              </w:rPr>
              <w:t>(Principal Financial and Principal</w:t>
            </w:r>
          </w:p>
        </w:tc>
        <w:tc>
          <w:tcPr>
            <w:tcW w:w="2800" w:type="dxa"/>
            <w:vAlign w:val="bottom"/>
          </w:tcPr>
          <w:p>
            <w:pPr>
              <w:spacing w:after="0"/>
              <w:rPr>
                <w:sz w:val="11"/>
                <w:szCs w:val="11"/>
                <w:color w:val="auto"/>
              </w:rPr>
            </w:pPr>
          </w:p>
        </w:tc>
      </w:tr>
      <w:tr>
        <w:trPr>
          <w:trHeight w:val="165"/>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60" w:type="dxa"/>
            <w:vAlign w:val="bottom"/>
          </w:tcPr>
          <w:p>
            <w:pPr>
              <w:jc w:val="center"/>
              <w:ind w:left="454"/>
              <w:spacing w:after="0"/>
              <w:rPr>
                <w:sz w:val="20"/>
                <w:szCs w:val="20"/>
                <w:color w:val="auto"/>
              </w:rPr>
            </w:pPr>
            <w:r>
              <w:rPr>
                <w:rFonts w:ascii="Arial" w:cs="Arial" w:eastAsia="Arial" w:hAnsi="Arial"/>
                <w:sz w:val="13"/>
                <w:szCs w:val="13"/>
                <w:color w:val="auto"/>
                <w:w w:val="95"/>
              </w:rPr>
              <w:t>Accounting Officer)</w:t>
            </w:r>
          </w:p>
        </w:tc>
        <w:tc>
          <w:tcPr>
            <w:tcW w:w="2800" w:type="dxa"/>
            <w:vAlign w:val="bottom"/>
          </w:tcPr>
          <w:p>
            <w:pPr>
              <w:spacing w:after="0"/>
              <w:rPr>
                <w:sz w:val="14"/>
                <w:szCs w:val="14"/>
                <w:color w:val="auto"/>
              </w:rPr>
            </w:pPr>
          </w:p>
        </w:tc>
      </w:tr>
      <w:tr>
        <w:trPr>
          <w:trHeight w:val="315"/>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860" w:type="dxa"/>
            <w:vAlign w:val="bottom"/>
          </w:tcPr>
          <w:p>
            <w:pPr>
              <w:jc w:val="center"/>
              <w:ind w:left="434"/>
              <w:spacing w:after="0"/>
              <w:rPr>
                <w:sz w:val="20"/>
                <w:szCs w:val="20"/>
                <w:color w:val="auto"/>
              </w:rPr>
            </w:pPr>
            <w:r>
              <w:rPr>
                <w:rFonts w:ascii="Arial" w:cs="Arial" w:eastAsia="Arial" w:hAnsi="Arial"/>
                <w:sz w:val="13"/>
                <w:szCs w:val="13"/>
                <w:color w:val="auto"/>
                <w:w w:val="90"/>
              </w:rPr>
              <w:t>General Counsel and Director</w:t>
            </w:r>
          </w:p>
        </w:tc>
        <w:tc>
          <w:tcPr>
            <w:tcW w:w="2800" w:type="dxa"/>
            <w:vAlign w:val="bottom"/>
          </w:tcPr>
          <w:p>
            <w:pPr>
              <w:ind w:left="800"/>
              <w:spacing w:after="0"/>
              <w:rPr>
                <w:sz w:val="20"/>
                <w:szCs w:val="20"/>
                <w:color w:val="auto"/>
              </w:rPr>
            </w:pPr>
            <w:r>
              <w:rPr>
                <w:rFonts w:ascii="Arial" w:cs="Arial" w:eastAsia="Arial" w:hAnsi="Arial"/>
                <w:sz w:val="13"/>
                <w:szCs w:val="13"/>
                <w:color w:val="auto"/>
              </w:rPr>
              <w:t>October 31,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38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860" w:type="dxa"/>
            <w:vAlign w:val="bottom"/>
          </w:tcPr>
          <w:p>
            <w:pPr>
              <w:jc w:val="center"/>
              <w:ind w:left="434"/>
              <w:spacing w:after="0"/>
              <w:rPr>
                <w:sz w:val="20"/>
                <w:szCs w:val="20"/>
                <w:color w:val="auto"/>
              </w:rPr>
            </w:pPr>
            <w:r>
              <w:rPr>
                <w:rFonts w:ascii="Arial" w:cs="Arial" w:eastAsia="Arial" w:hAnsi="Arial"/>
                <w:sz w:val="13"/>
                <w:szCs w:val="13"/>
                <w:color w:val="auto"/>
                <w:w w:val="96"/>
              </w:rPr>
              <w:t>Director</w:t>
            </w:r>
          </w:p>
        </w:tc>
        <w:tc>
          <w:tcPr>
            <w:tcW w:w="2800" w:type="dxa"/>
            <w:vAlign w:val="bottom"/>
          </w:tcPr>
          <w:p>
            <w:pPr>
              <w:ind w:left="800"/>
              <w:spacing w:after="0"/>
              <w:rPr>
                <w:sz w:val="20"/>
                <w:szCs w:val="20"/>
                <w:color w:val="auto"/>
              </w:rPr>
            </w:pPr>
            <w:r>
              <w:rPr>
                <w:rFonts w:ascii="Arial" w:cs="Arial" w:eastAsia="Arial" w:hAnsi="Arial"/>
                <w:sz w:val="13"/>
                <w:szCs w:val="13"/>
                <w:color w:val="auto"/>
              </w:rPr>
              <w:t>October 31,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 Mark Dorman</w:t>
            </w:r>
          </w:p>
        </w:tc>
        <w:tc>
          <w:tcPr>
            <w:tcW w:w="38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860" w:type="dxa"/>
            <w:vAlign w:val="bottom"/>
          </w:tcPr>
          <w:p>
            <w:pPr>
              <w:jc w:val="center"/>
              <w:ind w:left="434"/>
              <w:spacing w:after="0"/>
              <w:rPr>
                <w:sz w:val="20"/>
                <w:szCs w:val="20"/>
                <w:color w:val="auto"/>
              </w:rPr>
            </w:pPr>
            <w:r>
              <w:rPr>
                <w:rFonts w:ascii="Arial" w:cs="Arial" w:eastAsia="Arial" w:hAnsi="Arial"/>
                <w:sz w:val="13"/>
                <w:szCs w:val="13"/>
                <w:color w:val="auto"/>
                <w:w w:val="96"/>
              </w:rPr>
              <w:t>Director</w:t>
            </w:r>
          </w:p>
        </w:tc>
        <w:tc>
          <w:tcPr>
            <w:tcW w:w="2800" w:type="dxa"/>
            <w:vAlign w:val="bottom"/>
          </w:tcPr>
          <w:p>
            <w:pPr>
              <w:ind w:left="800"/>
              <w:spacing w:after="0"/>
              <w:rPr>
                <w:sz w:val="20"/>
                <w:szCs w:val="20"/>
                <w:color w:val="auto"/>
              </w:rPr>
            </w:pPr>
            <w:r>
              <w:rPr>
                <w:rFonts w:ascii="Arial" w:cs="Arial" w:eastAsia="Arial" w:hAnsi="Arial"/>
                <w:sz w:val="13"/>
                <w:szCs w:val="13"/>
                <w:color w:val="auto"/>
              </w:rPr>
              <w:t>October 31,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Chad N. Heath</w:t>
            </w:r>
          </w:p>
        </w:tc>
        <w:tc>
          <w:tcPr>
            <w:tcW w:w="3860" w:type="dxa"/>
            <w:vAlign w:val="bottom"/>
          </w:tcPr>
          <w:p>
            <w:pPr>
              <w:spacing w:after="0"/>
              <w:rPr>
                <w:sz w:val="13"/>
                <w:szCs w:val="13"/>
                <w:color w:val="auto"/>
              </w:rPr>
            </w:pPr>
          </w:p>
        </w:tc>
        <w:tc>
          <w:tcPr>
            <w:tcW w:w="2800" w:type="dxa"/>
            <w:vAlign w:val="bottom"/>
          </w:tcPr>
          <w:p>
            <w:pPr>
              <w:spacing w:after="0"/>
              <w:rPr>
                <w:sz w:val="13"/>
                <w:szCs w:val="13"/>
                <w:color w:val="auto"/>
              </w:rPr>
            </w:pPr>
          </w:p>
        </w:tc>
      </w:tr>
      <w:tr>
        <w:trPr>
          <w:trHeight w:val="306"/>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*By: /s/ Christopher C. Richardson</w:t>
            </w:r>
          </w:p>
        </w:tc>
        <w:tc>
          <w:tcPr>
            <w:tcW w:w="38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39"/>
        </w:trPr>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color w:val="auto"/>
              </w:rPr>
              <w:t>Christopher C. Richardson</w:t>
            </w:r>
          </w:p>
        </w:tc>
        <w:tc>
          <w:tcPr>
            <w:tcW w:w="386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65"/>
        </w:trPr>
        <w:tc>
          <w:tcPr>
            <w:tcW w:w="100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3"/>
                <w:szCs w:val="13"/>
                <w:color w:val="auto"/>
              </w:rPr>
              <w:t>Attorney-in-fact</w:t>
            </w:r>
          </w:p>
        </w:tc>
        <w:tc>
          <w:tcPr>
            <w:tcW w:w="386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44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60" w:type="dxa"/>
            <w:vAlign w:val="bottom"/>
          </w:tcPr>
          <w:p>
            <w:pPr>
              <w:ind w:left="780"/>
              <w:spacing w:after="0"/>
              <w:rPr>
                <w:sz w:val="20"/>
                <w:szCs w:val="20"/>
                <w:color w:val="auto"/>
              </w:rPr>
            </w:pPr>
            <w:r>
              <w:rPr>
                <w:rFonts w:ascii="Arial" w:cs="Arial" w:eastAsia="Arial" w:hAnsi="Arial"/>
                <w:sz w:val="13"/>
                <w:szCs w:val="13"/>
                <w:color w:val="auto"/>
              </w:rPr>
              <w:t>II-5</w:t>
            </w:r>
          </w:p>
        </w:tc>
        <w:tc>
          <w:tcPr>
            <w:tcW w:w="2800" w:type="dxa"/>
            <w:vAlign w:val="bottom"/>
          </w:tcPr>
          <w:p>
            <w:pPr>
              <w:spacing w:after="0"/>
              <w:rPr>
                <w:sz w:val="24"/>
                <w:szCs w:val="24"/>
                <w:color w:val="auto"/>
              </w:rPr>
            </w:pPr>
          </w:p>
        </w:tc>
      </w:tr>
      <w:tr>
        <w:trPr>
          <w:trHeight w:val="163"/>
        </w:trPr>
        <w:tc>
          <w:tcPr>
            <w:tcW w:w="1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00"/>
          </w:cols>
          <w:pgMar w:left="220" w:top="343" w:right="127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Significant Education, LLC is the predecessor to Significant Education, Inc., which is the former name of Grand Canyon Education, Inc.</w:t>
      </w:r>
    </w:p>
    <w:p>
      <w:pPr>
        <w:spacing w:after="0" w:line="68" w:lineRule="exact"/>
        <w:rPr>
          <w:sz w:val="20"/>
          <w:szCs w:val="20"/>
          <w:color w:val="auto"/>
        </w:rPr>
      </w:pPr>
    </w:p>
    <w:p>
      <w:pPr>
        <w:ind w:left="900" w:hanging="213"/>
        <w:spacing w:after="0"/>
        <w:tabs>
          <w:tab w:leader="none" w:pos="9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7" w:lineRule="exact"/>
        <w:rPr>
          <w:sz w:val="20"/>
          <w:szCs w:val="20"/>
          <w:color w:val="auto"/>
        </w:rPr>
      </w:pPr>
    </w:p>
    <w:p>
      <w:pPr>
        <w:ind w:left="900" w:hanging="213"/>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239"/>
          </w:cols>
          <w:pgMar w:left="220" w:top="34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BYLAWS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GRAND CANYON EDUCATION,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Delaware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PREAMBLE</w:t>
      </w:r>
    </w:p>
    <w:p>
      <w:pPr>
        <w:spacing w:after="0" w:line="90" w:lineRule="exact"/>
        <w:rPr>
          <w:sz w:val="20"/>
          <w:szCs w:val="20"/>
          <w:color w:val="auto"/>
        </w:rPr>
      </w:pPr>
    </w:p>
    <w:p>
      <w:pPr>
        <w:ind w:right="100" w:firstLine="161"/>
        <w:spacing w:after="0" w:line="264" w:lineRule="auto"/>
        <w:rPr>
          <w:sz w:val="20"/>
          <w:szCs w:val="20"/>
          <w:color w:val="auto"/>
        </w:rPr>
      </w:pPr>
      <w:r>
        <w:rPr>
          <w:rFonts w:ascii="Arial" w:cs="Arial" w:eastAsia="Arial" w:hAnsi="Arial"/>
          <w:sz w:val="13"/>
          <w:szCs w:val="13"/>
          <w:color w:val="auto"/>
        </w:rPr>
        <w:t>These amended and restated bylaws (the “Bylaws”) are subject to, and governed by, the General Corporate Law of the State of Delaware (the “DGCL”) and the amended and restated certificate of incorporation (the “Certificate”) of Grand Canyon Education, Inc., a Delaware corporation (the “Corporation”). In the event of a direct conflict between the provisions of these Bylaws and the mandatory provisions of the DGCL or the provisions of the Certificate, such provisions of the DGCL or the Certificate, as the case may be, will be controlling.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OFFICES</w:t>
      </w:r>
    </w:p>
    <w:p>
      <w:pPr>
        <w:spacing w:after="0" w:line="7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Registered Office and Agent</w:t>
      </w:r>
      <w:r>
        <w:rPr>
          <w:rFonts w:ascii="Arial" w:cs="Arial" w:eastAsia="Arial" w:hAnsi="Arial"/>
          <w:sz w:val="13"/>
          <w:szCs w:val="13"/>
          <w:color w:val="auto"/>
        </w:rPr>
        <w:t>. The registered office and registered agent of the Corporation shall be designated from time to time by the appropriate filing by the Corporation in the office of the Secretary of State of the State of Delaware.</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Other Offices</w:t>
      </w:r>
      <w:r>
        <w:rPr>
          <w:rFonts w:ascii="Arial" w:cs="Arial" w:eastAsia="Arial" w:hAnsi="Arial"/>
          <w:sz w:val="13"/>
          <w:szCs w:val="13"/>
          <w:color w:val="auto"/>
        </w:rPr>
        <w:t>. The Corporation may also have offices at such other places, both within and without the State of Delaware, as the Board of Directors may from time to time determine or as the business of the Corporation may require.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STOCKHOLDERS</w:t>
      </w:r>
    </w:p>
    <w:p>
      <w:pPr>
        <w:spacing w:after="0" w:line="7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Place of Meetings</w:t>
      </w:r>
      <w:r>
        <w:rPr>
          <w:rFonts w:ascii="Arial" w:cs="Arial" w:eastAsia="Arial" w:hAnsi="Arial"/>
          <w:sz w:val="13"/>
          <w:szCs w:val="13"/>
          <w:color w:val="auto"/>
        </w:rPr>
        <w:t>. All meetings of stockholders shall be held at such place (if any) within or without the State of Delaware as may be designated from time to time by the Board of Directors or the President and Chief Executive Officer.</w:t>
      </w:r>
    </w:p>
    <w:p>
      <w:pPr>
        <w:spacing w:after="0" w:line="4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Annual Meeting</w:t>
      </w:r>
      <w:r>
        <w:rPr>
          <w:rFonts w:ascii="Arial" w:cs="Arial" w:eastAsia="Arial" w:hAnsi="Arial"/>
          <w:sz w:val="13"/>
          <w:szCs w:val="13"/>
          <w:color w:val="auto"/>
        </w:rPr>
        <w:t>. The annual meeting of stockholders for the election of directors and for the transaction of such other business as may properly be brought before the meeting shall be held on a date to be fixed by the Board of Directors at the time and place to be fixed by the Board of Directors and stated in the notice of the meeting. In lieu of holding an annual meeting of stockholders at a designated place, the Board of Directors may, in its sole discretion, determine that any annual meeting of stockholders may be held solely by means of remote communication.</w:t>
      </w:r>
    </w:p>
    <w:p>
      <w:pPr>
        <w:spacing w:after="0" w:line="57"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stockholders may be called at any time by the Board of Directors, the Chairman of the Board or the President or the holders of record of not less than 10% of all shares entitled to cast votes at the meeting, for any purpose or purposes prescribed in the notice of the meeting and shall be held at such place (if any), on such date and at such time as the Board may fix. In lieu of holding a special meeting of stockholders at a designated place, the Board of Directors may, in its sole discretion, determine that any special meeting of stockholders may be held solely by means of remote communication. Business transacted at any special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0" w:name="page191"/>
    <w:bookmarkEnd w:id="190"/>
    <w:p>
      <w:pPr>
        <w:ind w:right="20"/>
        <w:spacing w:after="0" w:line="281" w:lineRule="auto"/>
        <w:rPr>
          <w:sz w:val="20"/>
          <w:szCs w:val="20"/>
          <w:color w:val="auto"/>
        </w:rPr>
      </w:pPr>
      <w:r>
        <w:rPr>
          <w:rFonts w:ascii="Arial" w:cs="Arial" w:eastAsia="Arial" w:hAnsi="Arial"/>
          <w:sz w:val="12"/>
          <w:szCs w:val="12"/>
          <w:color w:val="auto"/>
        </w:rPr>
        <w:t>stockholders shall be confined to the purpose or purposes stated in the notice of meeting. Upon request in writing sent by registered mail to the President or Chief Executive Officer by any stockholder or stockholders entitled to request a special meeting of stockholders pursuant to this Section 2.3, and containing the information required pursuant to Sections 2.11 and 3.15, as applicable, the Board of Directors shall determine a place and time for such meeting, which time shall be not less than 100 nor more than 120 days after the receipt of such request, and a record date for the determination of stockholders entitled to vote at such meeting shall be fixed by the Board of Directors, in advance, which shall not be more than 60 days nor less than 10 days before the date of such meeting. Following such receipt of a request and determination by the Secretary of the validity thereof, it shall be the duty of the Secretary to present the request to the Board of Directors, and upon Board action as provided in this Section 2.3, to cause notice to be given to the stockholders entitled to vote at such meeting, in the manner set forth in Section 2.4 hereof, that a meeting will be held at the place, if any, and time so determined, for the purposes set forth in the stockholder’s request, as well as any purpose or purposes determined by the Board of Directors in accordance with this Section 2.3.</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Notice of Meetings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503" w:val="left"/>
        </w:tabs>
        <w:numPr>
          <w:ilvl w:val="0"/>
          <w:numId w:val="114"/>
        </w:numPr>
        <w:rPr>
          <w:rFonts w:ascii="Arial" w:cs="Arial" w:eastAsia="Arial" w:hAnsi="Arial"/>
          <w:sz w:val="13"/>
          <w:szCs w:val="13"/>
          <w:color w:val="auto"/>
        </w:rPr>
      </w:pPr>
      <w:r>
        <w:rPr>
          <w:rFonts w:ascii="Arial" w:cs="Arial" w:eastAsia="Arial" w:hAnsi="Arial"/>
          <w:sz w:val="13"/>
          <w:szCs w:val="13"/>
          <w:color w:val="auto"/>
        </w:rPr>
        <w:t>Written notice of each meeting of stockholders, whether annual or special, shall be given not less than 10 nor more than 60 days before the date on which the meeting is to be held, to each stockholder entitled to vote at such meeting, except as otherwise provided herein or as required by law (meaning here and hereafter, as required from time to time by the DGCL or the Certificate).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his, her or its address as it appears on the records of the Corporation.</w:t>
      </w:r>
    </w:p>
    <w:p>
      <w:pPr>
        <w:spacing w:after="0" w:line="61" w:lineRule="exact"/>
        <w:rPr>
          <w:rFonts w:ascii="Arial" w:cs="Arial" w:eastAsia="Arial" w:hAnsi="Arial"/>
          <w:sz w:val="13"/>
          <w:szCs w:val="13"/>
          <w:color w:val="auto"/>
        </w:rPr>
      </w:pPr>
    </w:p>
    <w:p>
      <w:pPr>
        <w:ind w:right="40" w:firstLine="326"/>
        <w:spacing w:after="0" w:line="281" w:lineRule="auto"/>
        <w:tabs>
          <w:tab w:leader="none" w:pos="51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48" w:lineRule="exact"/>
        <w:rPr>
          <w:rFonts w:ascii="Arial" w:cs="Arial" w:eastAsia="Arial" w:hAnsi="Arial"/>
          <w:sz w:val="12"/>
          <w:szCs w:val="12"/>
          <w:color w:val="auto"/>
        </w:rPr>
      </w:pPr>
    </w:p>
    <w:p>
      <w:pPr>
        <w:ind w:left="500" w:hanging="174"/>
        <w:spacing w:after="0"/>
        <w:tabs>
          <w:tab w:leader="none" w:pos="5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Notice of any meeting of stockholders need not be given to any stockholder if waived by such stockholder either in a writing signed by such stockholder or by electronic</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91" w:name="page192"/>
    <w:bookmarkEnd w:id="191"/>
    <w:p>
      <w:pPr>
        <w:ind w:right="240"/>
        <w:spacing w:after="0" w:line="276" w:lineRule="auto"/>
        <w:rPr>
          <w:sz w:val="20"/>
          <w:szCs w:val="20"/>
          <w:color w:val="auto"/>
        </w:rPr>
      </w:pPr>
      <w:r>
        <w:rPr>
          <w:rFonts w:ascii="Arial" w:cs="Arial" w:eastAsia="Arial" w:hAnsi="Arial"/>
          <w:sz w:val="13"/>
          <w:szCs w:val="13"/>
          <w:color w:val="auto"/>
        </w:rPr>
        <w:t>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49"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Voting List</w:t>
      </w:r>
      <w:r>
        <w:rPr>
          <w:rFonts w:ascii="Arial" w:cs="Arial" w:eastAsia="Arial" w:hAnsi="Arial"/>
          <w:sz w:val="13"/>
          <w:szCs w:val="13"/>
          <w:color w:val="auto"/>
        </w:rPr>
        <w:t>. The officer who has charge of the stock ledger of the Corporation shall prepare, at least 10 days before each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such stockholder, for any purpose germane to the meeting, during ordinary business hours, for a period of at least 10 days prior to the meeting, in the manner provided by law. The list shall also be produced and kept at the time and place of the meeting during the whole time of the meeting, and may be inspected by any stockholder who is present. This list shall determine the identity of the stockholders entitled to vote at the meeting and the number of shares held by each of them.</w:t>
      </w:r>
    </w:p>
    <w:p>
      <w:pPr>
        <w:spacing w:after="0" w:line="61"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Quorum</w:t>
      </w:r>
      <w:r>
        <w:rPr>
          <w:rFonts w:ascii="Arial" w:cs="Arial" w:eastAsia="Arial" w:hAnsi="Arial"/>
          <w:sz w:val="13"/>
          <w:szCs w:val="13"/>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57"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2.7 </w:t>
      </w:r>
      <w:r>
        <w:rPr>
          <w:rFonts w:ascii="Arial" w:cs="Arial" w:eastAsia="Arial" w:hAnsi="Arial"/>
          <w:sz w:val="12"/>
          <w:szCs w:val="12"/>
          <w:u w:val="single" w:color="auto"/>
          <w:color w:val="auto"/>
        </w:rPr>
        <w:t>Adjournments</w:t>
      </w:r>
      <w:r>
        <w:rPr>
          <w:rFonts w:ascii="Arial" w:cs="Arial" w:eastAsia="Arial" w:hAnsi="Arial"/>
          <w:sz w:val="12"/>
          <w:szCs w:val="12"/>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or if a new record date is fixed for the adjourned meeting, written notice of the place, if any, date, and time of the adjourned meeting and the means of remote communications, if any, by which stockholders and proxy holders may be deemed to be present in person and vote at such adjourned meeting, shall be given in conformity with Section 2.4 hereof. At the adjourned meeting, the Corporation may transact any business that might have been transacted at the original meeting.</w:t>
      </w:r>
    </w:p>
    <w:p>
      <w:pPr>
        <w:spacing w:after="0" w:line="49"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Voting and Proxies</w:t>
      </w:r>
      <w:r>
        <w:rPr>
          <w:rFonts w:ascii="Arial" w:cs="Arial" w:eastAsia="Arial" w:hAnsi="Arial"/>
          <w:sz w:val="13"/>
          <w:szCs w:val="13"/>
          <w:color w:val="auto"/>
        </w:rPr>
        <w:t>. Each stockholder shall have one vote for each share of stock entitled to vote held of record by such stockholder and a proportionate vote for each fractional share so held, unless otherwise provided by law or in the Certificate. Each stockholder of record entitled to vote at a meeting of stockholders may vote in person or may authorize any other person or persons to vote or act for such stockholder by written proxy executed by the stockholder or its authorized agent or by a transmission permitted by law and delivered to the Secretary of the Corporation. Any copy, facsimile transmission or other reliable reproduction of the writing or transmission created pursuant to this Section may be substituted or used in lieu of the original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2" w:name="page193"/>
    <w:bookmarkEnd w:id="192"/>
    <w:p>
      <w:pPr>
        <w:spacing w:after="0" w:line="276" w:lineRule="auto"/>
        <w:rPr>
          <w:sz w:val="20"/>
          <w:szCs w:val="20"/>
          <w:color w:val="auto"/>
        </w:rPr>
      </w:pPr>
      <w:r>
        <w:rPr>
          <w:rFonts w:ascii="Arial" w:cs="Arial" w:eastAsia="Arial" w:hAnsi="Arial"/>
          <w:sz w:val="13"/>
          <w:szCs w:val="13"/>
          <w:color w:val="auto"/>
        </w:rPr>
        <w:t>writing or transmission for any and all purposes for which the original writing or transmission could be used, provided that such copy, facsimile transmission or other reproduction shall be a complete reproduction of the entire original writing or transmission.</w:t>
      </w:r>
    </w:p>
    <w:p>
      <w:pPr>
        <w:spacing w:after="0" w:line="49"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Record Date</w:t>
      </w:r>
      <w:r>
        <w:rPr>
          <w:rFonts w:ascii="Arial" w:cs="Arial" w:eastAsia="Arial" w:hAnsi="Arial"/>
          <w:sz w:val="12"/>
          <w:szCs w:val="12"/>
          <w:color w:val="auto"/>
        </w:rPr>
        <w:t>. The Board of Directors may fix in advance a record date for the determination of the stockholders entitled to notice of or to vote at any meeting of stockholders or to express consent to corporate action in writing without a meeting, or entitled to receive payment of any dividend or other distribution or allotment of any rights in respect of any change, concession or exchange of stock, or for the purpose of any other lawful action. Such record date shall not precede the date on which the resolution fixing the record date is adopted and shall not be more than 60 nor less than 10 days before the date of such meeting, nor more than 60 days prior to any other action to which such record date relates. If no record date is fixed by the Board of Directors,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by the Board of Directors, the record date for determining stockholders entitled to express consent to corporate action in writing without a meeting when no prior action by the Board of Directors is necessary shall be the day on which the first written consent is expressed. The record date for determining stockholders for any other purpose shall be at the close of business on the day on which the Board of Directors adopts the resolution relating to such purpose.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50"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Action at Meeting</w:t>
      </w:r>
      <w:r>
        <w:rPr>
          <w:rFonts w:ascii="Arial" w:cs="Arial" w:eastAsia="Arial" w:hAnsi="Arial"/>
          <w:sz w:val="12"/>
          <w:szCs w:val="12"/>
          <w:color w:val="auto"/>
        </w:rPr>
        <w:t>. When a quorum is present at any meeting, any election of directors shall be determined by a plurality of the votes cast by the stockholders entitled to vote at the election, and any other matter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except when a different vote is required by express provision of law, the Certificate or these Bylaws. All voting, except on the election of directors and where otherwise prohibited by law, may be by a voice vote; provided, however, that upon demand therefor by a stockholder entitled to vote or his, her or its proxy, a vote by ballot shall be taken. Each ballot shall state the name of the stockholder or proxy voting and such other information as may be required under the procedure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faithfully execute the duties of inspector with strict impartiality and according to the best of his or her ability.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3" w:name="page194"/>
    <w:bookmarkEnd w:id="193"/>
    <w:p>
      <w:pPr>
        <w:ind w:left="161"/>
        <w:spacing w:after="0"/>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Notice of Stockholder Business</w:t>
      </w:r>
      <w:r>
        <w:rPr>
          <w:rFonts w:ascii="Arial" w:cs="Arial" w:eastAsia="Arial" w:hAnsi="Arial"/>
          <w:sz w:val="13"/>
          <w:szCs w:val="13"/>
          <w:color w:val="auto"/>
        </w:rPr>
        <w:t>.</w:t>
      </w:r>
    </w:p>
    <w:p>
      <w:pPr>
        <w:spacing w:after="0" w:line="86" w:lineRule="exact"/>
        <w:rPr>
          <w:sz w:val="20"/>
          <w:szCs w:val="20"/>
          <w:color w:val="auto"/>
        </w:rPr>
      </w:pPr>
    </w:p>
    <w:p>
      <w:pPr>
        <w:ind w:left="1" w:right="20" w:firstLine="326"/>
        <w:spacing w:after="0" w:line="305" w:lineRule="auto"/>
        <w:tabs>
          <w:tab w:leader="none" w:pos="500" w:val="left"/>
        </w:tabs>
        <w:numPr>
          <w:ilvl w:val="1"/>
          <w:numId w:val="115"/>
        </w:numPr>
        <w:rPr>
          <w:rFonts w:ascii="Arial" w:cs="Arial" w:eastAsia="Arial" w:hAnsi="Arial"/>
          <w:sz w:val="11"/>
          <w:szCs w:val="11"/>
          <w:color w:val="auto"/>
        </w:rPr>
      </w:pPr>
      <w:r>
        <w:rPr>
          <w:rFonts w:ascii="Arial" w:cs="Arial" w:eastAsia="Arial" w:hAnsi="Arial"/>
          <w:sz w:val="11"/>
          <w:szCs w:val="11"/>
          <w:color w:val="auto"/>
        </w:rPr>
        <w:t>At an annual or special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properly brought before the meeting by or at the direction of the Board of Directors, or</w:t>
      </w:r>
    </w:p>
    <w:p>
      <w:pPr>
        <w:ind w:left="1" w:hanging="1"/>
        <w:spacing w:after="0" w:line="298" w:lineRule="auto"/>
        <w:tabs>
          <w:tab w:leader="none" w:pos="231" w:val="left"/>
        </w:tabs>
        <w:numPr>
          <w:ilvl w:val="0"/>
          <w:numId w:val="116"/>
        </w:numPr>
        <w:rPr>
          <w:rFonts w:ascii="Arial" w:cs="Arial" w:eastAsia="Arial" w:hAnsi="Arial"/>
          <w:sz w:val="11"/>
          <w:szCs w:val="11"/>
          <w:color w:val="auto"/>
        </w:rPr>
      </w:pPr>
      <w:r>
        <w:rPr>
          <w:rFonts w:ascii="Arial" w:cs="Arial" w:eastAsia="Arial" w:hAnsi="Arial"/>
          <w:sz w:val="11"/>
          <w:szCs w:val="11"/>
          <w:color w:val="auto"/>
        </w:rPr>
        <w:t>properly brought before the meeting by a stockholder of record. For business to be properly brought before an annual meeting by a stockholder, it must be a proper matter for stockholder action under the DGCL and the stockholder must have given timely notice thereof in writing to the Secretary of the Corporation. To be timely, a stockholder proposal to be presented at an annual meeting shall be received at the Corporation’s principal executive offices not earlier than the close of business on the 120th day, nor later than the close of business on the 90th day, prior to the first anniversary of the date of the preceding year’s annual meeting as first specified in the Corporation’s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“Public announcement” for purposes hereof shall have the meaning set forth in Article III, Section 3.15(c) of these Bylaws. In no event shall the public announcement of an adjournment or postponement of an annual meeting commence a new time period (or extend any time period) for the giving of a stockholder’s notice as described above. For business to be properly brought before a special meeting by a stockholder, the business must be limited to the purpose or purposes set forth in a request under</w:t>
      </w:r>
    </w:p>
    <w:p>
      <w:pPr>
        <w:spacing w:after="0" w:line="1"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Section 2.3.</w:t>
      </w:r>
    </w:p>
    <w:p>
      <w:pPr>
        <w:spacing w:after="0" w:line="78" w:lineRule="exact"/>
        <w:rPr>
          <w:rFonts w:ascii="Arial" w:cs="Arial" w:eastAsia="Arial" w:hAnsi="Arial"/>
          <w:sz w:val="11"/>
          <w:szCs w:val="11"/>
          <w:color w:val="auto"/>
        </w:rPr>
      </w:pPr>
    </w:p>
    <w:p>
      <w:pPr>
        <w:ind w:left="1" w:firstLine="326"/>
        <w:spacing w:after="0" w:line="279" w:lineRule="auto"/>
        <w:tabs>
          <w:tab w:leader="none" w:pos="507" w:val="left"/>
        </w:tabs>
        <w:numPr>
          <w:ilvl w:val="1"/>
          <w:numId w:val="116"/>
        </w:numPr>
        <w:rPr>
          <w:rFonts w:ascii="Arial" w:cs="Arial" w:eastAsia="Arial" w:hAnsi="Arial"/>
          <w:sz w:val="12"/>
          <w:szCs w:val="12"/>
          <w:color w:val="auto"/>
        </w:rPr>
      </w:pPr>
      <w:r>
        <w:rPr>
          <w:rFonts w:ascii="Arial" w:cs="Arial" w:eastAsia="Arial" w:hAnsi="Arial"/>
          <w:sz w:val="12"/>
          <w:szCs w:val="12"/>
          <w:color w:val="auto"/>
        </w:rPr>
        <w:t>A stockholder’s notice to the Secretary of the Corporation shall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these Bylaws, the language of the proposed amendment, (ii) the name and address, as they appear on the Corporation’s books, of the stockholder proposing such business and the names and addresses of the beneficial owners, if any, on whose behalf the business is being brought, (iii) a representation that the stockholder is a holder of record of stock of the Corporation entitled to vote at the meeting on the date of such notice and intends to appear in person or by proxy at the meeting to propose the business specified in the notice, (iv) any material interest of the stockholder and such other beneficial owner in such business, (v) the class and number of shares of the Corporation that are owned beneficially and of record by the stockholder and such other beneficial owner, (vi)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or, and (vii) any material interest of the stockholder and such other beneficial owner, the effect or intent of which is to mitigate loss to, manage risk or benefit of share price changes for, or increase or decrease the voting power of, such stockholder or such beneficial owner, with respect to shares of stock of the Corporation in such business.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94" w:name="page195"/>
    <w:bookmarkEnd w:id="194"/>
    <w:p>
      <w:pPr>
        <w:ind w:right="100" w:firstLine="326"/>
        <w:spacing w:after="0" w:line="264" w:lineRule="auto"/>
        <w:tabs>
          <w:tab w:leader="none" w:pos="506" w:val="left"/>
        </w:tabs>
        <w:numPr>
          <w:ilvl w:val="0"/>
          <w:numId w:val="117"/>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2.11, a stockholder shall also comply with all applicable requirements of the Securities Exchange Act of 1934 (the “Exchange Act”) and the rules and regulations thereunder with respect to the matters set forth in this Section 2.11. Nothing in this Section 2.11 shall be deemed to affect any rights of stockholders to request inclusion of proposals in the Corporation’s proxy statement pursuant to Rule 14a-8 under the Exchange Act.</w:t>
      </w:r>
    </w:p>
    <w:p>
      <w:pPr>
        <w:spacing w:after="0" w:line="57" w:lineRule="exact"/>
        <w:rPr>
          <w:sz w:val="20"/>
          <w:szCs w:val="20"/>
          <w:color w:val="auto"/>
        </w:rPr>
      </w:pPr>
    </w:p>
    <w:p>
      <w:pPr>
        <w:ind w:right="40" w:firstLine="164"/>
        <w:spacing w:after="0" w:line="305" w:lineRule="auto"/>
        <w:rPr>
          <w:sz w:val="20"/>
          <w:szCs w:val="20"/>
          <w:color w:val="auto"/>
        </w:rPr>
      </w:pPr>
      <w:r>
        <w:rPr>
          <w:rFonts w:ascii="Arial" w:cs="Arial" w:eastAsia="Arial" w:hAnsi="Arial"/>
          <w:sz w:val="11"/>
          <w:szCs w:val="11"/>
          <w:color w:val="auto"/>
        </w:rPr>
        <w:t xml:space="preserve">2.12 </w:t>
      </w:r>
      <w:r>
        <w:rPr>
          <w:rFonts w:ascii="Arial" w:cs="Arial" w:eastAsia="Arial" w:hAnsi="Arial"/>
          <w:sz w:val="11"/>
          <w:szCs w:val="11"/>
          <w:u w:val="single" w:color="auto"/>
          <w:color w:val="auto"/>
        </w:rPr>
        <w:t>Conduct of Business</w:t>
      </w:r>
      <w:r>
        <w:rPr>
          <w:rFonts w:ascii="Arial" w:cs="Arial" w:eastAsia="Arial" w:hAnsi="Arial"/>
          <w:sz w:val="11"/>
          <w:szCs w:val="11"/>
          <w:color w:val="auto"/>
        </w:rPr>
        <w:t>. At every meeting of the stockholders, the Chairman of the Board, or, in his or her absence, the President, or, in his or her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2.8 of these Bylaws to act by proxy, and officers of the Corporation. The chairman of the meeting shall call the meeting to order, establish the agenda, and conduct the business of the meeting in accordance therewith or, at the chairman’s discretion, it may be conducted otherwise in accordance with the wishes of the stockholders in attendance. The date and time of the opening and closing of the polls for each matter upon which the stockholders will vote at the meeting shall be announced at the meeting. The chairman shall also conduct the meeting in an orderly manner, rule on the precedence of, and procedure on, motions and other procedural matters, and exercise discretion with respect to such procedural matters with fairness and good faith toward all those entitled to take part. Without limiting the foregoing, the chairman may (a) restrict attendance at any time to bona fide stockholders of record and their proxies and other persons in attendance at the invitation of the presiding officer or Board of Directors, (b) restrict use of audio or video recording devices at the meeting, and (c) impose reasonable limits on the amount of time taken up at the meeting on discussion in general or on remarks by any one stockholder. Should any person in attendance become unruly or obstruct the meeting proceedings, the chairman shall have the power to have such person removed from the meeting. Notwithstanding anything in the Bylaws to the contrary, no business shall be conducted at a meeting except in accordance with the procedures set forth in this Section 2.12 and Section 2.11 above. The chairman of a meeting may determine and declare to the meeting that any proposed item of business was not brought before the meeting in accordance with the provisions of this Section 2.12 and Section 2.11, and if he or she should so determine, he or she shall so declare to the meeting and any such business not properly brought before the meeting shall not be transacted.</w:t>
      </w:r>
    </w:p>
    <w:p>
      <w:pPr>
        <w:spacing w:after="0" w:line="37"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Stockholder Action Without Meeting</w:t>
      </w:r>
      <w:r>
        <w:rPr>
          <w:rFonts w:ascii="Arial" w:cs="Arial" w:eastAsia="Arial" w:hAnsi="Arial"/>
          <w:sz w:val="13"/>
          <w:szCs w:val="13"/>
          <w:color w:val="auto"/>
        </w:rPr>
        <w:t>. Effective upon the closing of the Corporation’s initial public offering of its common stock, any action required or permitted to be taken by the stockholders of the Corporation must be effected at a duly called annual or special meeting of stockholders of the Corporation and may not be effected by any consent in writing by such stockholders. At all times prior to the closing of the Corporation’s initial public offering of its common stock,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5" w:name="page196"/>
    <w:bookmarkEnd w:id="195"/>
    <w:p>
      <w:pPr>
        <w:ind w:left="1" w:right="20"/>
        <w:spacing w:after="0" w:line="305" w:lineRule="auto"/>
        <w:rPr>
          <w:sz w:val="20"/>
          <w:szCs w:val="20"/>
          <w:color w:val="auto"/>
        </w:rPr>
      </w:pPr>
      <w:r>
        <w:rPr>
          <w:rFonts w:ascii="Arial" w:cs="Arial" w:eastAsia="Arial" w:hAnsi="Arial"/>
          <w:sz w:val="11"/>
          <w:szCs w:val="11"/>
          <w:color w:val="auto"/>
        </w:rPr>
        <w:t>stockholders who have not consented in writing. An electronic transmission consenting to an action to be taken and transmitted by a stockholder, or by a proxy holder or other person authorized to act for a stockholder, shall be deemed to be written, signed and dated for the purpose of this Section 2.13, provided that such electronic transmission sets forth or is delivered with information from which the Corporation can determine</w:t>
      </w:r>
    </w:p>
    <w:p>
      <w:pPr>
        <w:spacing w:after="0" w:line="1" w:lineRule="exact"/>
        <w:rPr>
          <w:sz w:val="20"/>
          <w:szCs w:val="20"/>
          <w:color w:val="auto"/>
        </w:rPr>
      </w:pPr>
    </w:p>
    <w:p>
      <w:pPr>
        <w:ind w:left="161" w:hanging="161"/>
        <w:spacing w:after="0"/>
        <w:tabs>
          <w:tab w:leader="none" w:pos="161"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that the electronic transmission was transmitted by the stockholder or by a person authorized to act for the stockholder and (ii) the date on which such stockholder or authorized person transmitted such electronic</w:t>
      </w:r>
    </w:p>
    <w:p>
      <w:pPr>
        <w:spacing w:after="0" w:line="19" w:lineRule="exact"/>
        <w:rPr>
          <w:rFonts w:ascii="Arial" w:cs="Arial" w:eastAsia="Arial" w:hAnsi="Arial"/>
          <w:sz w:val="12"/>
          <w:szCs w:val="12"/>
          <w:color w:val="auto"/>
        </w:rPr>
      </w:pPr>
    </w:p>
    <w:p>
      <w:pPr>
        <w:ind w:left="1" w:right="40"/>
        <w:spacing w:after="0" w:line="258" w:lineRule="auto"/>
        <w:rPr>
          <w:rFonts w:ascii="Arial" w:cs="Arial" w:eastAsia="Arial" w:hAnsi="Arial"/>
          <w:sz w:val="12"/>
          <w:szCs w:val="12"/>
          <w:color w:val="auto"/>
        </w:rPr>
      </w:pPr>
      <w:r>
        <w:rPr>
          <w:rFonts w:ascii="Arial" w:cs="Arial" w:eastAsia="Arial" w:hAnsi="Arial"/>
          <w:sz w:val="13"/>
          <w:szCs w:val="13"/>
          <w:color w:val="auto"/>
        </w:rPr>
        <w:t>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books in which proceedings of meetings of stockholders are recorded.</w:t>
      </w:r>
    </w:p>
    <w:p>
      <w:pPr>
        <w:spacing w:after="0" w:line="61" w:lineRule="exact"/>
        <w:rPr>
          <w:sz w:val="20"/>
          <w:szCs w:val="20"/>
          <w:color w:val="auto"/>
        </w:rPr>
      </w:pPr>
    </w:p>
    <w:p>
      <w:pPr>
        <w:ind w:left="1" w:firstLine="164"/>
        <w:spacing w:after="0" w:line="282"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Meetings by Remote Communication</w:t>
      </w:r>
      <w:r>
        <w:rPr>
          <w:rFonts w:ascii="Arial" w:cs="Arial" w:eastAsia="Arial" w:hAnsi="Arial"/>
          <w:sz w:val="12"/>
          <w:szCs w:val="12"/>
          <w:color w:val="auto"/>
        </w:rPr>
        <w:t>. If authorized by the Board of Directors, and subject to such guidelines and procedures as the Board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ARTICLE III</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BOARD OF DIRECTORS</w:t>
      </w:r>
    </w:p>
    <w:p>
      <w:pPr>
        <w:spacing w:after="0" w:line="79" w:lineRule="exact"/>
        <w:rPr>
          <w:sz w:val="20"/>
          <w:szCs w:val="20"/>
          <w:color w:val="auto"/>
        </w:rPr>
      </w:pPr>
    </w:p>
    <w:p>
      <w:pPr>
        <w:ind w:left="1" w:right="20" w:firstLine="164"/>
        <w:spacing w:after="0" w:line="371" w:lineRule="auto"/>
        <w:rPr>
          <w:sz w:val="20"/>
          <w:szCs w:val="20"/>
          <w:color w:val="auto"/>
        </w:rPr>
      </w:pPr>
      <w:r>
        <w:rPr>
          <w:rFonts w:ascii="Arial" w:cs="Arial" w:eastAsia="Arial" w:hAnsi="Arial"/>
          <w:sz w:val="11"/>
          <w:szCs w:val="11"/>
          <w:color w:val="auto"/>
        </w:rPr>
        <w:t xml:space="preserve">3.1 </w:t>
      </w:r>
      <w:r>
        <w:rPr>
          <w:rFonts w:ascii="Arial" w:cs="Arial" w:eastAsia="Arial" w:hAnsi="Arial"/>
          <w:sz w:val="11"/>
          <w:szCs w:val="11"/>
          <w:u w:val="single" w:color="auto"/>
          <w:color w:val="auto"/>
        </w:rPr>
        <w:t>General Powers</w:t>
      </w:r>
      <w:r>
        <w:rPr>
          <w:rFonts w:ascii="Arial" w:cs="Arial" w:eastAsia="Arial" w:hAnsi="Arial"/>
          <w:sz w:val="11"/>
          <w:szCs w:val="11"/>
          <w:color w:val="auto"/>
        </w:rPr>
        <w:t>. The business and affairs of the Corporation shall be managed by or under the direction of a Board of Directors, who may exercise all of the powers of the Corporation except as otherwise provided by law or the Certificate. In the event of a vacancy in the Board of Directors, the remaining directors, except as otherwise provided by law, may exercise the powers of the full Board until the vacancy is filled.</w:t>
      </w:r>
    </w:p>
    <w:p>
      <w:pPr>
        <w:spacing w:after="0" w:line="2" w:lineRule="exact"/>
        <w:rPr>
          <w:sz w:val="20"/>
          <w:szCs w:val="20"/>
          <w:color w:val="auto"/>
        </w:rPr>
      </w:pPr>
    </w:p>
    <w:p>
      <w:pPr>
        <w:ind w:left="1" w:right="100" w:firstLine="164"/>
        <w:spacing w:after="0" w:line="316" w:lineRule="auto"/>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u w:val="single" w:color="auto"/>
          <w:color w:val="auto"/>
        </w:rPr>
        <w:t>Number and Term of Office</w:t>
      </w:r>
      <w:r>
        <w:rPr>
          <w:rFonts w:ascii="Arial" w:cs="Arial" w:eastAsia="Arial" w:hAnsi="Arial"/>
          <w:sz w:val="11"/>
          <w:szCs w:val="11"/>
          <w:color w:val="auto"/>
        </w:rPr>
        <w:t>. Subject to the rights of the holders of any series of preferred stock to elect directors under specified circumstances, the number of directors shall initially be four (4)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 Effective upon the date of the closing of the Corporation’s initial public offering of its common stock (the “Effective Date”), the directors, other than those who may be elected by the holders of any series of preferred stock under specified circumstances, shall be divided into three classes, with the term of office of the first class to expire at the first annual meeting of stockholders held after the Effective Date; the term of office of the second class to expire at the second annual meeting of stockholders held after the Effective Date; the</w:t>
      </w:r>
    </w:p>
    <w:p>
      <w:pPr>
        <w:spacing w:after="0" w:line="91"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1" w:right="279" w:bottom="1440" w:gutter="0" w:footer="0" w:header="0"/>
        </w:sectPr>
      </w:pPr>
    </w:p>
    <w:bookmarkStart w:id="196" w:name="page197"/>
    <w:bookmarkEnd w:id="196"/>
    <w:p>
      <w:pPr>
        <w:ind w:right="20"/>
        <w:spacing w:after="0" w:line="285" w:lineRule="auto"/>
        <w:rPr>
          <w:sz w:val="20"/>
          <w:szCs w:val="20"/>
          <w:color w:val="auto"/>
        </w:rPr>
      </w:pPr>
      <w:r>
        <w:rPr>
          <w:rFonts w:ascii="Arial" w:cs="Arial" w:eastAsia="Arial" w:hAnsi="Arial"/>
          <w:sz w:val="12"/>
          <w:szCs w:val="12"/>
          <w:color w:val="auto"/>
        </w:rPr>
        <w:t>term of office of the third class to expire at the third annual meeting of stockholders held after the Effective Date; and thereafter for each such term to expire at each third succeeding annual meeting of stockholders after such election. All directors shall hold office until the expiration of the term for which elected and until their respective successors are elected, except in the case of the death, resignation or removal of any director. At each annual meeting of stockholders commencing with the first annual meeting held after the Effective Date, (i) directors elected to succeed those directors whose terms expire shall be elected for a term of office to expire at the third succeeding annual meeting of stockholders after their election, with each director to hold office until his or her successor shall have been duly elected and qualified, and (ii) if authorized by a resolution of the Board of Directors, directors may be elected to fill any vacancy on the Board of Directors, regardless of how such vacancy shall have been created.</w:t>
      </w:r>
    </w:p>
    <w:p>
      <w:pPr>
        <w:spacing w:after="0" w:line="4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Vacancies and Newly Created Directorships</w:t>
      </w:r>
      <w:r>
        <w:rPr>
          <w:rFonts w:ascii="Arial" w:cs="Arial" w:eastAsia="Arial" w:hAnsi="Arial"/>
          <w:sz w:val="13"/>
          <w:szCs w:val="13"/>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(including removal from office by a vote of the stockholders) may be filled only by a majority vote of the directors then in office, though less than a quorum (and not by stockholders), or by the sole remaining director, and directors so chosen shall hold office for a term expiring at the next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61"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Resignation</w:t>
      </w:r>
      <w:r>
        <w:rPr>
          <w:rFonts w:ascii="Arial" w:cs="Arial" w:eastAsia="Arial" w:hAnsi="Arial"/>
          <w:sz w:val="13"/>
          <w:szCs w:val="13"/>
          <w:color w:val="auto"/>
        </w:rPr>
        <w:t>. Any director may resign by delivering notice in writing or by electronic transmission to the President, Chairman of the Board or Secretary. Such resignation shall be effective upon receipt unless it is specified to be effective at some other time or upon the happening of some other event.</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Removal</w:t>
      </w:r>
      <w:r>
        <w:rPr>
          <w:rFonts w:ascii="Arial" w:cs="Arial" w:eastAsia="Arial" w:hAnsi="Arial"/>
          <w:sz w:val="13"/>
          <w:szCs w:val="13"/>
          <w:color w:val="auto"/>
        </w:rPr>
        <w:t>. Subject to the rights of the holders of any series of preferred stock then outstanding, any directors, or the entire Board of Directors, may be removed from office at any time, but only for cause, by the affirmative vote of the holders of a majority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or by the sole remaining director. Directors so chosen shall hold office until the next annual meeting of stockholders at which the term of office of the class to which they have been elected expires.</w:t>
      </w:r>
    </w:p>
    <w:p>
      <w:pPr>
        <w:spacing w:after="0" w:line="60"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Regular Meetings</w:t>
      </w:r>
      <w:r>
        <w:rPr>
          <w:rFonts w:ascii="Arial" w:cs="Arial" w:eastAsia="Arial" w:hAnsi="Arial"/>
          <w:sz w:val="13"/>
          <w:szCs w:val="13"/>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57"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of Directors may be called by the Chairman of the Board, the President or two or more directors and may be held at any time and place, within or without the State of Delaware.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7" w:name="page198"/>
    <w:bookmarkEnd w:id="197"/>
    <w:p>
      <w:pPr>
        <w:ind w:right="40" w:firstLine="164"/>
        <w:spacing w:after="0" w:line="258"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Notice of Special Meetings</w:t>
      </w:r>
      <w:r>
        <w:rPr>
          <w:rFonts w:ascii="Arial" w:cs="Arial" w:eastAsia="Arial" w:hAnsi="Arial"/>
          <w:sz w:val="13"/>
          <w:szCs w:val="13"/>
          <w:color w:val="auto"/>
        </w:rPr>
        <w:t>. Notice of any special meeting of directors shall be given to each director by whom it is not waived by the Secretary or by the officer or one of the directors calling the meeting. Notice shall be duly given to each director by (i) giving notice to such director in person or by telephone, electronic transmission or voice message system at least 24 hours in advance of the meeting, (ii) sending a facsimile to his or her last known facsimile number, or delivering written notice by hand to his or her last known business or home address, at least 24 hours in advance of the meeting, or (iii) mailing written notice to his or her last known business or home address at least three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61"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Participation in Meetings by Telephone Conference Calls or Other Methods of Communication</w:t>
      </w:r>
      <w:r>
        <w:rPr>
          <w:rFonts w:ascii="Arial" w:cs="Arial" w:eastAsia="Arial" w:hAnsi="Arial"/>
          <w:sz w:val="13"/>
          <w:szCs w:val="13"/>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57" w:lineRule="exact"/>
        <w:rPr>
          <w:sz w:val="20"/>
          <w:szCs w:val="20"/>
          <w:color w:val="auto"/>
        </w:rPr>
      </w:pPr>
    </w:p>
    <w:p>
      <w:pPr>
        <w:jc w:val="both"/>
        <w:ind w:right="140" w:firstLine="164"/>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Quorum</w:t>
      </w:r>
      <w:r>
        <w:rPr>
          <w:rFonts w:ascii="Arial" w:cs="Arial" w:eastAsia="Arial" w:hAnsi="Arial"/>
          <w:sz w:val="13"/>
          <w:szCs w:val="13"/>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Action at Meeting</w:t>
      </w:r>
      <w:r>
        <w:rPr>
          <w:rFonts w:ascii="Arial" w:cs="Arial" w:eastAsia="Arial" w:hAnsi="Arial"/>
          <w:sz w:val="13"/>
          <w:szCs w:val="13"/>
          <w:color w:val="auto"/>
        </w:rPr>
        <w:t>. At any meeting of the Board of Directors at which a quorum is present, the vote of a majority of those present shall be sufficient to take any action, unless a different vote is specified by law, the Certificate or these Bylaws.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Action by Written Consent</w:t>
      </w:r>
      <w:r>
        <w:rPr>
          <w:rFonts w:ascii="Arial" w:cs="Arial" w:eastAsia="Arial" w:hAnsi="Arial"/>
          <w:sz w:val="13"/>
          <w:szCs w:val="13"/>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writings or electronic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57" w:lineRule="exact"/>
        <w:rPr>
          <w:sz w:val="20"/>
          <w:szCs w:val="20"/>
          <w:color w:val="auto"/>
        </w:rPr>
      </w:pPr>
    </w:p>
    <w:p>
      <w:pPr>
        <w:jc w:val="both"/>
        <w:ind w:right="160" w:firstLine="164"/>
        <w:spacing w:after="0" w:line="258" w:lineRule="auto"/>
        <w:rPr>
          <w:sz w:val="20"/>
          <w:szCs w:val="20"/>
          <w:color w:val="auto"/>
        </w:rPr>
      </w:pPr>
      <w:r>
        <w:rPr>
          <w:rFonts w:ascii="Arial" w:cs="Arial" w:eastAsia="Arial" w:hAnsi="Arial"/>
          <w:sz w:val="13"/>
          <w:szCs w:val="13"/>
          <w:color w:val="auto"/>
        </w:rPr>
        <w:t xml:space="preserve">3.13 </w:t>
      </w:r>
      <w:r>
        <w:rPr>
          <w:rFonts w:ascii="Arial" w:cs="Arial" w:eastAsia="Arial" w:hAnsi="Arial"/>
          <w:sz w:val="13"/>
          <w:szCs w:val="13"/>
          <w:u w:val="single" w:color="auto"/>
          <w:color w:val="auto"/>
        </w:rPr>
        <w:t>Committees</w:t>
      </w:r>
      <w:r>
        <w:rPr>
          <w:rFonts w:ascii="Arial" w:cs="Arial" w:eastAsia="Arial" w:hAnsi="Arial"/>
          <w:sz w:val="13"/>
          <w:szCs w:val="13"/>
          <w:color w:val="auto"/>
        </w:rPr>
        <w:t>. The Board of Directors shall designate an Audit Committee, a Compensation Committee and a Nominating and Corporate Governance Committee, and whatever other committees the Board of Directors deems advisable, each of which shall have and may exercise the powers and authority of the Board of Directors to the extent provided in the charters of each committee adopted by the Board of Directors in one or more resolutions..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she or they constitute a quorum, may unanimously appoint another member of the Board of Directors to act at the meeting in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spacing w:after="0" w:line="264" w:lineRule="auto"/>
        <w:rPr>
          <w:sz w:val="20"/>
          <w:szCs w:val="20"/>
          <w:color w:val="auto"/>
        </w:rPr>
      </w:pPr>
      <w:r>
        <w:rPr>
          <w:rFonts w:ascii="Arial" w:cs="Arial" w:eastAsia="Arial" w:hAnsi="Arial"/>
          <w:sz w:val="13"/>
          <w:szCs w:val="13"/>
          <w:color w:val="auto"/>
        </w:rPr>
        <w:t>place of any such absent or disqualified member.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57" w:lineRule="exact"/>
        <w:rPr>
          <w:sz w:val="20"/>
          <w:szCs w:val="20"/>
          <w:color w:val="auto"/>
        </w:rPr>
      </w:pPr>
    </w:p>
    <w:p>
      <w:pPr>
        <w:ind w:right="520" w:firstLine="164"/>
        <w:spacing w:after="0" w:line="320" w:lineRule="auto"/>
        <w:rPr>
          <w:sz w:val="20"/>
          <w:szCs w:val="20"/>
          <w:color w:val="auto"/>
        </w:rPr>
      </w:pPr>
      <w:r>
        <w:rPr>
          <w:rFonts w:ascii="Arial" w:cs="Arial" w:eastAsia="Arial" w:hAnsi="Arial"/>
          <w:sz w:val="12"/>
          <w:szCs w:val="12"/>
          <w:color w:val="auto"/>
        </w:rPr>
        <w:t xml:space="preserve">3.14 </w:t>
      </w:r>
      <w:r>
        <w:rPr>
          <w:rFonts w:ascii="Arial" w:cs="Arial" w:eastAsia="Arial" w:hAnsi="Arial"/>
          <w:sz w:val="12"/>
          <w:szCs w:val="12"/>
          <w:u w:val="single" w:color="auto"/>
          <w:color w:val="auto"/>
        </w:rPr>
        <w:t>Compensation of Directors</w:t>
      </w:r>
      <w:r>
        <w:rPr>
          <w:rFonts w:ascii="Arial" w:cs="Arial" w:eastAsia="Arial" w:hAnsi="Arial"/>
          <w:sz w:val="12"/>
          <w:szCs w:val="12"/>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3.15 </w:t>
      </w:r>
      <w:r>
        <w:rPr>
          <w:rFonts w:ascii="Arial" w:cs="Arial" w:eastAsia="Arial" w:hAnsi="Arial"/>
          <w:sz w:val="13"/>
          <w:szCs w:val="13"/>
          <w:u w:val="single" w:color="auto"/>
          <w:color w:val="auto"/>
        </w:rPr>
        <w:t>Nomination of Director Candidates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76" w:lineRule="auto"/>
        <w:tabs>
          <w:tab w:leader="none" w:pos="506" w:val="left"/>
        </w:tabs>
        <w:numPr>
          <w:ilvl w:val="0"/>
          <w:numId w:val="119"/>
        </w:numPr>
        <w:rPr>
          <w:rFonts w:ascii="Arial" w:cs="Arial" w:eastAsia="Arial" w:hAnsi="Arial"/>
          <w:sz w:val="12"/>
          <w:szCs w:val="12"/>
          <w:color w:val="auto"/>
        </w:rPr>
      </w:pPr>
      <w:r>
        <w:rPr>
          <w:rFonts w:ascii="Arial" w:cs="Arial" w:eastAsia="Arial" w:hAnsi="Arial"/>
          <w:sz w:val="12"/>
          <w:szCs w:val="12"/>
          <w:color w:val="auto"/>
        </w:rPr>
        <w:t>Subject to the rights of holders of any class or series of preferred stock then outstanding, nominations for the election of directors at an annual meeting may be made by (i) the Board of Directors or a duly authorized committee thereof or (ii) any stockholder entitled to vote in the election of directors generally who complies with the procedures set forth in this Section 3.15 and who is a stockholder of record at the time notice is delivered to the Secretary of the Corporation. Any stockholder entitled to vote in the election of directors generally may nominate one or more persons for election as directors at an annual meeting only if timely notice of such stockholder’s intent to make such nomination or nominations has been given in writing to the Secretary of the Corporation. To be timely, a stockholder nomination for a director to be elected at an annual meeting shall be received at the Corporation’s principal executive offices not less than 120 calendar days in advance of the first anniversary of the date that the Corporation’s (or the Corporation’s predecessor’s)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Each such notice shall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Corporation entitled to vote for the election of directors on the date of such notice and intends to appear in person or by proxy at the meeting to nominate the person or persons specified in the notice; (iii) a description of all arrangements or understandings between the stockholder or such beneficial owner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(v) the consent of each nominee to serve as a director of the Corporation if so elected; and (vi) the class and number of shares of the Corporation that are owned beneficially and of record by such stockholder and such beneficial owner. In no event shall the public announcement of an adjournment or postponement of an annual meeting commence a new time period (or extend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spacing w:after="0" w:line="258" w:lineRule="auto"/>
        <w:rPr>
          <w:sz w:val="20"/>
          <w:szCs w:val="20"/>
          <w:color w:val="auto"/>
        </w:rPr>
      </w:pPr>
      <w:r>
        <w:rPr>
          <w:rFonts w:ascii="Arial" w:cs="Arial" w:eastAsia="Arial" w:hAnsi="Arial"/>
          <w:sz w:val="13"/>
          <w:szCs w:val="13"/>
          <w:color w:val="auto"/>
        </w:rPr>
        <w:t>time period) for the giving of a stockholder’s notice as described above. Notwithstanding the third sentence of this Section 3.15(a), in the event that the number of directors to be elected at an annual meeting is increased and there is no public announcement by the Corporation naming the nominees for the additional directorships at least 130 days prior to the first anniversary of the date that the Corporation’s (or its predecessor’s) proxy statement was released to stockholders in connection with the previous year’s annual meeting, a stockholder’s notice required by this Section 3.15(a) shall also be considered timely, but only with respect to nominees for the additional directorships, if it shall be delivered to the Secretary at the principal executive offices of the Corporation not later than the close of business on the 10th day following the day on which such public announcement is first made by the Corporation.</w:t>
      </w:r>
    </w:p>
    <w:p>
      <w:pPr>
        <w:spacing w:after="0" w:line="61" w:lineRule="exact"/>
        <w:rPr>
          <w:sz w:val="20"/>
          <w:szCs w:val="20"/>
          <w:color w:val="auto"/>
        </w:rPr>
      </w:pPr>
    </w:p>
    <w:p>
      <w:pPr>
        <w:ind w:right="20" w:firstLine="326"/>
        <w:spacing w:after="0" w:line="255" w:lineRule="auto"/>
        <w:tabs>
          <w:tab w:leader="none" w:pos="51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Nominations of persons for election to the Board of Directors may be made at a special meeting of stockholders at which directors are to be elected pursuant to the Corporation’s notice of meeting by or at the direction of the Board of Directors or a committee thereof or any stockholder of the Corporation who is entitled to vote at the meeting, who complies with the notice procedures set forth in this Section 3.15 and who is a stockholder of record at the time such notice is delivered to the Secretary of the Corporation. In the event the Corporation calls a special meeting of stockholders for the purpose of electing one or more directors to the Board of Directors, any such stockholder may nominate a person or persons (as the case may be) for election to such position(s) as are specified in the Corporation’s notice of meeting, if the stockholder’s notice as required by paragraph (a) of this Bylaw shall be delivered to the Secretary at the principal executive offices of the Corporation not earlier than the 90th day prior to such special meeting and not later than the close of business on the later of the 70th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66" w:lineRule="exact"/>
        <w:rPr>
          <w:rFonts w:ascii="Arial" w:cs="Arial" w:eastAsia="Arial" w:hAnsi="Arial"/>
          <w:sz w:val="13"/>
          <w:szCs w:val="13"/>
          <w:color w:val="auto"/>
        </w:rPr>
      </w:pPr>
    </w:p>
    <w:p>
      <w:pPr>
        <w:ind w:firstLine="326"/>
        <w:spacing w:after="0" w:line="276" w:lineRule="auto"/>
        <w:tabs>
          <w:tab w:leader="none" w:pos="50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49" w:lineRule="exact"/>
        <w:rPr>
          <w:rFonts w:ascii="Arial" w:cs="Arial" w:eastAsia="Arial" w:hAnsi="Arial"/>
          <w:sz w:val="13"/>
          <w:szCs w:val="13"/>
          <w:color w:val="auto"/>
        </w:rPr>
      </w:pPr>
    </w:p>
    <w:p>
      <w:pPr>
        <w:jc w:val="both"/>
        <w:ind w:right="40" w:firstLine="326"/>
        <w:spacing w:after="0" w:line="264" w:lineRule="auto"/>
        <w:tabs>
          <w:tab w:leader="none" w:pos="51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Notwithstanding the foregoing provisions of this Section 3.15, a stockholder shall also comply with all applicable requirements of the Exchange Act and the rules and regulations thereunder with respect to the matters set forth in this Section 3.15. Nothing in this Section 3.15 shall be deemed to affect any rights of stockholders to request inclusion of proposals in the Corporation’s proxy statement pursuant to Rule 14a-8 under the Exchange Act.</w:t>
      </w:r>
    </w:p>
    <w:p>
      <w:pPr>
        <w:spacing w:after="0" w:line="57" w:lineRule="exact"/>
        <w:rPr>
          <w:rFonts w:ascii="Arial" w:cs="Arial" w:eastAsia="Arial" w:hAnsi="Arial"/>
          <w:sz w:val="13"/>
          <w:szCs w:val="13"/>
          <w:color w:val="auto"/>
        </w:rPr>
      </w:pPr>
    </w:p>
    <w:p>
      <w:pPr>
        <w:jc w:val="both"/>
        <w:ind w:right="100" w:firstLine="326"/>
        <w:spacing w:after="0" w:line="264" w:lineRule="auto"/>
        <w:tabs>
          <w:tab w:leader="none" w:pos="50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Only persons nominated in accordance with the procedures set forth in this Section 3.15 shall be eligible to serve as directors. Except as otherwise provided by law, the chairman of the meeting shall have the power and duty (a) to determine whether a nomination was made in accordance with the procedures set forth in this Section 3.15 and (b) if any proposed nomination was not made in compliance with this Section 3.15, to declare that such nomination shall be disregarded.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ind w:right="40" w:firstLine="326"/>
        <w:spacing w:after="0" w:line="264" w:lineRule="auto"/>
        <w:tabs>
          <w:tab w:leader="none" w:pos="49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If the chairman of the meeting for the election of directors determines that a nomination of any candidate for election as a director at such meeting was not made in accordance with the applicable provisions of this Section 3.15, such nomination shall be void; provided, however, that nothing in this Section 3.15 shall be deemed to limit any voting rights upon the occurrence of dividend arrearages provided to holders of preferred stock pursuant to the preferred stock designation for any series of preferred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OFFICERS</w:t>
      </w:r>
    </w:p>
    <w:p>
      <w:pPr>
        <w:spacing w:after="0" w:line="7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Enumeration</w:t>
      </w:r>
      <w:r>
        <w:rPr>
          <w:rFonts w:ascii="Arial" w:cs="Arial" w:eastAsia="Arial" w:hAnsi="Arial"/>
          <w:sz w:val="13"/>
          <w:szCs w:val="13"/>
          <w:color w:val="auto"/>
        </w:rPr>
        <w:t>. The officers of the Corporation shall consist of a Chief Executive Officer, a President, a Secretary, a Treasurer, a Chief Financial Officer and such other officers with such other titles as the Board of Directors shall determine, including, at the discretion of the Board of Directors, a Chairman of the Board and one or more Vice Presidents and Assistant Secretaries. The Board of Directors may appoint such other officers as it may deem appropriate.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Election</w:t>
      </w:r>
      <w:r>
        <w:rPr>
          <w:rFonts w:ascii="Arial" w:cs="Arial" w:eastAsia="Arial" w:hAnsi="Arial"/>
          <w:sz w:val="12"/>
          <w:szCs w:val="12"/>
          <w:color w:val="auto"/>
        </w:rPr>
        <w:t>. Officers shall be elected annually by the Board of Directors at its first meeting following the annual meeting of stockholders. Officers may be appointed by the Board of Directors at any other meeting.</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Qualification</w:t>
      </w:r>
      <w:r>
        <w:rPr>
          <w:rFonts w:ascii="Arial" w:cs="Arial" w:eastAsia="Arial" w:hAnsi="Arial"/>
          <w:sz w:val="13"/>
          <w:szCs w:val="13"/>
          <w:color w:val="auto"/>
        </w:rPr>
        <w:t>. No officer need be a stockholder. Any two or more offices may be held by the same person.</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Tenure</w:t>
      </w:r>
      <w:r>
        <w:rPr>
          <w:rFonts w:ascii="Arial" w:cs="Arial" w:eastAsia="Arial" w:hAnsi="Arial"/>
          <w:sz w:val="13"/>
          <w:szCs w:val="13"/>
          <w:color w:val="auto"/>
        </w:rPr>
        <w:t>. Except as otherwise provided by law, by the Certificate or by these Bylaws, each officer shall hold office until his or her successor is elected and qualified, unless a different term is specified in the vote appointing him or her, or until his or her earlier death, resignation or removal.</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Resignation and Removal</w:t>
      </w:r>
      <w:r>
        <w:rPr>
          <w:rFonts w:ascii="Arial" w:cs="Arial" w:eastAsia="Arial" w:hAnsi="Arial"/>
          <w:sz w:val="13"/>
          <w:szCs w:val="13"/>
          <w:color w:val="auto"/>
        </w:rPr>
        <w:t>. Any officer may resign by delivering his or her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Chairman of the Board</w:t>
      </w:r>
      <w:r>
        <w:rPr>
          <w:rFonts w:ascii="Arial" w:cs="Arial" w:eastAsia="Arial" w:hAnsi="Arial"/>
          <w:sz w:val="13"/>
          <w:szCs w:val="13"/>
          <w:color w:val="auto"/>
        </w:rPr>
        <w:t>. The Board of Directors may appoint a Chairman of the Board. If the Board of Directors appoints a Chairman of the Board, he or she shall perform such duties and possess such powers as are assigned to him or her by the Board of Directors. Unless otherwise provided by the Board of Directors, he or she shall preside at all meetings of the Board of Directors.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Chief Executive Officer</w:t>
      </w:r>
      <w:r>
        <w:rPr>
          <w:rFonts w:ascii="Arial" w:cs="Arial" w:eastAsia="Arial" w:hAnsi="Arial"/>
          <w:sz w:val="13"/>
          <w:szCs w:val="13"/>
          <w:color w:val="auto"/>
        </w:rPr>
        <w:t>. The Chief Executive Officer of the Corporation shall, subject to the direction of the Board of Directors, have general supervision, direction and control of the business and 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business and supervision of other officers of the Corporation, and shall have such other powers and duties as may be prescribed by the Board of Directors or these Bylaws.</w:t>
      </w:r>
    </w:p>
    <w:p>
      <w:pPr>
        <w:spacing w:after="0" w:line="86"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President</w:t>
      </w:r>
      <w:r>
        <w:rPr>
          <w:rFonts w:ascii="Arial" w:cs="Arial" w:eastAsia="Arial" w:hAnsi="Arial"/>
          <w:sz w:val="13"/>
          <w:szCs w:val="13"/>
          <w:color w:val="auto"/>
        </w:rPr>
        <w:t>. Subject to the direction of the Board of Directors and such supervisory powers as may be given by these Bylaws or the Board of Directors to the Chairman of the Board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 He or she shall have power to sign stock certificates, contracts and other instruments of the Corporation which are authorized and shall have general supervision and direction of all of the other officers, employees and agents of the Corporation, other than the Chairman of the Board and the Chief Executive Officer.</w:t>
      </w:r>
    </w:p>
    <w:p>
      <w:pPr>
        <w:spacing w:after="0" w:line="61" w:lineRule="exact"/>
        <w:rPr>
          <w:sz w:val="20"/>
          <w:szCs w:val="20"/>
          <w:color w:val="auto"/>
        </w:rPr>
      </w:pPr>
    </w:p>
    <w:p>
      <w:pPr>
        <w:jc w:val="both"/>
        <w:ind w:firstLine="164"/>
        <w:spacing w:after="0" w:line="260"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Vice Presidents</w:t>
      </w:r>
      <w:r>
        <w:rPr>
          <w:rFonts w:ascii="Arial" w:cs="Arial" w:eastAsia="Arial" w:hAnsi="Arial"/>
          <w:sz w:val="13"/>
          <w:szCs w:val="13"/>
          <w:color w:val="auto"/>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60" w:lineRule="exact"/>
        <w:rPr>
          <w:sz w:val="20"/>
          <w:szCs w:val="20"/>
          <w:color w:val="auto"/>
        </w:rPr>
      </w:pPr>
    </w:p>
    <w:p>
      <w:pPr>
        <w:ind w:right="80" w:firstLine="164"/>
        <w:spacing w:after="0" w:line="281" w:lineRule="auto"/>
        <w:rPr>
          <w:sz w:val="20"/>
          <w:szCs w:val="20"/>
          <w:color w:val="auto"/>
        </w:rPr>
      </w:pPr>
      <w:r>
        <w:rPr>
          <w:rFonts w:ascii="Arial" w:cs="Arial" w:eastAsia="Arial" w:hAnsi="Arial"/>
          <w:sz w:val="12"/>
          <w:szCs w:val="12"/>
          <w:color w:val="auto"/>
        </w:rPr>
        <w:t xml:space="preserve">4.10 </w:t>
      </w:r>
      <w:r>
        <w:rPr>
          <w:rFonts w:ascii="Arial" w:cs="Arial" w:eastAsia="Arial" w:hAnsi="Arial"/>
          <w:sz w:val="12"/>
          <w:szCs w:val="12"/>
          <w:u w:val="single" w:color="auto"/>
          <w:color w:val="auto"/>
        </w:rPr>
        <w:t>Secretary and Assistant Secretaries</w:t>
      </w:r>
      <w:r>
        <w:rPr>
          <w:rFonts w:ascii="Arial" w:cs="Arial" w:eastAsia="Arial" w:hAnsi="Arial"/>
          <w:sz w:val="12"/>
          <w:szCs w:val="12"/>
          <w:color w:val="auto"/>
        </w:rPr>
        <w:t>. The Secretary shall perform such duties and shall have such powers as the Board of Directors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 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 In the absence of the Secretary or any Assistant Secretary at any meeting of stockholders or directors, the person presiding at the meeting shall designate a temporary Secretary to keep a record of the meeting.</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Treasurer</w:t>
      </w:r>
      <w:r>
        <w:rPr>
          <w:rFonts w:ascii="Arial" w:cs="Arial" w:eastAsia="Arial" w:hAnsi="Arial"/>
          <w:sz w:val="13"/>
          <w:szCs w:val="13"/>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4.12 </w:t>
      </w:r>
      <w:r>
        <w:rPr>
          <w:rFonts w:ascii="Arial" w:cs="Arial" w:eastAsia="Arial" w:hAnsi="Arial"/>
          <w:sz w:val="13"/>
          <w:szCs w:val="13"/>
          <w:u w:val="single" w:color="auto"/>
          <w:color w:val="auto"/>
        </w:rPr>
        <w:t>Chief Financial Officer</w:t>
      </w:r>
      <w:r>
        <w:rPr>
          <w:rFonts w:ascii="Arial" w:cs="Arial" w:eastAsia="Arial" w:hAnsi="Arial"/>
          <w:sz w:val="13"/>
          <w:szCs w:val="13"/>
          <w:color w:val="auto"/>
        </w:rPr>
        <w:t>. The Chief Financial Officer shall perform such duties and shall have such powers as may from time to time be assigned to him or her by the Board of</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color w:val="auto"/>
        </w:rPr>
        <w:t>Directors, the Chief Executive Officer or the President. Unless otherwise designated by the Board of Directors, the Chief Financial Officer shall be the Treasurer of the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Salaries</w:t>
      </w:r>
      <w:r>
        <w:rPr>
          <w:rFonts w:ascii="Arial" w:cs="Arial" w:eastAsia="Arial" w:hAnsi="Arial"/>
          <w:sz w:val="13"/>
          <w:szCs w:val="13"/>
          <w:color w:val="auto"/>
        </w:rPr>
        <w:t>. Officers of the Corporation shall be entitled to such salaries, compensation or reimbursement as shall be fixed or allowed from time to time by the Board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The Board of Directors may from time to time delegate the powers or duties of any officer to any other officers or agents, notwithstanding any provision hereof.</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V</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CAPITAL STOCK</w:t>
      </w:r>
    </w:p>
    <w:p>
      <w:pPr>
        <w:spacing w:after="0" w:line="79"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Issuance of Stock</w:t>
      </w:r>
      <w:r>
        <w:rPr>
          <w:rFonts w:ascii="Arial" w:cs="Arial" w:eastAsia="Arial" w:hAnsi="Arial"/>
          <w:sz w:val="13"/>
          <w:szCs w:val="13"/>
          <w:color w:val="auto"/>
        </w:rPr>
        <w:t>. Subject to the provisions of the Certificate,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57"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Certificates of Stock</w:t>
      </w:r>
      <w:r>
        <w:rPr>
          <w:rFonts w:ascii="Arial" w:cs="Arial" w:eastAsia="Arial" w:hAnsi="Arial"/>
          <w:sz w:val="12"/>
          <w:szCs w:val="12"/>
          <w:color w:val="auto"/>
        </w:rPr>
        <w:t>. The shares of the Corporation shall be represented by certificates, provided that the Board of Directors may provide by resolution or resolutions that some or all of any class or series of its stock shall be uncertificated shares; provided, however, that no such resolution shall apply to shares represented by a certificate until such certificate is surrendered to the Corporation. Each certificate for shares of stock which are subject to any restriction on transfer pursuant to the Certificate, the Bylaws, applicable securities laws or any agreement among any number of shareholders or among such holders and the Corporation shall have conspicuously noted on the face or back of the certificate either the full text of the restriction or a statement of the existence of such restriction.</w:t>
      </w:r>
    </w:p>
    <w:p>
      <w:pPr>
        <w:spacing w:after="0" w:line="43" w:lineRule="exact"/>
        <w:rPr>
          <w:sz w:val="20"/>
          <w:szCs w:val="20"/>
          <w:color w:val="auto"/>
        </w:rPr>
      </w:pPr>
    </w:p>
    <w:p>
      <w:pPr>
        <w:ind w:right="60" w:firstLine="164"/>
        <w:spacing w:after="0" w:line="282"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Transfers</w:t>
      </w:r>
      <w:r>
        <w:rPr>
          <w:rFonts w:ascii="Arial" w:cs="Arial" w:eastAsia="Arial" w:hAnsi="Arial"/>
          <w:sz w:val="12"/>
          <w:szCs w:val="12"/>
          <w:color w:val="auto"/>
        </w:rPr>
        <w:t>. Except as otherwise established by rules and regulations adopted by the Board of Directors, and subject to applicable law, shares of stock may be transferred on the books of the Corporation: (i) in the case of shares represented by a certificate,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and (ii) in the case of uncertificated shares, upon the receipt of proper transfer instructions from the registered owner thereof. Except as may be otherwise required by law, the Certificate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4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Lost, Stolen or Destroyed Certificates</w:t>
      </w:r>
      <w:r>
        <w:rPr>
          <w:rFonts w:ascii="Arial" w:cs="Arial" w:eastAsia="Arial" w:hAnsi="Arial"/>
          <w:sz w:val="13"/>
          <w:szCs w:val="13"/>
          <w:color w:val="auto"/>
        </w:rPr>
        <w:t>. The Corporation may issue a new certificate of stock in place of any previously issued certificate alleged to have been lost, stolen, or destroyed, or it may issue uncertificated shares if the shares represented by such certificate have been designated as uncertificated shares in accordance with Section 5.2, upon such terms and conditions as the Board of Directors may prescribe, including the presentation of reasonable evidence of such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3" w:name="page204"/>
    <w:bookmarkEnd w:id="203"/>
    <w:p>
      <w:pPr>
        <w:spacing w:after="0"/>
        <w:rPr>
          <w:sz w:val="20"/>
          <w:szCs w:val="20"/>
          <w:color w:val="auto"/>
        </w:rPr>
      </w:pPr>
      <w:r>
        <w:rPr>
          <w:rFonts w:ascii="Arial" w:cs="Arial" w:eastAsia="Arial" w:hAnsi="Arial"/>
          <w:sz w:val="13"/>
          <w:szCs w:val="13"/>
          <w:color w:val="auto"/>
        </w:rPr>
        <w:t>loss, theft or destruction and the giving of such indemnity as the Board of Directors may require for the protection of the Corporation or any transfer agent or registrar.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PROVISIONS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Fiscal Year</w:t>
      </w:r>
      <w:r>
        <w:rPr>
          <w:rFonts w:ascii="Arial" w:cs="Arial" w:eastAsia="Arial" w:hAnsi="Arial"/>
          <w:sz w:val="13"/>
          <w:szCs w:val="13"/>
          <w:color w:val="auto"/>
        </w:rPr>
        <w:t>. The fiscal year of the Corporation shall be as fixed by the Board of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Corporate Seal</w:t>
      </w:r>
      <w:r>
        <w:rPr>
          <w:rFonts w:ascii="Arial" w:cs="Arial" w:eastAsia="Arial" w:hAnsi="Arial"/>
          <w:sz w:val="13"/>
          <w:szCs w:val="13"/>
          <w:color w:val="auto"/>
        </w:rPr>
        <w:t>. The corporate seal shall be in such form as shall be approved by the Board of Directors.</w:t>
      </w:r>
    </w:p>
    <w:p>
      <w:pPr>
        <w:spacing w:after="0" w:line="86"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Waiver of Notice</w:t>
      </w:r>
      <w:r>
        <w:rPr>
          <w:rFonts w:ascii="Arial" w:cs="Arial" w:eastAsia="Arial" w:hAnsi="Arial"/>
          <w:sz w:val="13"/>
          <w:szCs w:val="13"/>
          <w:color w:val="auto"/>
        </w:rPr>
        <w:t>. Whenever any notice whatsoever is required to be given by law, by the Certificate or by these Bylaws, a waiver of such notice either in writing signed by the person entitled to such notice or such person’s duly authorized attorney, or by electronic transmission or any other method permitted under the DGCL,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of notice.</w:t>
      </w:r>
    </w:p>
    <w:p>
      <w:pPr>
        <w:spacing w:after="0" w:line="60"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Actions with Respect to Securities of Other Corporations</w:t>
      </w:r>
      <w:r>
        <w:rPr>
          <w:rFonts w:ascii="Arial" w:cs="Arial" w:eastAsia="Arial" w:hAnsi="Arial"/>
          <w:sz w:val="13"/>
          <w:szCs w:val="13"/>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which this Corporation may possess by reason of this Corporation’s ownership of securities in such other Corporation or other organization.</w:t>
      </w:r>
    </w:p>
    <w:p>
      <w:pPr>
        <w:spacing w:after="0" w:line="61"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Evidence of Authority</w:t>
      </w:r>
      <w:r>
        <w:rPr>
          <w:rFonts w:ascii="Arial" w:cs="Arial" w:eastAsia="Arial" w:hAnsi="Arial"/>
          <w:sz w:val="13"/>
          <w:szCs w:val="13"/>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Certificate of Incorporation</w:t>
      </w:r>
      <w:r>
        <w:rPr>
          <w:rFonts w:ascii="Arial" w:cs="Arial" w:eastAsia="Arial" w:hAnsi="Arial"/>
          <w:sz w:val="13"/>
          <w:szCs w:val="13"/>
          <w:color w:val="auto"/>
        </w:rPr>
        <w:t>. All references in these Bylaws to the Certificate shall be deemed to refer to the Amended and Restated Certificate of Incorporation of the Corporation, as amended and in effect from time to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Severability</w:t>
      </w:r>
      <w:r>
        <w:rPr>
          <w:rFonts w:ascii="Arial" w:cs="Arial" w:eastAsia="Arial" w:hAnsi="Arial"/>
          <w:sz w:val="13"/>
          <w:szCs w:val="13"/>
          <w:color w:val="auto"/>
        </w:rPr>
        <w:t>. Any determination that any provision of these Bylaws is for any reason inapplicable, illegal or ineffective shall not affect or invalidate any other provision of these Bylaws.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Pronouns</w:t>
      </w:r>
      <w:r>
        <w:rPr>
          <w:rFonts w:ascii="Arial" w:cs="Arial" w:eastAsia="Arial" w:hAnsi="Arial"/>
          <w:sz w:val="13"/>
          <w:szCs w:val="13"/>
          <w:color w:val="auto"/>
        </w:rPr>
        <w:t>. All pronouns used in these Bylaws shall be deemed to refer to the masculine, feminine or neuter, singular or plural, as the identity of the person or persons may require.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4" w:name="page205"/>
    <w:bookmarkEnd w:id="204"/>
    <w:p>
      <w:pPr>
        <w:ind w:right="40" w:firstLine="164"/>
        <w:spacing w:after="0" w:line="255"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Notices</w:t>
      </w:r>
      <w:r>
        <w:rPr>
          <w:rFonts w:ascii="Arial" w:cs="Arial" w:eastAsia="Arial" w:hAnsi="Arial"/>
          <w:sz w:val="13"/>
          <w:szCs w:val="13"/>
          <w:color w:val="auto"/>
        </w:rPr>
        <w:t>. 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DGCL. Any such notice shall be addressed to such stockholder, director, officer, employee or agent at his or her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(1) if by facsimile,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(4) if by any other form of electronic transmission, when directed to the stockholder; and (5) if by mail, when deposited in the mail, postage prepaid, directed to the stockholder at such stockholder’s address as it appears on the records of the Corporation.</w:t>
      </w:r>
    </w:p>
    <w:p>
      <w:pPr>
        <w:spacing w:after="0" w:line="63"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Reliance Upon Books, Reports and Records</w:t>
      </w:r>
      <w:r>
        <w:rPr>
          <w:rFonts w:ascii="Arial" w:cs="Arial" w:eastAsia="Arial" w:hAnsi="Arial"/>
          <w:sz w:val="13"/>
          <w:szCs w:val="13"/>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Time Periods</w:t>
      </w:r>
      <w:r>
        <w:rPr>
          <w:rFonts w:ascii="Arial" w:cs="Arial" w:eastAsia="Arial" w:hAnsi="Arial"/>
          <w:sz w:val="13"/>
          <w:szCs w:val="13"/>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Facsimile Signatures</w:t>
      </w:r>
      <w:r>
        <w:rPr>
          <w:rFonts w:ascii="Arial" w:cs="Arial" w:eastAsia="Arial" w:hAnsi="Arial"/>
          <w:sz w:val="13"/>
          <w:szCs w:val="13"/>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AMENDMENTS</w:t>
      </w:r>
    </w:p>
    <w:p>
      <w:pPr>
        <w:spacing w:after="0" w:line="7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By the Board of Directors</w:t>
      </w:r>
      <w:r>
        <w:rPr>
          <w:rFonts w:ascii="Arial" w:cs="Arial" w:eastAsia="Arial" w:hAnsi="Arial"/>
          <w:sz w:val="13"/>
          <w:szCs w:val="13"/>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5" w:name="page206"/>
    <w:bookmarkEnd w:id="205"/>
    <w:p>
      <w:pPr>
        <w:ind w:right="40" w:firstLine="164"/>
        <w:spacing w:after="0" w:line="260"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By the Stockholders</w:t>
      </w:r>
      <w:r>
        <w:rPr>
          <w:rFonts w:ascii="Arial" w:cs="Arial" w:eastAsia="Arial" w:hAnsi="Arial"/>
          <w:sz w:val="13"/>
          <w:szCs w:val="13"/>
          <w:color w:val="auto"/>
        </w:rPr>
        <w:t>. Except as otherwise set forth in these Bylaws, these Bylaws may be altered, amended or repealed or new Bylaws may be adopted by the affirmative vote of the holders of at least 66-2/3%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INDEMNIFICATION OF DIRECTORS AND OFFICERS</w:t>
      </w:r>
    </w:p>
    <w:p>
      <w:pPr>
        <w:spacing w:after="0" w:line="79" w:lineRule="exact"/>
        <w:rPr>
          <w:sz w:val="20"/>
          <w:szCs w:val="20"/>
          <w:color w:val="auto"/>
        </w:rPr>
      </w:pPr>
    </w:p>
    <w:p>
      <w:pPr>
        <w:ind w:firstLine="164"/>
        <w:spacing w:after="0" w:line="276"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Right to Indemnification</w:t>
      </w:r>
      <w:r>
        <w:rPr>
          <w:rFonts w:ascii="Arial" w:cs="Arial" w:eastAsia="Arial" w:hAnsi="Arial"/>
          <w:sz w:val="12"/>
          <w:szCs w:val="12"/>
          <w:color w:val="auto"/>
        </w:rPr>
        <w:t xml:space="preserve">. Each person who was or is made a party or is threatened to be made a party to or is involved in any action, suit or proceeding, whether civil, criminal, administrative or investigative (“proceeding”), by reason of the fact that he or she or a person of whom he or she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reasonably incurred or suffered by such person in connection therewith and such indemnification shall continue as to a person who has ceased to be a director or officer and shall inure to the benefit of his or her heirs, executors and administrators;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except as provided in Section 8.2 of this Article VIII, the Corporation shall indemnify any such person seeking indemnity in connection with a proceeding (or part thereof) initiated by such person only if (a) such indemnification is expressly required to be made by law, (b) the proceeding (or part thereof) was authorized by the Board of Directors of the Corporation, (c) such indemnification is provided by the Corporation, in its sole discretion, pursuant to the powers vested in the Corporation under the DGCL, or (d) the proceeding (or part thereof) is brought to establish or enforce a right to indemnification or advancement under an indemnity agreement or any other statute or law or otherwise as required under Section 145 of the DGCL. The rights hereunder shall be contract rights and shall include the right to be paid expenses incurred in defending any such proceeding in advance of its final disposition;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payment of such expenses incurred by a director or officer of the Corporation in his or her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Right of Claimant to Bring Suit</w:t>
      </w:r>
      <w:r>
        <w:rPr>
          <w:rFonts w:ascii="Arial" w:cs="Arial" w:eastAsia="Arial" w:hAnsi="Arial"/>
          <w:sz w:val="13"/>
          <w:szCs w:val="13"/>
          <w:color w:val="auto"/>
        </w:rPr>
        <w:t>. If a claim under Section 8.1 is not paid in full by the Corporation within 60 days after a written claim has been received by the Corporation, or 20 days in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6" w:name="page207"/>
    <w:bookmarkEnd w:id="206"/>
    <w:p>
      <w:pPr>
        <w:ind w:right="40"/>
        <w:spacing w:after="0" w:line="278" w:lineRule="auto"/>
        <w:rPr>
          <w:sz w:val="20"/>
          <w:szCs w:val="20"/>
          <w:color w:val="auto"/>
        </w:rPr>
      </w:pPr>
      <w:r>
        <w:rPr>
          <w:rFonts w:ascii="Arial" w:cs="Arial" w:eastAsia="Arial" w:hAnsi="Arial"/>
          <w:sz w:val="12"/>
          <w:szCs w:val="12"/>
          <w:color w:val="auto"/>
        </w:rPr>
        <w:t>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DGCL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DGCL.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53" w:lineRule="exact"/>
        <w:rPr>
          <w:sz w:val="20"/>
          <w:szCs w:val="20"/>
          <w:color w:val="auto"/>
        </w:rPr>
      </w:pPr>
    </w:p>
    <w:p>
      <w:pPr>
        <w:ind w:right="40" w:firstLine="164"/>
        <w:spacing w:after="0" w:line="371"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Indemnification of Employees and Agents</w:t>
      </w:r>
      <w:r>
        <w:rPr>
          <w:rFonts w:ascii="Arial" w:cs="Arial" w:eastAsia="Arial" w:hAnsi="Arial"/>
          <w:sz w:val="11"/>
          <w:szCs w:val="11"/>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with respect to the indemnification of and advancement of expenses to directors and officers of the Corporation.</w:t>
      </w:r>
    </w:p>
    <w:p>
      <w:pPr>
        <w:spacing w:after="0" w:line="2"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Non-Exclusivity of Rights</w:t>
      </w:r>
      <w:r>
        <w:rPr>
          <w:rFonts w:ascii="Arial" w:cs="Arial" w:eastAsia="Arial" w:hAnsi="Arial"/>
          <w:sz w:val="13"/>
          <w:szCs w:val="13"/>
          <w:color w:val="auto"/>
        </w:rPr>
        <w:t>. The rights conferred on any person in this Article VIII shall not be exclusive of any other right which such persons may have or hereafter acquire under any statute, provision of the Certificate, bylaw, agreement, vote of stockholders or disinterested directors or otherwise.</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Indemnification Contracts</w:t>
      </w:r>
      <w:r>
        <w:rPr>
          <w:rFonts w:ascii="Arial" w:cs="Arial" w:eastAsia="Arial" w:hAnsi="Arial"/>
          <w:sz w:val="13"/>
          <w:szCs w:val="13"/>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VIII.</w:t>
      </w:r>
    </w:p>
    <w:p>
      <w:pPr>
        <w:spacing w:after="0" w:line="57"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Insurance</w:t>
      </w:r>
      <w:r>
        <w:rPr>
          <w:rFonts w:ascii="Arial" w:cs="Arial" w:eastAsia="Arial" w:hAnsi="Arial"/>
          <w:sz w:val="13"/>
          <w:szCs w:val="13"/>
          <w:color w:val="auto"/>
        </w:rPr>
        <w:t>. The Corporation may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7" w:name="page208"/>
    <w:bookmarkEnd w:id="207"/>
    <w:p>
      <w:pPr>
        <w:ind w:firstLine="164"/>
        <w:spacing w:after="0" w:line="276"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Effect of Amendment</w:t>
      </w:r>
      <w:r>
        <w:rPr>
          <w:rFonts w:ascii="Arial" w:cs="Arial" w:eastAsia="Arial" w:hAnsi="Arial"/>
          <w:sz w:val="13"/>
          <w:szCs w:val="13"/>
          <w:color w:val="auto"/>
        </w:rPr>
        <w:t>. Any amendment, repeal or modification of any provision of this Article VIII shall not adversely affect any right or protection of an indemnitee or his or her successor existing at the time of such amendment, repeal or modification.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20"/>
          </w:cols>
          <w:pgMar w:left="220" w:top="721" w:right="259" w:bottom="1440" w:gutter="0" w:footer="0" w:header="0"/>
        </w:sectPr>
      </w:pPr>
    </w:p>
    <w:bookmarkStart w:id="208" w:name="page209"/>
    <w:bookmarkEnd w:id="208"/>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May 12, 2008 (except for Note 3, as to which the date is August 11, 2008, and Note 17, as to which the date is September 29, 2008), in Amendment No. 4 to the Registration Statement (Form S-1 No. 333-150876) and related Prospectus of Grand Canyon Education, Inc. for the registration of 10,500,000 shares of its common stock.</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October 29,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1)"/>
      <w:numFmt w:val="lowerLetter"/>
      <w:start w:val="1"/>
    </w:lvl>
  </w:abstractNum>
  <w:abstractNum w:abstractNumId="8">
    <w:nsid w:val="2F305DEF"/>
    <w:multiLevelType w:val="hybridMultilevel"/>
    <w:lvl w:ilvl="0">
      <w:lvlJc w:val="left"/>
      <w:lvlText w:val="%1"/>
      <w:numFmt w:val="decimal"/>
      <w:start w:val="1"/>
    </w:lvl>
    <w:lvl w:ilvl="1">
      <w:lvlJc w:val="left"/>
      <w:lvlText w:val="(%2)"/>
      <w:numFmt w:val="lowerLetter"/>
      <w:start w:val="2"/>
    </w:lvl>
  </w:abstractNum>
  <w:abstractNum w:abstractNumId="9">
    <w:nsid w:val="25A70BF7"/>
    <w:multiLevelType w:val="hybridMultilevel"/>
    <w:lvl w:ilvl="0">
      <w:lvlJc w:val="left"/>
      <w:lvlText w:val="(%1)"/>
      <w:numFmt w:val="decimal"/>
      <w:start w:val="5"/>
    </w:lvl>
    <w:lvl w:ilvl="1">
      <w:lvlJc w:val="left"/>
      <w:lvlText w:val="%2"/>
      <w:numFmt w:val="lowerLetter"/>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
      <w:numFmt w:val="bullet"/>
      <w:start w:val="1"/>
    </w:lvl>
    <w:lvl w:ilvl="1">
      <w:lvlJc w:val="left"/>
      <w:lvlText w:val="(%2)"/>
      <w:numFmt w:val="lowerRoman"/>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decimal"/>
      <w:start w:val="5"/>
    </w:lvl>
    <w:lvl w:ilvl="1">
      <w:lvlJc w:val="left"/>
      <w:lvlText w:val="•"/>
      <w:numFmt w:val="bullet"/>
      <w:start w:val="1"/>
    </w:lvl>
  </w:abstractNum>
  <w:abstractNum w:abstractNumId="22">
    <w:nsid w:val="42C296BD"/>
    <w:multiLevelType w:val="hybridMultilevel"/>
    <w:lvl w:ilvl="0">
      <w:lvlJc w:val="left"/>
      <w:lvlText w:val="(%1)"/>
      <w:numFmt w:val="lowerLetter"/>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1)"/>
      <w:numFmt w:val="decimal"/>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lowerLetter"/>
      <w:start w:val="1"/>
    </w:lvl>
    <w:lvl w:ilvl="1">
      <w:lvlJc w:val="left"/>
      <w:lvlText w:val="(%2)"/>
      <w:numFmt w:val="lowerLetter"/>
      <w:start w:val="3"/>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1)"/>
      <w:numFmt w:val="lowerRoman"/>
      <w:start w:val="1"/>
    </w:lvl>
  </w:abstractNum>
  <w:abstractNum w:abstractNumId="61">
    <w:nsid w:val="4A2AC315"/>
    <w:multiLevelType w:val="hybridMultilevel"/>
    <w:lvl w:ilvl="0">
      <w:lvlJc w:val="left"/>
      <w:lvlText w:val="(%1)"/>
      <w:numFmt w:val="decimal"/>
      <w:start w:val="1"/>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3"/>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decimal"/>
      <w:start w:val="1"/>
    </w:lvl>
    <w:lvl w:ilvl="1">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1)"/>
      <w:numFmt w:val="decimal"/>
      <w:start w:val="5"/>
    </w:lvl>
  </w:abstractNum>
  <w:abstractNum w:abstractNumId="70">
    <w:nsid w:val="7055A5F5"/>
    <w:multiLevelType w:val="hybridMultilevel"/>
    <w:lvl w:ilvl="0">
      <w:lvlJc w:val="left"/>
      <w:lvlText w:val="(%1)"/>
      <w:numFmt w:val="decimal"/>
      <w:start w:val="9"/>
    </w:lvl>
    <w:lvl w:ilvl="1">
      <w:lvlJc w:val="left"/>
      <w:lvlText w:val="(%2)"/>
      <w:numFmt w:val="decimal"/>
      <w:start w:val="10"/>
    </w:lvl>
    <w:lvl w:ilvl="2">
      <w:lvlJc w:val="left"/>
      <w:lvlText w:val="•"/>
      <w:numFmt w:val="bullet"/>
      <w:start w:val="1"/>
    </w:lvl>
  </w:abstractNum>
  <w:abstractNum w:abstractNumId="71">
    <w:nsid w:val="5FB8370B"/>
    <w:multiLevelType w:val="hybridMultilevel"/>
    <w:lvl w:ilvl="0">
      <w:lvlJc w:val="left"/>
      <w:lvlText w:val="(%1)"/>
      <w:numFmt w:val="decimal"/>
      <w:start w:val="1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1"/>
      <w:numFmt w:val="decimal"/>
      <w:start w:val="1"/>
    </w:lvl>
    <w:lvl w:ilvl="1">
      <w:lvlJc w:val="left"/>
      <w:lvlText w:val="(%2)"/>
      <w:numFmt w:val="lowerLetter"/>
      <w:start w:val="2"/>
    </w:lvl>
  </w:abstractNum>
  <w:abstractNum w:abstractNumId="83">
    <w:nsid w:val="555C55B5"/>
    <w:multiLevelType w:val="hybridMultilevel"/>
    <w:lvl w:ilvl="0">
      <w:lvlJc w:val="left"/>
      <w:lvlText w:val="(%1)"/>
      <w:numFmt w:val="decimal"/>
      <w:start w:val="3"/>
    </w:lvl>
    <w:lvl w:ilvl="1">
      <w:lvlJc w:val="left"/>
      <w:lvlText w:val="(%2)"/>
      <w:numFmt w:val="lowerLetter"/>
      <w:start w:val="3"/>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1."/>
      <w:numFmt w:val="decimal"/>
      <w:start w:val="1"/>
    </w:lvl>
  </w:abstractNum>
  <w:abstractNum w:abstractNumId="87">
    <w:nsid w:val="71C91298"/>
    <w:multiLevelType w:val="hybridMultilevel"/>
    <w:lvl w:ilvl="0">
      <w:lvlJc w:val="left"/>
      <w:lvlText w:val="%1."/>
      <w:numFmt w:val="decimal"/>
      <w:start w:val="2"/>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1."/>
      <w:numFmt w:val="decimal"/>
      <w:start w:val="3"/>
    </w:lvl>
  </w:abstractNum>
  <w:abstractNum w:abstractNumId="92">
    <w:nsid w:val="1D545C4D"/>
    <w:multiLevelType w:val="hybridMultilevel"/>
    <w:lvl w:ilvl="0">
      <w:lvlJc w:val="left"/>
      <w:lvlText w:val="%1."/>
      <w:numFmt w:val="decimal"/>
      <w:start w:val="4"/>
    </w:lvl>
  </w:abstractNum>
  <w:abstractNum w:abstractNumId="93">
    <w:nsid w:val="59ADEA3D"/>
    <w:multiLevelType w:val="hybridMultilevel"/>
    <w:lvl w:ilvl="0">
      <w:lvlJc w:val="left"/>
      <w:lvlText w:val="%1."/>
      <w:numFmt w:val="decimal"/>
      <w:start w:val="6"/>
    </w:lvl>
  </w:abstractNum>
  <w:abstractNum w:abstractNumId="94">
    <w:nsid w:val="288F1A34"/>
    <w:multiLevelType w:val="hybridMultilevel"/>
    <w:lvl w:ilvl="0">
      <w:lvlJc w:val="left"/>
      <w:lvlText w:val="%1."/>
      <w:numFmt w:val="decimal"/>
      <w:start w:val="7"/>
    </w:lvl>
  </w:abstractNum>
  <w:abstractNum w:abstractNumId="95">
    <w:nsid w:val="2A155DBC"/>
    <w:multiLevelType w:val="hybridMultilevel"/>
    <w:lvl w:ilvl="0">
      <w:lvlJc w:val="left"/>
      <w:lvlText w:val="%1."/>
      <w:numFmt w:val="decimal"/>
      <w:start w:val="9"/>
    </w:lvl>
  </w:abstractNum>
  <w:abstractNum w:abstractNumId="96">
    <w:nsid w:val="1D9F6E5F"/>
    <w:multiLevelType w:val="hybridMultilevel"/>
    <w:lvl w:ilvl="0">
      <w:lvlJc w:val="left"/>
      <w:lvlText w:val="%1."/>
      <w:numFmt w:val="decimal"/>
      <w:start w:val="10"/>
    </w:lvl>
  </w:abstractNum>
  <w:abstractNum w:abstractNumId="97">
    <w:nsid w:val="97E1B4E"/>
    <w:multiLevelType w:val="hybridMultilevel"/>
    <w:lvl w:ilvl="0">
      <w:lvlJc w:val="left"/>
      <w:lvlText w:val="%1."/>
      <w:numFmt w:val="decimal"/>
      <w:start w:val="11"/>
    </w:lvl>
  </w:abstractNum>
  <w:abstractNum w:abstractNumId="98">
    <w:nsid w:val="51088277"/>
    <w:multiLevelType w:val="hybridMultilevel"/>
    <w:lvl w:ilvl="0">
      <w:lvlJc w:val="left"/>
      <w:lvlText w:val="%1."/>
      <w:numFmt w:val="decimal"/>
      <w:start w:val="12"/>
    </w:lvl>
  </w:abstractNum>
  <w:abstractNum w:abstractNumId="99">
    <w:nsid w:val="1CA0C5FA"/>
    <w:multiLevelType w:val="hybridMultilevel"/>
    <w:lvl w:ilvl="0">
      <w:lvlJc w:val="left"/>
      <w:lvlText w:val="%1."/>
      <w:numFmt w:val="decimal"/>
      <w:start w:val="13"/>
    </w:lvl>
  </w:abstractNum>
  <w:abstractNum w:abstractNumId="100">
    <w:nsid w:val="53584BCB"/>
    <w:multiLevelType w:val="hybridMultilevel"/>
    <w:lvl w:ilvl="0">
      <w:lvlJc w:val="left"/>
      <w:lvlText w:val="%1."/>
      <w:numFmt w:val="decimal"/>
      <w:start w:val="14"/>
    </w:lvl>
  </w:abstractNum>
  <w:abstractNum w:abstractNumId="101">
    <w:nsid w:val="415E286C"/>
    <w:multiLevelType w:val="hybridMultilevel"/>
    <w:lvl w:ilvl="0">
      <w:lvlJc w:val="left"/>
      <w:lvlText w:val="%1."/>
      <w:numFmt w:val="decimal"/>
      <w:start w:val="15"/>
    </w:lvl>
  </w:abstractNum>
  <w:abstractNum w:abstractNumId="102">
    <w:nsid w:val="7C58FD05"/>
    <w:multiLevelType w:val="hybridMultilevel"/>
    <w:lvl w:ilvl="0">
      <w:lvlJc w:val="left"/>
      <w:lvlText w:val="%1."/>
      <w:numFmt w:val="decimal"/>
      <w:start w:val="16"/>
    </w:lvl>
  </w:abstractNum>
  <w:abstractNum w:abstractNumId="103">
    <w:nsid w:val="23D86AAC"/>
    <w:multiLevelType w:val="hybridMultilevel"/>
    <w:lvl w:ilvl="0">
      <w:lvlJc w:val="left"/>
      <w:lvlText w:val="%1"/>
      <w:numFmt w:val="decimal"/>
      <w:start w:val="1"/>
    </w:lvl>
    <w:lvl w:ilvl="1">
      <w:lvlJc w:val="left"/>
      <w:lvlText w:val="(%2)"/>
      <w:numFmt w:val="decimal"/>
      <w:start w:val="1"/>
    </w:lvl>
  </w:abstractNum>
  <w:abstractNum w:abstractNumId="104">
    <w:nsid w:val="45E6D486"/>
    <w:multiLevelType w:val="hybridMultilevel"/>
    <w:lvl w:ilvl="0">
      <w:lvlJc w:val="left"/>
      <w:lvlText w:val="%1."/>
      <w:numFmt w:val="decimal"/>
      <w:start w:val="17"/>
    </w:lvl>
    <w:lvl w:ilvl="1">
      <w:lvlJc w:val="left"/>
      <w:lvlText w:val="%2"/>
      <w:numFmt w:val="decimal"/>
      <w:start w:val="1"/>
    </w:lvl>
  </w:abstractNum>
  <w:abstractNum w:abstractNumId="105">
    <w:nsid w:val="5C10FE21"/>
    <w:multiLevelType w:val="hybridMultilevel"/>
    <w:lvl w:ilvl="0">
      <w:lvlJc w:val="left"/>
      <w:lvlText w:val="%1."/>
      <w:numFmt w:val="decimal"/>
      <w:start w:val="18"/>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
      <w:numFmt w:val="bullet"/>
      <w:start w:val="1"/>
    </w:lvl>
    <w:lvl w:ilvl="1">
      <w:lvlJc w:val="left"/>
      <w:lvlText w:val="(%2)"/>
      <w:numFmt w:val="lowerLetter"/>
      <w:start w:val="2"/>
    </w:lvl>
  </w:abstractNum>
  <w:abstractNum w:abstractNumId="110">
    <w:nsid w:val="39B7AAA2"/>
    <w:multiLevelType w:val="hybridMultilevel"/>
    <w:lvl w:ilvl="0">
      <w:lvlJc w:val="left"/>
      <w:lvlText w:val="(%1)"/>
      <w:numFmt w:val="lowerRoman"/>
      <w:start w:val="1"/>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1"/>
    </w:lvl>
    <w:lvl w:ilvl="1">
      <w:lvlJc w:val="left"/>
      <w:lvlText w:val="(%2)"/>
      <w:numFmt w:val="lowerLetter"/>
      <w:start w:val="1"/>
    </w:lvl>
  </w:abstractNum>
  <w:abstractNum w:abstractNumId="115">
    <w:nsid w:val="2C27173B"/>
    <w:multiLevelType w:val="hybridMultilevel"/>
    <w:lvl w:ilvl="0">
      <w:lvlJc w:val="left"/>
      <w:lvlText w:val="(%1)"/>
      <w:numFmt w:val="lowerLetter"/>
      <w:start w:val="61"/>
    </w:lvl>
    <w:lvl w:ilvl="1">
      <w:lvlJc w:val="left"/>
      <w:lvlText w:val="(%2)"/>
      <w:numFmt w:val="lowerLetter"/>
      <w:start w:val="2"/>
    </w:lvl>
  </w:abstractNum>
  <w:abstractNum w:abstractNumId="116">
    <w:nsid w:val="4C9B0904"/>
    <w:multiLevelType w:val="hybridMultilevel"/>
    <w:lvl w:ilvl="0">
      <w:lvlJc w:val="left"/>
      <w:lvlText w:val="(%1)"/>
      <w:numFmt w:val="lowerLetter"/>
      <w:start w:val="3"/>
    </w:lvl>
  </w:abstractNum>
  <w:abstractNum w:abstractNumId="117">
    <w:nsid w:val="6AA7B75C"/>
    <w:multiLevelType w:val="hybridMultilevel"/>
    <w:lvl w:ilvl="0">
      <w:lvlJc w:val="left"/>
      <w:lvlText w:val="(%1)"/>
      <w:numFmt w:val="lowerRoman"/>
      <w:start w:val="1"/>
    </w:lvl>
  </w:abstractNum>
  <w:abstractNum w:abstractNumId="118">
    <w:nsid w:val="1DF029D3"/>
    <w:multiLevelType w:val="hybridMultilevel"/>
    <w:lvl w:ilvl="0">
      <w:lvlJc w:val="left"/>
      <w:lvlText w:val="(%1)"/>
      <w:numFmt w:val="lowerLetter"/>
      <w:start w:val="1"/>
    </w:lvl>
  </w:abstractNum>
  <w:abstractNum w:abstractNumId="119">
    <w:nsid w:val="5675FF36"/>
    <w:multiLevelType w:val="hybridMultilevel"/>
    <w:lvl w:ilvl="0">
      <w:lvlJc w:val="left"/>
      <w:lvlText w:val="(%1)"/>
      <w:numFmt w:val="lowerLetter"/>
      <w:start w:val="2"/>
    </w:lvl>
  </w:abstractNum>
  <w:abstractNum w:abstractNumId="120">
    <w:nsid w:val="3DD15094"/>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2019-12-15T16:40:28Z</dcterms:created>
  <dcterms:modified xsi:type="dcterms:W3CDTF">2019-12-15T16:40:28Z</dcterms:modified>
</cp:coreProperties>
</file>