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1" w:lineRule="exact"/>
        <w:rPr>
          <w:sz w:val="24"/>
          <w:szCs w:val="24"/>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right="455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19"/>
        <w:spacing w:after="0"/>
        <w:rPr>
          <w:sz w:val="20"/>
          <w:szCs w:val="20"/>
          <w:color w:val="auto"/>
        </w:rPr>
      </w:pPr>
      <w:r>
        <w:rPr>
          <w:rFonts w:ascii="Courier New" w:cs="Courier New" w:eastAsia="Courier New" w:hAnsi="Courier New"/>
          <w:sz w:val="18"/>
          <w:szCs w:val="18"/>
          <w:color w:val="auto"/>
        </w:rPr>
        <w:t>(b)____</w:t>
      </w: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rFonts w:ascii="Courier New" w:cs="Courier New" w:eastAsia="Courier New" w:hAnsi="Courier New"/>
          <w:sz w:val="18"/>
          <w:szCs w:val="18"/>
          <w:color w:val="auto"/>
        </w:rPr>
      </w:pPr>
    </w:p>
    <w:p>
      <w:pPr>
        <w:ind w:left="860" w:right="5919" w:hanging="852"/>
        <w:spacing w:after="0" w:line="289" w:lineRule="auto"/>
        <w:tabs>
          <w:tab w:leader="none" w:pos="43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Minneapolis, Minnesota</w:t>
      </w: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line="171"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line="171"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1,498,182</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1,839,431</w:t>
            </w:r>
          </w:p>
        </w:tc>
        <w:tc>
          <w:tcPr>
            <w:tcW w:w="0" w:type="dxa"/>
            <w:vAlign w:val="bottom"/>
          </w:tcPr>
          <w:p>
            <w:pPr>
              <w:spacing w:after="0"/>
              <w:rPr>
                <w:sz w:val="1"/>
                <w:szCs w:val="1"/>
                <w:color w:val="auto"/>
              </w:rPr>
            </w:pPr>
          </w:p>
        </w:tc>
      </w:tr>
      <w:tr>
        <w:trPr>
          <w:trHeight w:val="202"/>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vMerge w:val="continue"/>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0"/>
                <w:szCs w:val="20"/>
                <w:color w:val="auto"/>
              </w:rPr>
            </w:pPr>
          </w:p>
        </w:tc>
        <w:tc>
          <w:tcPr>
            <w:tcW w:w="2640" w:type="dxa"/>
            <w:vAlign w:val="bottom"/>
          </w:tcPr>
          <w:p>
            <w:pPr>
              <w:ind w:left="1380"/>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bl>
    <w:p>
      <w:pPr>
        <w:ind w:left="860" w:right="3399" w:hanging="852"/>
        <w:spacing w:after="0" w:line="238"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1,839,431</w:t>
      </w:r>
    </w:p>
    <w:p>
      <w:pPr>
        <w:ind w:left="860" w:right="2859" w:hanging="852"/>
        <w:spacing w:after="0" w:line="238"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6.61%</w:t>
      </w:r>
    </w:p>
    <w:p>
      <w:pPr>
        <w:spacing w:after="0" w:line="1" w:lineRule="exact"/>
        <w:rPr>
          <w:sz w:val="24"/>
          <w:szCs w:val="24"/>
          <w:color w:val="auto"/>
        </w:rPr>
      </w:pPr>
    </w:p>
    <w:p>
      <w:pPr>
        <w:ind w:left="860" w:right="7079" w:hanging="852"/>
        <w:spacing w:after="0" w:line="309"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Grand Canyon Education, Inc</w:t>
      </w:r>
    </w:p>
    <w:p>
      <w:pPr>
        <w:jc w:val="right"/>
        <w:ind w:right="4019"/>
        <w:spacing w:after="0" w:line="238" w:lineRule="auto"/>
        <w:rPr>
          <w:sz w:val="20"/>
          <w:szCs w:val="20"/>
          <w:color w:val="auto"/>
        </w:rPr>
      </w:pPr>
      <w:r>
        <w:rPr>
          <w:rFonts w:ascii="Courier New" w:cs="Courier New" w:eastAsia="Courier New" w:hAnsi="Courier New"/>
          <w:sz w:val="18"/>
          <w:szCs w:val="18"/>
          <w:color w:val="auto"/>
        </w:rPr>
        <w:t>Item 1(b) Address of issuer's principal executive offices: 2600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line="238"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rPr>
          <w:sz w:val="20"/>
          <w:szCs w:val="20"/>
          <w:color w:val="auto"/>
        </w:rPr>
      </w:pPr>
      <w:r>
        <w:rPr>
          <w:rFonts w:ascii="Courier New" w:cs="Courier New" w:eastAsia="Courier New" w:hAnsi="Courier New"/>
          <w:sz w:val="18"/>
          <w:szCs w:val="18"/>
          <w:color w:val="auto"/>
        </w:rPr>
        <w:t>80 South Eighth St., Suite 1200, Minneapolis, MN 55402</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800"/>
        <w:spacing w:after="0" w:line="238" w:lineRule="auto"/>
        <w:rPr>
          <w:sz w:val="20"/>
          <w:szCs w:val="20"/>
          <w:color w:val="auto"/>
        </w:rPr>
      </w:pPr>
      <w:r>
        <w:rPr>
          <w:rFonts w:ascii="Courier New" w:cs="Courier New" w:eastAsia="Courier New" w:hAnsi="Courier New"/>
          <w:sz w:val="18"/>
          <w:szCs w:val="18"/>
          <w:color w:val="auto"/>
        </w:rPr>
        <w:t>Minnesota Corporation</w:t>
      </w: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180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Item 2(e) CUSIP No.:</w:t>
      </w:r>
    </w:p>
    <w:p>
      <w:pPr>
        <w:ind w:left="1800"/>
        <w:spacing w:after="0"/>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1060"/>
        <w:spacing w:after="0" w:line="238" w:lineRule="auto"/>
        <w:rPr>
          <w:sz w:val="20"/>
          <w:szCs w:val="20"/>
          <w:color w:val="auto"/>
        </w:rPr>
      </w:pPr>
      <w:r>
        <w:rPr>
          <w:rFonts w:ascii="Courier New" w:cs="Courier New" w:eastAsia="Courier New" w:hAnsi="Courier New"/>
          <w:sz w:val="18"/>
          <w:szCs w:val="18"/>
          <w:color w:val="auto"/>
        </w:rPr>
        <w:t>2(b) or (c), check whether the person filing is an:</w:t>
      </w:r>
    </w:p>
    <w:p>
      <w:pPr>
        <w:spacing w:after="0" w:line="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Investment Adviser registered under Section 203 of the</w:t>
      </w:r>
    </w:p>
    <w:p>
      <w:pPr>
        <w:sectPr>
          <w:pgSz w:w="11900" w:h="16854" w:orient="portrait"/>
          <w:cols w:equalWidth="0" w:num="1">
            <w:col w:w="10139"/>
          </w:cols>
          <w:pgMar w:left="320" w:top="21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Item 4</w:t>
            </w:r>
          </w:p>
        </w:tc>
        <w:tc>
          <w:tcPr>
            <w:tcW w:w="6740" w:type="dxa"/>
            <w:vAlign w:val="bottom"/>
          </w:tcPr>
          <w:p>
            <w:pPr>
              <w:ind w:left="960"/>
              <w:spacing w:after="0"/>
              <w:rPr>
                <w:sz w:val="20"/>
                <w:szCs w:val="20"/>
                <w:color w:val="auto"/>
              </w:rPr>
            </w:pPr>
            <w:r>
              <w:rPr>
                <w:rFonts w:ascii="Courier New" w:cs="Courier New" w:eastAsia="Courier New" w:hAnsi="Courier New"/>
                <w:sz w:val="18"/>
                <w:szCs w:val="18"/>
                <w:color w:val="auto"/>
              </w:rPr>
              <w:t>Investment Advisers Act of 1940.</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Ownership</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1,839,431 shares of common stock</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 Percent of class: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6.61% of total shares of common stock outstanding</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 Number of shares as to which the person has: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  Sole power to vote or to direct the vote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1,498,182</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(ii) Shared power to vote or to direct the vote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(iii)Sole power to dispose or to direct the disposition</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6740" w:type="dxa"/>
            <w:vAlign w:val="bottom"/>
          </w:tcPr>
          <w:p>
            <w:pPr>
              <w:ind w:left="1800"/>
              <w:spacing w:after="0"/>
              <w:rPr>
                <w:sz w:val="20"/>
                <w:szCs w:val="20"/>
                <w:color w:val="auto"/>
              </w:rPr>
            </w:pPr>
            <w:r>
              <w:rPr>
                <w:rFonts w:ascii="Courier New" w:cs="Courier New" w:eastAsia="Courier New" w:hAnsi="Courier New"/>
                <w:sz w:val="18"/>
                <w:szCs w:val="18"/>
                <w:color w:val="auto"/>
              </w:rPr>
              <w:t>1,839,431</w:t>
            </w:r>
          </w:p>
        </w:tc>
        <w:tc>
          <w:tcPr>
            <w:tcW w:w="0" w:type="dxa"/>
            <w:vAlign w:val="bottom"/>
          </w:tcPr>
          <w:p>
            <w:pPr>
              <w:spacing w:after="0"/>
              <w:rPr>
                <w:sz w:val="1"/>
                <w:szCs w:val="1"/>
                <w:color w:val="auto"/>
              </w:rPr>
            </w:pPr>
          </w:p>
        </w:tc>
      </w:tr>
    </w:tbl>
    <w:p>
      <w:pPr>
        <w:ind w:left="2540" w:right="2439" w:hanging="847"/>
        <w:spacing w:after="0" w:line="309" w:lineRule="auto"/>
        <w:tabs>
          <w:tab w:leader="none" w:pos="2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N/A</w:t>
      </w:r>
    </w:p>
    <w:p>
      <w:pPr>
        <w:spacing w:after="0" w:line="5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line="1" w:lineRule="exact"/>
        <w:rPr>
          <w:sz w:val="20"/>
          <w:szCs w:val="20"/>
          <w:color w:val="auto"/>
        </w:rPr>
      </w:pPr>
    </w:p>
    <w:p>
      <w:pPr>
        <w:ind w:left="860" w:right="2339" w:hanging="842"/>
        <w:spacing w:after="0" w:line="238"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1" w:lineRule="exact"/>
        <w:rPr>
          <w:sz w:val="20"/>
          <w:szCs w:val="20"/>
          <w:color w:val="auto"/>
        </w:rPr>
      </w:pPr>
    </w:p>
    <w:p>
      <w:pPr>
        <w:ind w:right="21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w:t>
      </w:r>
    </w:p>
    <w:p>
      <w:pPr>
        <w:ind w:right="211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5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7, 2023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Ross M.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Ross M. Johnson/Chief Investment Officer</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upperLetter"/>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2023-02-08T09:59:01Z</dcterms:created>
  <dcterms:modified xsi:type="dcterms:W3CDTF">2023-02-08T09:59:01Z</dcterms:modified>
</cp:coreProperties>
</file>