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695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69570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MUELLER BRIAN E</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940" w:type="dxa"/>
            <w:vAlign w:val="bottom"/>
            <w:tcBorders>
              <w:top w:val="single" w:sz="8" w:color="0000EE"/>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11/19/2008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Grand Canyon Education,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LOPE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4"/>
                <w:szCs w:val="14"/>
                <w:color w:val="auto"/>
              </w:rPr>
              <w:t>(Last)</w:t>
            </w:r>
          </w:p>
        </w:tc>
        <w:tc>
          <w:tcPr>
            <w:tcW w:w="900" w:type="dxa"/>
            <w:vAlign w:val="bottom"/>
          </w:tcPr>
          <w:p>
            <w:pPr>
              <w:ind w:left="16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3300 W. CAMELBACK ROAD</w:t>
            </w:r>
          </w:p>
        </w:tc>
      </w:tr>
      <w:tr>
        <w:trPr>
          <w:trHeight w:val="212"/>
        </w:trPr>
        <w:tc>
          <w:tcPr>
            <w:tcW w:w="2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0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60" w:type="dxa"/>
            <w:vAlign w:val="bottom"/>
          </w:tcPr>
          <w:p>
            <w:pPr>
              <w:ind w:left="20"/>
              <w:spacing w:after="0"/>
              <w:rPr>
                <w:sz w:val="20"/>
                <w:szCs w:val="20"/>
                <w:color w:val="auto"/>
              </w:rPr>
            </w:pPr>
            <w:r>
              <w:rPr>
                <w:rFonts w:ascii="Arial" w:cs="Arial" w:eastAsia="Arial" w:hAnsi="Arial"/>
                <w:sz w:val="18"/>
                <w:szCs w:val="18"/>
                <w:color w:val="0000FF"/>
              </w:rPr>
              <w:t>PHOENIX</w:t>
            </w:r>
          </w:p>
        </w:tc>
        <w:tc>
          <w:tcPr>
            <w:tcW w:w="900" w:type="dxa"/>
            <w:vAlign w:val="bottom"/>
          </w:tcPr>
          <w:p>
            <w:pPr>
              <w:ind w:left="160"/>
              <w:spacing w:after="0"/>
              <w:rPr>
                <w:sz w:val="20"/>
                <w:szCs w:val="20"/>
                <w:color w:val="auto"/>
              </w:rPr>
            </w:pPr>
            <w:r>
              <w:rPr>
                <w:rFonts w:ascii="Arial" w:cs="Arial" w:eastAsia="Arial" w:hAnsi="Arial"/>
                <w:sz w:val="18"/>
                <w:szCs w:val="18"/>
                <w:color w:val="0000FF"/>
              </w:rPr>
              <w:t>AZ</w:t>
            </w:r>
          </w:p>
        </w:tc>
        <w:tc>
          <w:tcPr>
            <w:tcW w:w="1380" w:type="dxa"/>
            <w:vAlign w:val="bottom"/>
          </w:tcPr>
          <w:p>
            <w:pPr>
              <w:ind w:left="340"/>
              <w:spacing w:after="0"/>
              <w:rPr>
                <w:sz w:val="20"/>
                <w:szCs w:val="20"/>
                <w:color w:val="auto"/>
              </w:rPr>
            </w:pPr>
            <w:r>
              <w:rPr>
                <w:rFonts w:ascii="Arial" w:cs="Arial" w:eastAsia="Arial" w:hAnsi="Arial"/>
                <w:sz w:val="18"/>
                <w:szCs w:val="18"/>
                <w:color w:val="0000FF"/>
              </w:rPr>
              <w:t>85017</w:t>
            </w:r>
          </w:p>
        </w:tc>
      </w:tr>
      <w:tr>
        <w:trPr>
          <w:trHeight w:val="158"/>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4"/>
                <w:szCs w:val="14"/>
                <w:color w:val="auto"/>
              </w:rPr>
              <w:t>(City)</w:t>
            </w:r>
          </w:p>
        </w:tc>
        <w:tc>
          <w:tcPr>
            <w:tcW w:w="900" w:type="dxa"/>
            <w:vAlign w:val="bottom"/>
          </w:tcPr>
          <w:p>
            <w:pPr>
              <w:ind w:left="16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86"/>
        <w:spacing w:after="0"/>
        <w:rPr>
          <w:sz w:val="20"/>
          <w:szCs w:val="20"/>
          <w:color w:val="auto"/>
        </w:rPr>
      </w:pPr>
      <w:r>
        <w:rPr>
          <w:rFonts w:ascii="Arial" w:cs="Arial" w:eastAsia="Arial" w:hAnsi="Arial"/>
          <w:sz w:val="18"/>
          <w:szCs w:val="18"/>
          <w:color w:val="0000FF"/>
        </w:rPr>
        <w:t>Chief Executive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2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0" w:type="dxa"/>
            <w:vAlign w:val="bottom"/>
          </w:tcPr>
          <w:p>
            <w:pPr>
              <w:spacing w:after="0"/>
              <w:rPr>
                <w:sz w:val="14"/>
                <w:szCs w:val="14"/>
                <w:color w:val="auto"/>
              </w:rPr>
            </w:pPr>
          </w:p>
        </w:tc>
        <w:tc>
          <w:tcPr>
            <w:tcW w:w="26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90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80" w:type="dxa"/>
            <w:vAlign w:val="bottom"/>
          </w:tcPr>
          <w:p>
            <w:pPr>
              <w:spacing w:after="0"/>
              <w:rPr>
                <w:sz w:val="6"/>
                <w:szCs w:val="6"/>
                <w:color w:val="auto"/>
              </w:rPr>
            </w:pP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90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ind w:left="220"/>
              <w:spacing w:after="0" w:line="145" w:lineRule="exact"/>
              <w:rPr>
                <w:sz w:val="20"/>
                <w:szCs w:val="20"/>
                <w:color w:val="auto"/>
              </w:rPr>
            </w:pPr>
            <w:r>
              <w:rPr>
                <w:rFonts w:ascii="Arial" w:cs="Arial" w:eastAsia="Arial" w:hAnsi="Arial"/>
                <w:sz w:val="14"/>
                <w:szCs w:val="14"/>
                <w:b w:val="1"/>
                <w:bCs w:val="1"/>
                <w:color w:val="auto"/>
              </w:rPr>
              <w:t>Number</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of</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320" w:type="dxa"/>
            <w:vAlign w:val="bottom"/>
          </w:tcPr>
          <w:p>
            <w:pPr>
              <w:spacing w:after="0"/>
              <w:rPr>
                <w:sz w:val="15"/>
                <w:szCs w:val="15"/>
                <w:color w:val="auto"/>
              </w:rPr>
            </w:pPr>
          </w:p>
        </w:tc>
        <w:tc>
          <w:tcPr>
            <w:tcW w:w="820" w:type="dxa"/>
            <w:vAlign w:val="bottom"/>
          </w:tcPr>
          <w:p>
            <w:pPr>
              <w:ind w:left="220"/>
              <w:spacing w:after="0"/>
              <w:rPr>
                <w:sz w:val="20"/>
                <w:szCs w:val="20"/>
                <w:color w:val="auto"/>
              </w:rPr>
            </w:pPr>
            <w:r>
              <w:rPr>
                <w:rFonts w:ascii="Arial" w:cs="Arial" w:eastAsia="Arial" w:hAnsi="Arial"/>
                <w:sz w:val="14"/>
                <w:szCs w:val="14"/>
                <w:b w:val="1"/>
                <w:bCs w:val="1"/>
                <w:color w:val="auto"/>
              </w:rPr>
              <w:t>Shares</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600" w:type="dxa"/>
            <w:vAlign w:val="bottom"/>
          </w:tcPr>
          <w:p>
            <w:pPr>
              <w:ind w:left="40"/>
              <w:spacing w:after="0"/>
              <w:rPr>
                <w:sz w:val="20"/>
                <w:szCs w:val="20"/>
                <w:color w:val="auto"/>
              </w:rPr>
            </w:pPr>
            <w:r>
              <w:rPr>
                <w:rFonts w:ascii="Arial" w:cs="Arial" w:eastAsia="Arial" w:hAnsi="Arial"/>
                <w:sz w:val="18"/>
                <w:szCs w:val="18"/>
                <w:b w:val="1"/>
                <w:bCs w:val="1"/>
                <w:color w:val="auto"/>
              </w:rPr>
              <w:t>Remarks:</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4480" w:type="dxa"/>
            <w:vAlign w:val="bottom"/>
            <w:gridSpan w:val="2"/>
          </w:tcPr>
          <w:p>
            <w:pPr>
              <w:ind w:left="40"/>
              <w:spacing w:after="0"/>
              <w:rPr>
                <w:sz w:val="20"/>
                <w:szCs w:val="20"/>
                <w:color w:val="auto"/>
              </w:rPr>
            </w:pPr>
            <w:r>
              <w:rPr>
                <w:rFonts w:ascii="Arial" w:cs="Arial" w:eastAsia="Arial" w:hAnsi="Arial"/>
                <w:sz w:val="14"/>
                <w:szCs w:val="14"/>
                <w:color w:val="008000"/>
              </w:rPr>
              <w:t>No securities are benefically owned. Exhibit 24 - Power of Attorney</w:t>
            </w: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40" w:type="dxa"/>
            <w:vAlign w:val="bottom"/>
            <w:gridSpan w:val="4"/>
          </w:tcPr>
          <w:p>
            <w:pPr>
              <w:spacing w:after="0"/>
              <w:rPr>
                <w:sz w:val="20"/>
                <w:szCs w:val="20"/>
                <w:color w:val="auto"/>
              </w:rPr>
            </w:pPr>
            <w:r>
              <w:rPr>
                <w:rFonts w:ascii="Arial" w:cs="Arial" w:eastAsia="Arial" w:hAnsi="Arial"/>
                <w:sz w:val="18"/>
                <w:szCs w:val="18"/>
                <w:color w:val="0000FF"/>
                <w:w w:val="96"/>
              </w:rPr>
              <w:t>/s/ Lyn Bickle, Attorney-in-</w:t>
            </w:r>
          </w:p>
        </w:tc>
        <w:tc>
          <w:tcPr>
            <w:tcW w:w="2520" w:type="dxa"/>
            <w:vAlign w:val="bottom"/>
            <w:gridSpan w:val="4"/>
            <w:vMerge w:val="restart"/>
          </w:tcPr>
          <w:p>
            <w:pPr>
              <w:ind w:left="260"/>
              <w:spacing w:after="0"/>
              <w:rPr>
                <w:sz w:val="20"/>
                <w:szCs w:val="20"/>
                <w:color w:val="auto"/>
              </w:rPr>
            </w:pPr>
            <w:r>
              <w:rPr>
                <w:rFonts w:ascii="Arial" w:cs="Arial" w:eastAsia="Arial" w:hAnsi="Arial"/>
                <w:sz w:val="18"/>
                <w:szCs w:val="18"/>
                <w:color w:val="0000FF"/>
              </w:rPr>
              <w:t>11/19/2008</w:t>
            </w:r>
          </w:p>
        </w:tc>
        <w:tc>
          <w:tcPr>
            <w:tcW w:w="0" w:type="dxa"/>
            <w:vAlign w:val="bottom"/>
          </w:tcPr>
          <w:p>
            <w:pPr>
              <w:spacing w:after="0"/>
              <w:rPr>
                <w:sz w:val="1"/>
                <w:szCs w:val="1"/>
                <w:color w:val="auto"/>
              </w:rPr>
            </w:pPr>
          </w:p>
        </w:tc>
      </w:tr>
      <w:tr>
        <w:trPr>
          <w:trHeight w:val="88"/>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820" w:type="dxa"/>
            <w:vAlign w:val="bottom"/>
            <w:tcBorders>
              <w:top w:val="single" w:sz="8" w:color="auto"/>
            </w:tcBorders>
            <w:vMerge w:val="restart"/>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5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20" w:type="dxa"/>
            <w:vAlign w:val="bottom"/>
            <w:tcBorders>
              <w:top w:val="single" w:sz="8" w:color="auto"/>
              <w:bottom w:val="single" w:sz="8" w:color="auto"/>
            </w:tcBorders>
            <w:vMerge w:val="continue"/>
          </w:tcPr>
          <w:p>
            <w:pPr>
              <w:spacing w:after="0"/>
              <w:rPr>
                <w:sz w:val="7"/>
                <w:szCs w:val="7"/>
                <w:color w:val="auto"/>
              </w:rPr>
            </w:pPr>
          </w:p>
        </w:tc>
        <w:tc>
          <w:tcPr>
            <w:tcW w:w="820" w:type="dxa"/>
            <w:vAlign w:val="bottom"/>
            <w:tcBorders>
              <w:top w:val="single" w:sz="8" w:color="auto"/>
            </w:tcBorders>
            <w:vMerge w:val="continue"/>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4"/>
          </w:tcPr>
          <w:p>
            <w:pPr>
              <w:spacing w:after="0"/>
              <w:rPr>
                <w:sz w:val="20"/>
                <w:szCs w:val="20"/>
                <w:color w:val="auto"/>
              </w:rPr>
            </w:pPr>
            <w:r>
              <w:rPr>
                <w:rFonts w:ascii="Arial" w:cs="Arial" w:eastAsia="Arial" w:hAnsi="Arial"/>
                <w:sz w:val="14"/>
                <w:szCs w:val="14"/>
                <w:color w:val="auto"/>
                <w:w w:val="99"/>
              </w:rPr>
              <w:t>** Signature of Reporting Person</w:t>
            </w:r>
          </w:p>
        </w:tc>
        <w:tc>
          <w:tcPr>
            <w:tcW w:w="860" w:type="dxa"/>
            <w:vAlign w:val="bottom"/>
            <w:gridSpan w:val="2"/>
          </w:tcPr>
          <w:p>
            <w:pPr>
              <w:ind w:left="260"/>
              <w:spacing w:after="0"/>
              <w:rPr>
                <w:sz w:val="20"/>
                <w:szCs w:val="20"/>
                <w:color w:val="auto"/>
              </w:rPr>
            </w:pPr>
            <w:r>
              <w:rPr>
                <w:rFonts w:ascii="Arial" w:cs="Arial" w:eastAsia="Arial" w:hAnsi="Arial"/>
                <w:sz w:val="14"/>
                <w:szCs w:val="14"/>
                <w:color w:val="auto"/>
              </w:rPr>
              <w:t>Date</w:t>
            </w: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LIMITED POWER OF ATTORNEY</w:t>
      </w:r>
    </w:p>
    <w:p>
      <w:pPr>
        <w:spacing w:after="0" w:line="238" w:lineRule="auto"/>
        <w:rPr>
          <w:sz w:val="20"/>
          <w:szCs w:val="20"/>
          <w:color w:val="auto"/>
        </w:rPr>
      </w:pPr>
      <w:r>
        <w:rPr>
          <w:rFonts w:ascii="Courier New" w:cs="Courier New" w:eastAsia="Courier New" w:hAnsi="Courier New"/>
          <w:sz w:val="18"/>
          <w:szCs w:val="18"/>
          <w:color w:val="auto"/>
        </w:rPr>
        <w:t>FOR SECTION 16(a) REPORTING</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KNOW ALL PERSONS BY THESE PRESENTS, that the undersigned hereby makes, constitutes and appoints Christopher C. Richardson, Daniel Bachus and Lyn Bickle, and each of them, as the undersigned's true and lawful attorney-in-fact (the "Attorney-in Fact"), with full power of substitution and resubstitution, each with the power to act alone for the undersigned and in the undersigned's name, place and stead, in any and all capacities to:</w:t>
      </w:r>
    </w:p>
    <w:p>
      <w:pPr>
        <w:spacing w:after="0" w:line="210" w:lineRule="exact"/>
        <w:rPr>
          <w:sz w:val="20"/>
          <w:szCs w:val="20"/>
          <w:color w:val="auto"/>
        </w:rPr>
      </w:pPr>
    </w:p>
    <w:p>
      <w:pPr>
        <w:ind w:right="739" w:firstLine="851"/>
        <w:spacing w:after="0" w:line="235" w:lineRule="auto"/>
        <w:tabs>
          <w:tab w:leader="none" w:pos="168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and file with the Securities and Exchange Commission, any national securities exchange or securities quotation system and Grand Canyon</w:t>
      </w:r>
    </w:p>
    <w:p>
      <w:pPr>
        <w:spacing w:after="0" w:line="5"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Education, Inc. (the "Company") any and all reports (including any amendment thereto) of the undersigned required or considered advisable under Section 16(a) of the Securities Exchange Act of 1934, as amended (the "Exchange Act"), and the rules and regulations thereunder, with respect to the equity securities of the Company, including Forms 3, 4 and 5; and</w:t>
      </w:r>
    </w:p>
    <w:p>
      <w:pPr>
        <w:spacing w:after="0" w:line="208" w:lineRule="exact"/>
        <w:rPr>
          <w:rFonts w:ascii="Courier New" w:cs="Courier New" w:eastAsia="Courier New" w:hAnsi="Courier New"/>
          <w:sz w:val="18"/>
          <w:szCs w:val="18"/>
          <w:color w:val="auto"/>
        </w:rPr>
      </w:pPr>
    </w:p>
    <w:p>
      <w:pPr>
        <w:ind w:right="519" w:firstLine="851"/>
        <w:spacing w:after="0" w:line="235" w:lineRule="auto"/>
        <w:tabs>
          <w:tab w:leader="none" w:pos="168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obtain, as the undersigned's representative and on the undersigned's behalf, information regarding transactions in the Company's equity securities from any</w:t>
      </w:r>
    </w:p>
    <w:p>
      <w:pPr>
        <w:spacing w:after="0" w:line="5" w:lineRule="exact"/>
        <w:rPr>
          <w:rFonts w:ascii="Courier New" w:cs="Courier New" w:eastAsia="Courier New" w:hAnsi="Courier New"/>
          <w:sz w:val="18"/>
          <w:szCs w:val="18"/>
          <w:color w:val="auto"/>
        </w:rPr>
      </w:pPr>
    </w:p>
    <w:p>
      <w:pPr>
        <w:ind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third party, including the Company and any brokers, dealers, employee benefit plan administrators and trustees, and the undersigned hereby authorizes any such third party to release any such information to the Attorney-in-Fact.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07" w:lineRule="exact"/>
        <w:rPr>
          <w:sz w:val="20"/>
          <w:szCs w:val="20"/>
          <w:color w:val="auto"/>
        </w:rPr>
      </w:pPr>
    </w:p>
    <w:p>
      <w:pPr>
        <w:ind w:right="1359" w:firstLine="851"/>
        <w:spacing w:after="0" w:line="236"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the Attorney-in-Fact to act at his or her discretion on information provided to such Attorney-in-Fact without independent verification of such information;</w:t>
      </w:r>
    </w:p>
    <w:p>
      <w:pPr>
        <w:spacing w:after="0" w:line="208" w:lineRule="exact"/>
        <w:rPr>
          <w:rFonts w:ascii="Courier New" w:cs="Courier New" w:eastAsia="Courier New" w:hAnsi="Courier New"/>
          <w:sz w:val="18"/>
          <w:szCs w:val="18"/>
          <w:color w:val="auto"/>
        </w:rPr>
      </w:pPr>
    </w:p>
    <w:p>
      <w:pPr>
        <w:ind w:right="619" w:firstLine="851"/>
        <w:spacing w:after="0" w:line="235"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or executed by the Attorney-in-Fact on behalf of the undersigned pursuant to this Limited Power of Attorney will be in such form and</w:t>
      </w:r>
    </w:p>
    <w:p>
      <w:pPr>
        <w:spacing w:after="0" w:line="5" w:lineRule="exact"/>
        <w:rPr>
          <w:rFonts w:ascii="Courier New" w:cs="Courier New" w:eastAsia="Courier New" w:hAnsi="Courier New"/>
          <w:sz w:val="18"/>
          <w:szCs w:val="18"/>
          <w:color w:val="auto"/>
        </w:rPr>
      </w:pPr>
    </w:p>
    <w:p>
      <w:pPr>
        <w:ind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will contain such information as the Attorney-in-Fact, in his or her discretion, deems necessary or desirable;</w:t>
      </w:r>
    </w:p>
    <w:p>
      <w:pPr>
        <w:spacing w:after="0" w:line="208" w:lineRule="exact"/>
        <w:rPr>
          <w:rFonts w:ascii="Courier New" w:cs="Courier New" w:eastAsia="Courier New" w:hAnsi="Courier New"/>
          <w:sz w:val="18"/>
          <w:szCs w:val="18"/>
          <w:color w:val="auto"/>
        </w:rPr>
      </w:pPr>
    </w:p>
    <w:p>
      <w:pPr>
        <w:ind w:right="739" w:firstLine="851"/>
        <w:spacing w:after="0" w:line="235"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the Attorney-in-Fact assumes any liability for the undersigned's responsibility to comply with the requirements of Section 16 of</w:t>
      </w:r>
    </w:p>
    <w:p>
      <w:pPr>
        <w:spacing w:after="0" w:line="5" w:lineRule="exact"/>
        <w:rPr>
          <w:rFonts w:ascii="Courier New" w:cs="Courier New" w:eastAsia="Courier New" w:hAnsi="Courier New"/>
          <w:sz w:val="18"/>
          <w:szCs w:val="18"/>
          <w:color w:val="auto"/>
        </w:rPr>
      </w:pPr>
    </w:p>
    <w:p>
      <w:pPr>
        <w:ind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Exchange Act, any liability of the undersigned for any failure to comply with such requirements, or any liability of the undersigned for disgorgement of profits under Section 16(b) of the Exchange Act; and</w:t>
      </w:r>
    </w:p>
    <w:p>
      <w:pPr>
        <w:spacing w:after="0" w:line="208" w:lineRule="exact"/>
        <w:rPr>
          <w:rFonts w:ascii="Courier New" w:cs="Courier New" w:eastAsia="Courier New" w:hAnsi="Courier New"/>
          <w:sz w:val="18"/>
          <w:szCs w:val="18"/>
          <w:color w:val="auto"/>
        </w:rPr>
      </w:pPr>
    </w:p>
    <w:p>
      <w:pPr>
        <w:ind w:right="1359" w:firstLine="851"/>
        <w:spacing w:after="0" w:line="268" w:lineRule="auto"/>
        <w:tabs>
          <w:tab w:leader="none" w:pos="1686"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Limited Power of Attorney does not relieve the undersigned from responsibility for compliance with the undersigned's obligations under Section</w:t>
      </w:r>
    </w:p>
    <w:p>
      <w:pPr>
        <w:ind w:right="29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16 of the Exchange Act, including, without, limitation, the reporting requirements under Section 16(a) of the Exchange Act.</w:t>
      </w:r>
    </w:p>
    <w:p>
      <w:pPr>
        <w:spacing w:after="0" w:line="208" w:lineRule="exact"/>
        <w:rPr>
          <w:sz w:val="20"/>
          <w:szCs w:val="20"/>
          <w:color w:val="auto"/>
        </w:rPr>
      </w:pPr>
    </w:p>
    <w:p>
      <w:pPr>
        <w:ind w:right="1159" w:firstLine="843"/>
        <w:spacing w:after="0" w:line="235" w:lineRule="auto"/>
        <w:rPr>
          <w:sz w:val="20"/>
          <w:szCs w:val="20"/>
          <w:color w:val="auto"/>
        </w:rPr>
      </w:pPr>
      <w:r>
        <w:rPr>
          <w:rFonts w:ascii="Courier New" w:cs="Courier New" w:eastAsia="Courier New" w:hAnsi="Courier New"/>
          <w:sz w:val="18"/>
          <w:szCs w:val="18"/>
          <w:color w:val="auto"/>
        </w:rPr>
        <w:t>The undersigned hereby grants to the Attorney-in-Fact full power and authority to do and perform each and every act and thing requisite, necessary or</w:t>
      </w:r>
    </w:p>
    <w:p>
      <w:pPr>
        <w:spacing w:after="0" w:line="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convenient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Limited Power of Attorney.</w:t>
      </w:r>
    </w:p>
    <w:p>
      <w:pPr>
        <w:spacing w:after="0" w:line="209" w:lineRule="exact"/>
        <w:rPr>
          <w:sz w:val="20"/>
          <w:szCs w:val="20"/>
          <w:color w:val="auto"/>
        </w:rPr>
      </w:pPr>
    </w:p>
    <w:p>
      <w:pPr>
        <w:ind w:right="1159" w:firstLine="843"/>
        <w:spacing w:after="0"/>
        <w:rPr>
          <w:sz w:val="20"/>
          <w:szCs w:val="20"/>
          <w:color w:val="auto"/>
        </w:rPr>
      </w:pPr>
      <w:r>
        <w:rPr>
          <w:rFonts w:ascii="Courier New" w:cs="Courier New" w:eastAsia="Courier New" w:hAnsi="Courier New"/>
          <w:sz w:val="18"/>
          <w:szCs w:val="18"/>
          <w:color w:val="auto"/>
        </w:rPr>
        <w:t>This Limited Power of Attorney shall remain in full force and effect until the undersigned is no longer required to file Forms 4 or 5 with respect to the undersigned's transactions in equity securities of the Company, unless earlier revoked by the undersigned in a signed writing delivered to the Attorney-in-Fact.</w:t>
      </w:r>
    </w:p>
    <w:p>
      <w:pPr>
        <w:spacing w:after="0" w:line="400" w:lineRule="exact"/>
        <w:rPr>
          <w:sz w:val="20"/>
          <w:szCs w:val="20"/>
          <w:color w:val="auto"/>
        </w:rPr>
      </w:pPr>
    </w:p>
    <w:p>
      <w:pPr>
        <w:ind w:right="1359" w:firstLine="843"/>
        <w:spacing w:after="0" w:line="290" w:lineRule="auto"/>
        <w:rPr>
          <w:sz w:val="20"/>
          <w:szCs w:val="20"/>
          <w:color w:val="auto"/>
        </w:rPr>
      </w:pPr>
      <w:r>
        <w:rPr>
          <w:rFonts w:ascii="Courier New" w:cs="Courier New" w:eastAsia="Courier New" w:hAnsi="Courier New"/>
          <w:sz w:val="16"/>
          <w:szCs w:val="16"/>
          <w:color w:val="auto"/>
        </w:rPr>
        <w:t>This Limited Power of Attorney shall be governed and construed in accordance the laws of the State of Arizona without regard to conflict-of-law principles.</w:t>
      </w:r>
    </w:p>
    <w:p>
      <w:pPr>
        <w:spacing w:after="0" w:line="170" w:lineRule="exact"/>
        <w:rPr>
          <w:sz w:val="20"/>
          <w:szCs w:val="20"/>
          <w:color w:val="auto"/>
        </w:rPr>
      </w:pPr>
    </w:p>
    <w:p>
      <w:pPr>
        <w:ind w:right="103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Limited Power of Attorney as of October 6, 2008.</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 Brian Mueller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Print Name: Brian Mueller</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46738" TargetMode="External"/><Relationship Id="rId12"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2019-12-24T02:23:45Z</dcterms:created>
  <dcterms:modified xsi:type="dcterms:W3CDTF">2019-12-24T02:23:45Z</dcterms:modified>
</cp:coreProperties>
</file>