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080"/>
        <w:spacing w:after="0"/>
        <w:rPr>
          <w:sz w:val="20"/>
          <w:szCs w:val="20"/>
          <w:color w:val="auto"/>
        </w:rPr>
      </w:pPr>
      <w:r>
        <w:rPr>
          <w:rFonts w:ascii="Arial" w:cs="Arial" w:eastAsia="Arial" w:hAnsi="Arial"/>
          <w:sz w:val="18"/>
          <w:szCs w:val="18"/>
          <w:b w:val="1"/>
          <w:bCs w:val="1"/>
          <w:color w:val="auto"/>
        </w:rPr>
        <w:t>Date of Report (Date of earliest event reported): February 19, 2009</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Delaware</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0"/>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202" w:lineRule="exact"/>
        <w:rPr>
          <w:sz w:val="20"/>
          <w:szCs w:val="20"/>
          <w:color w:val="auto"/>
        </w:rPr>
      </w:pPr>
    </w:p>
    <w:p>
      <w:pPr>
        <w:ind w:right="919"/>
        <w:spacing w:after="0" w:line="277" w:lineRule="auto"/>
        <w:rPr>
          <w:sz w:val="20"/>
          <w:szCs w:val="20"/>
          <w:color w:val="auto"/>
        </w:rPr>
      </w:pPr>
      <w:r>
        <w:rPr>
          <w:rFonts w:ascii="Arial" w:cs="Arial" w:eastAsia="Arial" w:hAnsi="Arial"/>
          <w:sz w:val="18"/>
          <w:szCs w:val="18"/>
          <w:color w:val="auto"/>
        </w:rPr>
        <w:t>On February 19, 2009, Grand Canyon Education, Inc. (the “Company”) reported its fourth quarter and annual 2008 financial results. The press release dated February 19, 2009 is furnished as Exhibit 99.1 to this report.</w:t>
      </w:r>
    </w:p>
    <w:p>
      <w:pPr>
        <w:spacing w:after="0" w:line="126" w:lineRule="exact"/>
        <w:rPr>
          <w:sz w:val="20"/>
          <w:szCs w:val="20"/>
          <w:color w:val="auto"/>
        </w:rPr>
      </w:pPr>
    </w:p>
    <w:p>
      <w:pPr>
        <w:ind w:left="840" w:right="1399" w:hanging="850"/>
        <w:spacing w:after="0" w:line="282" w:lineRule="auto"/>
        <w:rPr>
          <w:sz w:val="20"/>
          <w:szCs w:val="20"/>
          <w:color w:val="auto"/>
        </w:rPr>
      </w:pPr>
      <w:r>
        <w:rPr>
          <w:rFonts w:ascii="Arial" w:cs="Arial" w:eastAsia="Arial" w:hAnsi="Arial"/>
          <w:sz w:val="18"/>
          <w:szCs w:val="18"/>
          <w:b w:val="1"/>
          <w:bCs w:val="1"/>
          <w:color w:val="auto"/>
        </w:rPr>
        <w:t xml:space="preserve">Item 5.02. </w:t>
      </w:r>
      <w:r>
        <w:rPr>
          <w:rFonts w:ascii="Arial" w:cs="Arial" w:eastAsia="Arial" w:hAnsi="Arial"/>
          <w:sz w:val="18"/>
          <w:szCs w:val="18"/>
          <w:b w:val="1"/>
          <w:bCs w:val="1"/>
          <w:u w:val="single" w:color="auto"/>
          <w:color w:val="auto"/>
        </w:rPr>
        <w:t>Departure of Directors or Certain Officers: Election of Directors; Appointment of Certain Officers;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Compensatory Arrangements of Certain Officers</w:t>
      </w:r>
      <w:r>
        <w:rPr>
          <w:rFonts w:ascii="Arial" w:cs="Arial" w:eastAsia="Arial" w:hAnsi="Arial"/>
          <w:sz w:val="18"/>
          <w:szCs w:val="18"/>
          <w:b w:val="1"/>
          <w:bCs w:val="1"/>
          <w:color w:val="auto"/>
        </w:rPr>
        <w:t>.</w:t>
      </w:r>
    </w:p>
    <w:p>
      <w:pPr>
        <w:spacing w:after="0" w:line="125" w:lineRule="exact"/>
        <w:rPr>
          <w:sz w:val="20"/>
          <w:szCs w:val="20"/>
          <w:color w:val="auto"/>
        </w:rPr>
      </w:pPr>
    </w:p>
    <w:p>
      <w:pPr>
        <w:ind w:right="559"/>
        <w:spacing w:after="0" w:line="264" w:lineRule="auto"/>
        <w:rPr>
          <w:sz w:val="20"/>
          <w:szCs w:val="20"/>
          <w:color w:val="auto"/>
        </w:rPr>
      </w:pPr>
      <w:r>
        <w:rPr>
          <w:rFonts w:ascii="Arial" w:cs="Arial" w:eastAsia="Arial" w:hAnsi="Arial"/>
          <w:sz w:val="18"/>
          <w:szCs w:val="18"/>
          <w:color w:val="auto"/>
        </w:rPr>
        <w:t>On February 17, 2009, John Crowley, resigned from his position as the Company’s Chief Operating Officer and, after a transition period that ends on June 30, 2009, Mr. Crowley will leave the Company to pursue other interests. Mr. Crowley will receive his current salary and benefits until his date of departure.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left="340" w:right="180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5520" w:type="dxa"/>
            <w:vAlign w:val="bottom"/>
            <w:gridSpan w:val="2"/>
          </w:tcPr>
          <w:p>
            <w:pPr>
              <w:ind w:left="1200"/>
              <w:spacing w:after="0"/>
              <w:rPr>
                <w:sz w:val="20"/>
                <w:szCs w:val="20"/>
                <w:color w:val="auto"/>
              </w:rPr>
            </w:pPr>
            <w:r>
              <w:rPr>
                <w:rFonts w:ascii="Arial" w:cs="Arial" w:eastAsia="Arial" w:hAnsi="Arial"/>
                <w:sz w:val="18"/>
                <w:szCs w:val="18"/>
                <w:color w:val="auto"/>
              </w:rPr>
              <w:t>GRAND CANYON EDUCATION, INC.</w:t>
            </w:r>
          </w:p>
        </w:tc>
        <w:tc>
          <w:tcPr>
            <w:tcW w:w="2620" w:type="dxa"/>
            <w:vAlign w:val="bottom"/>
          </w:tcPr>
          <w:p>
            <w:pPr>
              <w:spacing w:after="0"/>
              <w:rPr>
                <w:sz w:val="20"/>
                <w:szCs w:val="20"/>
                <w:color w:val="auto"/>
              </w:rPr>
            </w:pPr>
          </w:p>
        </w:tc>
      </w:tr>
      <w:tr>
        <w:trPr>
          <w:trHeight w:val="432"/>
        </w:trPr>
        <w:tc>
          <w:tcPr>
            <w:tcW w:w="3280" w:type="dxa"/>
            <w:vAlign w:val="bottom"/>
          </w:tcPr>
          <w:p>
            <w:pPr>
              <w:ind w:left="340"/>
              <w:spacing w:after="0"/>
              <w:rPr>
                <w:sz w:val="20"/>
                <w:szCs w:val="20"/>
                <w:color w:val="auto"/>
              </w:rPr>
            </w:pPr>
            <w:r>
              <w:rPr>
                <w:rFonts w:ascii="Arial" w:cs="Arial" w:eastAsia="Arial" w:hAnsi="Arial"/>
                <w:sz w:val="18"/>
                <w:szCs w:val="18"/>
                <w:color w:val="auto"/>
              </w:rPr>
              <w:t>Date: February 19, 2009</w:t>
            </w:r>
          </w:p>
        </w:tc>
        <w:tc>
          <w:tcPr>
            <w:tcW w:w="5520" w:type="dxa"/>
            <w:vAlign w:val="bottom"/>
            <w:gridSpan w:val="2"/>
          </w:tcPr>
          <w:p>
            <w:pPr>
              <w:ind w:left="1200"/>
              <w:spacing w:after="0"/>
              <w:rPr>
                <w:sz w:val="20"/>
                <w:szCs w:val="20"/>
                <w:color w:val="auto"/>
              </w:rPr>
            </w:pPr>
            <w:r>
              <w:rPr>
                <w:rFonts w:ascii="Arial" w:cs="Arial" w:eastAsia="Arial" w:hAnsi="Arial"/>
                <w:sz w:val="18"/>
                <w:szCs w:val="18"/>
                <w:color w:val="auto"/>
              </w:rPr>
              <w:t>By: /s/ Daniel E. Bachus</w:t>
            </w:r>
          </w:p>
        </w:tc>
        <w:tc>
          <w:tcPr>
            <w:tcW w:w="2620" w:type="dxa"/>
            <w:vAlign w:val="bottom"/>
          </w:tcPr>
          <w:p>
            <w:pPr>
              <w:spacing w:after="0"/>
              <w:rPr>
                <w:sz w:val="24"/>
                <w:szCs w:val="24"/>
                <w:color w:val="auto"/>
              </w:rPr>
            </w:pPr>
          </w:p>
        </w:tc>
      </w:tr>
      <w:tr>
        <w:trPr>
          <w:trHeight w:val="195"/>
        </w:trPr>
        <w:tc>
          <w:tcPr>
            <w:tcW w:w="3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62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62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4"/>
              </w:rPr>
              <w:t>(Principal Financial and Principal Accounting Officer)</w:t>
            </w:r>
          </w:p>
        </w:tc>
        <w:tc>
          <w:tcPr>
            <w:tcW w:w="2620" w:type="dxa"/>
            <w:vAlign w:val="bottom"/>
          </w:tcPr>
          <w:p>
            <w:pPr>
              <w:spacing w:after="0"/>
              <w:rPr>
                <w:sz w:val="20"/>
                <w:szCs w:val="20"/>
                <w:color w:val="auto"/>
              </w:rPr>
            </w:pPr>
          </w:p>
        </w:tc>
      </w:tr>
      <w:tr>
        <w:trPr>
          <w:trHeight w:val="1226"/>
        </w:trPr>
        <w:tc>
          <w:tcPr>
            <w:tcW w:w="32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80" w:type="dxa"/>
            <w:vAlign w:val="bottom"/>
          </w:tcPr>
          <w:p>
            <w:pPr>
              <w:ind w:left="3060"/>
              <w:spacing w:after="0"/>
              <w:rPr>
                <w:sz w:val="20"/>
                <w:szCs w:val="20"/>
                <w:color w:val="auto"/>
              </w:rPr>
            </w:pPr>
            <w:r>
              <w:rPr>
                <w:rFonts w:ascii="Arial" w:cs="Arial" w:eastAsia="Arial" w:hAnsi="Arial"/>
                <w:sz w:val="18"/>
                <w:szCs w:val="18"/>
                <w:color w:val="auto"/>
              </w:rPr>
              <w:t>EXHIBIT INDEX</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w w:val="99"/>
              </w:rPr>
              <w:t>Exhibit</w:t>
            </w:r>
          </w:p>
        </w:tc>
        <w:tc>
          <w:tcPr>
            <w:tcW w:w="380" w:type="dxa"/>
            <w:vAlign w:val="bottom"/>
          </w:tcPr>
          <w:p>
            <w:pPr>
              <w:spacing w:after="0"/>
              <w:rPr>
                <w:sz w:val="24"/>
                <w:szCs w:val="24"/>
                <w:color w:val="auto"/>
              </w:rPr>
            </w:pPr>
          </w:p>
        </w:tc>
        <w:tc>
          <w:tcPr>
            <w:tcW w:w="8380" w:type="dxa"/>
            <w:vAlign w:val="bottom"/>
          </w:tcPr>
          <w:p>
            <w:pPr>
              <w:spacing w:after="0"/>
              <w:rPr>
                <w:sz w:val="24"/>
                <w:szCs w:val="24"/>
                <w:color w:val="auto"/>
              </w:rPr>
            </w:pPr>
          </w:p>
        </w:tc>
      </w:tr>
      <w:tr>
        <w:trPr>
          <w:trHeight w:val="230"/>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w:t>
            </w:r>
          </w:p>
        </w:tc>
        <w:tc>
          <w:tcPr>
            <w:tcW w:w="380" w:type="dxa"/>
            <w:vAlign w:val="bottom"/>
          </w:tcPr>
          <w:p>
            <w:pPr>
              <w:spacing w:after="0"/>
              <w:rPr>
                <w:sz w:val="20"/>
                <w:szCs w:val="20"/>
                <w:color w:val="auto"/>
              </w:rPr>
            </w:pPr>
          </w:p>
        </w:tc>
        <w:tc>
          <w:tcPr>
            <w:tcW w:w="8380" w:type="dxa"/>
            <w:vAlign w:val="bottom"/>
            <w:tcBorders>
              <w:bottom w:val="single" w:sz="8" w:color="auto"/>
            </w:tcBorders>
          </w:tcPr>
          <w:p>
            <w:pPr>
              <w:ind w:left="3780"/>
              <w:spacing w:after="0"/>
              <w:rPr>
                <w:sz w:val="20"/>
                <w:szCs w:val="20"/>
                <w:color w:val="auto"/>
              </w:rPr>
            </w:pPr>
            <w:r>
              <w:rPr>
                <w:rFonts w:ascii="Arial" w:cs="Arial" w:eastAsia="Arial" w:hAnsi="Arial"/>
                <w:sz w:val="18"/>
                <w:szCs w:val="18"/>
                <w:color w:val="auto"/>
              </w:rPr>
              <w:t>Description</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Press Release dated February 19, 2009</w:t>
            </w:r>
          </w:p>
        </w:tc>
      </w:tr>
    </w:tbl>
    <w:p>
      <w:pPr>
        <w:sectPr>
          <w:pgSz w:w="11900" w:h="16838" w:orient="portrait"/>
          <w:cols w:equalWidth="0" w:num="1">
            <w:col w:w="9879"/>
          </w:cols>
          <w:pgMar w:left="580" w:top="935"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NEWS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dbachus@gcu.edu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Bill Jenkins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bjenkins@gcu.edu</w:t>
      </w:r>
    </w:p>
    <w:p>
      <w:pPr>
        <w:spacing w:after="0" w:line="18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FOURTH QUARTER AND FULL YEAR 2008 RESULTS</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Grand Canyon Education’s Annual Net Revenue up 62 Percent; Enrollment up 67 Percent;</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Operating Income up 195 Percent</w:t>
      </w:r>
    </w:p>
    <w:p>
      <w:pPr>
        <w:spacing w:after="0" w:line="166" w:lineRule="exact"/>
        <w:rPr>
          <w:sz w:val="20"/>
          <w:szCs w:val="20"/>
          <w:color w:val="auto"/>
        </w:rPr>
      </w:pPr>
    </w:p>
    <w:p>
      <w:pPr>
        <w:jc w:val="both"/>
        <w:ind w:right="899"/>
        <w:spacing w:after="0" w:line="266" w:lineRule="auto"/>
        <w:rPr>
          <w:sz w:val="20"/>
          <w:szCs w:val="20"/>
          <w:color w:val="auto"/>
        </w:rPr>
      </w:pPr>
      <w:r>
        <w:rPr>
          <w:rFonts w:ascii="Arial" w:cs="Arial" w:eastAsia="Arial" w:hAnsi="Arial"/>
          <w:sz w:val="18"/>
          <w:szCs w:val="18"/>
          <w:b w:val="1"/>
          <w:bCs w:val="1"/>
          <w:color w:val="auto"/>
        </w:rPr>
        <w:t>ARIZONA, February 19, 2009</w:t>
      </w:r>
      <w:r>
        <w:rPr>
          <w:rFonts w:ascii="Arial" w:cs="Arial" w:eastAsia="Arial" w:hAnsi="Arial"/>
          <w:sz w:val="18"/>
          <w:szCs w:val="18"/>
          <w:color w:val="auto"/>
        </w:rPr>
        <w:t>—</w:t>
      </w:r>
      <w:r>
        <w:rPr>
          <w:rFonts w:ascii="Arial" w:cs="Arial" w:eastAsia="Arial" w:hAnsi="Arial"/>
          <w:sz w:val="18"/>
          <w:szCs w:val="18"/>
          <w:b w:val="1"/>
          <w:bCs w:val="1"/>
          <w:u w:val="single" w:color="auto"/>
          <w:color w:val="auto"/>
        </w:rPr>
        <w:t>Grand Canyon Education,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LOPE), a regionally accredited provider of</w:t>
      </w:r>
      <w:r>
        <w:rPr>
          <w:rFonts w:ascii="Arial" w:cs="Arial" w:eastAsia="Arial" w:hAnsi="Arial"/>
          <w:sz w:val="18"/>
          <w:szCs w:val="18"/>
          <w:b w:val="1"/>
          <w:bCs w:val="1"/>
          <w:color w:val="auto"/>
        </w:rPr>
        <w:t xml:space="preserve"> </w:t>
      </w:r>
      <w:r>
        <w:rPr>
          <w:rFonts w:ascii="Arial" w:cs="Arial" w:eastAsia="Arial" w:hAnsi="Arial"/>
          <w:sz w:val="18"/>
          <w:szCs w:val="18"/>
          <w:color w:val="auto"/>
        </w:rPr>
        <w:t>online and campus-based post-secondary education services, today announced financial results for the three months and year ended December 31, 2008.</w:t>
      </w:r>
    </w:p>
    <w:p>
      <w:pPr>
        <w:spacing w:after="0" w:line="153" w:lineRule="exact"/>
        <w:rPr>
          <w:sz w:val="20"/>
          <w:szCs w:val="20"/>
          <w:color w:val="auto"/>
        </w:rPr>
      </w:pPr>
    </w:p>
    <w:p>
      <w:pPr>
        <w:ind w:right="819"/>
        <w:spacing w:after="0" w:line="259" w:lineRule="auto"/>
        <w:rPr>
          <w:sz w:val="20"/>
          <w:szCs w:val="20"/>
          <w:color w:val="auto"/>
        </w:rPr>
      </w:pPr>
      <w:r>
        <w:rPr>
          <w:rFonts w:ascii="Arial" w:cs="Arial" w:eastAsia="Arial" w:hAnsi="Arial"/>
          <w:sz w:val="18"/>
          <w:szCs w:val="18"/>
          <w:color w:val="auto"/>
        </w:rPr>
        <w:t>“We achieved higher than expected net revenue, enrollment and operating income growth, coupled with the completion of our initial public offering, and continuing operational strides we have made with respect to our student services, allows us to continue to provide what we believe is an excellent education environment,” said Brian Mueller, Chief Executive Officer of Grand Canyon Education, Inc.</w:t>
      </w:r>
    </w:p>
    <w:p>
      <w:pPr>
        <w:spacing w:after="0" w:line="1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ind w:left="8"/>
        <w:spacing w:after="0"/>
        <w:rPr>
          <w:sz w:val="20"/>
          <w:szCs w:val="20"/>
          <w:color w:val="auto"/>
        </w:rPr>
      </w:pPr>
      <w:r>
        <w:rPr>
          <w:rFonts w:ascii="Arial" w:cs="Arial" w:eastAsia="Arial" w:hAnsi="Arial"/>
          <w:sz w:val="18"/>
          <w:szCs w:val="18"/>
          <w:b w:val="1"/>
          <w:bCs w:val="1"/>
          <w:color w:val="auto"/>
        </w:rPr>
        <w:t>Grand Canyon Education, Inc. Reports Fourth Quarter and Full-Year 2008 Results</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three months ended December 31, 2008:</w:t>
      </w:r>
    </w:p>
    <w:p>
      <w:pPr>
        <w:spacing w:after="0" w:line="185" w:lineRule="exact"/>
        <w:rPr>
          <w:sz w:val="20"/>
          <w:szCs w:val="20"/>
          <w:color w:val="auto"/>
        </w:rPr>
      </w:pPr>
    </w:p>
    <w:p>
      <w:pPr>
        <w:ind w:left="348" w:right="999" w:hanging="348"/>
        <w:spacing w:after="0" w:line="277" w:lineRule="auto"/>
        <w:tabs>
          <w:tab w:leader="none" w:pos="34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Net revenues increased 67.5% to $51.7 million for the fourth quarter of 2008, compared to $30.8 million for the fourth quarter of 2007.</w:t>
      </w:r>
    </w:p>
    <w:p>
      <w:pPr>
        <w:spacing w:after="0" w:line="102" w:lineRule="exact"/>
        <w:rPr>
          <w:rFonts w:ascii="Arial" w:cs="Arial" w:eastAsia="Arial" w:hAnsi="Arial"/>
          <w:sz w:val="18"/>
          <w:szCs w:val="18"/>
          <w:b w:val="1"/>
          <w:bCs w:val="1"/>
          <w:color w:val="auto"/>
        </w:rPr>
      </w:pPr>
    </w:p>
    <w:p>
      <w:pPr>
        <w:ind w:left="348" w:right="859" w:hanging="348"/>
        <w:spacing w:after="0" w:line="277" w:lineRule="auto"/>
        <w:tabs>
          <w:tab w:leader="none" w:pos="34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At December 31, 2008 our enrollment was 24,636, an increase of 67.0% from our enrollment of 14,754 at December 31, 2007.</w:t>
      </w:r>
    </w:p>
    <w:p>
      <w:pPr>
        <w:spacing w:after="0" w:line="102" w:lineRule="exact"/>
        <w:rPr>
          <w:rFonts w:ascii="Arial" w:cs="Arial" w:eastAsia="Arial" w:hAnsi="Arial"/>
          <w:sz w:val="18"/>
          <w:szCs w:val="18"/>
          <w:b w:val="1"/>
          <w:bCs w:val="1"/>
          <w:color w:val="auto"/>
        </w:rPr>
      </w:pPr>
    </w:p>
    <w:p>
      <w:pPr>
        <w:ind w:left="348" w:right="839" w:hanging="348"/>
        <w:spacing w:after="0" w:line="308" w:lineRule="auto"/>
        <w:tabs>
          <w:tab w:leader="none" w:pos="348"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Operating income for the fourth quarter of 2008 was $3.8 million, compared to $2.1 million for the same period in 2007. The operating margin for the fourth quarter 2008 was 7.4%, compared to 6.9% for the same period in 2007.</w:t>
      </w:r>
    </w:p>
    <w:p>
      <w:pPr>
        <w:spacing w:after="0" w:line="79" w:lineRule="exact"/>
        <w:rPr>
          <w:rFonts w:ascii="Arial" w:cs="Arial" w:eastAsia="Arial" w:hAnsi="Arial"/>
          <w:sz w:val="17"/>
          <w:szCs w:val="17"/>
          <w:b w:val="1"/>
          <w:bCs w:val="1"/>
          <w:color w:val="auto"/>
        </w:rPr>
      </w:pPr>
    </w:p>
    <w:p>
      <w:pPr>
        <w:ind w:left="348" w:right="659" w:hanging="348"/>
        <w:spacing w:after="0" w:line="277" w:lineRule="auto"/>
        <w:tabs>
          <w:tab w:leader="none" w:pos="34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Adjusted EBITDA increased 152.3% to $11.1 million for the fourth quarter of 2008, compared to $4.4 million for the same period in 2007.</w:t>
      </w:r>
    </w:p>
    <w:p>
      <w:pPr>
        <w:spacing w:after="0" w:line="102" w:lineRule="exact"/>
        <w:rPr>
          <w:rFonts w:ascii="Arial" w:cs="Arial" w:eastAsia="Arial" w:hAnsi="Arial"/>
          <w:sz w:val="18"/>
          <w:szCs w:val="18"/>
          <w:b w:val="1"/>
          <w:bCs w:val="1"/>
          <w:color w:val="auto"/>
        </w:rPr>
      </w:pPr>
    </w:p>
    <w:p>
      <w:pPr>
        <w:ind w:left="348" w:hanging="348"/>
        <w:spacing w:after="0"/>
        <w:tabs>
          <w:tab w:leader="none" w:pos="34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tax rate in the fourth quarter of 2008 was 30.9% compared to 40.0% in the fourth quarter of 2007.</w:t>
      </w:r>
    </w:p>
    <w:p>
      <w:pPr>
        <w:spacing w:after="0" w:line="157" w:lineRule="exact"/>
        <w:rPr>
          <w:rFonts w:ascii="Arial" w:cs="Arial" w:eastAsia="Arial" w:hAnsi="Arial"/>
          <w:sz w:val="18"/>
          <w:szCs w:val="18"/>
          <w:b w:val="1"/>
          <w:bCs w:val="1"/>
          <w:color w:val="auto"/>
        </w:rPr>
      </w:pPr>
    </w:p>
    <w:p>
      <w:pPr>
        <w:ind w:left="348" w:right="579" w:hanging="348"/>
        <w:spacing w:after="0" w:line="277" w:lineRule="auto"/>
        <w:tabs>
          <w:tab w:leader="none" w:pos="34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Net income increased 119.8% to $2.2 million for the fourth quarter of 2008, compared to $1.0 million for the same period in 2007.</w:t>
      </w:r>
    </w:p>
    <w:p>
      <w:pPr>
        <w:spacing w:after="0" w:line="102" w:lineRule="exact"/>
        <w:rPr>
          <w:rFonts w:ascii="Arial" w:cs="Arial" w:eastAsia="Arial" w:hAnsi="Arial"/>
          <w:sz w:val="18"/>
          <w:szCs w:val="18"/>
          <w:b w:val="1"/>
          <w:bCs w:val="1"/>
          <w:color w:val="auto"/>
        </w:rPr>
      </w:pPr>
    </w:p>
    <w:p>
      <w:pPr>
        <w:ind w:left="348" w:hanging="348"/>
        <w:spacing w:after="0"/>
        <w:tabs>
          <w:tab w:leader="none" w:pos="348"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Diluted net income per share was $0.06 for the fourth quarter of 2008, compared to $0.03 for the same period in 2007.</w:t>
      </w:r>
    </w:p>
    <w:p>
      <w:pPr>
        <w:spacing w:after="0" w:line="196" w:lineRule="exact"/>
        <w:rPr>
          <w:sz w:val="20"/>
          <w:szCs w:val="20"/>
          <w:color w:val="auto"/>
        </w:rPr>
      </w:pPr>
    </w:p>
    <w:p>
      <w:pPr>
        <w:ind w:left="8" w:right="599"/>
        <w:spacing w:after="0" w:line="289" w:lineRule="auto"/>
        <w:rPr>
          <w:sz w:val="20"/>
          <w:szCs w:val="20"/>
          <w:color w:val="auto"/>
        </w:rPr>
      </w:pPr>
      <w:r>
        <w:rPr>
          <w:rFonts w:ascii="Arial" w:cs="Arial" w:eastAsia="Arial" w:hAnsi="Arial"/>
          <w:sz w:val="16"/>
          <w:szCs w:val="16"/>
          <w:color w:val="auto"/>
        </w:rPr>
        <w:t>“Our growth in net revenue, enrollment and operating margin continues to demonstrate the strength in our business model and the ability to grow in the future,” said Daniel Bachus, the Company’s Chief Financial Officer. “At the same time, we made significant strides as a newly public company, established many of the corporate governance structures required for a public company, focused on implementing improved controls for compliance with Sarbanes-Oxley and staying ahead of the educational needs of our students. Our tax rate in the fourth quarter of 2008 was significantly below our tax rate in the first three quarters of 2008 as we chose to make a $750,000 contribution to Arizona high school tuition organizations which resulted in a dollar-for-dollar tax credit to our Arizona state income taxes. The contribution is reflected as an expense in general and administrative expense and the tax credit is reflected as a reduction of income tax expense. Had these payments not been made our effective tax rate would have been 44.0% for the three months ended December 31, 2008 and 40.8% for the year ended December 31, 2008.”</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fiscal year ended December 31, 2008:</w:t>
      </w:r>
    </w:p>
    <w:p>
      <w:pPr>
        <w:spacing w:after="0" w:line="185" w:lineRule="exact"/>
        <w:rPr>
          <w:sz w:val="20"/>
          <w:szCs w:val="20"/>
          <w:color w:val="auto"/>
        </w:rPr>
      </w:pPr>
    </w:p>
    <w:p>
      <w:pPr>
        <w:ind w:left="348" w:hanging="348"/>
        <w:spacing w:after="0"/>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revenues increased 62.4% to $161.3 million for fiscal 2008, compared to $99.3 million for fiscal 2007.</w:t>
      </w:r>
    </w:p>
    <w:p>
      <w:pPr>
        <w:spacing w:after="0" w:line="157" w:lineRule="exact"/>
        <w:rPr>
          <w:rFonts w:ascii="Arial" w:cs="Arial" w:eastAsia="Arial" w:hAnsi="Arial"/>
          <w:sz w:val="18"/>
          <w:szCs w:val="18"/>
          <w:b w:val="1"/>
          <w:bCs w:val="1"/>
          <w:color w:val="auto"/>
        </w:rPr>
      </w:pPr>
    </w:p>
    <w:p>
      <w:pPr>
        <w:ind w:left="348" w:right="89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income for fiscal 2008 was $12.8 million, compared to $4.3 million for fiscal 2007. The operating margin for fiscal 2008 was 7.9%, compared to 4.4% for fiscal 2007.</w:t>
      </w:r>
    </w:p>
    <w:p>
      <w:pPr>
        <w:spacing w:after="0" w:line="102" w:lineRule="exact"/>
        <w:rPr>
          <w:rFonts w:ascii="Arial" w:cs="Arial" w:eastAsia="Arial" w:hAnsi="Arial"/>
          <w:sz w:val="18"/>
          <w:szCs w:val="18"/>
          <w:b w:val="1"/>
          <w:bCs w:val="1"/>
          <w:color w:val="auto"/>
        </w:rPr>
      </w:pPr>
    </w:p>
    <w:p>
      <w:pPr>
        <w:ind w:left="348" w:hanging="348"/>
        <w:spacing w:after="0"/>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 increased 119.0% to $25.7 million for fiscal 2008, compared to $11.7 million for fiscal 2007.</w:t>
      </w:r>
    </w:p>
    <w:p>
      <w:pPr>
        <w:spacing w:after="0" w:line="157" w:lineRule="exact"/>
        <w:rPr>
          <w:rFonts w:ascii="Arial" w:cs="Arial" w:eastAsia="Arial" w:hAnsi="Arial"/>
          <w:sz w:val="18"/>
          <w:szCs w:val="18"/>
          <w:b w:val="1"/>
          <w:bCs w:val="1"/>
          <w:color w:val="auto"/>
        </w:rPr>
      </w:pPr>
    </w:p>
    <w:p>
      <w:pPr>
        <w:ind w:left="348" w:hanging="348"/>
        <w:spacing w:after="0"/>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tax rate for fiscal 2008 was 36.6% compared to 40.0% for fiscal 2007.</w:t>
      </w:r>
    </w:p>
    <w:p>
      <w:pPr>
        <w:spacing w:after="0" w:line="157" w:lineRule="exact"/>
        <w:rPr>
          <w:rFonts w:ascii="Arial" w:cs="Arial" w:eastAsia="Arial" w:hAnsi="Arial"/>
          <w:sz w:val="18"/>
          <w:szCs w:val="18"/>
          <w:b w:val="1"/>
          <w:bCs w:val="1"/>
          <w:color w:val="auto"/>
        </w:rPr>
      </w:pPr>
    </w:p>
    <w:p>
      <w:pPr>
        <w:ind w:left="348" w:hanging="348"/>
        <w:spacing w:after="0"/>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increased 338.2% to $6.7 million for fiscal 2008, compared to $1.5 million for fiscal 2007.</w:t>
      </w:r>
    </w:p>
    <w:p>
      <w:pPr>
        <w:spacing w:after="0" w:line="157" w:lineRule="exact"/>
        <w:rPr>
          <w:rFonts w:ascii="Arial" w:cs="Arial" w:eastAsia="Arial" w:hAnsi="Arial"/>
          <w:sz w:val="18"/>
          <w:szCs w:val="18"/>
          <w:b w:val="1"/>
          <w:bCs w:val="1"/>
          <w:color w:val="auto"/>
        </w:rPr>
      </w:pPr>
    </w:p>
    <w:p>
      <w:pPr>
        <w:ind w:left="348" w:hanging="348"/>
        <w:spacing w:after="0"/>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$0.17 for fiscal 2008, compared to $0.03 for fiscal 2007.</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Balance Sheet and Cash Flow</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6"/>
          <w:szCs w:val="16"/>
          <w:color w:val="auto"/>
        </w:rPr>
        <w:t>As of December 31, 2008, the Company had cash and cash equivalents of $35.2 million compared to $18.9 million in cash and</w:t>
      </w:r>
    </w:p>
    <w:p>
      <w:pPr>
        <w:spacing w:after="0" w:line="46" w:lineRule="exact"/>
        <w:rPr>
          <w:sz w:val="20"/>
          <w:szCs w:val="20"/>
          <w:color w:val="auto"/>
        </w:rPr>
      </w:pPr>
    </w:p>
    <w:p>
      <w:pPr>
        <w:ind w:left="8"/>
        <w:spacing w:after="0"/>
        <w:rPr>
          <w:sz w:val="20"/>
          <w:szCs w:val="20"/>
          <w:color w:val="auto"/>
        </w:rPr>
      </w:pPr>
      <w:r>
        <w:rPr>
          <w:rFonts w:ascii="Arial" w:cs="Arial" w:eastAsia="Arial" w:hAnsi="Arial"/>
          <w:sz w:val="16"/>
          <w:szCs w:val="16"/>
          <w:color w:val="auto"/>
        </w:rPr>
        <w:t>cash equivalents at the end of 2007 and restricted cash, cash equivalents and investments at December 31, 2008 and 2007 of</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6"/>
          <w:szCs w:val="16"/>
          <w:color w:val="auto"/>
        </w:rPr>
        <w:t>$5.6 million and $7.6 million, respectively. The Company generated $10.2 million in cash from operating activities in fiscal year</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6"/>
          <w:szCs w:val="16"/>
          <w:color w:val="auto"/>
        </w:rPr>
        <w:t>2008 compared to $7.1 million in 2007. Excluding the payment of $19.5 million that was made to the Company’s former owner</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6"/>
          <w:szCs w:val="16"/>
          <w:color w:val="auto"/>
        </w:rPr>
        <w:t>in April 2008 to satisfy in full all past royalties due under the royalty agreement and the elimination of the existing obligation to</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6"/>
          <w:szCs w:val="16"/>
          <w:color w:val="auto"/>
        </w:rPr>
        <w:t>pay royalties for online student revenues in perpetuity, net cash provided by operating activities for the year ended December 31,</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6"/>
          <w:szCs w:val="16"/>
          <w:color w:val="auto"/>
        </w:rPr>
        <w:t>2008 would have been $22.5 million. Cash used in investing activities is primarily related to the purchase of property, plant, and</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6"/>
          <w:szCs w:val="16"/>
          <w:color w:val="auto"/>
        </w:rPr>
        <w:t>equipment and leasehold improvements. Capital expenditures were $8.4 million in 2008 compared to $7.4 million in 2007. Cash</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7"/>
          <w:szCs w:val="17"/>
          <w:color w:val="auto"/>
        </w:rPr>
        <w:t>provided by financing activities for the year ended December 31, 2008 was $12.3 million which was primarily driven from</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7"/>
          <w:szCs w:val="17"/>
          <w:color w:val="auto"/>
        </w:rPr>
        <w:t>proceeds from our initial public offering of $128.8 million net of underwriting discounts and offering expenses, partially offset</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8"/>
          <w:szCs w:val="18"/>
          <w:color w:val="auto"/>
        </w:rPr>
        <w:t>by the special distribution to shareholders of record as of November 18, 2008 of $108.7 million.</w:t>
      </w:r>
    </w:p>
    <w:p>
      <w:pPr>
        <w:spacing w:after="0" w:line="170" w:lineRule="exact"/>
        <w:rPr>
          <w:sz w:val="20"/>
          <w:szCs w:val="20"/>
          <w:color w:val="auto"/>
        </w:rPr>
      </w:pPr>
    </w:p>
    <w:p>
      <w:pPr>
        <w:ind w:left="4428"/>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655955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Grand Canyon Education, Inc. Reports Fourth Quarter and Full-Year 2008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2009 Outlook</w:t>
      </w:r>
    </w:p>
    <w:p>
      <w:pPr>
        <w:spacing w:after="0" w:line="202" w:lineRule="exact"/>
        <w:rPr>
          <w:sz w:val="20"/>
          <w:szCs w:val="20"/>
          <w:color w:val="auto"/>
        </w:rPr>
      </w:pPr>
    </w:p>
    <w:p>
      <w:pPr>
        <w:ind w:right="599"/>
        <w:spacing w:after="0" w:line="264" w:lineRule="auto"/>
        <w:rPr>
          <w:sz w:val="20"/>
          <w:szCs w:val="20"/>
          <w:color w:val="auto"/>
        </w:rPr>
      </w:pPr>
      <w:r>
        <w:rPr>
          <w:rFonts w:ascii="Arial" w:cs="Arial" w:eastAsia="Arial" w:hAnsi="Arial"/>
          <w:sz w:val="18"/>
          <w:szCs w:val="18"/>
          <w:color w:val="auto"/>
        </w:rPr>
        <w:t>For the first quarter ending March 31, 2009, enrollment is expected to grow by 63% to 28,460 from 17,486 at March 31, 2008, and net revenues by 60% to $57.0 million from $35.7 million as compared to the first quarter of 2008. Diluted earnings per share is expected to be between $0.08 and $0.10 per share.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Annual Outlook</w:t>
      </w:r>
    </w:p>
    <w:p>
      <w:pPr>
        <w:spacing w:after="0" w:line="189" w:lineRule="exact"/>
        <w:rPr>
          <w:sz w:val="20"/>
          <w:szCs w:val="20"/>
          <w:color w:val="auto"/>
        </w:rPr>
      </w:pPr>
    </w:p>
    <w:p>
      <w:pPr>
        <w:ind w:right="579"/>
        <w:spacing w:after="0" w:line="286" w:lineRule="auto"/>
        <w:rPr>
          <w:sz w:val="20"/>
          <w:szCs w:val="20"/>
          <w:color w:val="auto"/>
        </w:rPr>
      </w:pPr>
      <w:r>
        <w:rPr>
          <w:rFonts w:ascii="Arial" w:cs="Arial" w:eastAsia="Arial" w:hAnsi="Arial"/>
          <w:sz w:val="17"/>
          <w:szCs w:val="17"/>
          <w:color w:val="auto"/>
        </w:rPr>
        <w:t>For fiscal year 2009 we expect net revenues to be between $250 million and $255 million for the year ended December 31, 2009, and enrollment to be between 34,500 and 35,000 at December 31, 2009. The annual tax rate is anticipated to be approximately 40%. Diluted earnings per share is expected to be between $0.52 and $0.57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619"/>
        <w:spacing w:after="0" w:line="270" w:lineRule="auto"/>
        <w:rPr>
          <w:sz w:val="20"/>
          <w:szCs w:val="20"/>
          <w:color w:val="auto"/>
        </w:rPr>
      </w:pPr>
      <w:r>
        <w:rPr>
          <w:rFonts w:ascii="Arial" w:cs="Arial" w:eastAsia="Arial" w:hAnsi="Arial"/>
          <w:sz w:val="17"/>
          <w:szCs w:val="17"/>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41" w:lineRule="exact"/>
        <w:rPr>
          <w:sz w:val="20"/>
          <w:szCs w:val="20"/>
          <w:color w:val="auto"/>
        </w:rPr>
      </w:pPr>
    </w:p>
    <w:p>
      <w:pPr>
        <w:ind w:right="559"/>
        <w:spacing w:after="0" w:line="285"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our failure to comply with the extensive regulatory framework applicable to our industry, including Title IV of the Higher Education Act and the regulations thereunder, state laws and regulatory requirements, and accrediting commission requirements; the results of the ongoing investigation by the Department of Educations’s Office of Inspector General and the pending qui tam action regarding the manner in which we have compensated our enrollment personnel, and possible remedial actions or other liability resulting therefrom; the ability of our students to obtain federal Title IV funds, state financial aid, and private financing; risks associated with changes in applicable federal and state laws and regulations and accrediting commission standards; our ability to hire and train new, and develop and train existing, enrollment counselors; the pace of growth of our enrollment; our ability to convert prospective students to enrolled students and to retain active students; our success in updating and expanding the content of existing programs and developing new programs in a cost-effective manner or on a timely basis; industry competition, including competition for qualified executives and other personnel; risks associated with the competitive environment for marketing our programs; failure on our part to keep up with advances in technology that could enhance the online experience for our students; our ability to manage future growth effectively; general adverse economic conditions or other developments that affect job prospects in our core disciplines; and other factors discussed in reports on file with the Securities and Exchange Commission.</w:t>
      </w:r>
    </w:p>
    <w:p>
      <w:pPr>
        <w:spacing w:after="0" w:line="143" w:lineRule="exact"/>
        <w:rPr>
          <w:sz w:val="20"/>
          <w:szCs w:val="20"/>
          <w:color w:val="auto"/>
        </w:rPr>
      </w:pPr>
    </w:p>
    <w:p>
      <w:pPr>
        <w:ind w:right="719"/>
        <w:spacing w:after="0" w:line="276"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 w:name="page8"/>
    <w:bookmarkEnd w:id="7"/>
    <w:p>
      <w:pPr>
        <w:ind w:left="8"/>
        <w:spacing w:after="0"/>
        <w:rPr>
          <w:sz w:val="20"/>
          <w:szCs w:val="20"/>
          <w:color w:val="auto"/>
        </w:rPr>
      </w:pPr>
      <w:r>
        <w:rPr>
          <w:rFonts w:ascii="Arial" w:cs="Arial" w:eastAsia="Arial" w:hAnsi="Arial"/>
          <w:sz w:val="18"/>
          <w:szCs w:val="18"/>
          <w:b w:val="1"/>
          <w:bCs w:val="1"/>
          <w:color w:val="auto"/>
        </w:rPr>
        <w:t>Grand Canyon Education, Inc. Reports Fourth Quarter and Full-Year 2008 Results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Conference Call</w:t>
      </w:r>
    </w:p>
    <w:p>
      <w:pPr>
        <w:spacing w:after="0" w:line="189" w:lineRule="exact"/>
        <w:rPr>
          <w:sz w:val="20"/>
          <w:szCs w:val="20"/>
          <w:color w:val="auto"/>
        </w:rPr>
      </w:pPr>
    </w:p>
    <w:p>
      <w:pPr>
        <w:ind w:left="8" w:right="599"/>
        <w:spacing w:after="0" w:line="259" w:lineRule="auto"/>
        <w:rPr>
          <w:sz w:val="20"/>
          <w:szCs w:val="20"/>
          <w:color w:val="auto"/>
        </w:rPr>
      </w:pPr>
      <w:r>
        <w:rPr>
          <w:rFonts w:ascii="Arial" w:cs="Arial" w:eastAsia="Arial" w:hAnsi="Arial"/>
          <w:sz w:val="18"/>
          <w:szCs w:val="18"/>
          <w:color w:val="auto"/>
        </w:rPr>
        <w:t xml:space="preserve">Grand Canyon Education, Inc. will discuss its fourth quarter and full year 2008 results and 2009 outlook during a conference call scheduled for today, February 19, 2009 at 5:00 p.m. Eastern time (ET). To participate in the live call, investors should dial 877-815-5362 (domestic and Canada) or 706-679-7806 (international), passcode 83546259 at 4:50 p.m. (ET). The Webcast will be available on the Grand Canyon Education, Inc. Web site at </w:t>
      </w:r>
      <w:r>
        <w:rPr>
          <w:rFonts w:ascii="Arial" w:cs="Arial" w:eastAsia="Arial" w:hAnsi="Arial"/>
          <w:sz w:val="18"/>
          <w:szCs w:val="18"/>
          <w:u w:val="single" w:color="auto"/>
          <w:color w:val="auto"/>
        </w:rPr>
        <w:t>www.gcu.edu</w:t>
      </w:r>
      <w:r>
        <w:rPr>
          <w:rFonts w:ascii="Arial" w:cs="Arial" w:eastAsia="Arial" w:hAnsi="Arial"/>
          <w:sz w:val="18"/>
          <w:szCs w:val="18"/>
          <w:color w:val="auto"/>
        </w:rPr>
        <w:t>.</w:t>
      </w:r>
    </w:p>
    <w:p>
      <w:pPr>
        <w:spacing w:after="0" w:line="146" w:lineRule="exact"/>
        <w:rPr>
          <w:sz w:val="20"/>
          <w:szCs w:val="20"/>
          <w:color w:val="auto"/>
        </w:rPr>
      </w:pPr>
    </w:p>
    <w:p>
      <w:pPr>
        <w:ind w:left="8" w:right="619"/>
        <w:spacing w:after="0" w:line="264" w:lineRule="auto"/>
        <w:rPr>
          <w:sz w:val="20"/>
          <w:szCs w:val="20"/>
          <w:color w:val="auto"/>
        </w:rPr>
      </w:pPr>
      <w:r>
        <w:rPr>
          <w:rFonts w:ascii="Arial" w:cs="Arial" w:eastAsia="Arial" w:hAnsi="Arial"/>
          <w:sz w:val="18"/>
          <w:szCs w:val="18"/>
          <w:color w:val="auto"/>
        </w:rPr>
        <w:t xml:space="preserve">A replay of the call will be available approximately two hours following the conclusion of the call through February 20, 2010, at 800-642-1687 (domestic) or 706-645-9291 (international), passcode 83546259. It will also be archived at </w:t>
      </w:r>
      <w:r>
        <w:rPr>
          <w:rFonts w:ascii="Arial" w:cs="Arial" w:eastAsia="Arial" w:hAnsi="Arial"/>
          <w:sz w:val="18"/>
          <w:szCs w:val="18"/>
          <w:u w:val="single" w:color="auto"/>
          <w:color w:val="auto"/>
        </w:rPr>
        <w:t>www.gcu.edu</w:t>
      </w:r>
      <w:r>
        <w:rPr>
          <w:rFonts w:ascii="Arial" w:cs="Arial" w:eastAsia="Arial" w:hAnsi="Arial"/>
          <w:sz w:val="18"/>
          <w:szCs w:val="18"/>
          <w:color w:val="auto"/>
        </w:rPr>
        <w:t xml:space="preserve"> in the </w:t>
      </w:r>
      <w:r>
        <w:rPr>
          <w:rFonts w:ascii="Arial" w:cs="Arial" w:eastAsia="Arial" w:hAnsi="Arial"/>
          <w:sz w:val="18"/>
          <w:szCs w:val="18"/>
          <w:u w:val="single" w:color="auto"/>
          <w:color w:val="auto"/>
        </w:rPr>
        <w:t>investor relations</w:t>
      </w:r>
      <w:r>
        <w:rPr>
          <w:rFonts w:ascii="Arial" w:cs="Arial" w:eastAsia="Arial" w:hAnsi="Arial"/>
          <w:sz w:val="18"/>
          <w:szCs w:val="18"/>
          <w:color w:val="auto"/>
        </w:rPr>
        <w:t xml:space="preserve"> section for 60 days.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About Grand Canyon Education, Inc.</w:t>
      </w:r>
    </w:p>
    <w:p>
      <w:pPr>
        <w:spacing w:after="0" w:line="189" w:lineRule="exact"/>
        <w:rPr>
          <w:sz w:val="20"/>
          <w:szCs w:val="20"/>
          <w:color w:val="auto"/>
        </w:rPr>
      </w:pPr>
    </w:p>
    <w:p>
      <w:pPr>
        <w:ind w:left="8" w:right="599"/>
        <w:spacing w:after="0" w:line="257" w:lineRule="auto"/>
        <w:rPr>
          <w:sz w:val="20"/>
          <w:szCs w:val="20"/>
          <w:color w:val="auto"/>
        </w:rPr>
      </w:pPr>
      <w:r>
        <w:rPr>
          <w:rFonts w:ascii="Arial" w:cs="Arial" w:eastAsia="Arial" w:hAnsi="Arial"/>
          <w:sz w:val="18"/>
          <w:szCs w:val="18"/>
          <w:color w:val="auto"/>
        </w:rPr>
        <w:t xml:space="preserve">Grand Canyon Education, Inc. is a regionally accredited provider of online postsecondary education services focused on offering graduate and undergraduate degree programs in its core disciplines of education, business, and healthcare. In addition to its online programs, it offers ground programs at its traditional campus in Phoenix, Arizona and onsite at the facilities of employers. Approximately 24,600 students were enrolled as of December 31, 2008. For more information about Grand Canyon Education, Inc., please visit </w:t>
      </w:r>
      <w:r>
        <w:rPr>
          <w:rFonts w:ascii="Arial" w:cs="Arial" w:eastAsia="Arial" w:hAnsi="Arial"/>
          <w:sz w:val="18"/>
          <w:szCs w:val="18"/>
          <w:u w:val="single" w:color="auto"/>
          <w:color w:val="auto"/>
        </w:rPr>
        <w:t>http://www.gcu.edu</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1063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8" w:right="699" w:hanging="348"/>
        <w:spacing w:after="0" w:line="264" w:lineRule="auto"/>
        <w:tabs>
          <w:tab w:leader="none" w:pos="34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Grand Canyon Education, Inc. is regionally accredited by The Higher Learning Commission of the North Central Association of Colleges and Schools (NCA), http://www.ncahlc.org. Grand Canyon University, 3300 W. Camelback Road, Phoenix, AZ 85017, </w:t>
      </w:r>
      <w:r>
        <w:rPr>
          <w:rFonts w:ascii="Arial" w:cs="Arial" w:eastAsia="Arial" w:hAnsi="Arial"/>
          <w:sz w:val="18"/>
          <w:szCs w:val="18"/>
          <w:b w:val="1"/>
          <w:bCs w:val="1"/>
          <w:u w:val="single" w:color="auto"/>
          <w:color w:val="auto"/>
        </w:rPr>
        <w:t>www.gcu.edu</w:t>
      </w:r>
      <w:r>
        <w:rPr>
          <w:rFonts w:ascii="Arial" w:cs="Arial" w:eastAsia="Arial" w:hAnsi="Arial"/>
          <w:sz w:val="18"/>
          <w:szCs w:val="18"/>
          <w:color w:val="auto"/>
        </w:rPr>
        <w:t>.</w:t>
      </w:r>
    </w:p>
    <w:p>
      <w:pPr>
        <w:spacing w:after="0" w:line="154" w:lineRule="exact"/>
        <w:rPr>
          <w:sz w:val="20"/>
          <w:szCs w:val="20"/>
          <w:color w:val="auto"/>
        </w:rPr>
      </w:pPr>
    </w:p>
    <w:p>
      <w:pPr>
        <w:ind w:left="4528"/>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647700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020" w:type="dxa"/>
            <w:vAlign w:val="bottom"/>
            <w:gridSpan w:val="8"/>
          </w:tcPr>
          <w:p>
            <w:pPr>
              <w:spacing w:after="0"/>
              <w:rPr>
                <w:sz w:val="20"/>
                <w:szCs w:val="20"/>
                <w:color w:val="auto"/>
              </w:rPr>
            </w:pPr>
            <w:r>
              <w:rPr>
                <w:rFonts w:ascii="Arial" w:cs="Arial" w:eastAsia="Arial" w:hAnsi="Arial"/>
                <w:sz w:val="18"/>
                <w:szCs w:val="18"/>
                <w:b w:val="1"/>
                <w:bCs w:val="1"/>
                <w:color w:val="auto"/>
              </w:rPr>
              <w:t>Grand Canyon Education, Inc. Reports Fourth Quarter and Full-Year 2008 Results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7020" w:type="dxa"/>
            <w:vAlign w:val="bottom"/>
            <w:gridSpan w:val="8"/>
          </w:tcPr>
          <w:p>
            <w:pPr>
              <w:ind w:left="312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8"/>
              </w:rPr>
              <w:t>Statements of Operations</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0"/>
                <w:szCs w:val="20"/>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December 31,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2008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gridSpan w:val="9"/>
          </w:tcPr>
          <w:p>
            <w:pPr>
              <w:jc w:val="right"/>
              <w:ind w:right="125"/>
              <w:spacing w:after="0" w:line="195" w:lineRule="exact"/>
              <w:rPr>
                <w:sz w:val="20"/>
                <w:szCs w:val="20"/>
                <w:color w:val="auto"/>
              </w:rPr>
            </w:pPr>
            <w:r>
              <w:rPr>
                <w:rFonts w:ascii="Arial" w:cs="Arial" w:eastAsia="Arial" w:hAnsi="Arial"/>
                <w:sz w:val="18"/>
                <w:szCs w:val="18"/>
                <w:b w:val="1"/>
                <w:bCs w:val="1"/>
                <w:color w:val="auto"/>
              </w:rPr>
              <w:t>(In thousands, except per share amounts)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center"/>
              <w:ind w:left="410"/>
              <w:spacing w:after="0"/>
              <w:rPr>
                <w:sz w:val="20"/>
                <w:szCs w:val="20"/>
                <w:color w:val="auto"/>
              </w:rPr>
            </w:pPr>
            <w:r>
              <w:rPr>
                <w:rFonts w:ascii="Arial" w:cs="Arial" w:eastAsia="Arial" w:hAnsi="Arial"/>
                <w:sz w:val="18"/>
                <w:szCs w:val="18"/>
                <w:i w:val="1"/>
                <w:iCs w:val="1"/>
                <w:color w:val="auto"/>
                <w:w w:val="92"/>
              </w:rPr>
              <w:t>Unaudited</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9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30,854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51,683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99,326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161,309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Costs and expenses: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11,519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17,455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39,050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54,450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w w:val="91"/>
              </w:rPr>
              <w:t>Selling and promotional, including $4,293 in 2007;</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w w:val="90"/>
              </w:rPr>
              <w:t>$5,895 in 2008; $1,173 and $1,572 for the three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w w:val="95"/>
              </w:rPr>
              <w:t>months ended December 31, 2007 and 2008,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respectively, to related parties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10,857</w:t>
            </w:r>
          </w:p>
        </w:tc>
        <w:tc>
          <w:tcPr>
            <w:tcW w:w="24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19,516</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35,148</w:t>
            </w:r>
          </w:p>
        </w:tc>
        <w:tc>
          <w:tcPr>
            <w:tcW w:w="2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65,551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10,833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17,001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Royalty to former owner</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3,782</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1,686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94,981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148,512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Operating income</w:t>
            </w:r>
          </w:p>
        </w:tc>
        <w:tc>
          <w:tcPr>
            <w:tcW w:w="7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12,797</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1,172</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640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3,855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Preferred dividends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available to common stockholders</w:t>
            </w:r>
          </w:p>
        </w:tc>
        <w:tc>
          <w:tcPr>
            <w:tcW w:w="9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9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8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number of common shares</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19,036</w:t>
            </w:r>
          </w:p>
        </w:tc>
        <w:tc>
          <w:tcPr>
            <w:tcW w:w="2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31,240</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18,923</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22,185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37,488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35,143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33,430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Grand Canyon Education, Inc. Reports Fourth Quarter and Full-Year 2008 Results</w:t>
      </w:r>
    </w:p>
    <w:p>
      <w:pPr>
        <w:spacing w:after="0" w:line="19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GRAND CANYON EDUCATION, INC.</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89" w:lineRule="exact"/>
        <w:rPr>
          <w:sz w:val="20"/>
          <w:szCs w:val="20"/>
          <w:color w:val="auto"/>
        </w:rPr>
      </w:pPr>
    </w:p>
    <w:p>
      <w:pPr>
        <w:ind w:left="340" w:right="1780"/>
        <w:spacing w:after="0" w:line="271" w:lineRule="auto"/>
        <w:rPr>
          <w:sz w:val="20"/>
          <w:szCs w:val="20"/>
          <w:color w:val="auto"/>
        </w:rPr>
      </w:pPr>
      <w:r>
        <w:rPr>
          <w:rFonts w:ascii="Arial" w:cs="Arial" w:eastAsia="Arial" w:hAnsi="Arial"/>
          <w:sz w:val="17"/>
          <w:szCs w:val="17"/>
          <w:color w:val="auto"/>
        </w:rPr>
        <w:t>Adjusted EBITDA is defined as net income plus interest expense net of interest income, plus income tax expense, and plus depreciation and amortization (EBITDA), as adjusted for (i) royalty payments incurred pursuant to an agreement with our former owner that has been terminated as of April 15, 2008; (ii) management fees and expenses that are no longer paid;</w:t>
      </w:r>
    </w:p>
    <w:p>
      <w:pPr>
        <w:ind w:left="340" w:right="1800" w:hanging="8"/>
        <w:spacing w:after="0" w:line="287"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contributions to Arizona school tuition organizations in lieu of state income taxes; and (iv) share-based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Although we believe that equity-plan related compensation will be a key element of our employee relations and long-term incentives, we intend to exclude it as an expense when evaluating our core operating performance in any particular period. Accordingly, we have included share-based compensation expenses, along with management fees and expenses, royalty expenses to our former owner, and any other expenses and income that we do not consider reflective of our core operating performance, as an adjustment when calculating Adjusted EBITDA.</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uses Adjusted EBITDA:</w:t>
      </w:r>
    </w:p>
    <w:p>
      <w:pPr>
        <w:spacing w:after="0" w:line="185" w:lineRule="exact"/>
        <w:rPr>
          <w:sz w:val="20"/>
          <w:szCs w:val="20"/>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 developing our internal budgets and strategic plan;</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 a measurement of operating performance;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 a factor in evaluating the performance of our management for compensation purposes: and</w:t>
      </w:r>
    </w:p>
    <w:p>
      <w:pPr>
        <w:spacing w:after="0" w:line="157" w:lineRule="exact"/>
        <w:rPr>
          <w:rFonts w:ascii="Arial" w:cs="Arial" w:eastAsia="Arial" w:hAnsi="Arial"/>
          <w:sz w:val="18"/>
          <w:szCs w:val="18"/>
          <w:b w:val="1"/>
          <w:bCs w:val="1"/>
          <w:color w:val="auto"/>
        </w:rPr>
      </w:pPr>
    </w:p>
    <w:p>
      <w:pPr>
        <w:jc w:val="both"/>
        <w:ind w:left="1040" w:right="1960" w:hanging="343"/>
        <w:spacing w:after="0" w:line="264" w:lineRule="auto"/>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141" w:lineRule="exact"/>
        <w:rPr>
          <w:sz w:val="20"/>
          <w:szCs w:val="20"/>
          <w:color w:val="auto"/>
        </w:rPr>
      </w:pPr>
    </w:p>
    <w:p>
      <w:pPr>
        <w:jc w:val="both"/>
        <w:ind w:left="340" w:right="2000"/>
        <w:spacing w:after="0" w:line="259" w:lineRule="auto"/>
        <w:rPr>
          <w:sz w:val="20"/>
          <w:szCs w:val="20"/>
          <w:color w:val="auto"/>
        </w:rPr>
      </w:pPr>
      <w:r>
        <w:rPr>
          <w:rFonts w:ascii="Arial" w:cs="Arial" w:eastAsia="Arial" w:hAnsi="Arial"/>
          <w:sz w:val="18"/>
          <w:szCs w:val="18"/>
          <w:color w:val="auto"/>
        </w:rPr>
        <w:t>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w:t>
      </w:r>
    </w:p>
    <w:p>
      <w:pPr>
        <w:spacing w:after="0" w:line="160" w:lineRule="exact"/>
        <w:rPr>
          <w:sz w:val="20"/>
          <w:szCs w:val="20"/>
          <w:color w:val="auto"/>
        </w:rPr>
      </w:pPr>
    </w:p>
    <w:p>
      <w:pPr>
        <w:ind w:left="340" w:right="180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center"/>
              <w:ind w:right="45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6"/>
          </w:tcPr>
          <w:p>
            <w:pPr>
              <w:jc w:val="center"/>
              <w:ind w:right="45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0"/>
                <w:szCs w:val="20"/>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December 31,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in</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4"/>
              </w:rPr>
              <w:t>(Unaudited,</w:t>
            </w:r>
          </w:p>
        </w:tc>
        <w:tc>
          <w:tcPr>
            <w:tcW w:w="340" w:type="dxa"/>
            <w:vAlign w:val="bottom"/>
            <w:vMerge w:val="continue"/>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4"/>
              </w:rPr>
              <w:t>thousands)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2,209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20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1,803</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2,257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987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981</w:t>
            </w:r>
          </w:p>
        </w:tc>
        <w:tc>
          <w:tcPr>
            <w:tcW w:w="3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3,300</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7,645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royalty to former owner</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management fees and expenses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rPr>
              <w:t>Plus: contributions to Arizona school tuition</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organizations in lieu of state income taxes</w:t>
            </w:r>
          </w:p>
        </w:tc>
        <w:tc>
          <w:tcPr>
            <w:tcW w:w="200" w:type="dxa"/>
            <w:vAlign w:val="bottom"/>
          </w:tcPr>
          <w:p>
            <w:pPr>
              <w:spacing w:after="0"/>
              <w:rPr>
                <w:sz w:val="20"/>
                <w:szCs w:val="20"/>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4,991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11,107</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11,723</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25,675</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tbl>
      <w:tblPr>
        <w:tblLayout w:type="fixed"/>
        <w:tblInd w:w="34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w w:val="98"/>
              </w:rPr>
              <w:t>Grand Canyon Education, Inc. Reports Fourth Quarter and Full-Year 2008 Results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6860" w:type="dxa"/>
            <w:vAlign w:val="bottom"/>
            <w:gridSpan w:val="2"/>
          </w:tcPr>
          <w:p>
            <w:pPr>
              <w:ind w:left="312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gridSpan w:val="2"/>
          </w:tcPr>
          <w:p>
            <w:pPr>
              <w:ind w:left="4080"/>
              <w:spacing w:after="0"/>
              <w:rPr>
                <w:sz w:val="20"/>
                <w:szCs w:val="20"/>
                <w:color w:val="auto"/>
              </w:rPr>
            </w:pPr>
            <w:r>
              <w:rPr>
                <w:rFonts w:ascii="Arial" w:cs="Arial" w:eastAsia="Arial" w:hAnsi="Arial"/>
                <w:sz w:val="18"/>
                <w:szCs w:val="18"/>
                <w:b w:val="1"/>
                <w:bCs w:val="1"/>
                <w:color w:val="auto"/>
              </w:rPr>
              <w:t>Balance Sheets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 except share data)</w:t>
            </w:r>
          </w:p>
        </w:tc>
        <w:tc>
          <w:tcPr>
            <w:tcW w:w="3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ind w:left="42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35,152</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4,280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02"/>
        </w:trPr>
        <w:tc>
          <w:tcPr>
            <w:tcW w:w="68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$12,158 and $6,356 at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December 31, 2007 and 2008</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7,114</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Due from related parties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6,001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4,640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42,314</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33,849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41,399</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3,298</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2,941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Deposit with former owner</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88,568</w:t>
            </w:r>
          </w:p>
        </w:tc>
        <w:tc>
          <w:tcPr>
            <w:tcW w:w="3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0</wp:posOffset>
            </wp:positionV>
            <wp:extent cx="15093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b w:val="1"/>
          <w:bCs w:val="1"/>
          <w:color w:val="auto"/>
        </w:rPr>
        <w:t>LIABILITIES, PREFERRED STOCK AND STOCKHOLDERS’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-119380</wp:posOffset>
            </wp:positionV>
            <wp:extent cx="59258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Current liabilities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6,893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9,674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Deferred revenue and student deposits</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10,369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14,262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Royalty payable to former owner</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Due to related parties</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1,197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Line of credit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1,125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notes payable</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32,557</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28,078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Notes payable, less current portion and other</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1,459</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63,400</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 $0.01 par value: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rPr>
              <w:t>Authorized — 9,700 and 0 shares at December 31, 2007 and 2008, respectively</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2"/>
              </w:rPr>
              <w:t>Issued and outstanding — 5,953 and 0 shares at December 31, 2007 and 2008, respectively</w:t>
            </w:r>
          </w:p>
        </w:tc>
        <w:tc>
          <w:tcPr>
            <w:tcW w:w="2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18,610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Series B 12% convertible preferred stock, $0.01 par value: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rPr>
              <w:t>Authorized — 2,200 and 0 shares at December 31, 2007 and 2008, respectively</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Issued and outstanding — 0 shares at December 31, 2007 and 2008</w:t>
            </w:r>
          </w:p>
        </w:tc>
        <w:tc>
          <w:tcPr>
            <w:tcW w:w="260" w:type="dxa"/>
            <w:vAlign w:val="bottom"/>
          </w:tcPr>
          <w:p>
            <w:pPr>
              <w:spacing w:after="0"/>
              <w:rPr>
                <w:sz w:val="20"/>
                <w:szCs w:val="20"/>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Series C convertible preferred stock, $0.01 par value: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rPr>
              <w:t>Authorized — 3,900 and 0 shares at December 31, 2007 and 2008, respectively</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2"/>
              </w:rPr>
              <w:t>Issued and outstanding — 3,829 and 0 shares at December 31, 2007 and 2008, respectively</w:t>
            </w:r>
          </w:p>
        </w:tc>
        <w:tc>
          <w:tcPr>
            <w:tcW w:w="2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13,338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 equity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rPr>
              <w:t>Preferred stock, $0.01 par value, 10,000,000 shares authorized; 0 shares issued and</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outstanding at December 31, 2007 and 2008</w:t>
            </w:r>
          </w:p>
        </w:tc>
        <w:tc>
          <w:tcPr>
            <w:tcW w:w="260" w:type="dxa"/>
            <w:vAlign w:val="bottom"/>
          </w:tcPr>
          <w:p>
            <w:pPr>
              <w:spacing w:after="0"/>
              <w:rPr>
                <w:sz w:val="20"/>
                <w:szCs w:val="20"/>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100,000,000 shares authorized; 19,036,050 and</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45,465,160 shares issued and outstanding at December 31, 2007 and 2008, respectively</w:t>
            </w: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7,719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64,808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(18,374)</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(11,689)</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 equity</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(10,386)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53,590</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 preferred stock and stockholders’ (deficit) equity</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88,568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8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843"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w w:val="98"/>
              </w:rPr>
              <w:t>Grand Canyon Education, Inc. Reports Fourth Quarter and Full-Year 2008 Results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6860" w:type="dxa"/>
            <w:vAlign w:val="bottom"/>
            <w:gridSpan w:val="2"/>
          </w:tcPr>
          <w:p>
            <w:pPr>
              <w:ind w:left="3120"/>
              <w:spacing w:after="0"/>
              <w:rPr>
                <w:sz w:val="20"/>
                <w:szCs w:val="20"/>
                <w:color w:val="auto"/>
              </w:rPr>
            </w:pPr>
            <w:r>
              <w:rPr>
                <w:rFonts w:ascii="Arial" w:cs="Arial" w:eastAsia="Arial" w:hAnsi="Arial"/>
                <w:sz w:val="18"/>
                <w:szCs w:val="18"/>
                <w:b w:val="1"/>
                <w:bCs w:val="1"/>
                <w:color w:val="auto"/>
              </w:rPr>
              <w:t>GRAND CANYON EDUCATION, INC.</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gridSpan w:val="2"/>
          </w:tcPr>
          <w:p>
            <w:pPr>
              <w:ind w:left="3680"/>
              <w:spacing w:after="0"/>
              <w:rPr>
                <w:sz w:val="20"/>
                <w:szCs w:val="20"/>
                <w:color w:val="auto"/>
              </w:rPr>
            </w:pPr>
            <w:r>
              <w:rPr>
                <w:rFonts w:ascii="Arial" w:cs="Arial" w:eastAsia="Arial" w:hAnsi="Arial"/>
                <w:sz w:val="18"/>
                <w:szCs w:val="18"/>
                <w:b w:val="1"/>
                <w:bCs w:val="1"/>
                <w:color w:val="auto"/>
              </w:rPr>
              <w:t>Statements of Cash Flows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Year Ended December 31,</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Provision for bad debts</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6,257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8,465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(1,656)</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(8,573)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0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(2,294)</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revenue and student deposits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4,236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00"/>
              <w:spacing w:after="0"/>
              <w:rPr>
                <w:sz w:val="20"/>
                <w:szCs w:val="20"/>
                <w:color w:val="auto"/>
              </w:rPr>
            </w:pPr>
            <w:r>
              <w:rPr>
                <w:rFonts w:ascii="Arial" w:cs="Arial" w:eastAsia="Arial" w:hAnsi="Arial"/>
                <w:sz w:val="18"/>
                <w:szCs w:val="18"/>
                <w:color w:val="auto"/>
              </w:rPr>
              <w:t>Prepaid royalties to former owner</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Royalty payable to former owner</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3,782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00"/>
              <w:spacing w:after="0"/>
              <w:rPr>
                <w:sz w:val="20"/>
                <w:szCs w:val="20"/>
                <w:color w:val="auto"/>
              </w:rPr>
            </w:pPr>
            <w:r>
              <w:rPr>
                <w:rFonts w:ascii="Arial" w:cs="Arial" w:eastAsia="Arial" w:hAnsi="Arial"/>
                <w:sz w:val="18"/>
                <w:szCs w:val="18"/>
                <w:color w:val="auto"/>
              </w:rPr>
              <w:t>Deposit with former owner</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(1,454)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investments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(6,348)</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Repayment on line of credit</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line of credit and other debt obligations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Repurchase of Institute Warrant</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Repayment of Institute Note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Net proceeds from issuance of preferred stock</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4,684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related party payable on preferred stock</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Dividends on preferred stock</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proceeds from issuance of common stock</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128,756</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Payment of special distribution</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(108,675)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exercise of warrant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9,301</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7,395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16,222</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11,535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18,930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35,152</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during the year for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Cash paid during the year for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4,964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5,274</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Purchase of equipment through capital lease obligations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676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Issuance of Series B and Series C convertible preferred stock for notes receivable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5,725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Series C convertible preferred stock for settlement of balances owed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Accretion of dividends on Series C convertible preferred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Value assigned to Blanchard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Assumption of future obligations under gift annuities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tax on repurchase of Institute Warrant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30"/>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Conversion of Series A and Series C convertible preferred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32,886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623570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021" w:gutter="0" w:footer="0" w:header="0"/>
        </w:sectPr>
      </w:pPr>
    </w:p>
    <w:bookmarkStart w:id="12" w:name="page13"/>
    <w:bookmarkEnd w:id="12"/>
    <w:p>
      <w:pPr>
        <w:ind w:left="8"/>
        <w:spacing w:after="0"/>
        <w:rPr>
          <w:sz w:val="20"/>
          <w:szCs w:val="20"/>
          <w:color w:val="auto"/>
        </w:rPr>
      </w:pPr>
      <w:r>
        <w:rPr>
          <w:rFonts w:ascii="Arial" w:cs="Arial" w:eastAsia="Arial" w:hAnsi="Arial"/>
          <w:sz w:val="18"/>
          <w:szCs w:val="18"/>
          <w:b w:val="1"/>
          <w:bCs w:val="1"/>
          <w:color w:val="auto"/>
        </w:rPr>
        <w:t>Grand Canyon Education, Inc. Reports Fourth Quarter and Full-Year 2008 Results</w:t>
      </w:r>
    </w:p>
    <w:p>
      <w:pPr>
        <w:spacing w:after="0" w:line="202" w:lineRule="exact"/>
        <w:rPr>
          <w:sz w:val="20"/>
          <w:szCs w:val="20"/>
          <w:color w:val="auto"/>
        </w:rPr>
      </w:pPr>
    </w:p>
    <w:p>
      <w:pPr>
        <w:ind w:left="8" w:right="699" w:firstLine="373"/>
        <w:spacing w:after="0" w:line="308" w:lineRule="auto"/>
        <w:rPr>
          <w:sz w:val="20"/>
          <w:szCs w:val="20"/>
          <w:color w:val="auto"/>
        </w:rPr>
      </w:pPr>
      <w:r>
        <w:rPr>
          <w:rFonts w:ascii="Arial" w:cs="Arial" w:eastAsia="Arial" w:hAnsi="Arial"/>
          <w:sz w:val="17"/>
          <w:szCs w:val="17"/>
          <w:color w:val="auto"/>
        </w:rPr>
        <w:t>The following is a summary of our student enrollment at December 31, 2008 and December 31, 2007 (which included less than 150 students pursuing non-degree certificates) by degree type and by instructional delivery method:</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December 31, 2008</w:t>
            </w:r>
          </w:p>
        </w:tc>
        <w:tc>
          <w:tcPr>
            <w:tcW w:w="24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December 31, 2007</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Master’s</w:t>
            </w:r>
            <w:r>
              <w:rPr>
                <w:rFonts w:ascii="Arial" w:cs="Arial" w:eastAsia="Arial" w:hAnsi="Arial"/>
                <w:sz w:val="15"/>
                <w:szCs w:val="15"/>
                <w:color w:val="auto"/>
              </w:rPr>
              <w:t>(1)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13,031</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Bachelor’s</w:t>
            </w:r>
          </w:p>
        </w:tc>
        <w:tc>
          <w:tcPr>
            <w:tcW w:w="1000" w:type="dxa"/>
            <w:vAlign w:val="bottom"/>
          </w:tcPr>
          <w:p>
            <w:pPr>
              <w:jc w:val="right"/>
              <w:spacing w:after="0"/>
              <w:rPr>
                <w:sz w:val="20"/>
                <w:szCs w:val="20"/>
                <w:color w:val="auto"/>
              </w:rPr>
            </w:pPr>
            <w:r>
              <w:rPr>
                <w:rFonts w:ascii="Arial" w:cs="Arial" w:eastAsia="Arial" w:hAnsi="Arial"/>
                <w:sz w:val="18"/>
                <w:szCs w:val="18"/>
                <w:color w:val="auto"/>
              </w:rPr>
              <w:t>11,605</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47.1%</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5,598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December 31, 2008</w:t>
            </w:r>
          </w:p>
        </w:tc>
        <w:tc>
          <w:tcPr>
            <w:tcW w:w="24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December 31, 2007</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21,955</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(2)</w:t>
            </w:r>
          </w:p>
        </w:tc>
        <w:tc>
          <w:tcPr>
            <w:tcW w:w="1000" w:type="dxa"/>
            <w:vAlign w:val="bottom"/>
          </w:tcPr>
          <w:p>
            <w:pPr>
              <w:jc w:val="right"/>
              <w:spacing w:after="0"/>
              <w:rPr>
                <w:sz w:val="20"/>
                <w:szCs w:val="20"/>
                <w:color w:val="auto"/>
              </w:rPr>
            </w:pPr>
            <w:r>
              <w:rPr>
                <w:rFonts w:ascii="Arial" w:cs="Arial" w:eastAsia="Arial" w:hAnsi="Arial"/>
                <w:sz w:val="18"/>
                <w:szCs w:val="18"/>
                <w:color w:val="auto"/>
              </w:rPr>
              <w:t>2,681</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2,257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10636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8" w:hanging="348"/>
        <w:spacing w:after="0"/>
        <w:tabs>
          <w:tab w:leader="none" w:pos="348"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56 students pursuing doctoral degrees at December 31, 2008.</w:t>
      </w:r>
    </w:p>
    <w:p>
      <w:pPr>
        <w:spacing w:after="0" w:line="76" w:lineRule="exact"/>
        <w:rPr>
          <w:rFonts w:ascii="Arial" w:cs="Arial" w:eastAsia="Arial" w:hAnsi="Arial"/>
          <w:sz w:val="15"/>
          <w:szCs w:val="15"/>
          <w:color w:val="auto"/>
        </w:rPr>
      </w:pPr>
    </w:p>
    <w:p>
      <w:pPr>
        <w:ind w:left="348" w:hanging="348"/>
        <w:spacing w:after="0"/>
        <w:tabs>
          <w:tab w:leader="none" w:pos="348"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our traditional ground students, as well as our professional studies students.</w:t>
      </w:r>
    </w:p>
    <w:sectPr>
      <w:pgSz w:w="11900" w:h="16838" w:orient="portrait"/>
      <w:cols w:equalWidth="0" w:num="1">
        <w:col w:w="9887"/>
      </w:cols>
      <w:pgMar w:left="572"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Roman"/>
      <w:start w:val="3"/>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2019-12-11T05:06:59Z</dcterms:created>
  <dcterms:modified xsi:type="dcterms:W3CDTF">2019-12-11T05:06:59Z</dcterms:modified>
</cp:coreProperties>
</file>