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Grand Canyon Education,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543560</wp:posOffset>
            </wp:positionV>
            <wp:extent cx="4802505" cy="917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480250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3300 W. Camelback Road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 85017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(602) 639-7500</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You are cordially invited to attend the 2015 Annual Meeting of Stockholders (the “Annual Meeting”) of Grand Canyon Education, Inc. (the “Company”) to be held at Grand Canyon University Arena on the campus of Grand Canyon University at 3300 W. Camelback Road, Phoenix, Arizona 85017, commencing at 10:00 a.m., local time, on Monday, May 18, 2015.</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notice of annual meeting and the proxy statement that follow describe the matters to come before the Annual Meeting. Each holder of record of shares of the Company’s common stock (Nasdaq GM: LOPE) at the close of business on March 23, 2015 is entitled to receive notice of and to vote at the Annual Meeting, and any adjournment or postponement of the Annual Meeting. Shares of our common stock can be voted at the Annual Meeting only if the holder is present in person or by valid proxy.</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Our Annual Meeting materials are available over the Internet. We believe that this delivery process expedites stockholders’ receipt of proxy materials as well as lowers the costs and reduces the environmental impact of our Annual Meeting. All stockholders as of the record date were mailed a Notice of Internet Availability (the “Notice”) with instructions on how to access our Annual Meeting materials online and how to request a paper copy of the materials by mail. The Notice also includes instructions on how to vote online or by telephone. Internet voting must be completed before midnight, Mountain Standard Time, prior to the meeting.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hope that you will be able to attend the Annual Meeting in person and we look forward to seeing you.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is dated March 26, 2015, and is first being sent or made available to stockholders on or about April 2, 2015.</w:t>
      </w:r>
    </w:p>
    <w:p>
      <w:pPr>
        <w:sectPr>
          <w:pgSz w:w="11900" w:h="16838" w:orient="portrait"/>
          <w:cols w:equalWidth="0" w:num="1">
            <w:col w:w="11420"/>
          </w:cols>
          <w:pgMar w:left="240" w:top="1440" w:right="2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METHODS</w:t>
      </w:r>
    </w:p>
    <w:p>
      <w:pPr>
        <w:spacing w:after="0" w:line="22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accompanying proxy statement describes important issues affecting Grand Canyon Education, Inc. If you are a stockholder of record as of the record date, you have the right to submit your proxy through the Internet, by telephone or by mail. You also may revoke your proxy at any time before the Annual Meeting. Please help us save time and administrative costs by submitting your proxy through the Internet or by telephone. Each method is generally available 24 hours a day and will ensure that your voting instructions are confirmed and posted immediately. To submit your proxy:</w:t>
      </w:r>
    </w:p>
    <w:p>
      <w:pPr>
        <w:spacing w:after="0" w:line="5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TELEPHONE</w:t>
      </w:r>
    </w:p>
    <w:p>
      <w:pPr>
        <w:spacing w:after="0" w:line="134" w:lineRule="exact"/>
        <w:rPr>
          <w:rFonts w:ascii="Arial" w:cs="Arial" w:eastAsia="Arial" w:hAnsi="Arial"/>
          <w:sz w:val="18"/>
          <w:szCs w:val="18"/>
          <w:color w:val="auto"/>
        </w:rPr>
      </w:pPr>
    </w:p>
    <w:p>
      <w:pPr>
        <w:ind w:left="1480" w:right="460" w:hanging="567"/>
        <w:spacing w:after="0" w:line="277"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On a touch-tone telephone, call toll-free 1-800-652-VOTE (8683), 24 hours a day, seven days a week, through 11:00 p.m. (PT) on May 17, 2015.</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Please have available your notice card.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Follow the simple instructions provided.</w:t>
      </w:r>
    </w:p>
    <w:p>
      <w:pPr>
        <w:spacing w:after="0" w:line="12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INTERNET</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Go to the web site at www.investorvote.com/LOPE, 24 hours a day, seven days a week, through 11:00 p.m. (PT) on May 17, 2015.</w:t>
      </w:r>
    </w:p>
    <w:p>
      <w:pPr>
        <w:spacing w:after="0" w:line="153" w:lineRule="exact"/>
        <w:rPr>
          <w:rFonts w:ascii="Arial" w:cs="Arial" w:eastAsia="Arial" w:hAnsi="Arial"/>
          <w:sz w:val="16"/>
          <w:szCs w:val="16"/>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Please have available your notice card.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Follow the simple instructions provided.</w:t>
      </w:r>
    </w:p>
    <w:p>
      <w:pPr>
        <w:spacing w:after="0" w:line="126"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BY MAIL (if you submit your proxy by telephone or Internet, please do not mail your proxy card)</w:t>
      </w:r>
    </w:p>
    <w:p>
      <w:pPr>
        <w:spacing w:after="0" w:line="134"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Mark, sign and date your proxy card.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Return it in the enclosed postage-paid envelope.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your shares are held in an account at a brokerage firm, bank or similar organization, you will receive instructions from the registered holder that you must follow in order to have your shares voted.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Thank you for submitting your proxy.</w:t>
      </w:r>
    </w:p>
    <w:p>
      <w:pPr>
        <w:sectPr>
          <w:pgSz w:w="11900" w:h="16838" w:orient="portrait"/>
          <w:cols w:equalWidth="0" w:num="1">
            <w:col w:w="11300"/>
          </w:cols>
          <w:pgMar w:left="240" w:top="270" w:right="3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2258695</wp:posOffset>
            </wp:positionH>
            <wp:positionV relativeFrom="page">
              <wp:posOffset>252095</wp:posOffset>
            </wp:positionV>
            <wp:extent cx="30441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44190" cy="8890"/>
                    </a:xfrm>
                    <a:prstGeom prst="rect">
                      <a:avLst/>
                    </a:prstGeom>
                    <a:noFill/>
                  </pic:spPr>
                </pic:pic>
              </a:graphicData>
            </a:graphic>
          </wp:anchor>
        </w:drawing>
        <w:t>Notice of Annual Meeting of Stockholders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on May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74295</wp:posOffset>
            </wp:positionV>
            <wp:extent cx="30441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2015 Annual Meeting of Stockholders (the “Annual Meeting”) of Grand Canyon Education, Inc. (the “Company”), will be held at Grand Canyon University Arena on the campus of Grand Canyon University at 3300 W. Camelback Road, Phoenix, Arizona 85017, commencing at 10:00 a.m., local time, on Monday, May 18, 2015, for the following purposes:</w:t>
      </w:r>
    </w:p>
    <w:p>
      <w:pPr>
        <w:spacing w:after="0" w:line="87" w:lineRule="exact"/>
        <w:rPr>
          <w:sz w:val="20"/>
          <w:szCs w:val="20"/>
          <w:color w:val="auto"/>
        </w:rPr>
      </w:pPr>
    </w:p>
    <w:p>
      <w:pPr>
        <w:ind w:left="9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a Board of Directors of seven directors, each to serve until the 2016 annual meeting of stockholders or until his or her successor has been duly elected and qualified or until his or her earlier resignation or removal;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 as disclosed in the enclosed Proxy Statement;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ratify the appointment of KPMG LLP as our independent registered public accounting firm for the fiscal year ending December 31, 2015;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be brought before the meeting or any adjournment or postponement thereof.</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Our Board of Directors has fixed March 23, 2015 as the record date for the determination of stockholders entitled to notice of and to vote at the Annual Meeting or any adjournment or postponement thereof. For 10 days prior to the Annual Meeting, a list of stockholders entitled to vote at the Annual Meeting will be available for inspection in the offices of Grand Canyon Education, Inc., Office of the Chief Executive Officer, 3300 W. Camelback Road, Phoenix, Arizona 85017 between the hours of 8:30 a.m. and 5:00 p.m., local time, each weekday. Such list will also be available at the Annual Meeting.</w:t>
      </w:r>
    </w:p>
    <w:p>
      <w:pPr>
        <w:spacing w:after="0" w:line="15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 xml:space="preserve">Your proxy is important to ensure a quorum at the meeting. Even if you own only a few shares, and whether or not you expect to be present, you are urgently requested to submit the enclosed proxy by telephone or through the Internet in accordance with the instructions provided to you. </w:t>
      </w:r>
      <w:r>
        <w:rPr>
          <w:rFonts w:ascii="Arial" w:cs="Arial" w:eastAsia="Arial" w:hAnsi="Arial"/>
          <w:sz w:val="16"/>
          <w:szCs w:val="16"/>
          <w:b w:val="1"/>
          <w:bCs w:val="1"/>
          <w:u w:val="single" w:color="auto"/>
          <w:color w:val="auto"/>
        </w:rPr>
        <w:t>If</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 xml:space="preserve">you received a paper copy of the proxy card by mail, you may also date, sign and mail the proxy card in the postage-paid envelope that is provided. </w:t>
      </w:r>
      <w:r>
        <w:rPr>
          <w:rFonts w:ascii="Arial" w:cs="Arial" w:eastAsia="Arial" w:hAnsi="Arial"/>
          <w:sz w:val="16"/>
          <w:szCs w:val="16"/>
          <w:b w:val="1"/>
          <w:bCs w:val="1"/>
          <w:color w:val="auto"/>
        </w:rPr>
        <w:t>The proxy may be revoked by you at any time prior to being exercised, and submitting your proxy by telephone or through the Internet or returning your proxy by mail will not affect your right to vote in person if you attend the Annual Meeting and revoke the proxy.</w:t>
      </w:r>
    </w:p>
    <w:p>
      <w:pPr>
        <w:spacing w:after="0" w:line="154"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Stockholder Meeting to Be Held on May 18, 2015. </w:t>
      </w:r>
      <w:r>
        <w:rPr>
          <w:rFonts w:ascii="Arial" w:cs="Arial" w:eastAsia="Arial" w:hAnsi="Arial"/>
          <w:sz w:val="18"/>
          <w:szCs w:val="18"/>
          <w:color w:val="auto"/>
        </w:rPr>
        <w:t>Our Proxy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is attached. Financial and other information concerning Grand Canyon Education, Inc. is contained in our Annual Report to Stockholders for the fiscal year ended December 31, 2014. A complete set of proxy materials relating to our Annual Meeting is available on the Internet. These materials, consisting of the Notice of Annual Meeting, Proxy Statement, Proxy Card and Annual Report to Stockholders</w:t>
      </w:r>
      <w:r>
        <w:rPr>
          <w:rFonts w:ascii="Arial" w:cs="Arial" w:eastAsia="Arial" w:hAnsi="Arial"/>
          <w:sz w:val="18"/>
          <w:szCs w:val="18"/>
          <w:b w:val="1"/>
          <w:bCs w:val="1"/>
          <w:color w:val="auto"/>
        </w:rPr>
        <w:t>, are available and may be viewed at</w:t>
      </w:r>
      <w:r>
        <w:rPr>
          <w:rFonts w:ascii="Arial" w:cs="Arial" w:eastAsia="Arial" w:hAnsi="Arial"/>
          <w:sz w:val="18"/>
          <w:szCs w:val="18"/>
          <w:color w:val="auto"/>
        </w:rPr>
        <w:t xml:space="preserve"> </w:t>
      </w:r>
      <w:r>
        <w:rPr>
          <w:rFonts w:ascii="Arial" w:cs="Arial" w:eastAsia="Arial" w:hAnsi="Arial"/>
          <w:sz w:val="18"/>
          <w:szCs w:val="18"/>
          <w:b w:val="1"/>
          <w:bCs w:val="1"/>
          <w:color w:val="auto"/>
        </w:rPr>
        <w:t>www.edocumentview.com/LOPE.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26, 2015</w:t>
      </w:r>
    </w:p>
    <w:p>
      <w:pPr>
        <w:sectPr>
          <w:pgSz w:w="11900" w:h="16838" w:orient="portrait"/>
          <w:cols w:equalWidth="0" w:num="1">
            <w:col w:w="11380"/>
          </w:cols>
          <w:pgMar w:left="240" w:top="432" w:right="2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14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8">
              <w:r>
                <w:rPr>
                  <w:rFonts w:ascii="Arial" w:cs="Arial" w:eastAsia="Arial" w:hAnsi="Arial"/>
                  <w:sz w:val="18"/>
                  <w:szCs w:val="18"/>
                  <w:color w:val="0000EE"/>
                  <w:w w:val="97"/>
                </w:rPr>
                <w:t>GENERAL INFORMATION</w:t>
              </w:r>
            </w:hyperlink>
          </w:p>
        </w:tc>
        <w:tc>
          <w:tcPr>
            <w:tcW w:w="7440" w:type="dxa"/>
            <w:vAlign w:val="bottom"/>
            <w:gridSpan w:val="32"/>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360" w:type="dxa"/>
            <w:vAlign w:val="bottom"/>
          </w:tcPr>
          <w:p>
            <w:pPr>
              <w:spacing w:after="0"/>
              <w:rPr>
                <w:sz w:val="24"/>
                <w:szCs w:val="24"/>
                <w:color w:val="auto"/>
              </w:rPr>
            </w:pPr>
          </w:p>
        </w:tc>
        <w:tc>
          <w:tcPr>
            <w:tcW w:w="218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8">
              <w:r>
                <w:rPr>
                  <w:rFonts w:ascii="Arial" w:cs="Arial" w:eastAsia="Arial" w:hAnsi="Arial"/>
                  <w:sz w:val="18"/>
                  <w:szCs w:val="18"/>
                  <w:color w:val="0000EE"/>
                  <w:w w:val="95"/>
                </w:rPr>
                <w:t>Notice of Internet Availability</w:t>
              </w:r>
            </w:hyperlink>
          </w:p>
        </w:tc>
        <w:tc>
          <w:tcPr>
            <w:tcW w:w="7040" w:type="dxa"/>
            <w:vAlign w:val="bottom"/>
            <w:gridSpan w:val="24"/>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9220" w:type="dxa"/>
            <w:vAlign w:val="bottom"/>
            <w:gridSpan w:val="4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Record Date and Quorum</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220" w:type="dxa"/>
            <w:vAlign w:val="bottom"/>
            <w:gridSpan w:val="4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Submission of Proxies; Revocation</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220" w:type="dxa"/>
            <w:vAlign w:val="bottom"/>
            <w:gridSpan w:val="4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Deadlines for Stockholder Proposals</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360" w:type="dxa"/>
            <w:vAlign w:val="bottom"/>
          </w:tcPr>
          <w:p>
            <w:pPr>
              <w:spacing w:after="0"/>
              <w:rPr>
                <w:sz w:val="17"/>
                <w:szCs w:val="17"/>
                <w:color w:val="auto"/>
              </w:rPr>
            </w:pPr>
          </w:p>
        </w:tc>
        <w:tc>
          <w:tcPr>
            <w:tcW w:w="26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Quorum</w:t>
              </w:r>
            </w:hyperlink>
          </w:p>
        </w:tc>
        <w:tc>
          <w:tcPr>
            <w:tcW w:w="6580" w:type="dxa"/>
            <w:vAlign w:val="bottom"/>
            <w:gridSpan w:val="19"/>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Vote Required</w:t>
              </w:r>
            </w:hyperlink>
          </w:p>
        </w:tc>
        <w:tc>
          <w:tcPr>
            <w:tcW w:w="8180" w:type="dxa"/>
            <w:vAlign w:val="bottom"/>
            <w:gridSpan w:val="37"/>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9220" w:type="dxa"/>
            <w:vAlign w:val="bottom"/>
            <w:gridSpan w:val="4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Adjournment or Postponement of Meeting</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Expenses of Soliciting Proxies</w:t>
              </w:r>
            </w:hyperlink>
          </w:p>
        </w:tc>
        <w:tc>
          <w:tcPr>
            <w:tcW w:w="840" w:type="dxa"/>
            <w:vAlign w:val="bottom"/>
            <w:tcBorders>
              <w:top w:val="single" w:sz="8" w:color="0000EE"/>
            </w:tcBorders>
            <w:gridSpan w:val="10"/>
          </w:tcPr>
          <w:p>
            <w:pPr>
              <w:spacing w:after="0"/>
              <w:rPr>
                <w:sz w:val="17"/>
                <w:szCs w:val="17"/>
                <w:color w:val="auto"/>
              </w:rPr>
            </w:pPr>
          </w:p>
        </w:tc>
        <w:tc>
          <w:tcPr>
            <w:tcW w:w="6160" w:type="dxa"/>
            <w:vAlign w:val="bottom"/>
            <w:gridSpan w:val="13"/>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304"/>
        </w:trPr>
        <w:tc>
          <w:tcPr>
            <w:tcW w:w="4320" w:type="dxa"/>
            <w:vAlign w:val="bottom"/>
            <w:tcBorders>
              <w:bottom w:val="single" w:sz="8" w:color="0000EE"/>
            </w:tcBorders>
            <w:gridSpan w:val="33"/>
          </w:tcPr>
          <w:p>
            <w:pPr>
              <w:spacing w:after="0"/>
              <w:rPr>
                <w:rFonts w:ascii="Arial" w:cs="Arial" w:eastAsia="Arial" w:hAnsi="Arial"/>
                <w:sz w:val="18"/>
                <w:szCs w:val="18"/>
                <w:color w:val="0000EE"/>
                <w:w w:val="95"/>
              </w:rPr>
            </w:pPr>
            <w:hyperlink w:anchor="page11">
              <w:r>
                <w:rPr>
                  <w:rFonts w:ascii="Arial" w:cs="Arial" w:eastAsia="Arial" w:hAnsi="Arial"/>
                  <w:sz w:val="18"/>
                  <w:szCs w:val="18"/>
                  <w:color w:val="0000EE"/>
                  <w:w w:val="95"/>
                </w:rPr>
                <w:t>CORPORATE GOVERNANCE AND BOARD MATTERS</w:t>
              </w:r>
            </w:hyperlink>
          </w:p>
        </w:tc>
        <w:tc>
          <w:tcPr>
            <w:tcW w:w="5260" w:type="dxa"/>
            <w:vAlign w:val="bottom"/>
            <w:gridSpan w:val="8"/>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360" w:type="dxa"/>
            <w:vAlign w:val="bottom"/>
          </w:tcPr>
          <w:p>
            <w:pPr>
              <w:spacing w:after="0"/>
              <w:rPr>
                <w:sz w:val="24"/>
                <w:szCs w:val="24"/>
                <w:color w:val="auto"/>
              </w:rPr>
            </w:pPr>
          </w:p>
        </w:tc>
        <w:tc>
          <w:tcPr>
            <w:tcW w:w="254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Corporate Governance Philosophy</w:t>
              </w:r>
            </w:hyperlink>
          </w:p>
        </w:tc>
        <w:tc>
          <w:tcPr>
            <w:tcW w:w="6680" w:type="dxa"/>
            <w:vAlign w:val="bottom"/>
            <w:gridSpan w:val="20"/>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9220" w:type="dxa"/>
            <w:vAlign w:val="bottom"/>
            <w:gridSpan w:val="4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Board of Directors Meetings and Attendance</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Director Independence</w:t>
              </w:r>
            </w:hyperlink>
          </w:p>
        </w:tc>
        <w:tc>
          <w:tcPr>
            <w:tcW w:w="1580" w:type="dxa"/>
            <w:vAlign w:val="bottom"/>
            <w:tcBorders>
              <w:top w:val="single" w:sz="8" w:color="0000EE"/>
            </w:tcBorders>
            <w:gridSpan w:val="22"/>
          </w:tcPr>
          <w:p>
            <w:pPr>
              <w:spacing w:after="0"/>
              <w:rPr>
                <w:sz w:val="17"/>
                <w:szCs w:val="17"/>
                <w:color w:val="auto"/>
              </w:rPr>
            </w:pPr>
          </w:p>
        </w:tc>
        <w:tc>
          <w:tcPr>
            <w:tcW w:w="5980" w:type="dxa"/>
            <w:vAlign w:val="bottom"/>
            <w:gridSpan w:val="11"/>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Board Leadership Structure</w:t>
              </w:r>
            </w:hyperlink>
          </w:p>
        </w:tc>
        <w:tc>
          <w:tcPr>
            <w:tcW w:w="7220" w:type="dxa"/>
            <w:vAlign w:val="bottom"/>
            <w:gridSpan w:val="29"/>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280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Committees of Our Board of Directors</w:t>
              </w:r>
            </w:hyperlink>
          </w:p>
        </w:tc>
        <w:tc>
          <w:tcPr>
            <w:tcW w:w="6420" w:type="dxa"/>
            <w:vAlign w:val="bottom"/>
            <w:gridSpan w:val="16"/>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12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Code of Conduct</w:t>
              </w:r>
            </w:hyperlink>
          </w:p>
        </w:tc>
        <w:tc>
          <w:tcPr>
            <w:tcW w:w="7980" w:type="dxa"/>
            <w:vAlign w:val="bottom"/>
            <w:gridSpan w:val="35"/>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11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Risk Oversight</w:t>
              </w:r>
            </w:hyperlink>
          </w:p>
        </w:tc>
        <w:tc>
          <w:tcPr>
            <w:tcW w:w="8120" w:type="dxa"/>
            <w:vAlign w:val="bottom"/>
            <w:gridSpan w:val="36"/>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214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Director Nomination Process</w:t>
              </w:r>
            </w:hyperlink>
          </w:p>
        </w:tc>
        <w:tc>
          <w:tcPr>
            <w:tcW w:w="7080" w:type="dxa"/>
            <w:vAlign w:val="bottom"/>
            <w:gridSpan w:val="25"/>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2740" w:type="dxa"/>
            <w:vAlign w:val="bottom"/>
            <w:tcBorders>
              <w:bottom w:val="single" w:sz="8" w:color="0000EE"/>
            </w:tcBorders>
            <w:gridSpan w:val="23"/>
          </w:tcPr>
          <w:p>
            <w:pPr>
              <w:spacing w:after="0" w:line="196" w:lineRule="exact"/>
              <w:rPr>
                <w:rFonts w:ascii="Arial" w:cs="Arial" w:eastAsia="Arial" w:hAnsi="Arial"/>
                <w:sz w:val="18"/>
                <w:szCs w:val="18"/>
                <w:color w:val="0000EE"/>
                <w:w w:val="93"/>
              </w:rPr>
            </w:pPr>
            <w:hyperlink w:anchor="page15">
              <w:r>
                <w:rPr>
                  <w:rFonts w:ascii="Arial" w:cs="Arial" w:eastAsia="Arial" w:hAnsi="Arial"/>
                  <w:sz w:val="18"/>
                  <w:szCs w:val="18"/>
                  <w:color w:val="0000EE"/>
                  <w:w w:val="93"/>
                </w:rPr>
                <w:t>Annual elections and Majority Voting</w:t>
              </w:r>
            </w:hyperlink>
          </w:p>
        </w:tc>
        <w:tc>
          <w:tcPr>
            <w:tcW w:w="6480" w:type="dxa"/>
            <w:vAlign w:val="bottom"/>
            <w:gridSpan w:val="17"/>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448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Compensation Committee Interlocks and Insider Participation</w:t>
              </w:r>
            </w:hyperlink>
          </w:p>
        </w:tc>
        <w:tc>
          <w:tcPr>
            <w:tcW w:w="4740" w:type="dxa"/>
            <w:vAlign w:val="bottom"/>
            <w:gridSpan w:val="5"/>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60" w:type="dxa"/>
            <w:vAlign w:val="bottom"/>
          </w:tcPr>
          <w:p>
            <w:pPr>
              <w:spacing w:after="0"/>
              <w:rPr>
                <w:sz w:val="17"/>
                <w:szCs w:val="17"/>
                <w:color w:val="auto"/>
              </w:rPr>
            </w:pPr>
          </w:p>
        </w:tc>
        <w:tc>
          <w:tcPr>
            <w:tcW w:w="4180" w:type="dxa"/>
            <w:vAlign w:val="bottom"/>
            <w:tcBorders>
              <w:bottom w:val="single" w:sz="8" w:color="0000EE"/>
            </w:tcBorders>
            <w:gridSpan w:val="33"/>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Stockholder Communications with the Board of Directors</w:t>
              </w:r>
            </w:hyperlink>
          </w:p>
        </w:tc>
        <w:tc>
          <w:tcPr>
            <w:tcW w:w="5040" w:type="dxa"/>
            <w:vAlign w:val="bottom"/>
            <w:gridSpan w:val="7"/>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60" w:type="dxa"/>
            <w:vAlign w:val="bottom"/>
          </w:tcPr>
          <w:p>
            <w:pPr>
              <w:spacing w:after="0"/>
              <w:rPr>
                <w:sz w:val="17"/>
                <w:szCs w:val="17"/>
                <w:color w:val="auto"/>
              </w:rPr>
            </w:pPr>
          </w:p>
        </w:tc>
        <w:tc>
          <w:tcPr>
            <w:tcW w:w="9220" w:type="dxa"/>
            <w:vAlign w:val="bottom"/>
            <w:gridSpan w:val="40"/>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Director Stock Ownership Guidelines</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6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Compensation of Directors</w:t>
              </w:r>
            </w:hyperlink>
          </w:p>
        </w:tc>
        <w:tc>
          <w:tcPr>
            <w:tcW w:w="760" w:type="dxa"/>
            <w:vAlign w:val="bottom"/>
            <w:tcBorders>
              <w:top w:val="single" w:sz="8" w:color="0000EE"/>
            </w:tcBorders>
            <w:gridSpan w:val="12"/>
          </w:tcPr>
          <w:p>
            <w:pPr>
              <w:spacing w:after="0"/>
              <w:rPr>
                <w:sz w:val="17"/>
                <w:szCs w:val="17"/>
                <w:color w:val="auto"/>
              </w:rPr>
            </w:pPr>
          </w:p>
        </w:tc>
        <w:tc>
          <w:tcPr>
            <w:tcW w:w="6500" w:type="dxa"/>
            <w:vAlign w:val="bottom"/>
            <w:gridSpan w:val="18"/>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360" w:type="dxa"/>
            <w:vAlign w:val="bottom"/>
          </w:tcPr>
          <w:p>
            <w:pPr>
              <w:spacing w:after="0"/>
              <w:rPr>
                <w:sz w:val="17"/>
                <w:szCs w:val="17"/>
                <w:color w:val="auto"/>
              </w:rPr>
            </w:pPr>
          </w:p>
        </w:tc>
        <w:tc>
          <w:tcPr>
            <w:tcW w:w="212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2014 Director Compensation</w:t>
              </w:r>
            </w:hyperlink>
          </w:p>
        </w:tc>
        <w:tc>
          <w:tcPr>
            <w:tcW w:w="7100" w:type="dxa"/>
            <w:vAlign w:val="bottom"/>
            <w:gridSpan w:val="26"/>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304"/>
        </w:trPr>
        <w:tc>
          <w:tcPr>
            <w:tcW w:w="3660" w:type="dxa"/>
            <w:vAlign w:val="bottom"/>
            <w:tcBorders>
              <w:bottom w:val="single" w:sz="8" w:color="0000EE"/>
            </w:tcBorders>
            <w:gridSpan w:val="31"/>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PROPOSAL NO. 1 ELECTION OF DIRECTORS</w:t>
              </w:r>
            </w:hyperlink>
          </w:p>
        </w:tc>
        <w:tc>
          <w:tcPr>
            <w:tcW w:w="5920" w:type="dxa"/>
            <w:vAlign w:val="bottom"/>
            <w:gridSpan w:val="10"/>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360" w:type="dxa"/>
            <w:vAlign w:val="bottom"/>
          </w:tcPr>
          <w:p>
            <w:pPr>
              <w:spacing w:after="0"/>
              <w:rPr>
                <w:sz w:val="24"/>
                <w:szCs w:val="24"/>
                <w:color w:val="auto"/>
              </w:rPr>
            </w:pPr>
          </w:p>
        </w:tc>
        <w:tc>
          <w:tcPr>
            <w:tcW w:w="2820" w:type="dxa"/>
            <w:vAlign w:val="bottom"/>
            <w:tcBorders>
              <w:bottom w:val="single" w:sz="8" w:color="0000EE"/>
            </w:tcBorders>
            <w:gridSpan w:val="25"/>
          </w:tcPr>
          <w:p>
            <w:pPr>
              <w:spacing w:after="0"/>
              <w:rPr>
                <w:rFonts w:ascii="Arial" w:cs="Arial" w:eastAsia="Arial" w:hAnsi="Arial"/>
                <w:sz w:val="18"/>
                <w:szCs w:val="18"/>
                <w:color w:val="0000EE"/>
                <w:w w:val="92"/>
              </w:rPr>
            </w:pPr>
            <w:hyperlink w:anchor="page18">
              <w:r>
                <w:rPr>
                  <w:rFonts w:ascii="Arial" w:cs="Arial" w:eastAsia="Arial" w:hAnsi="Arial"/>
                  <w:sz w:val="18"/>
                  <w:szCs w:val="18"/>
                  <w:color w:val="0000EE"/>
                  <w:w w:val="92"/>
                </w:rPr>
                <w:t>Composition of our Board of Directors</w:t>
              </w:r>
            </w:hyperlink>
          </w:p>
        </w:tc>
        <w:tc>
          <w:tcPr>
            <w:tcW w:w="6400" w:type="dxa"/>
            <w:vAlign w:val="bottom"/>
            <w:gridSpan w:val="15"/>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922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Directors and Director Nominees</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5"/>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04"/>
        </w:trPr>
        <w:tc>
          <w:tcPr>
            <w:tcW w:w="8040" w:type="dxa"/>
            <w:vAlign w:val="bottom"/>
            <w:tcBorders>
              <w:bottom w:val="single" w:sz="8" w:color="0000EE"/>
            </w:tcBorders>
            <w:gridSpan w:val="40"/>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PROPOSAL NO. 2 ADVISORY VOTE TO APPROVE NAMED EXECUTIVE OFFICER COMPENSATION</w:t>
              </w:r>
            </w:hyperlink>
          </w:p>
        </w:tc>
        <w:tc>
          <w:tcPr>
            <w:tcW w:w="15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7800" w:type="dxa"/>
            <w:vAlign w:val="bottom"/>
            <w:tcBorders>
              <w:bottom w:val="single" w:sz="8" w:color="0000EE"/>
            </w:tcBorders>
            <w:gridSpan w:val="39"/>
          </w:tcPr>
          <w:p>
            <w:pPr>
              <w:spacing w:after="0"/>
              <w:rPr>
                <w:rFonts w:ascii="Arial" w:cs="Arial" w:eastAsia="Arial" w:hAnsi="Arial"/>
                <w:sz w:val="18"/>
                <w:szCs w:val="18"/>
                <w:color w:val="0000EE"/>
                <w:w w:val="95"/>
              </w:rPr>
            </w:pPr>
            <w:hyperlink w:anchor="page22">
              <w:r>
                <w:rPr>
                  <w:rFonts w:ascii="Arial" w:cs="Arial" w:eastAsia="Arial" w:hAnsi="Arial"/>
                  <w:sz w:val="18"/>
                  <w:szCs w:val="18"/>
                  <w:color w:val="0000EE"/>
                  <w:w w:val="95"/>
                </w:rPr>
                <w:t>PROPOSAL NO. 3 RATIFICATION OF INDEPENDENT REGISTERED PUBLIC ACCOUNTING FIRM</w:t>
              </w:r>
            </w:hyperlink>
          </w:p>
        </w:tc>
        <w:tc>
          <w:tcPr>
            <w:tcW w:w="1780" w:type="dxa"/>
            <w:vAlign w:val="bottom"/>
            <w:gridSpan w:val="2"/>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360" w:type="dxa"/>
            <w:vAlign w:val="bottom"/>
          </w:tcPr>
          <w:p>
            <w:pPr>
              <w:spacing w:after="0"/>
              <w:rPr>
                <w:sz w:val="24"/>
                <w:szCs w:val="24"/>
                <w:color w:val="auto"/>
              </w:rPr>
            </w:pPr>
          </w:p>
        </w:tc>
        <w:tc>
          <w:tcPr>
            <w:tcW w:w="340" w:type="dxa"/>
            <w:vAlign w:val="bottom"/>
            <w:tcBorders>
              <w:bottom w:val="single" w:sz="8" w:color="0000EE"/>
            </w:tcBorders>
          </w:tcPr>
          <w:p>
            <w:pPr>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Fees</w:t>
              </w:r>
            </w:hyperlink>
          </w:p>
        </w:tc>
        <w:tc>
          <w:tcPr>
            <w:tcW w:w="8880" w:type="dxa"/>
            <w:vAlign w:val="bottom"/>
            <w:gridSpan w:val="39"/>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196"/>
        </w:trPr>
        <w:tc>
          <w:tcPr>
            <w:tcW w:w="360" w:type="dxa"/>
            <w:vAlign w:val="bottom"/>
          </w:tcPr>
          <w:p>
            <w:pPr>
              <w:spacing w:after="0"/>
              <w:rPr>
                <w:sz w:val="17"/>
                <w:szCs w:val="17"/>
                <w:color w:val="auto"/>
              </w:rPr>
            </w:pPr>
          </w:p>
        </w:tc>
        <w:tc>
          <w:tcPr>
            <w:tcW w:w="5760" w:type="dxa"/>
            <w:vAlign w:val="bottom"/>
            <w:tcBorders>
              <w:bottom w:val="single" w:sz="8" w:color="0000EE"/>
            </w:tcBorders>
            <w:gridSpan w:val="37"/>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Approval of Independent Registered Public Accounting Firm Services and Fees</w:t>
              </w:r>
            </w:hyperlink>
          </w:p>
        </w:tc>
        <w:tc>
          <w:tcPr>
            <w:tcW w:w="3460" w:type="dxa"/>
            <w:vAlign w:val="bottom"/>
            <w:gridSpan w:val="3"/>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304"/>
        </w:trPr>
        <w:tc>
          <w:tcPr>
            <w:tcW w:w="9580" w:type="dxa"/>
            <w:vAlign w:val="bottom"/>
            <w:gridSpan w:val="4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AUDIT COMMITTEE REPORT</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2400" w:type="dxa"/>
            <w:vAlign w:val="bottom"/>
            <w:tcBorders>
              <w:top w:val="single" w:sz="8" w:color="0000EE"/>
            </w:tcBorders>
            <w:gridSpan w:val="1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EXECUTIVE OFFICERS</w:t>
              </w:r>
            </w:hyperlink>
          </w:p>
        </w:tc>
        <w:tc>
          <w:tcPr>
            <w:tcW w:w="7180" w:type="dxa"/>
            <w:vAlign w:val="bottom"/>
            <w:gridSpan w:val="28"/>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1900" w:type="dxa"/>
            <w:vAlign w:val="bottom"/>
            <w:tcBorders>
              <w:right w:val="single" w:sz="8" w:color="0000EE"/>
            </w:tcBorders>
            <w:gridSpan w:val="7"/>
            <w:shd w:val="clear" w:color="auto" w:fill="0000EE"/>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04"/>
        </w:trPr>
        <w:tc>
          <w:tcPr>
            <w:tcW w:w="246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25">
              <w:r>
                <w:rPr>
                  <w:rFonts w:ascii="Arial" w:cs="Arial" w:eastAsia="Arial" w:hAnsi="Arial"/>
                  <w:sz w:val="18"/>
                  <w:szCs w:val="18"/>
                  <w:color w:val="0000EE"/>
                  <w:w w:val="96"/>
                </w:rPr>
                <w:t>EXECUTIVE COMPENSATION</w:t>
              </w:r>
            </w:hyperlink>
          </w:p>
        </w:tc>
        <w:tc>
          <w:tcPr>
            <w:tcW w:w="7120" w:type="dxa"/>
            <w:vAlign w:val="bottom"/>
            <w:gridSpan w:val="27"/>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360" w:type="dxa"/>
            <w:vAlign w:val="bottom"/>
          </w:tcPr>
          <w:p>
            <w:pPr>
              <w:spacing w:after="0"/>
              <w:rPr>
                <w:sz w:val="24"/>
                <w:szCs w:val="24"/>
                <w:color w:val="auto"/>
              </w:rPr>
            </w:pPr>
          </w:p>
        </w:tc>
        <w:tc>
          <w:tcPr>
            <w:tcW w:w="9220" w:type="dxa"/>
            <w:vAlign w:val="bottom"/>
            <w:gridSpan w:val="4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Compensation Discussion and Analysis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28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Compensation Committee Report</w:t>
              </w:r>
            </w:hyperlink>
          </w:p>
        </w:tc>
        <w:tc>
          <w:tcPr>
            <w:tcW w:w="6360" w:type="dxa"/>
            <w:vAlign w:val="bottom"/>
            <w:gridSpan w:val="14"/>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360" w:type="dxa"/>
            <w:vAlign w:val="bottom"/>
          </w:tcPr>
          <w:p>
            <w:pPr>
              <w:spacing w:after="0" w:line="20" w:lineRule="exact"/>
              <w:rPr>
                <w:sz w:val="1"/>
                <w:szCs w:val="1"/>
                <w:color w:val="auto"/>
              </w:rPr>
            </w:pPr>
          </w:p>
        </w:tc>
        <w:tc>
          <w:tcPr>
            <w:tcW w:w="1540" w:type="dxa"/>
            <w:vAlign w:val="bottom"/>
            <w:tcBorders>
              <w:right w:val="single" w:sz="8" w:color="0000EE"/>
            </w:tcBorders>
            <w:gridSpan w:val="6"/>
            <w:shd w:val="clear" w:color="auto" w:fill="0000EE"/>
          </w:tcPr>
          <w:p>
            <w:pPr>
              <w:spacing w:after="0" w:line="20" w:lineRule="exact"/>
              <w:rPr>
                <w:sz w:val="1"/>
                <w:szCs w:val="1"/>
                <w:color w:val="auto"/>
              </w:rPr>
            </w:pPr>
          </w:p>
        </w:tc>
        <w:tc>
          <w:tcPr>
            <w:tcW w:w="880" w:type="dxa"/>
            <w:vAlign w:val="bottom"/>
            <w:gridSpan w:val="13"/>
            <w:shd w:val="clear" w:color="auto" w:fill="0000EE"/>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220" w:type="dxa"/>
            <w:vAlign w:val="bottom"/>
            <w:gridSpan w:val="4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Compensation of Named Executive Officers</w:t>
              </w:r>
            </w:hyperlink>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360" w:type="dxa"/>
            <w:vAlign w:val="bottom"/>
          </w:tcPr>
          <w:p>
            <w:pPr>
              <w:spacing w:after="0" w:line="20" w:lineRule="exact"/>
              <w:rPr>
                <w:sz w:val="1"/>
                <w:szCs w:val="1"/>
                <w:color w:val="auto"/>
              </w:rPr>
            </w:pPr>
          </w:p>
        </w:tc>
        <w:tc>
          <w:tcPr>
            <w:tcW w:w="1540" w:type="dxa"/>
            <w:vAlign w:val="bottom"/>
            <w:tcBorders>
              <w:right w:val="single" w:sz="8" w:color="0000EE"/>
            </w:tcBorders>
            <w:gridSpan w:val="6"/>
            <w:shd w:val="clear" w:color="auto" w:fill="0000EE"/>
          </w:tcPr>
          <w:p>
            <w:pPr>
              <w:spacing w:after="0" w:line="20" w:lineRule="exact"/>
              <w:rPr>
                <w:sz w:val="1"/>
                <w:szCs w:val="1"/>
                <w:color w:val="auto"/>
              </w:rPr>
            </w:pPr>
          </w:p>
        </w:tc>
        <w:tc>
          <w:tcPr>
            <w:tcW w:w="1660" w:type="dxa"/>
            <w:vAlign w:val="bottom"/>
            <w:gridSpan w:val="2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300" w:type="dxa"/>
            <w:vAlign w:val="bottom"/>
            <w:tcBorders>
              <w:bottom w:val="single" w:sz="8" w:color="0000EE"/>
            </w:tcBorders>
            <w:gridSpan w:val="34"/>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Potential Payments upon Termination or Change in Control</w:t>
              </w:r>
            </w:hyperlink>
          </w:p>
        </w:tc>
        <w:tc>
          <w:tcPr>
            <w:tcW w:w="4920" w:type="dxa"/>
            <w:vAlign w:val="bottom"/>
            <w:gridSpan w:val="6"/>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304"/>
        </w:trPr>
        <w:tc>
          <w:tcPr>
            <w:tcW w:w="3940" w:type="dxa"/>
            <w:vAlign w:val="bottom"/>
            <w:tcBorders>
              <w:bottom w:val="single" w:sz="8" w:color="0000EE"/>
            </w:tcBorders>
            <w:gridSpan w:val="32"/>
          </w:tcPr>
          <w:p>
            <w:pPr>
              <w:spacing w:after="0"/>
              <w:rPr>
                <w:rFonts w:ascii="Arial" w:cs="Arial" w:eastAsia="Arial" w:hAnsi="Arial"/>
                <w:sz w:val="18"/>
                <w:szCs w:val="18"/>
                <w:color w:val="0000EE"/>
                <w:w w:val="96"/>
              </w:rPr>
            </w:pPr>
            <w:hyperlink w:anchor="page44">
              <w:r>
                <w:rPr>
                  <w:rFonts w:ascii="Arial" w:cs="Arial" w:eastAsia="Arial" w:hAnsi="Arial"/>
                  <w:sz w:val="18"/>
                  <w:szCs w:val="18"/>
                  <w:color w:val="0000EE"/>
                  <w:w w:val="96"/>
                </w:rPr>
                <w:t>BENEFICIAL OWNERSHIP OF COMMON STOCK</w:t>
              </w:r>
            </w:hyperlink>
          </w:p>
        </w:tc>
        <w:tc>
          <w:tcPr>
            <w:tcW w:w="5640" w:type="dxa"/>
            <w:vAlign w:val="bottom"/>
            <w:gridSpan w:val="9"/>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4880" w:type="dxa"/>
            <w:vAlign w:val="bottom"/>
            <w:tcBorders>
              <w:bottom w:val="single" w:sz="8" w:color="0000EE"/>
            </w:tcBorders>
            <w:gridSpan w:val="37"/>
          </w:tcPr>
          <w:p>
            <w:pPr>
              <w:spacing w:after="0"/>
              <w:rPr>
                <w:rFonts w:ascii="Arial" w:cs="Arial" w:eastAsia="Arial" w:hAnsi="Arial"/>
                <w:sz w:val="18"/>
                <w:szCs w:val="18"/>
                <w:color w:val="0000EE"/>
                <w:w w:val="96"/>
              </w:rPr>
            </w:pPr>
            <w:hyperlink w:anchor="page45">
              <w:r>
                <w:rPr>
                  <w:rFonts w:ascii="Arial" w:cs="Arial" w:eastAsia="Arial" w:hAnsi="Arial"/>
                  <w:sz w:val="18"/>
                  <w:szCs w:val="18"/>
                  <w:color w:val="0000EE"/>
                  <w:w w:val="96"/>
                </w:rPr>
                <w:t>CERTAIN RELATIONSHIPS AND RELATED TRANSACTIONS</w:t>
              </w:r>
            </w:hyperlink>
          </w:p>
        </w:tc>
        <w:tc>
          <w:tcPr>
            <w:tcW w:w="4700" w:type="dxa"/>
            <w:vAlign w:val="bottom"/>
            <w:gridSpan w:val="4"/>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360" w:type="dxa"/>
            <w:vAlign w:val="bottom"/>
          </w:tcPr>
          <w:p>
            <w:pPr>
              <w:spacing w:after="0"/>
              <w:rPr>
                <w:sz w:val="24"/>
                <w:szCs w:val="24"/>
                <w:color w:val="auto"/>
              </w:rPr>
            </w:pPr>
          </w:p>
        </w:tc>
        <w:tc>
          <w:tcPr>
            <w:tcW w:w="9220" w:type="dxa"/>
            <w:vAlign w:val="bottom"/>
            <w:gridSpan w:val="4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Policies and Procedures for Related Party Transactions</w:t>
              </w:r>
            </w:hyperlink>
          </w:p>
        </w:tc>
        <w:tc>
          <w:tcPr>
            <w:tcW w:w="1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196"/>
        </w:trPr>
        <w:tc>
          <w:tcPr>
            <w:tcW w:w="36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Certain Transactions</w:t>
              </w:r>
            </w:hyperlink>
          </w:p>
        </w:tc>
        <w:tc>
          <w:tcPr>
            <w:tcW w:w="2420" w:type="dxa"/>
            <w:vAlign w:val="bottom"/>
            <w:tcBorders>
              <w:top w:val="single" w:sz="8" w:color="0000EE"/>
            </w:tcBorders>
            <w:gridSpan w:val="26"/>
          </w:tcPr>
          <w:p>
            <w:pPr>
              <w:spacing w:after="0"/>
              <w:rPr>
                <w:sz w:val="17"/>
                <w:szCs w:val="17"/>
                <w:color w:val="auto"/>
              </w:rPr>
            </w:pPr>
          </w:p>
        </w:tc>
        <w:tc>
          <w:tcPr>
            <w:tcW w:w="5260" w:type="dxa"/>
            <w:vAlign w:val="bottom"/>
            <w:gridSpan w:val="8"/>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bl>
    <w:p>
      <w:pPr>
        <w:jc w:val="right"/>
        <w:spacing w:after="0" w:line="196" w:lineRule="exact"/>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07"/>
        </w:trPr>
        <w:tc>
          <w:tcPr>
            <w:tcW w:w="8400" w:type="dxa"/>
            <w:vAlign w:val="bottom"/>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SECTION 16(a) BENEFICIAL OWNERSHIP REPORTING COMPLIANCE</w:t>
              </w:r>
            </w:hyperlink>
          </w:p>
        </w:tc>
        <w:tc>
          <w:tcPr>
            <w:tcW w:w="2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34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w:anchor="page46">
              <w:r>
                <w:rPr>
                  <w:rFonts w:ascii="Arial" w:cs="Arial" w:eastAsia="Arial" w:hAnsi="Arial"/>
                  <w:sz w:val="18"/>
                  <w:szCs w:val="18"/>
                  <w:color w:val="0000EE"/>
                  <w:w w:val="96"/>
                </w:rPr>
                <w:t>HOUSEHOLDING OF PROXY MATERIALS</w:t>
              </w:r>
            </w:hyperlink>
          </w:p>
        </w:tc>
        <w:tc>
          <w:tcPr>
            <w:tcW w:w="222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2420" w:type="dxa"/>
            <w:vAlign w:val="bottom"/>
            <w:tcBorders>
              <w:bottom w:val="single" w:sz="8" w:color="0000EE"/>
            </w:tcBorders>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ADDITIONAL INFORMATION</w:t>
              </w:r>
            </w:hyperlink>
          </w:p>
        </w:tc>
        <w:tc>
          <w:tcPr>
            <w:tcW w:w="5980" w:type="dxa"/>
            <w:vAlign w:val="bottom"/>
            <w:gridSpan w:val="3"/>
          </w:tcPr>
          <w:p>
            <w:pPr>
              <w:spacing w:after="0"/>
              <w:rPr>
                <w:sz w:val="24"/>
                <w:szCs w:val="24"/>
                <w:color w:val="auto"/>
              </w:rPr>
            </w:pPr>
          </w:p>
        </w:tc>
        <w:tc>
          <w:tcPr>
            <w:tcW w:w="2920" w:type="dxa"/>
            <w:vAlign w:val="bottom"/>
          </w:tcPr>
          <w:p>
            <w:pPr>
              <w:jc w:val="right"/>
              <w:spacing w:after="0"/>
              <w:rPr>
                <w:sz w:val="20"/>
                <w:szCs w:val="20"/>
                <w:color w:val="auto"/>
              </w:rPr>
            </w:pPr>
            <w:r>
              <w:rPr>
                <w:rFonts w:ascii="Arial" w:cs="Arial" w:eastAsia="Arial" w:hAnsi="Arial"/>
                <w:sz w:val="18"/>
                <w:szCs w:val="18"/>
                <w:color w:val="auto"/>
              </w:rPr>
              <w:t>39</w:t>
            </w:r>
          </w:p>
        </w:tc>
      </w:tr>
    </w:tbl>
    <w:p>
      <w:pPr>
        <w:jc w:val="right"/>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3300 West Camelback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Phoenix, Arizona 85017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enclosed proxy is being solicited by our Board of Directors for use in connection with the Annual Meeting to be held on Monday, May 18, 2015, at Grand Canyon University Arena on the campus of Grand Canyon University at 3300 W. Camelback Road, Phoenix, Arizona 85017, commencing at 10:00 a.m., local time, and at any adjournment or postponement thereof.</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In accordance with the electronic delivery rules adopted by the Securities and Exchange Commission (“SEC”), the Company is permitted to furnish proxy materials to its stockholders on the Internet, in lieu of mailing a printed copy of proxy materials to each stockholder of record. You will not receive a printed copy of proxy materials unless you request a printed copy. The Notice, which was made available to our stockholders on or about April 2, 2015, instructs you as to how you may access and review on the Internet all of the important information contained in the proxy materials. The Notice also instructs you as to how you may vote your proxy. If you received a Notice by mail and would like to receive a printed copy of the Company’s proxy materials and annual report, you must follow the instructions for requesting such materials included in the Notice. Alternatively, you may download or print these materials, or any portion thereof, from any computer with Internet access and a printer. The Company believes this process provides its stockholders the information they need in a more timely manner, while reducing the environmental impact and lowering the costs of printing and delivering the proxy materials. To access the Company’s proxy statement and annual report electronically, please visit </w:t>
      </w:r>
      <w:r>
        <w:rPr>
          <w:rFonts w:ascii="Arial" w:cs="Arial" w:eastAsia="Arial" w:hAnsi="Arial"/>
          <w:sz w:val="17"/>
          <w:szCs w:val="17"/>
          <w:b w:val="1"/>
          <w:bCs w:val="1"/>
          <w:color w:val="auto"/>
        </w:rPr>
        <w:t>www.edocumentview.com/LOPE</w:t>
      </w:r>
      <w:r>
        <w:rPr>
          <w:rFonts w:ascii="Arial" w:cs="Arial" w:eastAsia="Arial" w:hAnsi="Arial"/>
          <w:sz w:val="17"/>
          <w:szCs w:val="17"/>
          <w:color w:val="auto"/>
        </w:rPr>
        <w:t xml:space="preserve"> or the Company’s Investor Relations website at </w:t>
      </w:r>
      <w:r>
        <w:rPr>
          <w:rFonts w:ascii="Arial" w:cs="Arial" w:eastAsia="Arial" w:hAnsi="Arial"/>
          <w:sz w:val="17"/>
          <w:szCs w:val="17"/>
          <w:u w:val="single" w:color="auto"/>
          <w:color w:val="auto"/>
        </w:rPr>
        <w:t>www.gcu.edu</w:t>
      </w:r>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Quorum</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Only stockholders of record at the close of business on March 23, 2015, will be entitled to notice of and to vote at the Annual Meeting and any adjournment or postponement thereof. At the close of business on the record date, we had approximately 47,065,462 shares of our common stock outstanding and entitled to vote, with each such outstanding share entitled to one vote per share on each matter to be voted upon by stockholders. A majority of the shares outstanding on the record date, present in person or represented by proxy, will constitute a quorum for the transaction of business at the meeting.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Proxies; Revocation</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valid proxies received prior to the Annual Meeting will be exercised. All shares represented by a proxy will be voted, and where a proxy specifies a stockholder’s choice with respect to any matter to be acted upon, the shares will be voted in accordance with that specification. If no choice is indicated on the proxy, the shares will be voted in favor of the proposal. You may revoke your proxy at any time before it is exercised by submitting to our Secretary a written notice of revocation, submitting a properly executed proxy bearing a later date, voting by telephone or via the Internet at a later time (if initially able to vote in that manner) so long as such vote or voting direction is received by the applicable date and time set forth above for stockholders of record, or by attending the Annual Meeting and voting in person. If you hold your shares through a bank, broker, trustee or nominee and you have instructed the bank, broker, trustee or nominee to vote your shares, you must follow the directions received from your bank, broker, trustee or nominee to change those instructions.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Deadlines for Stockholder Proposals</w:t>
      </w:r>
    </w:p>
    <w:p>
      <w:pPr>
        <w:spacing w:after="0" w:line="12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Stockholder proposals may be included in our proxy materials for an annual meeting so long as they are provided to us on a timely basis and satisfy certain other conditions established by the Securities and Exchange Commission (the “SEC”), including specifically under Rule 14a-8 of the Securities Exchange Act of 1934, as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8" w:name="page9"/>
    <w:bookmarkEnd w:id="8"/>
    <w:p>
      <w:pPr>
        <w:ind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(the “Exchange Act”). To be timely, a proposal to be included in our proxy statement must be received at our principal executive offices, addressed to our Secretary, not less than 120 calendar days before the first anniversary of the date that our our proxy statement was released to stockholders in connection with the previous year’s annual meeting. Accordingly, for a stockholder proposal to be included in our proxy materials for our 2016 Annual Meeting of Stockholders, the proposal must be received at our principal executive offices, addressed to our Secretary, not later than the close of business on December 5, 2015. Subject to certain exceptions, stockholder business that is not intended for inclusion in our proxy materials may be brought before an annual meeting so long as we receive notice of the proposal as specified by, and subject to the conditions set forth in, our bylaws, addressed to our Secretary at our principal executive offices, not earlier than the close of business on the 120th day, nor later than the close of business on the 90th day, prior to the first anniversary of the date of the preceding year’s annual meeting. For our 2016 Annual Meeting of Stockholders, proper notice of business that is not intended for inclusion in our proxy statement must be received not earlier than the close of business on January 20, 2016, nor later than the close of business on February 19, 2016.</w:t>
      </w:r>
    </w:p>
    <w:p>
      <w:pPr>
        <w:spacing w:after="0" w:line="17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 stockholder’s notice to our Secretary must set forth as to each matter the stockholder proposes to bring before the meeting (i) a brief description of the business desired to be brought before the meeting and the text of the proposal or business, including the text of any resolutions proposed for consideration and, in the event that such business includes a proposal to amend the Company’s bylaws, the language of the proposed amendment, (ii) the name and address, as they appear on the Company’s books, of the stockholder proposing such business and the names and addresses of the beneficial owners, if any, on whose behalf the business is being brought, (iii) a representation that the stockholder is a holder of record of stock of the Company entitled to vote at the meeting on the date of such notice and intends to appear in person or by proxy at the meeting to propose the business specified in the notice, (iv) any material interest of the stockholder and any such other beneficial owner in such business, and (v) the following information regarding the ownership interests of the stockholder or any such other beneficial owner, which shall be supplemented in writing by the stockholder not later than ten (10) days after the record date for voting at the meeting to disclose such interests as of such record date: (A) the class and number of shares of the Company that are owned beneficially and of record by the stockholder and any such other beneficial owner</w:t>
      </w:r>
      <w:r>
        <w:rPr>
          <w:rFonts w:ascii="Arial" w:cs="Arial" w:eastAsia="Arial" w:hAnsi="Arial"/>
          <w:sz w:val="16"/>
          <w:szCs w:val="16"/>
          <w:b w:val="1"/>
          <w:bCs w:val="1"/>
          <w:color w:val="auto"/>
        </w:rPr>
        <w:t>;</w:t>
      </w:r>
      <w:r>
        <w:rPr>
          <w:rFonts w:ascii="Arial" w:cs="Arial" w:eastAsia="Arial" w:hAnsi="Arial"/>
          <w:sz w:val="16"/>
          <w:szCs w:val="16"/>
          <w:color w:val="auto"/>
        </w:rPr>
        <w:t xml:space="preserve"> (B) any “derivative instrument” (which is defined as any option, warrant, convertible security, stock appreciation right, or similar right with an exercise or conversion privilege or a settlement payment or mechanism at a price related to any class or series of shares of the Company or with a value derived in whole or in part from the value of any class or series of shares of the Company, whether or not such instrument or right shall be subject to settlement in the underlying class or series of capital stock of the Company or otherwise directly or indirectly owned beneficially by such stockholder and any other direct or indirect opportunity to profit or share in any profit derived from any increase or decrease in the value of shares of the Company); (C) any proxy, contract, arrangement, understanding, or relationship pursuant to which such stockholder has a right to vote any shares of any security of the Company; (D) any short interest in any security of the Company (meaning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(E) any rights to dividends on the shares of the Company owned beneficially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Company or derivative instruments, if any, as of the date of such notice, including, without limitation, any such interests held by members of such stockholder’s immediate family sharing the same household.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The presence at the Annual Meeting, in person or by proxy, of the holders of a majority of the shares of common stock outstanding on the record date will constitute a quorum for the transaction of business at the meeting. Abstentions and broker non-votes are included in determining whether a quorum is present. Abstentions include shares present in person but not voting and shares represented by proxy but with respect to which the holder has abstained. Broker non-votes occur when a nominee holding shares for a beneficial owner does not vote on a particular proposal because the nominee does not have discretionary voting power on that item and has not received instructions from the beneficial owner.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 Required</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If you hold your shares in “street name,” and you do not give your bank, broker or other holder of record specific voting instructions for your shares, your record holder can vote your shares on routine matters, which include the ratification of our independent public accountants. However, your record holder cannot vote your shares without your specific instructions on the election of directors or on the advisory vote described below on the compensation of our named executive officers. If you hold your shares in “street name,” please refer to the information forwarded by your bank, broker or other holder of record for procedures on revoking or changing your proxy. In the absence of instructions, shares subject to such broker non-votes will not be counted as voted or as present or represented on any of the proposals offered at the Annual Meeting other than ratification of our auditors and so will have no effect on the vote. </w:t>
      </w:r>
      <w:r>
        <w:rPr>
          <w:rFonts w:ascii="Arial" w:cs="Arial" w:eastAsia="Arial" w:hAnsi="Arial"/>
          <w:sz w:val="17"/>
          <w:szCs w:val="17"/>
          <w:b w:val="1"/>
          <w:bCs w:val="1"/>
          <w:color w:val="auto"/>
        </w:rPr>
        <w:t>We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encourage you to provide instructions to your broker regarding the voting of your shares. </w:t>
      </w:r>
      <w:r>
        <w:rPr>
          <w:rFonts w:ascii="Arial" w:cs="Arial" w:eastAsia="Arial" w:hAnsi="Arial"/>
          <w:sz w:val="17"/>
          <w:szCs w:val="17"/>
          <w:color w:val="auto"/>
        </w:rPr>
        <w:t>Our stockholders have no dissenter’s or appraisal rights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of the proposals described herein.</w:t>
      </w:r>
    </w:p>
    <w:p>
      <w:pPr>
        <w:spacing w:after="0" w:line="17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Election of Directors</w:t>
      </w:r>
      <w:r>
        <w:rPr>
          <w:rFonts w:ascii="Arial" w:cs="Arial" w:eastAsia="Arial" w:hAnsi="Arial"/>
          <w:sz w:val="18"/>
          <w:szCs w:val="18"/>
          <w:color w:val="auto"/>
        </w:rPr>
        <w:t>. The affirmative vote of a majority of the votes cast with respect to a nominee is required for the election to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of each of the nominees for director. For this purpose, “a majority of the votes cast” means that the number of shares voted “for” a nominee exceeds the number of votes cast “against” that nominee. Stockholders do not have the right to cumulate their votes in the election of directors. Abstentions and broker non-votes will have no effect on the outcome of the election.</w:t>
      </w:r>
    </w:p>
    <w:p>
      <w:pPr>
        <w:spacing w:after="0" w:line="187"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i w:val="1"/>
          <w:iCs w:val="1"/>
          <w:color w:val="auto"/>
        </w:rPr>
        <w:t xml:space="preserve">Advisory vote on the compensation of our named executive officers. </w:t>
      </w:r>
      <w:r>
        <w:rPr>
          <w:rFonts w:ascii="Arial" w:cs="Arial" w:eastAsia="Arial" w:hAnsi="Arial"/>
          <w:sz w:val="17"/>
          <w:szCs w:val="17"/>
          <w:color w:val="auto"/>
        </w:rPr>
        <w:t>Approval, on an advisory basis, of the compensation of our named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 Although this vote is advisory and is not binding on our Board of Directors, the Board of Directors and the Compensation Committee will consider the voting results, along with other relevant factors, in connection with their ongoing evaluation of our compensation program.</w:t>
      </w:r>
    </w:p>
    <w:p>
      <w:pPr>
        <w:spacing w:after="0" w:line="17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Ratification of the appointment of the Independent Registered Public Accounting Firm. </w:t>
      </w:r>
      <w:r>
        <w:rPr>
          <w:rFonts w:ascii="Arial" w:cs="Arial" w:eastAsia="Arial" w:hAnsi="Arial"/>
          <w:sz w:val="18"/>
          <w:szCs w:val="18"/>
          <w:color w:val="auto"/>
        </w:rPr>
        <w:t>Approval of the proposal to ratify the Audit Committee’s</w:t>
      </w:r>
      <w:r>
        <w:rPr>
          <w:rFonts w:ascii="Arial" w:cs="Arial" w:eastAsia="Arial" w:hAnsi="Arial"/>
          <w:sz w:val="18"/>
          <w:szCs w:val="18"/>
          <w:i w:val="1"/>
          <w:iCs w:val="1"/>
          <w:color w:val="auto"/>
        </w:rPr>
        <w:t xml:space="preserve"> </w:t>
      </w:r>
      <w:r>
        <w:rPr>
          <w:rFonts w:ascii="Arial" w:cs="Arial" w:eastAsia="Arial" w:hAnsi="Arial"/>
          <w:sz w:val="18"/>
          <w:szCs w:val="18"/>
          <w:color w:val="auto"/>
        </w:rPr>
        <w:t>appointment of KPMG LLP as our independent registered public accounting firm for the fiscal year ending December 31, 2015 requires the affirmative vote of the majority of shares present in person or represented by proxy at the Annual Meeting and entitled to vote. Broker non-votes will have no effect on the outcome of this proposal, while abstentions will have the effect of a vote against this proposal.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or Postponement of Meeting</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Annual Meeting may be adjourned or postponed to any other time and to any other place at which a meeting of stockholders may be held by the chairman of the Annual Meeting or, in the absence of such person, by any officer entitled to preside at or to act as Secretary of the Annual Meeting, or by the holders of a majority of the shares of stock present or represented by proxy at the meeting and entitled to vote, although less than a quorum.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121"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We will bear the cost of soliciting proxies. In addition to solicitation by the use of mail or via the Internet, certain directors, officers and regular employees may solicit proxies by telephone or personal interview. None of such persons will receive any additional compensation for their services.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 AND BOARD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Philosophy</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business affairs of the Company are managed under the direction of the Board of Directors in accordance with the Delaware General Corporation Law, as implemented by the Company’s certificate of incorporation and bylaws. The role of the Board of Directors is to effectively govern the affairs of the Company for the benefit of its stockholders and other constituencies. The Board strives to ensure the success and continuity of business through the selection of qualified management. It is also responsible for ensuring that the Company’s activities are conducted in a responsible and ethical manner. The Company is committed to having sound corporate governance principles.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 and Attendance</w:t>
      </w:r>
    </w:p>
    <w:p>
      <w:pPr>
        <w:spacing w:after="0" w:line="121"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During our 2014 fiscal year, our Board of Directors held seven meetings and each of our directors attended more than 75% of such meetings, except for Mr. Richardson who attended five of the seven. We do not have a formal policy regarding attendance of our directors at annual meetings of our stockholders, but we do encourage each of our directors to attend. Five of our seven directors attended our 2014 annual meeting.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Board of Directors periodically reviews the independence of each director. During these reviews, our Board of Directors considers transactions and relationships between each director (and his or her immediate family and affiliates) and our Company and management to determine whether any such transactions or relationships are inconsistent with a determination that the director was independent. Our Board of Directors has affirmatively determined that each director other than Brent D. Richardson, who is our Executive Chairman, and Brian E. Mueller, who is our Chief Executive Officer, is “independent,” as defined by the Marketplace Rules of the Nasdaq Stock Market. Under the Marketplace Rules, a director can be independent only if the director does not trigger a categorical bar to independence and our Board of Directors affirmatively determines that the director does not have a relationship which, in the opinion of our Board of Directors, would interfere with the exercise of independent judgment by the director in carrying out the responsibilities of a director.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currently separate the roles of Chief Executive Officer and Chairman of the Board in recognition of the differences between the two roles. The Chief Executive Officer is responsible for setting the strategic direction for the Company and the day to day leadership and performance of the Company, while the Chairman of the Board provides guidance to the Chief Executive Officer and sets the agenda for Board meetings and presides over meetings of the full Board. Currently, even though Mr. Richardson is an employee of the Company, the Board believes that Mr. Richardson’s role as Chairman ensures a greater role for the non-management directors in the oversight of the Company and encourages greater participation of the non-management directors in setting agendas and establishing priorities and procedures for the work of the Board. Because Mr. Richardson is an employee of the Company and is therefore not “independent,” our Board of Directors has appointed the Chairman of our Compensation Committee, Mr. David J. Johnson, as “lead independent director” to preside at executive sessions of “non-management” directors. The Board generally seeks to hold executive sessions twice a year.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Our Board of Directors directs the management of our business and affairs, as provided by Delaware law, and conducts its business through meetings of the Board of Directors. Our Board of Directors has established three standing committees: an Audit Committee; a Compensation Committee; and a Nominating and Corporate Governance Committee. Each director attended at least 75% of the meetings of the Board committees on which such director served. In addition, from time to time, special committees may be established under the direction of the Board of Directors when necessary to address specific issues. The composition of the Board committees complies with the applicable rules of the Nasdaq Stock Market and applicable law. Our Board of Directors has adopted a written charter for each of the standing committees, which are available in the Corporate Governance section of the Investor Relations page on our website at </w:t>
      </w:r>
      <w:r>
        <w:rPr>
          <w:rFonts w:ascii="Arial" w:cs="Arial" w:eastAsia="Arial" w:hAnsi="Arial"/>
          <w:sz w:val="18"/>
          <w:szCs w:val="18"/>
          <w:u w:val="single" w:color="auto"/>
          <w:color w:val="auto"/>
        </w:rPr>
        <w:t>www.gcu.edu</w:t>
      </w:r>
      <w:r>
        <w:rPr>
          <w:rFonts w:ascii="Arial" w:cs="Arial" w:eastAsia="Arial" w:hAnsi="Arial"/>
          <w:sz w:val="18"/>
          <w:szCs w:val="18"/>
          <w:i w:val="1"/>
          <w:iCs w:val="1"/>
          <w:color w:val="auto"/>
        </w:rPr>
        <w: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11" w:name="page12"/>
    <w:bookmarkEnd w:id="11"/>
    <w:p>
      <w:pPr>
        <w:ind w:right="60" w:firstLine="456"/>
        <w:spacing w:after="0" w:line="25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w:t>
      </w:r>
      <w:r>
        <w:rPr>
          <w:rFonts w:ascii="Arial" w:cs="Arial" w:eastAsia="Arial" w:hAnsi="Arial"/>
          <w:sz w:val="18"/>
          <w:szCs w:val="18"/>
          <w:color w:val="auto"/>
        </w:rPr>
        <w:t>. Our Audit Committee consists of Messrs. Jack A. Henry (chair), Kevin F. Warren, and Bradley A. Casper, each of whom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has determined is “independent,” as defined under and required by the rules of the Nasdaq Stock Market and the federal securities laws. Our Audit Committee met six times during 2014. Our Audit Committee is directly responsible for, among other things, the appointment, compensation, retention, and oversight of our independent registered public accounting firm. The oversight includes reviewing the plans and results of the audit engagement with the firm, approving any additional professional services provided by the firm and reviewing the independence of the firm. The Audit Committee is also responsible for discussing the effectiveness of the internal controls over financial reporting with the firm and relevant financial management. Our Board of Directors has determined that each of Messrs. Henry, Warren and Casper qualifies as an “audit committee financial expert,” as defined under applicable federal securities laws.</w:t>
      </w:r>
    </w:p>
    <w:p>
      <w:pPr>
        <w:spacing w:after="0" w:line="19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Our Compensation Committee consists of Messrs. David J. Johnson (chair), Jack A. Henry, and Ms. Sara R. Dial,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whom the Board of Directors has determined is “independent,” as defined under and required by the rules of the Nasdaq Stock Market. Our Compensation Committee met six times during 2014. The Compensation Committee is responsible for, among other things, supervising and reviewing our affairs as they relate to the compensation and benefits of our executive officers and directors. In carrying out these responsibilities, the Compensation Committee reviews all components of executive compensation for consistency with our compensation philosophy and with the interests of our stockholders</w:t>
      </w:r>
      <w:r>
        <w:rPr>
          <w:rFonts w:ascii="Arial" w:cs="Arial" w:eastAsia="Arial" w:hAnsi="Arial"/>
          <w:sz w:val="16"/>
          <w:szCs w:val="16"/>
          <w:i w:val="1"/>
          <w:iCs w:val="1"/>
          <w:color w:val="auto"/>
        </w:rPr>
        <w:t>.</w:t>
      </w:r>
    </w:p>
    <w:p>
      <w:pPr>
        <w:spacing w:after="0" w:line="158"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The Compensation Committee’s charter allows it to delegate any matters within its authority to individuals or subcommittees as it deems appropriate. In addition, the Compensation Committee has the authority under its charter to retain outside advisors to assist it in the performance of its duties. Beginning in the fall of 2009, the Compensation Committee has engaged Mercer on an every other year basis as its compensation consultant and advisor to:</w:t>
      </w:r>
    </w:p>
    <w:p>
      <w:pPr>
        <w:spacing w:after="0" w:line="52" w:lineRule="exact"/>
        <w:rPr>
          <w:sz w:val="20"/>
          <w:szCs w:val="20"/>
          <w:color w:val="auto"/>
        </w:rPr>
      </w:pPr>
    </w:p>
    <w:p>
      <w:pPr>
        <w:ind w:left="900" w:right="14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recommendations regarding executive compensation consistent with the Company’s business needs, pay philosophy, market trends and latest legal and regulatory considerations;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market data for base salary, short-term incentive and long-term incentive decisions;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Advise the Compensation Committee as to best practices.</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2013, Mercer provided market benchmark information and advised on the competitiveness of executive officer compensation. The peer group consisted of the following companies:</w:t>
      </w:r>
    </w:p>
    <w:p>
      <w:pPr>
        <w:spacing w:after="0" w:line="197"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100"/>
              <w:spacing w:after="0"/>
              <w:rPr>
                <w:sz w:val="20"/>
                <w:szCs w:val="20"/>
                <w:color w:val="auto"/>
              </w:rPr>
            </w:pPr>
            <w:r>
              <w:rPr>
                <w:rFonts w:ascii="Arial" w:cs="Arial" w:eastAsia="Arial" w:hAnsi="Arial"/>
                <w:sz w:val="18"/>
                <w:szCs w:val="18"/>
                <w:color w:val="auto"/>
              </w:rPr>
              <w:t>Education Management Corporation;</w:t>
            </w:r>
          </w:p>
        </w:tc>
        <w:tc>
          <w:tcPr>
            <w:tcW w:w="1720" w:type="dxa"/>
            <w:vAlign w:val="bottom"/>
          </w:tcPr>
          <w:p>
            <w:pPr>
              <w:ind w:left="1560"/>
              <w:spacing w:after="0"/>
              <w:rPr>
                <w:sz w:val="20"/>
                <w:szCs w:val="20"/>
                <w:color w:val="auto"/>
              </w:rPr>
            </w:pPr>
            <w:r>
              <w:rPr>
                <w:rFonts w:ascii="Arial" w:cs="Arial" w:eastAsia="Arial" w:hAnsi="Arial"/>
                <w:sz w:val="18"/>
                <w:szCs w:val="18"/>
                <w:color w:val="auto"/>
              </w:rPr>
              <w:t>•</w:t>
            </w:r>
          </w:p>
        </w:tc>
        <w:tc>
          <w:tcPr>
            <w:tcW w:w="2380" w:type="dxa"/>
            <w:vAlign w:val="bottom"/>
          </w:tcPr>
          <w:p>
            <w:pPr>
              <w:ind w:left="100"/>
              <w:spacing w:after="0"/>
              <w:rPr>
                <w:sz w:val="20"/>
                <w:szCs w:val="20"/>
                <w:color w:val="auto"/>
              </w:rPr>
            </w:pPr>
            <w:r>
              <w:rPr>
                <w:rFonts w:ascii="Arial" w:cs="Arial" w:eastAsia="Arial" w:hAnsi="Arial"/>
                <w:sz w:val="18"/>
                <w:szCs w:val="18"/>
                <w:color w:val="auto"/>
              </w:rPr>
              <w:t>Bridgepoint Education, Inc.</w:t>
            </w:r>
          </w:p>
        </w:tc>
      </w:tr>
      <w:tr>
        <w:trPr>
          <w:trHeight w:val="33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100"/>
              <w:spacing w:after="0"/>
              <w:rPr>
                <w:sz w:val="20"/>
                <w:szCs w:val="20"/>
                <w:color w:val="auto"/>
              </w:rPr>
            </w:pPr>
            <w:r>
              <w:rPr>
                <w:rFonts w:ascii="Arial" w:cs="Arial" w:eastAsia="Arial" w:hAnsi="Arial"/>
                <w:sz w:val="18"/>
                <w:szCs w:val="18"/>
                <w:color w:val="auto"/>
              </w:rPr>
              <w:t>Advisory Board</w:t>
            </w:r>
          </w:p>
        </w:tc>
        <w:tc>
          <w:tcPr>
            <w:tcW w:w="1720" w:type="dxa"/>
            <w:vAlign w:val="bottom"/>
          </w:tcPr>
          <w:p>
            <w:pPr>
              <w:ind w:left="1560"/>
              <w:spacing w:after="0"/>
              <w:rPr>
                <w:sz w:val="20"/>
                <w:szCs w:val="20"/>
                <w:color w:val="auto"/>
              </w:rPr>
            </w:pPr>
            <w:r>
              <w:rPr>
                <w:rFonts w:ascii="Arial" w:cs="Arial" w:eastAsia="Arial" w:hAnsi="Arial"/>
                <w:sz w:val="18"/>
                <w:szCs w:val="18"/>
                <w:color w:val="auto"/>
              </w:rPr>
              <w:t>•</w:t>
            </w:r>
          </w:p>
        </w:tc>
        <w:tc>
          <w:tcPr>
            <w:tcW w:w="2380" w:type="dxa"/>
            <w:vAlign w:val="bottom"/>
          </w:tcPr>
          <w:p>
            <w:pPr>
              <w:ind w:left="100"/>
              <w:spacing w:after="0"/>
              <w:rPr>
                <w:sz w:val="20"/>
                <w:szCs w:val="20"/>
                <w:color w:val="auto"/>
              </w:rPr>
            </w:pPr>
            <w:r>
              <w:rPr>
                <w:rFonts w:ascii="Arial" w:cs="Arial" w:eastAsia="Arial" w:hAnsi="Arial"/>
                <w:sz w:val="18"/>
                <w:szCs w:val="18"/>
                <w:color w:val="auto"/>
              </w:rPr>
              <w:t>K12, Inc.</w:t>
            </w:r>
          </w:p>
        </w:tc>
      </w:tr>
      <w:tr>
        <w:trPr>
          <w:trHeight w:val="33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100"/>
              <w:spacing w:after="0"/>
              <w:rPr>
                <w:sz w:val="20"/>
                <w:szCs w:val="20"/>
                <w:color w:val="auto"/>
              </w:rPr>
            </w:pPr>
            <w:r>
              <w:rPr>
                <w:rFonts w:ascii="Arial" w:cs="Arial" w:eastAsia="Arial" w:hAnsi="Arial"/>
                <w:sz w:val="18"/>
                <w:szCs w:val="18"/>
                <w:color w:val="auto"/>
              </w:rPr>
              <w:t>DeVry, Inc.</w:t>
            </w:r>
          </w:p>
        </w:tc>
        <w:tc>
          <w:tcPr>
            <w:tcW w:w="1720" w:type="dxa"/>
            <w:vAlign w:val="bottom"/>
          </w:tcPr>
          <w:p>
            <w:pPr>
              <w:ind w:left="1560"/>
              <w:spacing w:after="0"/>
              <w:rPr>
                <w:sz w:val="20"/>
                <w:szCs w:val="20"/>
                <w:color w:val="auto"/>
              </w:rPr>
            </w:pPr>
            <w:r>
              <w:rPr>
                <w:rFonts w:ascii="Arial" w:cs="Arial" w:eastAsia="Arial" w:hAnsi="Arial"/>
                <w:sz w:val="18"/>
                <w:szCs w:val="18"/>
                <w:color w:val="auto"/>
              </w:rPr>
              <w:t>•</w:t>
            </w:r>
          </w:p>
        </w:tc>
        <w:tc>
          <w:tcPr>
            <w:tcW w:w="2380" w:type="dxa"/>
            <w:vAlign w:val="bottom"/>
          </w:tcPr>
          <w:p>
            <w:pPr>
              <w:ind w:left="100"/>
              <w:spacing w:after="0"/>
              <w:rPr>
                <w:sz w:val="20"/>
                <w:szCs w:val="20"/>
                <w:color w:val="auto"/>
              </w:rPr>
            </w:pPr>
            <w:r>
              <w:rPr>
                <w:rFonts w:ascii="Arial" w:cs="Arial" w:eastAsia="Arial" w:hAnsi="Arial"/>
                <w:sz w:val="18"/>
                <w:szCs w:val="18"/>
                <w:color w:val="auto"/>
              </w:rPr>
              <w:t>Capella Education, Inc.</w:t>
            </w:r>
          </w:p>
        </w:tc>
      </w:tr>
      <w:tr>
        <w:trPr>
          <w:trHeight w:val="33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100"/>
              <w:spacing w:after="0"/>
              <w:rPr>
                <w:sz w:val="20"/>
                <w:szCs w:val="20"/>
                <w:color w:val="auto"/>
              </w:rPr>
            </w:pPr>
            <w:r>
              <w:rPr>
                <w:rFonts w:ascii="Arial" w:cs="Arial" w:eastAsia="Arial" w:hAnsi="Arial"/>
                <w:sz w:val="18"/>
                <w:szCs w:val="18"/>
                <w:color w:val="auto"/>
              </w:rPr>
              <w:t>Blackboard</w:t>
            </w:r>
          </w:p>
        </w:tc>
        <w:tc>
          <w:tcPr>
            <w:tcW w:w="1720" w:type="dxa"/>
            <w:vAlign w:val="bottom"/>
          </w:tcPr>
          <w:p>
            <w:pPr>
              <w:ind w:left="1560"/>
              <w:spacing w:after="0"/>
              <w:rPr>
                <w:sz w:val="20"/>
                <w:szCs w:val="20"/>
                <w:color w:val="auto"/>
              </w:rPr>
            </w:pPr>
            <w:r>
              <w:rPr>
                <w:rFonts w:ascii="Arial" w:cs="Arial" w:eastAsia="Arial" w:hAnsi="Arial"/>
                <w:sz w:val="18"/>
                <w:szCs w:val="18"/>
                <w:color w:val="auto"/>
              </w:rPr>
              <w:t>•</w:t>
            </w:r>
          </w:p>
        </w:tc>
        <w:tc>
          <w:tcPr>
            <w:tcW w:w="2380" w:type="dxa"/>
            <w:vAlign w:val="bottom"/>
          </w:tcPr>
          <w:p>
            <w:pPr>
              <w:ind w:left="100"/>
              <w:spacing w:after="0"/>
              <w:rPr>
                <w:sz w:val="20"/>
                <w:szCs w:val="20"/>
                <w:color w:val="auto"/>
              </w:rPr>
            </w:pPr>
            <w:r>
              <w:rPr>
                <w:rFonts w:ascii="Arial" w:cs="Arial" w:eastAsia="Arial" w:hAnsi="Arial"/>
                <w:sz w:val="18"/>
                <w:szCs w:val="18"/>
                <w:color w:val="auto"/>
              </w:rPr>
              <w:t>Monster Worldwide</w:t>
            </w:r>
          </w:p>
        </w:tc>
      </w:tr>
      <w:tr>
        <w:trPr>
          <w:trHeight w:val="33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100"/>
              <w:spacing w:after="0"/>
              <w:rPr>
                <w:sz w:val="20"/>
                <w:szCs w:val="20"/>
                <w:color w:val="auto"/>
              </w:rPr>
            </w:pPr>
            <w:r>
              <w:rPr>
                <w:rFonts w:ascii="Arial" w:cs="Arial" w:eastAsia="Arial" w:hAnsi="Arial"/>
                <w:sz w:val="18"/>
                <w:szCs w:val="18"/>
                <w:color w:val="auto"/>
              </w:rPr>
              <w:t>ITT Educational Services, Inc.</w:t>
            </w:r>
          </w:p>
        </w:tc>
        <w:tc>
          <w:tcPr>
            <w:tcW w:w="4100" w:type="dxa"/>
            <w:vAlign w:val="bottom"/>
            <w:gridSpan w:val="2"/>
          </w:tcPr>
          <w:p>
            <w:pPr>
              <w:ind w:left="1560"/>
              <w:spacing w:after="0"/>
              <w:rPr>
                <w:sz w:val="20"/>
                <w:szCs w:val="20"/>
                <w:color w:val="auto"/>
              </w:rPr>
            </w:pPr>
            <w:r>
              <w:rPr>
                <w:rFonts w:ascii="Arial" w:cs="Arial" w:eastAsia="Arial" w:hAnsi="Arial"/>
                <w:sz w:val="18"/>
                <w:szCs w:val="18"/>
                <w:color w:val="auto"/>
              </w:rPr>
              <w:t>•  Apollo Education Group, Inc.</w:t>
            </w:r>
          </w:p>
        </w:tc>
      </w:tr>
      <w:tr>
        <w:trPr>
          <w:trHeight w:val="33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100"/>
              <w:spacing w:after="0"/>
              <w:rPr>
                <w:sz w:val="20"/>
                <w:szCs w:val="20"/>
                <w:color w:val="auto"/>
              </w:rPr>
            </w:pPr>
            <w:r>
              <w:rPr>
                <w:rFonts w:ascii="Arial" w:cs="Arial" w:eastAsia="Arial" w:hAnsi="Arial"/>
                <w:sz w:val="18"/>
                <w:szCs w:val="18"/>
                <w:color w:val="auto"/>
              </w:rPr>
              <w:t>Corporate Executive Board</w:t>
            </w:r>
          </w:p>
        </w:tc>
        <w:tc>
          <w:tcPr>
            <w:tcW w:w="4100" w:type="dxa"/>
            <w:vAlign w:val="bottom"/>
            <w:gridSpan w:val="2"/>
          </w:tcPr>
          <w:p>
            <w:pPr>
              <w:ind w:left="1560"/>
              <w:spacing w:after="0"/>
              <w:rPr>
                <w:sz w:val="20"/>
                <w:szCs w:val="20"/>
                <w:color w:val="auto"/>
              </w:rPr>
            </w:pPr>
            <w:r>
              <w:rPr>
                <w:rFonts w:ascii="Arial" w:cs="Arial" w:eastAsia="Arial" w:hAnsi="Arial"/>
                <w:sz w:val="18"/>
                <w:szCs w:val="18"/>
                <w:color w:val="auto"/>
                <w:w w:val="95"/>
              </w:rPr>
              <w:t>•  American Public Education Co.</w:t>
            </w:r>
          </w:p>
        </w:tc>
      </w:tr>
      <w:tr>
        <w:trPr>
          <w:trHeight w:val="33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40" w:type="dxa"/>
            <w:vAlign w:val="bottom"/>
          </w:tcPr>
          <w:p>
            <w:pPr>
              <w:ind w:left="100"/>
              <w:spacing w:after="0"/>
              <w:rPr>
                <w:sz w:val="20"/>
                <w:szCs w:val="20"/>
                <w:color w:val="auto"/>
              </w:rPr>
            </w:pPr>
            <w:r>
              <w:rPr>
                <w:rFonts w:ascii="Arial" w:cs="Arial" w:eastAsia="Arial" w:hAnsi="Arial"/>
                <w:sz w:val="18"/>
                <w:szCs w:val="18"/>
                <w:color w:val="auto"/>
              </w:rPr>
              <w:t>Strayer Education, Inc.</w:t>
            </w:r>
          </w:p>
        </w:tc>
        <w:tc>
          <w:tcPr>
            <w:tcW w:w="172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pacing w:after="0" w:line="215"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As a result of Mercer’s analysis of peer group compensation practices and the Compensation Committee’s assessment of management performance in 2013 and prior years, the Compensation Committee in March 2014 approved increases in executive management base salaries.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2" w:name="page13"/>
    <w:bookmarkEnd w:id="12"/>
    <w:p>
      <w:pPr>
        <w:ind w:firstLine="456"/>
        <w:spacing w:after="0" w:line="291"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Nominating and Corporate Governance Committee. </w:t>
      </w:r>
      <w:r>
        <w:rPr>
          <w:rFonts w:ascii="Arial" w:cs="Arial" w:eastAsia="Arial" w:hAnsi="Arial"/>
          <w:sz w:val="16"/>
          <w:szCs w:val="16"/>
          <w:color w:val="auto"/>
        </w:rPr>
        <w:t>Our Nominating and Corporate Governance Committee consists of Messrs. Bradley A. Casper</w:t>
      </w:r>
      <w:r>
        <w:rPr>
          <w:rFonts w:ascii="Arial" w:cs="Arial" w:eastAsia="Arial" w:hAnsi="Arial"/>
          <w:sz w:val="16"/>
          <w:szCs w:val="16"/>
          <w:i w:val="1"/>
          <w:iCs w:val="1"/>
          <w:color w:val="auto"/>
        </w:rPr>
        <w:t xml:space="preserve"> </w:t>
      </w:r>
      <w:r>
        <w:rPr>
          <w:rFonts w:ascii="Arial" w:cs="Arial" w:eastAsia="Arial" w:hAnsi="Arial"/>
          <w:sz w:val="16"/>
          <w:szCs w:val="16"/>
          <w:color w:val="auto"/>
        </w:rPr>
        <w:t>(chair), David J. Johnson, Kevin F. Warren and Ms. Sara R. Dial, each of whom our Board of Directors has determined is “independent,” as defined under and required by the rules of the Nasdaq Stock Market. Our Nominating and Corporate Governance Committee met four times during 2014. The Nominating and Corporate Governance Committee is responsible for, among other things, identifying individuals qualified to become members of the Board of Directors; recommending to the Board of Directors nominees for each election of directors; developing and recommending to the Board of Directors criteria for selecting qualified director candidates; considering committee member qualifications, appointment and removal; recommending corporate governance principles, codes of conduct and compliance mechanisms; and providing oversight in the annual evaluation of the Board of Directors and each committee.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 xml:space="preserve">We have adopted a business code of conduct, which applies to all of our employees, directors, and consultants. The code of conduct includes particular provisions applicable to our senior financial management, which includes our Chief Executive Officer, Chief Financial Officer and principal accounting officer, and other employees performing similar functions. A copy of our code of conduct is available on the Corporate Governance section of the Investor Relations page on our website at </w:t>
      </w:r>
      <w:r>
        <w:rPr>
          <w:rFonts w:ascii="Arial" w:cs="Arial" w:eastAsia="Arial" w:hAnsi="Arial"/>
          <w:sz w:val="17"/>
          <w:szCs w:val="17"/>
          <w:u w:val="single" w:color="auto"/>
          <w:color w:val="auto"/>
        </w:rPr>
        <w:t>www.gcu.edu</w:t>
      </w:r>
      <w:r>
        <w:rPr>
          <w:rFonts w:ascii="Arial" w:cs="Arial" w:eastAsia="Arial" w:hAnsi="Arial"/>
          <w:sz w:val="17"/>
          <w:szCs w:val="17"/>
          <w:i w:val="1"/>
          <w:iCs w:val="1"/>
          <w:color w:val="auto"/>
        </w:rPr>
        <w:t>.</w:t>
      </w:r>
      <w:r>
        <w:rPr>
          <w:rFonts w:ascii="Arial" w:cs="Arial" w:eastAsia="Arial" w:hAnsi="Arial"/>
          <w:sz w:val="17"/>
          <w:szCs w:val="17"/>
          <w:color w:val="auto"/>
        </w:rPr>
        <w:t xml:space="preserve"> We intend to post on our website any amendment to, or waiver from, a provision of our code of conduct that applies to any director or officer, including our Chief Executive Officer, Chief Financial Officer and principal accounting officer, and other persons performing similar functions, promptly following the date of such amendment or waiver.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2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Board of Directors is responsible for oversight of our risk assessment and management processes. The Board of Directors has delegated to the Compensation Committee basic responsibility for oversight of management’s compensation risk assessment, and has delegated to the Audit Committee tasks related to risk process oversight. In exercising its oversight duties, the Board of Directors receives reports from each committee regarding the committee’s considerations and actions. The Audit Committee’s process includes working with the Company’s Chief Risk Officer and other members of the Company’s enterprise risk management team, meeting periodically with the Chief Risk Officer and other members of management and receiving reports on enterprise risk management, including management’s assessment of risk exposures (including risks related to liquidity, credit, operations and regulatory compliance, among others), and the processes in place to monitor and control such exposures. The Audit Committee may also, from time to time, receive updates between meetings from the Chief Risk Officer, the Chief Executive Officer, the Chief Financial Officer and other members of management relating to risk oversight matters.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When selecting nominees for appointment or election to our Board of Directors, our Nominating and Corporate Governance Committee intends to make such selections pursuant to the following process:</w:t>
      </w:r>
    </w:p>
    <w:p>
      <w:pPr>
        <w:spacing w:after="0" w:line="76" w:lineRule="exact"/>
        <w:rPr>
          <w:sz w:val="20"/>
          <w:szCs w:val="20"/>
          <w:color w:val="auto"/>
        </w:rPr>
      </w:pPr>
    </w:p>
    <w:p>
      <w:pPr>
        <w:ind w:left="900" w:right="2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identification of director candidates by our Nominating and Corporate Governance Committee based upon suggestions from current directors and senior management, recommendations by stockholders and/or use of a director search firm;</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of the candidates’ qualifications by our Nominating and Corporate Governance Committee to determine which candidates best meet our Board of Directors’ required and desired criteria;</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interviews of interested candidates who best meet these criteria by the chair of the Nominating and Corporate Governance Committee, the chair of our Board of Directors, and/or certain other directors and management;</w:t>
      </w:r>
    </w:p>
    <w:p>
      <w:pPr>
        <w:spacing w:after="0" w:line="75" w:lineRule="exact"/>
        <w:rPr>
          <w:rFonts w:ascii="Arial" w:cs="Arial" w:eastAsia="Arial" w:hAnsi="Arial"/>
          <w:sz w:val="18"/>
          <w:szCs w:val="18"/>
          <w:color w:val="auto"/>
        </w:rPr>
      </w:pPr>
    </w:p>
    <w:p>
      <w:pPr>
        <w:ind w:left="900" w:right="260" w:hanging="446"/>
        <w:spacing w:after="0" w:line="34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recommendation by our Nominating and Corporate Governance Committee for inclusion in the slate of directors for the annual meeting of stockholders or for appointment by our Board of Directors to fill a vacancy during the interval between stockholder meetings;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formal nomination by our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Although our Nominating and Corporate Governance Committee will review each candidate’s qualifications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13" w:name="page14"/>
    <w:bookmarkEnd w:id="1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determine whether such candidate is appropriate for our Board of Directors, candidates need not possess any minimum qualifications or specific qualities or skills. In accordance with its charter, the Nominating and Corporate Governance Committee’s review and assessment of incumbent directors and proposed nominees includes the consideration of a candidate’s skills, business experiences, and background, which may include with respect to any particular incumbent or proposed nominee consideration of one or more of the following criteria:</w:t>
      </w:r>
    </w:p>
    <w:p>
      <w:pPr>
        <w:spacing w:after="0" w:line="92"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of the director’s/proposed nominee’s educational, business, non-profit or professional acumen and experience;</w:t>
      </w:r>
    </w:p>
    <w:p>
      <w:pPr>
        <w:spacing w:after="0" w:line="130" w:lineRule="exact"/>
        <w:rPr>
          <w:rFonts w:ascii="Arial" w:cs="Arial" w:eastAsia="Arial" w:hAnsi="Arial"/>
          <w:sz w:val="18"/>
          <w:szCs w:val="18"/>
          <w:color w:val="auto"/>
        </w:rPr>
      </w:pPr>
    </w:p>
    <w:p>
      <w:pPr>
        <w:ind w:left="900" w:right="86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director/proposed nominee assists in achieving a mix of members on our Board of Directors that represents a diversity of background, perspective and experience;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director/proposed nominee meets the independence requirements of the listing standards of the Nasdaq Stock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director/proposed nominee has the business experience relevant to an understanding of our business;</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director/proposed nominee would be considered a “financial expert” or “financially literate” as defined in applicable listing standards or applicable law;</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director/proposed nominee, by virtue of particular technical expertise, experience or specialized skill relevant to our current or future business, will add specific value as a Board member;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director/proposed nominee possesses a willingness to challenge and stimulate management and the ability to work as part of a team in an environment of trust.</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With respect to existing members of the Board of Directors, our Nominating and Corporate Governance Committee will reassess the qualifications of a director, including the director’s performance on our Board of Directors to date, the director’s current employment, the director’s service on other boards of directors and the director’s independence, prior to recommending a director for reelection to another term. All director-nominees were recommended for election at the Annual Meeting by our Nominating and Corporate Governance Committee, and such recommendations were formally approved by our Board of Directors.</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Stockholders who wish to recommend individuals for consideration by our Nominating and Corporate Governance Committee to become nominees for election to our Board of Directors may do so by submitting a written recommendation to our Nominating and Corporate Governance Committee, c/o General Counsel, Grand Canyon Education, Inc., 3300 W. Camelback Road, Phoenix, Arizona 85017. Submissions must be received not less than 120 calendar days in advance of the first anniversary of the date that the Company’s proxy statement was released to stockholders in connection with the previous year’s annual meeting of stockholders, except that if no annual meeting was held in the previous year or the date of the annual meeting has been advanced by more than 30 calendar days from the date contemplated at the time of the previous year’s proxy statement, notice by the stockholders to be timely must be received not later than the close of business on the tenth day following the day on which public announcement of the date of such meeting is first made. For our 2016 Annual Meeting of Stockholders, stockholder nominations must be received by December 5, 2015.</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Each submission must set forth: (i) the name and address of the stockholder who intends to make the nomination, or the beneficial owner, if any, on whose behalf the nomination is being made and of the person or persons to be nominated; (ii) a representation that the stockholder is a holder of record of stock of the Company entitled to vote for the election of directors on the date of such notice and intends to appear in person or by proxy at the meeting to nominate the person or persons specified in the notice; (iii) the following information regarding the ownership interests of the stockholder and such other beneficial owners, which shall be supplemented in writing by the stockholder not later than ten (10) days after the record date for notice of the meeting to disclose such interests as of such record date: (A) the class and number of shares of the Company that are owned beneficially and of record by the stockholder or any such beneficial owner; (B) any derivative instrument directly or indirectly owned beneficially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4" w:name="page15"/>
    <w:bookmarkEnd w:id="1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such stockholder or any such beneficial owner and any other direct or indirect opportunity to profit or share in any profit derived from any increase or decrease in the value of shares of the Company; (C) any proxy, contract, arrangement, understanding, or relationship pursuant to which such stockholder or any such beneficial owner has a right to vote any shares of any security of the Company; (D) any short interest in any security of the Company; (E) any rights to dividends on the shares of the Company owned beneficially by such stockholder or any such beneficial owner that are separated or separable from the underlying shares of the Company; (F) any proportionate interest in shares of the Company or derivative instruments held, directly or indirectly, by a general or limited partnership in which such stockholder or any such beneficial owner is a general partner or, directly or indirectly, beneficially owns an interest in a general partner; and (G) any performance-related fees (other than an asset-based fee) to which such stockholder or any such beneficial owner is entitled based on any increase or decrease in the value of shares of the Company or derivative instruments, if any, as of the date of such notice, including, without limitation, any such interests held by members of such stockholder’s or beneficial owner’s immediate family sharing the same household, (iv) a description of all arrangements or understandings between the stockholder or such beneficial owner and each nominee and any other person or persons (naming such person or persons) pursuant to which the nomination or nominations are to be made by the stockholder; (v) a description of all direct and indirect compensation and other material monetary agreements, arrangements and understandings during the past three (3) years, and any other material relationships, between or among such stockholder and such other beneficial owner, if any, and their respective affiliates and associates, or others acting in concert therewith, on the one hand, and each proposed nominee, and his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(vi)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(vii) the consent of each nominee to serve as a director of the Company if so elected.</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receive any director nominations from stockholders for the Annual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Elections and Majority Voting</w:t>
      </w:r>
    </w:p>
    <w:p>
      <w:pPr>
        <w:spacing w:after="0" w:line="121"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Our directors are elected annually to serve until the next annual meeting of stockholders and until their successors are duly elected and qualified. Pursuant to an amendment to our bylaws adopted during 2014, at any meeting of stockholders for the election of one or more directors at which a quorum is present, each director shall be elected by the vote of a majority of the votes cast with respect to the director, provided that if the number of nominees exceeds the number of directors to be elected, the directors shall be elected by the vote of a plurality of the votes cast by the stockholders entitled to vote at the election. For purposes of the foregoing, a majority of the votes cast means that the number of shares voted “for” a director exceeds the number of votes cast “against” that director. Under our corporate governance principles and practices, the Board shall nominate for election or re-election as director only candidates who agree to execute, in connection with their nomination, irrevocable resignations that will be effective upon (1) the failure to receive a majority vote in an uncontested election at an annual meeting and (2) the Board’s acceptance of such resignation within ninety (90) days following certification of the stockholder vote. If a director then serving on the Board of Directors does not receive the required majority, the director shall tender his or her resignation to the Board. Within 90 days after the date of the certification of the election results, the Nominating and Corporate Governance Committee or other committee that may be designated by the Board will make a recommendation to the Board on whether to accept or reject the resignation, or whether other action should be taken, taking into account such factors as it deems relevant. Such factors may include the stated reasons why stockholders voted against such director’s reelection, the qualifications of the director and whether accepting the resignation would cause us to fail to meet any applicable listing standards or would violate state law. Within such ninety (90) day period, the Board will act on such committee’s recommendation and publicly disclose its decision and the rationale behind it.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 Interlocks and Insider Participation</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During 2014, Messrs. Johnson and Henry and Ms. Dial served as the members of our Compensation Committee. No executive officer serves, or in the past has served, as a member of the Board of Directors or compensation committee of any entity that has any of its executive officers serving as a member of our Board of Directors or Compensation Committee.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Stockholders may communicate with any of our directors, including our lead independent director, the chair of any of the committees of the Board of Directors, or the non-management directors as a group by writing to them c/o Secretary, Grand Canyon Education, Inc., 3300 West Camelback Road, Phoenix, Arizona 85017. Please specify to whom your correspondence should be directed. The Secretary will promptly forward all correspondence to the Board of Directors or any specific director, as indicated in the correspondence, except for junk mail, mass mailings, job inquiries, surveys, business solicitations or advertisements, or patently offensive or otherwise inappropriate material. The Secretary may forward certain correspondence, such as product-related or service-related inquiries, elsewhere within the Company for review and possible response.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Guidelines</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The Board of Directors believes that each director should develop a meaningful ownership position in the Company. Therefore, the Board of Directors has adopted stock ownership guidelines for directors. Pursuant to these guidelines, which are set forth in our Corporate Governance Principles and Practices and available on the Corporate Governance section of the Investor Relations page on our website at </w:t>
      </w:r>
      <w:r>
        <w:rPr>
          <w:rFonts w:ascii="Arial" w:cs="Arial" w:eastAsia="Arial" w:hAnsi="Arial"/>
          <w:sz w:val="17"/>
          <w:szCs w:val="17"/>
          <w:i w:val="1"/>
          <w:iCs w:val="1"/>
          <w:color w:val="auto"/>
        </w:rPr>
        <w:t>www.gcu.edu</w:t>
      </w:r>
      <w:r>
        <w:rPr>
          <w:rFonts w:ascii="Arial" w:cs="Arial" w:eastAsia="Arial" w:hAnsi="Arial"/>
          <w:sz w:val="17"/>
          <w:szCs w:val="17"/>
          <w:color w:val="auto"/>
        </w:rPr>
        <w:t>, each director is expected to own at least $50,000 of our Common Stock and is expected to achieve the target ownership threshold within two years of their election to the Board of Directors. As of December 31, 2014, all directors are in compliance with the stock ownership guidelines.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have a compensation program in place for our non-employee directors that utilizes annual retainers and restricted stock grants. New non-employee directors, upon appointment or election to the Board of Directors, receive an award of restricted stock under our 2008 Equity Incentive Plan (the “Equity Incentive Plan”) valued at $20,000 on the date of grant, which vests on the one year anniversary of the date of grant, subject to accelerated vesting in the event of a change in control. For serving on the Board of Directors, our non-employee directors also receive an annual retainer of $50,000 in cash and an award of restricted stock under our Equity Incentive Plan valued at $75,000 on the date of grant. The cash portion of the annual retainer is paid quarterly while the restricted stock grants to our non-employee directors are made after our annual meeting of stockholders each year and vest on the earlier of the one year anniversary of the date of grant or immediately prior to the following year’s annual meeting of stockholders, subject to acceleration in the event of a change in control. In addition, our lead independent director receives an additional annual cash retainer of $33,333, each non-employee director receives an additional annual cash retainer for service on a Board committee of $5,000, and each committee chair receives an additional annual cash retainer of $10,000, except for the chair of the Audit Committee, whose additional annual cash retainer for service as chair is $15,000. We reimburse all of our directors for reasonable expenses incurred to attend our Board of Directors and committee meetings.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Director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the compensation paid to our non-employee directors in 2014:</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0" w:right="259" w:bottom="1440" w:gutter="0" w:footer="0" w:header="0"/>
        </w:sectPr>
      </w:pPr>
    </w:p>
    <w:bookmarkStart w:id="16" w:name="page17"/>
    <w:bookmarkEnd w:id="16"/>
    <w:tbl>
      <w:tblPr>
        <w:tblLayout w:type="fixed"/>
        <w:tblInd w:w="920" w:type="dxa"/>
        <w:tblCellMar>
          <w:top w:w="0" w:type="dxa"/>
          <w:left w:w="0" w:type="dxa"/>
          <w:bottom w:w="0" w:type="dxa"/>
          <w:right w:w="0" w:type="dxa"/>
        </w:tblCellMar>
      </w:tblPr>
      <w:tr>
        <w:trPr>
          <w:trHeight w:val="161"/>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(1)</w:t>
            </w:r>
          </w:p>
        </w:tc>
        <w:tc>
          <w:tcPr>
            <w:tcW w:w="4580" w:type="dxa"/>
            <w:vAlign w:val="bottom"/>
            <w:vMerge w:val="restart"/>
          </w:tcPr>
          <w:p>
            <w:pPr>
              <w:spacing w:after="0"/>
              <w:rPr>
                <w:sz w:val="14"/>
                <w:szCs w:val="14"/>
                <w:color w:val="auto"/>
              </w:rPr>
            </w:pPr>
          </w:p>
        </w:tc>
        <w:tc>
          <w:tcPr>
            <w:tcW w:w="17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4"/>
              </w:rPr>
              <w:t>Fees Earned or</w:t>
            </w:r>
          </w:p>
        </w:tc>
        <w:tc>
          <w:tcPr>
            <w:tcW w:w="15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1"/>
              </w:rPr>
              <w:t xml:space="preserve">Stock Awards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)(2)</w:t>
            </w:r>
          </w:p>
        </w:tc>
        <w:tc>
          <w:tcPr>
            <w:tcW w:w="36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580" w:type="dxa"/>
            <w:vAlign w:val="bottom"/>
            <w:tcBorders>
              <w:bottom w:val="single" w:sz="8" w:color="auto"/>
            </w:tcBorders>
            <w:vMerge w:val="continue"/>
          </w:tcPr>
          <w:p>
            <w:pPr>
              <w:spacing w:after="0"/>
              <w:rPr>
                <w:sz w:val="15"/>
                <w:szCs w:val="15"/>
                <w:color w:val="auto"/>
              </w:rPr>
            </w:pPr>
          </w:p>
        </w:tc>
        <w:tc>
          <w:tcPr>
            <w:tcW w:w="4580" w:type="dxa"/>
            <w:vAlign w:val="bottom"/>
            <w:vMerge w:val="continue"/>
          </w:tcPr>
          <w:p>
            <w:pPr>
              <w:spacing w:after="0"/>
              <w:rPr>
                <w:sz w:val="15"/>
                <w:szCs w:val="15"/>
                <w:color w:val="auto"/>
              </w:rPr>
            </w:pPr>
          </w:p>
        </w:tc>
        <w:tc>
          <w:tcPr>
            <w:tcW w:w="17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 xml:space="preserve">Paid in 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58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David J. Johnson</w:t>
            </w: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103,333</w:t>
            </w:r>
          </w:p>
        </w:tc>
        <w:tc>
          <w:tcPr>
            <w:tcW w:w="7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39"/>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75,000</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$178,333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Jack A. Henry</w:t>
            </w:r>
          </w:p>
        </w:tc>
        <w:tc>
          <w:tcPr>
            <w:tcW w:w="26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75,000</w:t>
            </w:r>
          </w:p>
        </w:tc>
        <w:tc>
          <w:tcPr>
            <w:tcW w:w="4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75,000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A. Casper</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70,000</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145,000</w:t>
            </w: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Kevin F. Warren</w:t>
            </w:r>
          </w:p>
        </w:tc>
        <w:tc>
          <w:tcPr>
            <w:tcW w:w="26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60,000</w:t>
            </w:r>
          </w:p>
        </w:tc>
        <w:tc>
          <w:tcPr>
            <w:tcW w:w="4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75,000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 R. Dial</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60,000</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135,000</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0" w:hanging="452"/>
        <w:spacing w:after="0" w:line="274"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Directors who are Company employees receive no additional compensation for serving on the Board of Directors. Compensation for our employees who also serve as directors is reflected in the Summary Compensation Table set forth in “Executive Compensation” below.</w:t>
      </w:r>
    </w:p>
    <w:p>
      <w:pPr>
        <w:ind w:left="460" w:right="140" w:hanging="452"/>
        <w:spacing w:after="0" w:line="323"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part of their annual retainer, a restricted stock grant valued at $75,000 on the date of grant, comprising 1,684 shares, was made to each of Messrs. Johnson, Henry, Casper, Warren and Ms. Dial after our annual meeting of stockholders on May 15, 2014. These shares will vest on May 15, 2015.</w:t>
      </w:r>
    </w:p>
    <w:p>
      <w:pPr>
        <w:spacing w:after="0" w:line="139"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following table provides a breakdown of the cash compensation paid to our non-employee directors in 2014 in respect of their annual retainers for service on the Board of Directors, for service on Board committees, and for services as a Board committee chair or as lead independent director:</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Board of</w:t>
            </w:r>
          </w:p>
        </w:tc>
        <w:tc>
          <w:tcPr>
            <w:tcW w:w="160" w:type="dxa"/>
            <w:vAlign w:val="bottom"/>
          </w:tcPr>
          <w:p>
            <w:pPr>
              <w:spacing w:after="0"/>
              <w:rPr>
                <w:sz w:val="14"/>
                <w:szCs w:val="14"/>
                <w:color w:val="auto"/>
              </w:rPr>
            </w:pPr>
          </w:p>
        </w:tc>
        <w:tc>
          <w:tcPr>
            <w:tcW w:w="1540" w:type="dxa"/>
            <w:vAlign w:val="bottom"/>
            <w:gridSpan w:val="2"/>
            <w:vMerge w:val="restart"/>
          </w:tcPr>
          <w:p>
            <w:pPr>
              <w:jc w:val="right"/>
              <w:ind w:right="960"/>
              <w:spacing w:after="0"/>
              <w:rPr>
                <w:sz w:val="20"/>
                <w:szCs w:val="20"/>
                <w:color w:val="auto"/>
              </w:rPr>
            </w:pPr>
            <w:r>
              <w:rPr>
                <w:rFonts w:ascii="Arial" w:cs="Arial" w:eastAsia="Arial" w:hAnsi="Arial"/>
                <w:sz w:val="14"/>
                <w:szCs w:val="14"/>
                <w:b w:val="1"/>
                <w:bCs w:val="1"/>
                <w:color w:val="auto"/>
              </w:rPr>
              <w:t>Board</w:t>
            </w: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Committee</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Chair</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500" w:type="dxa"/>
            <w:vAlign w:val="bottom"/>
            <w:vMerge w:val="restart"/>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Directors</w:t>
            </w:r>
          </w:p>
        </w:tc>
        <w:tc>
          <w:tcPr>
            <w:tcW w:w="160" w:type="dxa"/>
            <w:vAlign w:val="bottom"/>
          </w:tcPr>
          <w:p>
            <w:pPr>
              <w:spacing w:after="0"/>
              <w:rPr>
                <w:sz w:val="12"/>
                <w:szCs w:val="12"/>
                <w:color w:val="auto"/>
              </w:rPr>
            </w:pPr>
          </w:p>
        </w:tc>
        <w:tc>
          <w:tcPr>
            <w:tcW w:w="15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9"/>
              </w:rPr>
              <w:t>Committee</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Annual</w:t>
            </w:r>
          </w:p>
        </w:tc>
        <w:tc>
          <w:tcPr>
            <w:tcW w:w="300" w:type="dxa"/>
            <w:vAlign w:val="bottom"/>
          </w:tcPr>
          <w:p>
            <w:pPr>
              <w:spacing w:after="0"/>
              <w:rPr>
                <w:sz w:val="12"/>
                <w:szCs w:val="1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620" w:type="dxa"/>
            <w:vAlign w:val="bottom"/>
            <w:gridSpan w:val="3"/>
          </w:tcPr>
          <w:p>
            <w:pPr>
              <w:jc w:val="right"/>
              <w:ind w:right="600"/>
              <w:spacing w:after="0" w:line="158" w:lineRule="exact"/>
              <w:rPr>
                <w:sz w:val="20"/>
                <w:szCs w:val="20"/>
                <w:color w:val="auto"/>
              </w:rPr>
            </w:pPr>
            <w:r>
              <w:rPr>
                <w:rFonts w:ascii="Arial" w:cs="Arial" w:eastAsia="Arial" w:hAnsi="Arial"/>
                <w:sz w:val="14"/>
                <w:szCs w:val="14"/>
                <w:b w:val="1"/>
                <w:bCs w:val="1"/>
                <w:color w:val="auto"/>
                <w:w w:val="93"/>
              </w:rPr>
              <w:t>Annual Retainer</w:t>
            </w:r>
          </w:p>
        </w:tc>
        <w:tc>
          <w:tcPr>
            <w:tcW w:w="1700" w:type="dxa"/>
            <w:vAlign w:val="bottom"/>
            <w:gridSpan w:val="3"/>
          </w:tcPr>
          <w:p>
            <w:pPr>
              <w:jc w:val="right"/>
              <w:ind w:right="600"/>
              <w:spacing w:after="0" w:line="158" w:lineRule="exact"/>
              <w:rPr>
                <w:sz w:val="20"/>
                <w:szCs w:val="20"/>
                <w:color w:val="auto"/>
              </w:rPr>
            </w:pPr>
            <w:r>
              <w:rPr>
                <w:rFonts w:ascii="Arial" w:cs="Arial" w:eastAsia="Arial" w:hAnsi="Arial"/>
                <w:sz w:val="14"/>
                <w:szCs w:val="14"/>
                <w:b w:val="1"/>
                <w:bCs w:val="1"/>
                <w:color w:val="auto"/>
                <w:w w:val="93"/>
              </w:rPr>
              <w:t>Annual Retainers</w:t>
            </w:r>
          </w:p>
        </w:tc>
        <w:tc>
          <w:tcPr>
            <w:tcW w:w="98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2"/>
              </w:rPr>
              <w:t>Retainer</w:t>
            </w:r>
          </w:p>
        </w:tc>
        <w:tc>
          <w:tcPr>
            <w:tcW w:w="3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David J. Johnson(1)</w:t>
            </w:r>
          </w:p>
        </w:tc>
        <w:tc>
          <w:tcPr>
            <w:tcW w:w="1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w:t>
            </w: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w:t>
            </w:r>
          </w:p>
        </w:tc>
        <w:tc>
          <w:tcPr>
            <w:tcW w:w="6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$ 43,333</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$103,333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Jack A. Henry(1)</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15,000</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A. Casper(1)</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10,000</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w:t>
            </w:r>
          </w:p>
        </w:tc>
        <w:tc>
          <w:tcPr>
            <w:tcW w:w="10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Kevin F. Warren(1)</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ind w:left="5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 R. Dial(1)</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500" w:hanging="452"/>
        <w:spacing w:after="0" w:line="34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amount for Mr. Johnson includes the additional annual retainer of $33,333 that he receives in his capacity as lead independent director. The amounts for all non-employee directors exclude their respective annual restricted stock grants valued at $75,000 on the date of grant.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253" w:right="3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Our bylaws provide that our business will be managed by or under the direction of a Board of Directors. The number of directors constituting our Board of Directors is determined from time to time by our Board of Directors. Currently, our Board of Directors consists of seven members. Each nominee for the position of director will be elected at the Annual Meeting to hold office until the next annual meeting of stockholders or the director’s earlier resignation or removal. Upon the recommendation of the Nominating and Corporate Governance Committee of the Board of Directors, the Board of Directors has nominated the seven persons named below for election as directors. Proxies solicited by our Board of Directors will, unless otherwise directed, be voted to elect the seven nominees named below to constitute the entire Board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Director Nominees</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All of the nominees named below are currently serving on the Board of Directors. Each nominee has indicated a willingness to serve as a director for the ensuing year, but in case any nominee is not a candidate at the meeting for any reason, the proxies named in the enclosed proxy form may vote for a substitute nominee recommended by the Nominating and Corporate Governance Committee and approved by the Board of Directors.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regarding each director nominee: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420" w:type="dxa"/>
            <w:vAlign w:val="bottom"/>
          </w:tcPr>
          <w:p>
            <w:pPr>
              <w:spacing w:after="0"/>
              <w:rPr>
                <w:sz w:val="16"/>
                <w:szCs w:val="16"/>
                <w:color w:val="auto"/>
              </w:rPr>
            </w:pPr>
          </w:p>
        </w:tc>
        <w:tc>
          <w:tcPr>
            <w:tcW w:w="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4740" w:type="dxa"/>
            <w:vAlign w:val="bottom"/>
            <w:gridSpan w:val="2"/>
          </w:tcPr>
          <w:p>
            <w:pPr>
              <w:ind w:left="2060"/>
              <w:spacing w:after="0"/>
              <w:rPr>
                <w:sz w:val="20"/>
                <w:szCs w:val="20"/>
                <w:color w:val="auto"/>
              </w:rPr>
            </w:pPr>
            <w:r>
              <w:rPr>
                <w:rFonts w:ascii="Arial" w:cs="Arial" w:eastAsia="Arial" w:hAnsi="Arial"/>
                <w:sz w:val="14"/>
                <w:szCs w:val="14"/>
                <w:b w:val="1"/>
                <w:bCs w:val="1"/>
                <w:color w:val="auto"/>
              </w:rPr>
              <w:t>Position</w:t>
            </w:r>
          </w:p>
        </w:tc>
        <w:tc>
          <w:tcPr>
            <w:tcW w:w="4520" w:type="dxa"/>
            <w:vAlign w:val="bottom"/>
          </w:tcPr>
          <w:p>
            <w:pPr>
              <w:ind w:left="1500"/>
              <w:spacing w:after="0"/>
              <w:rPr>
                <w:sz w:val="20"/>
                <w:szCs w:val="20"/>
                <w:color w:val="auto"/>
              </w:rPr>
            </w:pPr>
            <w:r>
              <w:rPr>
                <w:rFonts w:ascii="Arial" w:cs="Arial" w:eastAsia="Arial" w:hAnsi="Arial"/>
                <w:sz w:val="14"/>
                <w:szCs w:val="14"/>
                <w:b w:val="1"/>
                <w:bCs w:val="1"/>
                <w:color w:val="auto"/>
              </w:rPr>
              <w:t>Committee Membership</w:t>
            </w:r>
          </w:p>
        </w:tc>
      </w:tr>
      <w:tr>
        <w:trPr>
          <w:trHeight w:val="203"/>
        </w:trPr>
        <w:tc>
          <w:tcPr>
            <w:tcW w:w="1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Brent D. Richardson</w:t>
            </w:r>
          </w:p>
        </w:tc>
        <w:tc>
          <w:tcPr>
            <w:tcW w:w="2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52</w:t>
            </w:r>
          </w:p>
        </w:tc>
        <w:tc>
          <w:tcPr>
            <w:tcW w:w="120" w:type="dxa"/>
            <w:vAlign w:val="bottom"/>
            <w:tcBorders>
              <w:top w:val="single" w:sz="8" w:color="CCEEFF"/>
            </w:tcBorders>
            <w:shd w:val="clear" w:color="auto" w:fill="CCEEFF"/>
          </w:tcPr>
          <w:p>
            <w:pPr>
              <w:spacing w:after="0"/>
              <w:rPr>
                <w:sz w:val="17"/>
                <w:szCs w:val="17"/>
                <w:color w:val="auto"/>
              </w:rPr>
            </w:pPr>
          </w:p>
        </w:tc>
        <w:tc>
          <w:tcPr>
            <w:tcW w:w="4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Executive Chairman</w:t>
            </w:r>
          </w:p>
        </w:tc>
        <w:tc>
          <w:tcPr>
            <w:tcW w:w="120" w:type="dxa"/>
            <w:vAlign w:val="bottom"/>
            <w:tcBorders>
              <w:top w:val="single" w:sz="8" w:color="CCEEFF"/>
            </w:tcBorders>
            <w:shd w:val="clear" w:color="auto" w:fill="CCEEFF"/>
          </w:tcPr>
          <w:p>
            <w:pPr>
              <w:spacing w:after="0"/>
              <w:rPr>
                <w:sz w:val="17"/>
                <w:szCs w:val="17"/>
                <w:color w:val="auto"/>
              </w:rPr>
            </w:pPr>
          </w:p>
        </w:tc>
        <w:tc>
          <w:tcPr>
            <w:tcW w:w="4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None</w:t>
            </w:r>
          </w:p>
        </w:tc>
      </w:tr>
      <w:tr>
        <w:trPr>
          <w:trHeight w:val="202"/>
        </w:trPr>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rPr>
              <w:t>Brian E. Mueller</w:t>
            </w:r>
          </w:p>
        </w:tc>
        <w:tc>
          <w:tcPr>
            <w:tcW w:w="240" w:type="dxa"/>
            <w:vAlign w:val="bottom"/>
          </w:tcPr>
          <w:p>
            <w:pPr>
              <w:jc w:val="center"/>
              <w:spacing w:after="0" w:line="201" w:lineRule="exact"/>
              <w:rPr>
                <w:sz w:val="20"/>
                <w:szCs w:val="20"/>
                <w:color w:val="auto"/>
              </w:rPr>
            </w:pPr>
            <w:r>
              <w:rPr>
                <w:rFonts w:ascii="Arial" w:cs="Arial" w:eastAsia="Arial" w:hAnsi="Arial"/>
                <w:sz w:val="18"/>
                <w:szCs w:val="18"/>
                <w:color w:val="auto"/>
                <w:w w:val="89"/>
              </w:rPr>
              <w:t>61</w:t>
            </w:r>
          </w:p>
        </w:tc>
        <w:tc>
          <w:tcPr>
            <w:tcW w:w="120" w:type="dxa"/>
            <w:vAlign w:val="bottom"/>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Chief Executive Officer,</w:t>
            </w: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None</w:t>
            </w:r>
          </w:p>
        </w:tc>
      </w:tr>
      <w:tr>
        <w:trPr>
          <w:trHeight w:val="230"/>
        </w:trPr>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Director, and President of Grand Canyon University</w:t>
            </w:r>
          </w:p>
        </w:tc>
        <w:tc>
          <w:tcPr>
            <w:tcW w:w="4520" w:type="dxa"/>
            <w:vAlign w:val="bottom"/>
          </w:tcPr>
          <w:p>
            <w:pPr>
              <w:spacing w:after="0"/>
              <w:rPr>
                <w:sz w:val="20"/>
                <w:szCs w:val="20"/>
                <w:color w:val="auto"/>
              </w:rPr>
            </w:pPr>
          </w:p>
        </w:tc>
      </w:tr>
      <w:tr>
        <w:trPr>
          <w:trHeight w:val="215"/>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1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Compensation (chair)</w:t>
            </w:r>
          </w:p>
        </w:tc>
      </w:tr>
      <w:tr>
        <w:trPr>
          <w:trHeight w:val="244"/>
        </w:trPr>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w:t>
            </w:r>
          </w:p>
        </w:tc>
      </w:tr>
      <w:tr>
        <w:trPr>
          <w:trHeight w:val="202"/>
        </w:trPr>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rPr>
              <w:t>Jack A. Henry</w:t>
            </w:r>
          </w:p>
        </w:tc>
        <w:tc>
          <w:tcPr>
            <w:tcW w:w="240" w:type="dxa"/>
            <w:vAlign w:val="bottom"/>
          </w:tcPr>
          <w:p>
            <w:pPr>
              <w:jc w:val="center"/>
              <w:spacing w:after="0" w:line="201" w:lineRule="exact"/>
              <w:rPr>
                <w:sz w:val="20"/>
                <w:szCs w:val="20"/>
                <w:color w:val="auto"/>
              </w:rPr>
            </w:pPr>
            <w:r>
              <w:rPr>
                <w:rFonts w:ascii="Arial" w:cs="Arial" w:eastAsia="Arial" w:hAnsi="Arial"/>
                <w:sz w:val="18"/>
                <w:szCs w:val="18"/>
                <w:color w:val="auto"/>
                <w:w w:val="89"/>
              </w:rPr>
              <w:t>71</w:t>
            </w:r>
          </w:p>
        </w:tc>
        <w:tc>
          <w:tcPr>
            <w:tcW w:w="120" w:type="dxa"/>
            <w:vAlign w:val="bottom"/>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Director</w:t>
            </w: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Audit (chair)</w:t>
            </w:r>
          </w:p>
        </w:tc>
      </w:tr>
      <w:tr>
        <w:trPr>
          <w:trHeight w:val="230"/>
        </w:trPr>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Compensation</w:t>
            </w:r>
          </w:p>
        </w:tc>
      </w:tr>
      <w:tr>
        <w:trPr>
          <w:trHeight w:val="215"/>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A. Casper</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(chair)</w:t>
            </w:r>
          </w:p>
        </w:tc>
      </w:tr>
      <w:tr>
        <w:trPr>
          <w:trHeight w:val="244"/>
        </w:trPr>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Audit</w:t>
            </w:r>
          </w:p>
        </w:tc>
      </w:tr>
      <w:tr>
        <w:trPr>
          <w:trHeight w:val="202"/>
        </w:trPr>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rPr>
              <w:t>Kevin F. Warren</w:t>
            </w:r>
          </w:p>
        </w:tc>
        <w:tc>
          <w:tcPr>
            <w:tcW w:w="240" w:type="dxa"/>
            <w:vAlign w:val="bottom"/>
          </w:tcPr>
          <w:p>
            <w:pPr>
              <w:jc w:val="center"/>
              <w:spacing w:after="0" w:line="201" w:lineRule="exact"/>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17"/>
                <w:szCs w:val="17"/>
                <w:color w:val="auto"/>
              </w:rPr>
            </w:pPr>
          </w:p>
        </w:tc>
        <w:tc>
          <w:tcPr>
            <w:tcW w:w="4740" w:type="dxa"/>
            <w:vAlign w:val="bottom"/>
            <w:gridSpan w:val="2"/>
          </w:tcPr>
          <w:p>
            <w:pPr>
              <w:spacing w:after="0" w:line="201" w:lineRule="exact"/>
              <w:rPr>
                <w:sz w:val="20"/>
                <w:szCs w:val="20"/>
                <w:color w:val="auto"/>
              </w:rPr>
            </w:pPr>
            <w:r>
              <w:rPr>
                <w:rFonts w:ascii="Arial" w:cs="Arial" w:eastAsia="Arial" w:hAnsi="Arial"/>
                <w:sz w:val="18"/>
                <w:szCs w:val="18"/>
                <w:color w:val="auto"/>
              </w:rPr>
              <w:t>Director</w:t>
            </w: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Nominating and Corporate Governance</w:t>
            </w:r>
          </w:p>
        </w:tc>
      </w:tr>
      <w:tr>
        <w:trPr>
          <w:trHeight w:val="230"/>
        </w:trPr>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Audit</w:t>
            </w:r>
          </w:p>
        </w:tc>
      </w:tr>
      <w:tr>
        <w:trPr>
          <w:trHeight w:val="215"/>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 R. Dial</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shd w:val="clear" w:color="auto" w:fill="CCEEFF"/>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r>
      <w:tr>
        <w:trPr>
          <w:trHeight w:val="244"/>
        </w:trPr>
        <w:tc>
          <w:tcPr>
            <w:tcW w:w="3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w:t>
            </w:r>
          </w:p>
        </w:tc>
      </w:tr>
    </w:tbl>
    <w:p>
      <w:pPr>
        <w:spacing w:after="0" w:line="202"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i w:val="1"/>
          <w:iCs w:val="1"/>
          <w:color w:val="auto"/>
        </w:rPr>
        <w:t xml:space="preserve">Brent D. Richardson </w:t>
      </w:r>
      <w:r>
        <w:rPr>
          <w:rFonts w:ascii="Arial" w:cs="Arial" w:eastAsia="Arial" w:hAnsi="Arial"/>
          <w:sz w:val="16"/>
          <w:szCs w:val="16"/>
          <w:color w:val="auto"/>
        </w:rPr>
        <w:t>has been serving as our Executive Chairman since July 1, 2008. Mr. Richardson previously served as our Chief Executive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and as a director from 2004 to July 2008. From 2000 to 2004, Mr. Richardson served as Chief Executive Officer of Masters Online, LLC, a company that provided online educational programs and marketing services to several regionally and nationally accredited universities. Prior to 2000, Mr. Richardson served as Director of Sales and Marketing and later General Manager of the Educational Division of Private Networks, a company that produced customized distance learning curricula for the healthcare and automotive industries. Mr. Richardson received a Bachelor of Science degree in Finance from Eastern Illinois University. As our former Chief Executive Officer, and with more than 20 years of experience in the education industry, we believe that</w:t>
      </w:r>
    </w:p>
    <w:p>
      <w:pPr>
        <w:spacing w:after="0" w:line="5" w:lineRule="exact"/>
        <w:rPr>
          <w:sz w:val="20"/>
          <w:szCs w:val="20"/>
          <w:color w:val="auto"/>
        </w:rPr>
      </w:pPr>
    </w:p>
    <w:p>
      <w:pPr>
        <w:ind w:right="280"/>
        <w:spacing w:after="0" w:line="323" w:lineRule="auto"/>
        <w:rPr>
          <w:sz w:val="20"/>
          <w:szCs w:val="20"/>
          <w:color w:val="auto"/>
        </w:rPr>
      </w:pPr>
      <w:r>
        <w:rPr>
          <w:rFonts w:ascii="Arial" w:cs="Arial" w:eastAsia="Arial" w:hAnsi="Arial"/>
          <w:sz w:val="16"/>
          <w:szCs w:val="16"/>
          <w:color w:val="auto"/>
        </w:rPr>
        <w:t>Mr. Richardson brings an extensive understanding of both our Company, in particular, and the education industry, in general, to the Board and serves as an invaluable resource for assessing and managing risks and planning for corporate strategy within the context of our overall corporate culture.</w:t>
      </w:r>
    </w:p>
    <w:p>
      <w:pPr>
        <w:spacing w:after="0" w:line="139"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Brian E. Mueller </w:t>
      </w:r>
      <w:r>
        <w:rPr>
          <w:rFonts w:ascii="Arial" w:cs="Arial" w:eastAsia="Arial" w:hAnsi="Arial"/>
          <w:sz w:val="18"/>
          <w:szCs w:val="18"/>
          <w:color w:val="auto"/>
        </w:rPr>
        <w:t>has been serving as our Chief Executive Officer since July 1, 2008, as a director since March 2009 and as the President of Grand</w:t>
      </w:r>
      <w:r>
        <w:rPr>
          <w:rFonts w:ascii="Arial" w:cs="Arial" w:eastAsia="Arial" w:hAnsi="Arial"/>
          <w:sz w:val="18"/>
          <w:szCs w:val="18"/>
          <w:i w:val="1"/>
          <w:iCs w:val="1"/>
          <w:color w:val="auto"/>
        </w:rPr>
        <w:t xml:space="preserve"> </w:t>
      </w:r>
      <w:r>
        <w:rPr>
          <w:rFonts w:ascii="Arial" w:cs="Arial" w:eastAsia="Arial" w:hAnsi="Arial"/>
          <w:sz w:val="18"/>
          <w:szCs w:val="18"/>
          <w:color w:val="auto"/>
        </w:rPr>
        <w:t>Canyon University since September 1, 2012. Mr. Mueller has been serving as the President of the Grand Canyon University Foundation, a foundation formed to benefit public charities, since its formation in 2010 and as the President of LOPE Kingdom Fund, an entity formed to provide seed funding for entrepreneurial ventures initiated by Grand Canyon University students, since its formation in 2014. From 1987 to 2008, Mr. Mueller was employed by Apollo Education Group, Inc., a for-profit, postsecondary education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8" w:name="page19"/>
    <w:bookmarkEnd w:id="18"/>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and the parent company of the University of Phoenix, serving between January 2006 and June 2008 as its President and a Director. Mr. Mueller previously served as the Chief Operating Officer of Apollo Education Group, Inc. from December 2005 to January 2006, as Chief Executive Officer of the University of Phoenix Online, a unit of the University of Phoenix, from March 2002 to November 2005, and as Chief Operating Officer and Senior Vice President of the University of Phoenix Online from May 1997 to March 2002. From 1987 to May 1997, Mr. Mueller held several positions in operations management for Apollo Education Group, Inc. From 1983 to 1987, Mr. Mueller was a professor at Concordia University. Mr. Mueller received a Bachelor of Arts degree in Education and a Master of Arts in Education degree from Concordia University. We believe that Mr. Mueller’s past experience working for both universities focused on traditional students and working adults, as well as his day to day leadership and intimate knowledge of our business and operations, provide the Board of Directors with both industry-wide and Company-specific experience and expertise.</w:t>
      </w:r>
    </w:p>
    <w:p>
      <w:pPr>
        <w:spacing w:after="0" w:line="16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 xml:space="preserve">David J. Johnson </w:t>
      </w:r>
      <w:r>
        <w:rPr>
          <w:rFonts w:ascii="Arial" w:cs="Arial" w:eastAsia="Arial" w:hAnsi="Arial"/>
          <w:sz w:val="16"/>
          <w:szCs w:val="16"/>
          <w:color w:val="auto"/>
        </w:rPr>
        <w:t>has been serving as a member of our Board of Directors since November 2008. From 1997 to 2006, Mr. Johnson served as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and Chairman of the Board of Directors of KinderCare Learning Centers, Inc., a for-profit provider of early childhood education and care services, and from 1991 to 1996, he served as President, Chief Executive Officer, and Chairman of the Board of Directors of Red Lion Hotels Corporation, a hotel company, each of which were portfolio companies of Kohlberg Kravis Roberts &amp; Co. Prior to that time, Mr. Johnson served as a general partner of Hellman &amp; Friedman, a private equity investment firm, from 1989 to 1991, as President, Chief Operating Officer and Director of Dillingham Holdings, a diversified company, from 1986 to 1988, and as President and Chief Executive Officer of Cal Gas Corporation, a principal subsidiary of Dillingham Holdings, which was also a portfolio company of Kohlberg Kravis Roberts &amp; Co., from 1984 to 1987. Mr. Johnson currently serves as a director of Red Lion Hotels Corporation. Mr. Johnson received a Bachelor of Arts degree from the University of Oregon and a Master of Business Administration degree from the University of Southern California. We believe that Mr. Johnson’s extensive experience as a Chief Executive Officer of other companies provides a tremendous resource to our Board of Directors and management team, particularly in the areas of operations, finance, and corporate governance.</w:t>
      </w:r>
    </w:p>
    <w:p>
      <w:pPr>
        <w:spacing w:after="0" w:line="16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Jack A. Henry </w:t>
      </w:r>
      <w:r>
        <w:rPr>
          <w:rFonts w:ascii="Arial" w:cs="Arial" w:eastAsia="Arial" w:hAnsi="Arial"/>
          <w:sz w:val="16"/>
          <w:szCs w:val="16"/>
          <w:color w:val="auto"/>
        </w:rPr>
        <w:t>has been serving as a member of our Board of Directors since November 2008. Since 2000, Mr. Henry has served as the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Sierra Blanca Ventures, LLC, a private investment and advisory firm. From 1966 to 2000, Mr. Henry worked as a certified public accountant for Arthur Andersen, a national accounting firm, retiring in 2000 as the Managing Partner of the Phoenix, Arizona office. Mr. Henry currently serves on the boards of directors and audit committees of several private companies and is President of the Arizona Chapter of the National Association of Corporate Directors. Mr. Henry received a Bachelor of Business Administration degree and a Master of Business Administration degree from the University of Michigan. We believe that Mr. Henry’s extensive experience with public and financial accounting matters for corporate organizations, as well as experience as a consultant to and director of other public companies, provide significant insight and expertise to our Board of Directors.</w:t>
      </w:r>
    </w:p>
    <w:p>
      <w:pPr>
        <w:spacing w:after="0" w:line="167" w:lineRule="exact"/>
        <w:rPr>
          <w:sz w:val="20"/>
          <w:szCs w:val="20"/>
          <w:color w:val="auto"/>
        </w:rPr>
      </w:pPr>
    </w:p>
    <w:p>
      <w:pPr>
        <w:ind w:right="220" w:firstLine="456"/>
        <w:spacing w:after="0" w:line="270" w:lineRule="auto"/>
        <w:rPr>
          <w:sz w:val="20"/>
          <w:szCs w:val="20"/>
          <w:color w:val="auto"/>
        </w:rPr>
      </w:pPr>
      <w:r>
        <w:rPr>
          <w:rFonts w:ascii="Arial" w:cs="Arial" w:eastAsia="Arial" w:hAnsi="Arial"/>
          <w:sz w:val="17"/>
          <w:szCs w:val="17"/>
          <w:i w:val="1"/>
          <w:iCs w:val="1"/>
          <w:color w:val="auto"/>
        </w:rPr>
        <w:t xml:space="preserve">Bradley A. Casper </w:t>
      </w:r>
      <w:r>
        <w:rPr>
          <w:rFonts w:ascii="Arial" w:cs="Arial" w:eastAsia="Arial" w:hAnsi="Arial"/>
          <w:sz w:val="17"/>
          <w:szCs w:val="17"/>
          <w:color w:val="auto"/>
        </w:rPr>
        <w:t>has been serving as a member of our Board of Directors since August 2011. Mr. Casper has served as the President &amp; CEO of</w:t>
      </w:r>
      <w:r>
        <w:rPr>
          <w:rFonts w:ascii="Arial" w:cs="Arial" w:eastAsia="Arial" w:hAnsi="Arial"/>
          <w:sz w:val="17"/>
          <w:szCs w:val="17"/>
          <w:i w:val="1"/>
          <w:iCs w:val="1"/>
          <w:color w:val="auto"/>
        </w:rPr>
        <w:t xml:space="preserve"> </w:t>
      </w:r>
      <w:r>
        <w:rPr>
          <w:rFonts w:ascii="Arial" w:cs="Arial" w:eastAsia="Arial" w:hAnsi="Arial"/>
          <w:sz w:val="17"/>
          <w:szCs w:val="17"/>
          <w:color w:val="auto"/>
        </w:rPr>
        <w:t>Dogswell, LLC, a private equity-backed pet nutrition business, since November 2013. From 2011 to 2012, Mr. Casper served as the President of Business Operations for the Phoenix Suns, a National Basketball Association franchise, and also as the Executive Chairman of Dymatize Nutrition, Inc., a private-equity backed sports nutrition company based in Dallas, Texas. From 2005 to 2010, Mr. Casper served as the President and Chief Executive Officer of The Dial Corporation, a consumer product manufacturing company. From 2002 to 2005, Mr. Casper served as the President of the Personal Care division of Church &amp; Dwight Co., Inc., a manufacturer and distributor of consumer goods company. Prior to that time, he served in various positions over 16 years at Procter &amp; Gamble Co. Mr. Casper received his Bachelor of Science degree in Finance from Virginia Tech University and is a graduate of the Financial Management Program at General Electric Company. We believe that Mr. Casper’s marketing expertise, and his extensive experience as a Chief Executive Officer of other companies provides a tremendous resource to our Board of Directors and management team, particularly in the areas of operations, finance and corporate governance.</w:t>
      </w:r>
    </w:p>
    <w:p>
      <w:pPr>
        <w:spacing w:after="0" w:line="178"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i w:val="1"/>
          <w:iCs w:val="1"/>
          <w:color w:val="auto"/>
        </w:rPr>
        <w:t xml:space="preserve">Kevin F. Warren </w:t>
      </w:r>
      <w:r>
        <w:rPr>
          <w:rFonts w:ascii="Arial" w:cs="Arial" w:eastAsia="Arial" w:hAnsi="Arial"/>
          <w:sz w:val="17"/>
          <w:szCs w:val="17"/>
          <w:color w:val="auto"/>
        </w:rPr>
        <w:t>has been serving as a member of our Board of Directors since September 2012. Mr. Warren has served as a senior officer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Vikings, a National Football League franchise, since 2005 and currently serves as the club’s Chief Operating Officer, with responsibility for day-to-day business operations. Prior to joining the Vikings, from 2003 to 2005, Mr. Warren worked with the international law firm of Greenberg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9" w:name="page20"/>
    <w:bookmarkEnd w:id="19"/>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Traurig, which included working with the Wilf ownership group during its acquisition of the Vikings. From 2001 to 2003, Mr. Warren served as Senior Vice President of Business Operations &amp; General Counsel for the Detroit Lions. Prior to that time, Mr. Warren worked with the St. Louis Rams, as Vice President of Football Administration in 2001 and as Vice President of Player Programs &amp; Football Legal Counsel from 1997 to 2000. Mr. Warren earned his bachelor’s degree in business administration from Grand Canyon University and, in March 2012, was inducted into the Grand Canyon University Athletics Hall of Fame. Mr. Warren also earned his master’s degree in business administration from Arizona State University, and his Juris Doctorate degree from the University of Notre Dame School of Law. We believe Mr. Warren’s extensive experience with legal, financial and marketing expertise provides a tremendous resource to our Board of Directors and management team, particularly in the areas of operations, finance and corporate governance.</w:t>
      </w:r>
    </w:p>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Sara R. Dial </w:t>
      </w:r>
      <w:r>
        <w:rPr>
          <w:rFonts w:ascii="Arial" w:cs="Arial" w:eastAsia="Arial" w:hAnsi="Arial"/>
          <w:sz w:val="16"/>
          <w:szCs w:val="16"/>
          <w:color w:val="auto"/>
        </w:rPr>
        <w:t>has been serving as a member of our Board of Directors since March 2013. Ms. Dial was previously a member of the board of trustees at</w:t>
      </w:r>
      <w:r>
        <w:rPr>
          <w:rFonts w:ascii="Arial" w:cs="Arial" w:eastAsia="Arial" w:hAnsi="Arial"/>
          <w:sz w:val="16"/>
          <w:szCs w:val="16"/>
          <w:i w:val="1"/>
          <w:iCs w:val="1"/>
          <w:color w:val="auto"/>
        </w:rPr>
        <w:t xml:space="preserve"> </w:t>
      </w:r>
      <w:r>
        <w:rPr>
          <w:rFonts w:ascii="Arial" w:cs="Arial" w:eastAsia="Arial" w:hAnsi="Arial"/>
          <w:sz w:val="16"/>
          <w:szCs w:val="16"/>
          <w:color w:val="auto"/>
        </w:rPr>
        <w:t>Seattle Pacific University. Ms. Dial has served as President and CEO of Sara Dial &amp; Associates, an economic development consulting firm specializing in site selection and government relations since 1996. She has led high profile economic development initiatives in Arizona including the creation and implementation of an urban revitalization model, the “Discovery Triangle” and the restructuring of Arizona’s statewide economic development organization under Governor Brewer, resulting in the creation of the agency now known as the Arizona Commerce Authority. From 2002 through 2003, Ms. Dial also served as the Chief Executive of Social Venture Partners Arizona, a philanthropic foundation using a venture capital approach to giving. In 2004, Ms. Dial was elected as Chairman of the Board of Social Venture Partners Arizona. From 1993 to 1996, Ms. Dial served as the director of the Arizona Department of Commerce, having previously served as the finance director from 1991 to 1993. Prior to her work in the public sector, Ms. Dial worked in the investment banking industry at Rauscher Pierces Refsnes, Boettcher and Company and Kemper Securities Group, focusing on municipal finance. Currently, Ms. Dial is a director for Mobile Mini, Inc., a publicly traded provider of portable storage solutions, and she also sits on the local and national advisory boards of BBVA Compass Bank. Ms. Dial is a graduate of Stanford University with a Bachelor of Arts degree in international relations. We believe Ms. Dial’s extensive experience with government, higher education and economic development expertise provides a tremendous resource to our Board of Directors and management team, particularly in the areas of government relations, finance and corporate governance.</w:t>
      </w:r>
    </w:p>
    <w:p>
      <w:pPr>
        <w:spacing w:after="0" w:line="171"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each of the seven nominees listed above to constitute our Board of Directors.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1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The Dodd-Frank Wall Street Reform and Consumer Protection Act, or the Dodd-Frank Act, enacted in 2010, requires that companies provide their stockholders with the opportunity to vote, on an advisory basis, whether to approve the compensation of companies’ named executive officers, commonly referred to as a “Say-on-Pay” vote, at least once every three years. In a vote held at our 2011 Annual Meeting, our stockholders voted in favor of holding Say-On-Pay votes annually. In light of this result and other factors considered by the Board, the Board has determined that the Company will hold Say-On-Pay votes on an annual basis until the next required vote on the frequency of such Say-On-Pay votes.</w:t>
      </w:r>
    </w:p>
    <w:p>
      <w:pPr>
        <w:spacing w:after="0" w:line="173"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Say-on-Pay vote is a non-binding advisory vote on the compensation of our named executive officers as described in the Compensation Discussion and Analysis section, including the tabular disclosure and accompanying narrative disclosure regarding such compensation, set forth in this proxy statement. It is not a vote to approve our general compensation policies, the compensation of our Board of Directors, or our compensation policies as they relate to risk management. Please read the Compensation Discussion and Analysis section starting on page 18 of this proxy statement for a detailed discussion about our executive compensation programs, including information about the fiscal year 2014 compensation of our named executive officers.</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objectives of our compensation program are to attract, motivate, retain, and reward our executive officers by relating compensation to performance and making our compensation package competitive and cost-effective. We pay our executive officers based on business performance and individual performance, and, in setting compensation levels, we take into consideration our past practices, our current and anticipated future needs, and the relative skills and experience of each individual executive officer. The Compensation Discussion and Analysis section starting on page 18 of this proxy statement provides a more detailed discussion of our executive compensation program. We believe that the compensation program we follow helps us achieve our principal compensation objectives.</w:t>
      </w:r>
    </w:p>
    <w:p>
      <w:pPr>
        <w:spacing w:after="0" w:line="193"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vote solicited by this Proposal No. 2 is advisory, and therefore is not binding on us, our Board of Directors or our Compensation Committee, nor will its outcome require us, our Board of Directors or our Compensation Committee to take any action. Moreover, the outcome of the vote will not be construed as overruling any decision by us or our Board of Directors. Furthermore, because this non-binding, advisory vote primarily relates to the compensation of our named executive officers that we have already paid or are otherwise contractually committed to pay, there is generally no opportunity for us to revisit these decisions. However, our Board of Directors, including our Compensation Committee, values the opinions of our stockholders and, to the extent there is any significant vote against the named executive officer compensation as disclosed in this proxy statement, we will consider our stockholders’ concerns and evaluate what actions, if any, may be appropriate for us to take in the future to address those concerns.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Stockholders will be asked at the Annual Meeting to approve the following resolution pursuant to this Proposal No. 2:</w:t>
      </w:r>
    </w:p>
    <w:p>
      <w:pPr>
        <w:spacing w:after="0" w:line="225"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“RESOLVED, that the stockholders of Grand Canyon Education, Inc. approve, on an advisory basis, the compensation of the Company’s named executive officers, disclosed pursuant to Item 402 of Regulation S-K in the Company’s definitive proxy statement for the 2015 Annual Meeting of Stockholders.”</w:t>
      </w:r>
    </w:p>
    <w:p>
      <w:pPr>
        <w:spacing w:after="0" w:line="177"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resolution approving the compensation of our named executive officers as disclosed in this proxy statement.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Audit Committee of the Board of Directors has selected KPMG LLP (“KPMG”), an independent registered public accounting firm, to audit our consolidated financial statements for the year ending December 31, 2015. While it is not required to do so, our Audit Committee is submitting the selection of that firm for ratification in order to ascertain the view of our stockholders. In the event the stockholders fail to ratify the selection of KPMG, the adverse vote will be considered a direction to the Audit Committee to consider other auditors for next year. However, because of the difficulty in making any substitution so long after the beginning of the current year, the appointment of KPMG for fiscal 2015 will stand, unless the Audit Committee finds other good reason for making a change. Even if the selection is ratified, the Audit Committee, in its discretion, may direct the appointment of a different independent registered public accounting firm at any time during the year if the Audit Committee determines that such a change would be in the Company’s and its stockholders’ best interests. Proxies solicited by our Board of Directors will, unless otherwise directed, be voted to ratify the appointment of KPMG as our independent registered public accounting firm for the fiscal year ending December 31, 2015.</w:t>
      </w:r>
    </w:p>
    <w:p>
      <w:pPr>
        <w:spacing w:after="0" w:line="18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 representative of KPMG will be present at the meeting, will be afforded an opportunity to make a statement if the representative so desires, and will be available to respond to appropriate questions during the meeting.</w:t>
      </w:r>
    </w:p>
    <w:p>
      <w:pPr>
        <w:spacing w:after="0" w:line="166"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 xml:space="preserve">Our Board of Directors unanimously recommends that the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appointment of KPMG LLP as our independent registered public accounting firm for the fiscal year ending December 31,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121"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For the years ended December 31, 2014 and 2013, KPMG and Ernst &amp; Young billed us the amounts set forth below for professional services rendered in connection with audit, audit-related, tax and other professional services. All of the fees for audit, audit-related, tax and other services performed by KPMG or Ernst &amp; Young were pre-approved by the Audit Committee in accordance with the pre-approval policies and procedures described below.</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9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Services Rendered</w:t>
            </w:r>
          </w:p>
        </w:tc>
        <w:tc>
          <w:tcPr>
            <w:tcW w:w="562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2014</w:t>
            </w:r>
          </w:p>
        </w:tc>
        <w:tc>
          <w:tcPr>
            <w:tcW w:w="11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r>
      <w:tr>
        <w:trPr>
          <w:trHeight w:val="203"/>
        </w:trPr>
        <w:tc>
          <w:tcPr>
            <w:tcW w:w="6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$497,181</w:t>
            </w:r>
          </w:p>
        </w:tc>
        <w:tc>
          <w:tcPr>
            <w:tcW w:w="4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$495,843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Tax Fees</w:t>
            </w:r>
          </w:p>
        </w:tc>
        <w:tc>
          <w:tcPr>
            <w:tcW w:w="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Total Fees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497,181</w:t>
            </w: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499,343</w:t>
            </w:r>
          </w:p>
        </w:tc>
        <w:tc>
          <w:tcPr>
            <w:tcW w:w="1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40" w:hanging="452"/>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 Fees in 2014 and 2013 relate to services rendered for the audits of our annual consolidated financial statements, for the review of our quarterly financial statements, and for services that are normally provided by the auditor in connection with statutory and regulatory filings or engagements. For 2013, we paid $25,000 to Ernst &amp; Young, which had served as our auditor from 2008 through July 2012, for their services in providing necessary filing consents.</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Other Fees relate to amounts paid to KPMG in 2013 in connection with their attestation review for a state regulatory report.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Independent Registered Public Accounting Firm Services and Fees</w:t>
      </w:r>
    </w:p>
    <w:p>
      <w:pPr>
        <w:spacing w:after="0" w:line="121" w:lineRule="exact"/>
        <w:rPr>
          <w:sz w:val="20"/>
          <w:szCs w:val="20"/>
          <w:color w:val="auto"/>
        </w:rPr>
      </w:pPr>
    </w:p>
    <w:p>
      <w:pPr>
        <w:jc w:val="both"/>
        <w:ind w:right="280" w:firstLine="456"/>
        <w:spacing w:after="0" w:line="279" w:lineRule="auto"/>
        <w:rPr>
          <w:sz w:val="20"/>
          <w:szCs w:val="20"/>
          <w:color w:val="auto"/>
        </w:rPr>
      </w:pPr>
      <w:r>
        <w:rPr>
          <w:rFonts w:ascii="Arial" w:cs="Arial" w:eastAsia="Arial" w:hAnsi="Arial"/>
          <w:sz w:val="17"/>
          <w:szCs w:val="17"/>
          <w:color w:val="auto"/>
        </w:rPr>
        <w:t>The Audit Committee has adopted a policy regarding pre-approval of audit and non-audit services performed by our independent registered public accounting firm. The Audit Committee is responsible for pre-approving all engagements of our independent registered public accounting firm. The policy also highlights services the Audit Committee will and will not approve for audit and non-audit services. The policy requires that written documentation be provided by the independent registered accounting firm to the Audit Committee for all tax services.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0" w:right="259" w:bottom="1440" w:gutter="0" w:footer="0" w:header="0"/>
        </w:sectPr>
      </w:pPr>
    </w:p>
    <w:bookmarkStart w:id="22" w:name="page23"/>
    <w:bookmarkEnd w:id="22"/>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Audit Committee may, annually or from time to time, set fee levels for certain non-audit services, as defined in the policy, or for all non-audit services. Any engagements that exceed those fee levels must receive specific pre-approval from the Audit Committee. The Audit Committee may delegate to the Audit Committee chair authority to grant pre-approvals of permissible audit and non-audit services, provided that any pre-approvals by the chair must be reported to the full Audit Committee at the next scheduled meeting.</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On a regular basis, management provides written updates to the Audit Committee regarding the amount of audit and non-audit service fees incurred to date. All of the services described above for fiscal years 2014 and 2013 were approved by our Audit Committee.</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Our Audit Committee is composed of three members, each of whom the Board has determined to be an independent director as defined by the listing standards of the Nasdaq Stock Market. The duties of the Audit Committee are summarized in this proxy statement under “Committees of Our Board of Directors” on page 4 and are more fully described in the Audit Committee charter adopted by the Board of Directors.</w:t>
      </w:r>
    </w:p>
    <w:p>
      <w:pPr>
        <w:spacing w:after="0" w:line="166"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One of the Audit Committee’s primary responsibilities is to assist the Board in overseeing the Company’s management and independent registered public accounting firm in regard to our financial reporting and internal controls over financial reporting. In performing our oversight function, we relied upon advice and information received in our discussions with management and the independent registered public accounting firm.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 reviewed and discussed our Company’s audited financial statements for the fiscal year ended December 31, 2014, with management;</w:t>
      </w:r>
    </w:p>
    <w:p>
      <w:pPr>
        <w:spacing w:after="0" w:line="46" w:lineRule="exact"/>
        <w:rPr>
          <w:sz w:val="20"/>
          <w:szCs w:val="20"/>
          <w:color w:val="auto"/>
        </w:rPr>
      </w:pPr>
    </w:p>
    <w:p>
      <w:pPr>
        <w:ind w:right="200" w:firstLine="8"/>
        <w:spacing w:after="0" w:line="253"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discussed with our Company’s independent registered public accounting firm the matters required to be discussed by Public Company Oversight Board (PCAOB) Auditing Standard Number 16,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(c)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 discussed with the independent registered public accounting firm its independence.</w:t>
      </w:r>
    </w:p>
    <w:p>
      <w:pPr>
        <w:spacing w:after="0" w:line="19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Based on the review and discussions with management and our independent registered public accounting firm referred to above, we recommended to our Board of Directors that the audited financial statements be included in our Company’s Annual Report on Form 10-K for the fiscal year ended December 31, 2014, for filing with the Securities and Exchange Commission.</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Audit Committee:</w:t>
      </w:r>
    </w:p>
    <w:p>
      <w:pPr>
        <w:spacing w:after="0" w:line="117"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Jack A. Henry (Chair)</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Bradley A. Casper</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Kevin F. Warren</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74" w:right="29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The following sets forth information regarding our non-director executive officers as of the date of this proxy statement. For information regarding Brent D. Richardson, our Executive Chairman, and Brian E. Mueller, our Chief Executive Officer, a director, and President of Grand Canyon University, see “Proposal No. 1 </w:t>
      </w:r>
      <w:r>
        <w:rPr>
          <w:rFonts w:ascii="Arial" w:cs="Arial" w:eastAsia="Arial" w:hAnsi="Arial"/>
          <w:sz w:val="18"/>
          <w:szCs w:val="18"/>
          <w:b w:val="1"/>
          <w:bCs w:val="1"/>
          <w:color w:val="auto"/>
        </w:rPr>
        <w:t>—</w:t>
      </w:r>
      <w:r>
        <w:rPr>
          <w:rFonts w:ascii="Arial" w:cs="Arial" w:eastAsia="Arial" w:hAnsi="Arial"/>
          <w:sz w:val="18"/>
          <w:szCs w:val="18"/>
          <w:color w:val="auto"/>
        </w:rPr>
        <w:t xml:space="preserve"> Election of Directors </w:t>
      </w:r>
      <w:r>
        <w:rPr>
          <w:rFonts w:ascii="Arial" w:cs="Arial" w:eastAsia="Arial" w:hAnsi="Arial"/>
          <w:sz w:val="18"/>
          <w:szCs w:val="18"/>
          <w:b w:val="1"/>
          <w:bCs w:val="1"/>
          <w:color w:val="auto"/>
        </w:rPr>
        <w:t>—</w:t>
      </w:r>
      <w:r>
        <w:rPr>
          <w:rFonts w:ascii="Arial" w:cs="Arial" w:eastAsia="Arial" w:hAnsi="Arial"/>
          <w:sz w:val="18"/>
          <w:szCs w:val="18"/>
          <w:color w:val="auto"/>
        </w:rPr>
        <w:t xml:space="preserve"> Directors and Director Nominees.”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120" w:type="dxa"/>
            <w:vAlign w:val="bottom"/>
          </w:tcPr>
          <w:p>
            <w:pPr>
              <w:jc w:val="center"/>
              <w:ind w:left="1034"/>
              <w:spacing w:after="0"/>
              <w:rPr>
                <w:sz w:val="20"/>
                <w:szCs w:val="20"/>
                <w:color w:val="auto"/>
              </w:rPr>
            </w:pPr>
            <w:r>
              <w:rPr>
                <w:rFonts w:ascii="Arial" w:cs="Arial" w:eastAsia="Arial" w:hAnsi="Arial"/>
                <w:sz w:val="14"/>
                <w:szCs w:val="14"/>
                <w:b w:val="1"/>
                <w:bCs w:val="1"/>
                <w:color w:val="auto"/>
                <w:w w:val="90"/>
              </w:rPr>
              <w:t>Age</w:t>
            </w:r>
          </w:p>
        </w:tc>
        <w:tc>
          <w:tcPr>
            <w:tcW w:w="4760" w:type="dxa"/>
            <w:vAlign w:val="bottom"/>
          </w:tcPr>
          <w:p>
            <w:pPr>
              <w:ind w:left="880"/>
              <w:spacing w:after="0"/>
              <w:rPr>
                <w:sz w:val="20"/>
                <w:szCs w:val="20"/>
                <w:color w:val="auto"/>
              </w:rPr>
            </w:pPr>
            <w:r>
              <w:rPr>
                <w:rFonts w:ascii="Arial" w:cs="Arial" w:eastAsia="Arial" w:hAnsi="Arial"/>
                <w:sz w:val="14"/>
                <w:szCs w:val="14"/>
                <w:b w:val="1"/>
                <w:bCs w:val="1"/>
                <w:color w:val="auto"/>
              </w:rPr>
              <w:t>Position</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3120" w:type="dxa"/>
            <w:vAlign w:val="bottom"/>
            <w:shd w:val="clear" w:color="auto" w:fill="CCEEFF"/>
          </w:tcPr>
          <w:p>
            <w:pPr>
              <w:jc w:val="center"/>
              <w:ind w:left="1054"/>
              <w:spacing w:after="0"/>
              <w:rPr>
                <w:sz w:val="20"/>
                <w:szCs w:val="20"/>
                <w:color w:val="auto"/>
              </w:rPr>
            </w:pPr>
            <w:r>
              <w:rPr>
                <w:rFonts w:ascii="Arial" w:cs="Arial" w:eastAsia="Arial" w:hAnsi="Arial"/>
                <w:sz w:val="18"/>
                <w:szCs w:val="18"/>
                <w:color w:val="auto"/>
                <w:w w:val="89"/>
              </w:rPr>
              <w:t>54</w:t>
            </w:r>
          </w:p>
        </w:tc>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Chief Operating Officer</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Daniel E. Bachus</w:t>
            </w:r>
          </w:p>
        </w:tc>
        <w:tc>
          <w:tcPr>
            <w:tcW w:w="3120" w:type="dxa"/>
            <w:vAlign w:val="bottom"/>
          </w:tcPr>
          <w:p>
            <w:pPr>
              <w:jc w:val="center"/>
              <w:ind w:left="1054"/>
              <w:spacing w:after="0"/>
              <w:rPr>
                <w:sz w:val="20"/>
                <w:szCs w:val="20"/>
                <w:color w:val="auto"/>
              </w:rPr>
            </w:pPr>
            <w:r>
              <w:rPr>
                <w:rFonts w:ascii="Arial" w:cs="Arial" w:eastAsia="Arial" w:hAnsi="Arial"/>
                <w:sz w:val="18"/>
                <w:szCs w:val="18"/>
                <w:color w:val="auto"/>
                <w:w w:val="89"/>
              </w:rPr>
              <w:t>44</w:t>
            </w:r>
          </w:p>
        </w:tc>
        <w:tc>
          <w:tcPr>
            <w:tcW w:w="4760" w:type="dxa"/>
            <w:vAlign w:val="bottom"/>
          </w:tcPr>
          <w:p>
            <w:pPr>
              <w:ind w:left="880"/>
              <w:spacing w:after="0"/>
              <w:rPr>
                <w:sz w:val="20"/>
                <w:szCs w:val="20"/>
                <w:color w:val="auto"/>
              </w:rPr>
            </w:pPr>
            <w:r>
              <w:rPr>
                <w:rFonts w:ascii="Arial" w:cs="Arial" w:eastAsia="Arial" w:hAnsi="Arial"/>
                <w:sz w:val="18"/>
                <w:szCs w:val="18"/>
                <w:color w:val="auto"/>
              </w:rPr>
              <w:t>Chief Financial Officer</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3120" w:type="dxa"/>
            <w:vAlign w:val="bottom"/>
            <w:shd w:val="clear" w:color="auto" w:fill="CCEEFF"/>
          </w:tcPr>
          <w:p>
            <w:pPr>
              <w:jc w:val="center"/>
              <w:ind w:left="1054"/>
              <w:spacing w:after="0"/>
              <w:rPr>
                <w:sz w:val="20"/>
                <w:szCs w:val="20"/>
                <w:color w:val="auto"/>
              </w:rPr>
            </w:pPr>
            <w:r>
              <w:rPr>
                <w:rFonts w:ascii="Arial" w:cs="Arial" w:eastAsia="Arial" w:hAnsi="Arial"/>
                <w:sz w:val="18"/>
                <w:szCs w:val="18"/>
                <w:color w:val="auto"/>
                <w:w w:val="89"/>
              </w:rPr>
              <w:t>61</w:t>
            </w:r>
          </w:p>
        </w:tc>
        <w:tc>
          <w:tcPr>
            <w:tcW w:w="4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Chief Information Officer</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Brian M. Roberts</w:t>
            </w:r>
          </w:p>
        </w:tc>
        <w:tc>
          <w:tcPr>
            <w:tcW w:w="3120" w:type="dxa"/>
            <w:vAlign w:val="bottom"/>
          </w:tcPr>
          <w:p>
            <w:pPr>
              <w:jc w:val="center"/>
              <w:ind w:left="1054"/>
              <w:spacing w:after="0"/>
              <w:rPr>
                <w:sz w:val="20"/>
                <w:szCs w:val="20"/>
                <w:color w:val="auto"/>
              </w:rPr>
            </w:pPr>
            <w:r>
              <w:rPr>
                <w:rFonts w:ascii="Arial" w:cs="Arial" w:eastAsia="Arial" w:hAnsi="Arial"/>
                <w:sz w:val="18"/>
                <w:szCs w:val="18"/>
                <w:color w:val="auto"/>
                <w:w w:val="89"/>
              </w:rPr>
              <w:t>42</w:t>
            </w:r>
          </w:p>
        </w:tc>
        <w:tc>
          <w:tcPr>
            <w:tcW w:w="4760" w:type="dxa"/>
            <w:vAlign w:val="bottom"/>
          </w:tcPr>
          <w:p>
            <w:pPr>
              <w:ind w:left="880"/>
              <w:spacing w:after="0"/>
              <w:rPr>
                <w:sz w:val="20"/>
                <w:szCs w:val="20"/>
                <w:color w:val="auto"/>
              </w:rPr>
            </w:pPr>
            <w:r>
              <w:rPr>
                <w:rFonts w:ascii="Arial" w:cs="Arial" w:eastAsia="Arial" w:hAnsi="Arial"/>
                <w:sz w:val="18"/>
                <w:szCs w:val="18"/>
                <w:color w:val="auto"/>
                <w:w w:val="88"/>
              </w:rPr>
              <w:t>Senior Vice President, General Counsel and Secretary</w:t>
            </w:r>
          </w:p>
        </w:tc>
      </w:tr>
    </w:tbl>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i w:val="1"/>
          <w:iCs w:val="1"/>
          <w:color w:val="auto"/>
        </w:rPr>
        <w:t xml:space="preserve">Dr. W. Stan Meyer </w:t>
      </w:r>
      <w:r>
        <w:rPr>
          <w:rFonts w:ascii="Arial" w:cs="Arial" w:eastAsia="Arial" w:hAnsi="Arial"/>
          <w:sz w:val="17"/>
          <w:szCs w:val="17"/>
          <w:color w:val="auto"/>
        </w:rPr>
        <w:t>has been serving as our Chief Operating Officer since July 26, 2012, having previously served in the position of Executive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from June 2008 to July 2012. Dr. Meyer has been serving as a Director of the Grand Canyon University Foundation, a foundation formed to benefit public charities, since its formation in 2010 and as a director of LOPE Kingdom Fund, an entity formed to provide seed funding for entrepreneurial ventures initiated by Grand Canyon University students, since its formation in 2014. From August 2002 to June 2008, Dr. Meyer was employed by Apollo Education Group, Inc., a for-profit, postsecondary education company and the parent company of the University of Phoenix, serving between June 2006 to June 2008 as its executive vice president of marketing and enrollment. Dr. Meyer previously served as a regional vice president of the University of Phoenix Online, a unit of the University of Phoenix, and division director of Axia College and of the School of Advanced Studies, also units of the University of Phoenix. From 1983 to 2002, Dr. Meyer held several positions with the Concordia University system, including director of operations for Concordia University’s education network. Dr. Meyer received a Bachelor of Arts in Communications degree from Concordia University and a Master of Business Administration degree and a Doctor of Education in Institutional Management degree from Pepperdine University.</w:t>
      </w:r>
    </w:p>
    <w:p>
      <w:pPr>
        <w:spacing w:after="0" w:line="17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Daniel E. Bachus </w:t>
      </w:r>
      <w:r>
        <w:rPr>
          <w:rFonts w:ascii="Arial" w:cs="Arial" w:eastAsia="Arial" w:hAnsi="Arial"/>
          <w:sz w:val="16"/>
          <w:szCs w:val="16"/>
          <w:color w:val="auto"/>
        </w:rPr>
        <w:t>has been serving as our Chief Financial Officer since July 1, 2008. Mr. Bachus has been serving as a Director of the Grand Canyon</w:t>
      </w:r>
      <w:r>
        <w:rPr>
          <w:rFonts w:ascii="Arial" w:cs="Arial" w:eastAsia="Arial" w:hAnsi="Arial"/>
          <w:sz w:val="16"/>
          <w:szCs w:val="16"/>
          <w:i w:val="1"/>
          <w:iCs w:val="1"/>
          <w:color w:val="auto"/>
        </w:rPr>
        <w:t xml:space="preserve"> </w:t>
      </w:r>
      <w:r>
        <w:rPr>
          <w:rFonts w:ascii="Arial" w:cs="Arial" w:eastAsia="Arial" w:hAnsi="Arial"/>
          <w:sz w:val="16"/>
          <w:szCs w:val="16"/>
          <w:color w:val="auto"/>
        </w:rPr>
        <w:t>University Foundation since its formation in 2010 and as a director of LOPE Kingdom Fund, an entity formed to provide seed funding for entrepreneurial ventures initiated by Grand Canyon University students, since its formation in 2014. From January 2007 until June 2008, Mr. Bachus served as chief financial officer for Loreto Bay Company, a real estate developer. From 2000 to 2006, Mr. Bachus served as the chief accounting officer and controller of Apollo Education Group, Inc., a for-profit, postsecondary education company and the parent company of the University of Phoenix. From 1992 to 2000, Mr. Bachus was employed by Deloitte &amp; Touche LLP, most recently as an audit senior manager. Mr. Bachus received a Bachelor of Science degree in Accountancy from the University of Arizona and a Master of Business Administration degree from the University of Phoenix. Mr. Bachus is also a certified public accountant.</w:t>
      </w:r>
    </w:p>
    <w:p>
      <w:pPr>
        <w:spacing w:after="0" w:line="16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Joseph N. Mildenhall </w:t>
      </w:r>
      <w:r>
        <w:rPr>
          <w:rFonts w:ascii="Arial" w:cs="Arial" w:eastAsia="Arial" w:hAnsi="Arial"/>
          <w:sz w:val="17"/>
          <w:szCs w:val="17"/>
          <w:color w:val="auto"/>
        </w:rPr>
        <w:t>has been serving as our Chief Information Officer since September 2009. From 1998 to September 2009, Mr. Mildenhall was</w:t>
      </w:r>
      <w:r>
        <w:rPr>
          <w:rFonts w:ascii="Arial" w:cs="Arial" w:eastAsia="Arial" w:hAnsi="Arial"/>
          <w:sz w:val="17"/>
          <w:szCs w:val="17"/>
          <w:i w:val="1"/>
          <w:iCs w:val="1"/>
          <w:color w:val="auto"/>
        </w:rPr>
        <w:t xml:space="preserve"> </w:t>
      </w:r>
      <w:r>
        <w:rPr>
          <w:rFonts w:ascii="Arial" w:cs="Arial" w:eastAsia="Arial" w:hAnsi="Arial"/>
          <w:sz w:val="17"/>
          <w:szCs w:val="17"/>
          <w:color w:val="auto"/>
        </w:rPr>
        <w:t>employed by Apollo Education Group, Inc., a for-profit, postsecondary education company and the parent company of the University of Phoenix, serving between June 2006 and September 2009 as its chief information officer. From 1998 to 2006, Mr. Mildenhall directed the design, development and deployment of the University of Phoenix online education environment and the student and faculty Internet portal supporting the rapid growth of the online campus beginning in 1998. From 1979 to 1988, Mr. Mildenhall held increasingly responsible roles in software development at J&amp;K Computer Systems, eventually becoming vice president and co-owner. When J&amp;K Computer Systems was acquired by National Computer Systems, Mr. Mildenhall continued in senior software development and technology leadership roles through 1998. Mr. Mildenhall holds a Bachelor of Science degree in Accounting from Brigham Young University and a Master of Business Administration from the University of Phoenix.</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Brian M. Roberts </w:t>
      </w:r>
      <w:r>
        <w:rPr>
          <w:rFonts w:ascii="Arial" w:cs="Arial" w:eastAsia="Arial" w:hAnsi="Arial"/>
          <w:sz w:val="17"/>
          <w:szCs w:val="17"/>
          <w:color w:val="auto"/>
        </w:rPr>
        <w:t>has been serving as our Senior Vice President and General Counsel since May 2012 and as our Secretary since July 2012.</w:t>
      </w:r>
    </w:p>
    <w:p>
      <w:pPr>
        <w:spacing w:after="0" w:line="35"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Mr. Roberts has been serving as a director of LOPE Kingdom Fund, an entity formed to provide seed funding for entrepreneurial ventures initiated by Grand Canyon University students, since its formation in 2014. From August 2003 to May 2012, Mr. Roberts was employed by iGo, Inc., a publicly traded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24" w:name="page25"/>
    <w:bookmarkEnd w:id="2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developer of electronics accessories, including serving as general counsel and secretary in charge of all legal functions since May 2005. From September 1998 to August 2003, Mr. Roberts was an attorney with the law firm of Snell &amp; Wilmer L.L.P. Mr. Roberts received a Bachelor of Science degree in Business Administration and a Juris Doctorate from the University of Kansas.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The following discussion and analysis should be read in conjunction with “Compensation of Named Executive Officers” and the related tables that follow.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a comprehensive regionally accredited university that offers over 160 graduate and undergraduate degree programs across eight colleges both online and on ground at our approximately 205 acre campus in Phoenix, Arizona, and at facilities we lease and at facilities owned by third party employers. Our undergraduate programs are designed to be innovative and meet the future needs of employers, while providing students with the needed critical thinking and effective communication skills developed through a Christian-oriented, liberal arts foundation. We are committed to providing an academically rigorous educational experience with a focus on professionally relevant programs that meet the objectives of our students. We utilize an integrated, innovative approach to marketing, recruiting, and retaining both traditional aged students attending on our campus in Phoenix, Arizona and working adult students attending on our campus or at off-site locations in cohorts (referred to by us as professional studies students) or online, which has enabled us to increase enrollment to approximately 67,800 students at December 31, 2014. At December 31, 2014, 81.2% of our students were enrolled in our online programs, and, of our working adult students (online and professional studies students), 46.0% were pursuing masters or doctoral degrees.</w:t>
      </w:r>
    </w:p>
    <w:p>
      <w:pPr>
        <w:spacing w:after="0" w:line="16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In 2014, we continued to increase the number of students in attendance at our expanding traditional ground campus. We believe our strong campus presence in Arizona is attractive to many students. We are able to provide traditional ground students an opportunity to earn an education at a private, Christian-oriented university at affordable tuition rates. After scholarships our ground traditional students pay for tuition, room, board, and fees, often half to a third of what it costs to attend a private, traditional university in another state and an amount comparable to what it costs to attend the public universities in the state of Arizona as an in-state student. We plan to increase enrollment growth for our traditional campus over the next few years, and seek to have 17,500 traditional ground students in attendance at the beginning of our 2016-2017 academic year.</w:t>
      </w:r>
    </w:p>
    <w:p>
      <w:pPr>
        <w:spacing w:after="0" w:line="178"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In November 2012, we accepted an invitation to become a member of the Division I Western Athletic Conference beginning with the 2013-2014 academic year, and in 2013 we began the four-year process to reclassify our NCAA membership from Division II to Division I. During the reclassification process we are considered a Division I university and are playing full conference schedules but are ineligible to compete for national championships which, for example, precludes us from playing in the end-of-year NCAA basketball tournament during that period of time.</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Since 2010, our industry has faced a changing regulatory environment with new proposed and final rules being issued by the Department of Education and legislative hearings and initiatives in both the U.S. Senate and House of Representatives. For a complete description of these matters, please see “Business – Regulation” and “Management’s Discussion and Analysis of Financial Condition and Results of Operations” in our Annual Report on Form 10-K. At the same time we believe that competition for students continues to increase, as an increasing number of traditional colleges and universities and community colleges, including many with well-established reputations for excellence, now offer distance learning and other online education programs, including programs that are geared towards the needs of working adult students. This trend has been accelerated by private companies that provide and/or manage online learning platforms for traditional colleges and universities and has resulted in declines in enrollment at most of the other publicly traded education companies.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4" w:right="279" w:bottom="1440" w:gutter="0" w:footer="0" w:header="0"/>
        </w:sectPr>
      </w:pPr>
    </w:p>
    <w:bookmarkStart w:id="25" w:name="page26"/>
    <w:bookmarkEnd w:id="25"/>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senior management has guided our Company through these changes while still producing very positive financial results.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116" w:lineRule="exact"/>
        <w:rPr>
          <w:sz w:val="20"/>
          <w:szCs w:val="20"/>
          <w:color w:val="auto"/>
        </w:rPr>
      </w:pPr>
    </w:p>
    <w:p>
      <w:pPr>
        <w:ind w:left="900" w:right="880" w:hanging="446"/>
        <w:spacing w:after="0" w:line="277" w:lineRule="auto"/>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Net revenue increased 15.5% to $691.1 million for the year ended December 31, 2014, compared to $598.3 million for the year ended December 31, 2013.</w:t>
      </w:r>
    </w:p>
    <w:p>
      <w:pPr>
        <w:spacing w:after="0" w:line="75" w:lineRule="exact"/>
        <w:rPr>
          <w:rFonts w:ascii="Arial" w:cs="Arial" w:eastAsia="Arial" w:hAnsi="Arial"/>
          <w:sz w:val="18"/>
          <w:szCs w:val="18"/>
          <w:b w:val="1"/>
          <w:bCs w:val="1"/>
          <w:color w:val="auto"/>
        </w:rPr>
      </w:pPr>
    </w:p>
    <w:p>
      <w:pPr>
        <w:ind w:left="900" w:right="220" w:hanging="446"/>
        <w:spacing w:after="0" w:line="342" w:lineRule="auto"/>
        <w:tabs>
          <w:tab w:leader="none" w:pos="90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Operating income increased 26.2% to $180.8 million for the year ended December 31, 2014 compared to $143.3 million for the same period in 2013. The operating margin for the year ended December 31, 2014 was 26.2%, compared to 23.9% for the same period in 2013.</w:t>
      </w:r>
    </w:p>
    <w:p>
      <w:pPr>
        <w:spacing w:after="0" w:line="29" w:lineRule="exact"/>
        <w:rPr>
          <w:rFonts w:ascii="Arial" w:cs="Arial" w:eastAsia="Arial" w:hAnsi="Arial"/>
          <w:sz w:val="16"/>
          <w:szCs w:val="16"/>
          <w:b w:val="1"/>
          <w:bCs w:val="1"/>
          <w:color w:val="auto"/>
        </w:rPr>
      </w:pPr>
    </w:p>
    <w:p>
      <w:pPr>
        <w:ind w:left="900" w:right="120" w:hanging="446"/>
        <w:spacing w:after="0" w:line="277" w:lineRule="auto"/>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Adjusted EBITDA increased 23.1% to $227.8 million for the year ended December 31, 2014, compared to $185.1 million for the same period in 2013.</w:t>
      </w:r>
    </w:p>
    <w:p>
      <w:pPr>
        <w:spacing w:after="0" w:line="75" w:lineRule="exact"/>
        <w:rPr>
          <w:rFonts w:ascii="Arial" w:cs="Arial" w:eastAsia="Arial" w:hAnsi="Arial"/>
          <w:sz w:val="18"/>
          <w:szCs w:val="18"/>
          <w:b w:val="1"/>
          <w:bCs w:val="1"/>
          <w:color w:val="auto"/>
        </w:rPr>
      </w:pPr>
    </w:p>
    <w:p>
      <w:pPr>
        <w:ind w:left="900" w:right="140" w:hanging="446"/>
        <w:spacing w:after="0" w:line="264" w:lineRule="auto"/>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tax rate for the year ended December 31, 2014 was 38.0% compared to 38.8% for the year ended December 31, 2013. The effective tax rate in 2014 was lower than the prior year due primarily to state tax rate changes that began a gradual phase-in process during the first quarter of 2014.</w:t>
      </w:r>
    </w:p>
    <w:p>
      <w:pPr>
        <w:spacing w:after="0" w:line="86" w:lineRule="exact"/>
        <w:rPr>
          <w:rFonts w:ascii="Arial" w:cs="Arial" w:eastAsia="Arial" w:hAnsi="Arial"/>
          <w:sz w:val="18"/>
          <w:szCs w:val="18"/>
          <w:b w:val="1"/>
          <w:bCs w:val="1"/>
          <w:color w:val="auto"/>
        </w:rPr>
      </w:pPr>
    </w:p>
    <w:p>
      <w:pPr>
        <w:ind w:left="900" w:hanging="446"/>
        <w:spacing w:after="0"/>
        <w:tabs>
          <w:tab w:leader="none" w:pos="90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Net income increased 25.7% to $111.5 million for the year ended December 31, 2014, compared to $88.7 million for the same period in 2013.</w:t>
      </w:r>
    </w:p>
    <w:p>
      <w:pPr>
        <w:spacing w:after="0" w:line="153" w:lineRule="exact"/>
        <w:rPr>
          <w:rFonts w:ascii="Arial" w:cs="Arial" w:eastAsia="Arial" w:hAnsi="Arial"/>
          <w:sz w:val="16"/>
          <w:szCs w:val="16"/>
          <w:b w:val="1"/>
          <w:bCs w:val="1"/>
          <w:color w:val="auto"/>
        </w:rPr>
      </w:pPr>
    </w:p>
    <w:p>
      <w:pPr>
        <w:ind w:left="900" w:hanging="446"/>
        <w:spacing w:after="0"/>
        <w:tabs>
          <w:tab w:leader="none" w:pos="9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Diluted net income per share was $2.37 for the year ended December 31, 2014, compared to $1.92 for the same period in 2013.</w:t>
      </w:r>
    </w:p>
    <w:p>
      <w:pPr>
        <w:spacing w:after="0" w:line="22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For a discussion of the manner in which we compute our Adjusted EBITDA and to view a table setting forth a reconciliation of our Adjusted EBITDA to our net income (as determined in accordance with U.S. generally accepted accounting principles), please see Item 6, </w:t>
      </w:r>
      <w:r>
        <w:rPr>
          <w:rFonts w:ascii="Arial" w:cs="Arial" w:eastAsia="Arial" w:hAnsi="Arial"/>
          <w:sz w:val="18"/>
          <w:szCs w:val="18"/>
          <w:i w:val="1"/>
          <w:iCs w:val="1"/>
          <w:color w:val="auto"/>
        </w:rPr>
        <w:t>Selected Consolidated Financial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Data, </w:t>
      </w:r>
      <w:r>
        <w:rPr>
          <w:rFonts w:ascii="Arial" w:cs="Arial" w:eastAsia="Arial" w:hAnsi="Arial"/>
          <w:sz w:val="18"/>
          <w:szCs w:val="18"/>
          <w:color w:val="auto"/>
        </w:rPr>
        <w:t>beginning on page 42 of our Annual Report on Form 10-K for the fiscal year ended December 31, 2014, filed with the Securities and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on February 18, 2015.</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had positive non-financial developments in 2014, including:</w:t>
      </w:r>
    </w:p>
    <w:p>
      <w:pPr>
        <w:spacing w:after="0" w:line="252" w:lineRule="exact"/>
        <w:rPr>
          <w:sz w:val="20"/>
          <w:szCs w:val="20"/>
          <w:color w:val="auto"/>
        </w:rPr>
      </w:pPr>
    </w:p>
    <w:p>
      <w:pPr>
        <w:ind w:left="900" w:right="140" w:hanging="446"/>
        <w:spacing w:after="0" w:line="273"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i w:val="1"/>
          <w:iCs w:val="1"/>
          <w:u w:val="single" w:color="auto"/>
          <w:color w:val="auto"/>
        </w:rPr>
        <w:t>Increased Brand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In 2014, Jerry Colangelo agreed to have the University honor him as the namesake of its Colangelo College of</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in addition to our sports management program. Mr. Colangelo has a long history of success in business and is a well-known fixture in the sports business industry. The University commenced its first year in NCAA Division I competition in the 2013/2014 school year by winning two Western Athletic Conference (“WAC”) championships (regular-season softball, indoor track and field) and, finishing third in the WAC in both men’s and women’s basketball. In the 2014/2015 school year, with the expansion of our sports arena, we have had sell out games at maximum capacity of 7,500 at a number of our men’s basketball games.</w:t>
      </w:r>
    </w:p>
    <w:p>
      <w:pPr>
        <w:spacing w:after="0" w:line="205" w:lineRule="exact"/>
        <w:rPr>
          <w:rFonts w:ascii="Arial" w:cs="Arial" w:eastAsia="Arial" w:hAnsi="Arial"/>
          <w:sz w:val="17"/>
          <w:szCs w:val="17"/>
          <w:color w:val="auto"/>
        </w:rPr>
      </w:pPr>
    </w:p>
    <w:p>
      <w:pPr>
        <w:ind w:left="900" w:hanging="446"/>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i w:val="1"/>
          <w:iCs w:val="1"/>
          <w:u w:val="single" w:color="auto"/>
          <w:color w:val="auto"/>
        </w:rPr>
        <w:t>Capital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Our capital expenditures in 2014 of $168.7 million were primarily related to the expansion of our 205 acre physical</w:t>
      </w:r>
      <w:r>
        <w:rPr>
          <w:rFonts w:ascii="Arial" w:cs="Arial" w:eastAsia="Arial" w:hAnsi="Arial"/>
          <w:sz w:val="18"/>
          <w:szCs w:val="18"/>
          <w:i w:val="1"/>
          <w:iCs w:val="1"/>
          <w:color w:val="auto"/>
        </w:rPr>
        <w:t xml:space="preserve"> </w:t>
      </w:r>
      <w:r>
        <w:rPr>
          <w:rFonts w:ascii="Arial" w:cs="Arial" w:eastAsia="Arial" w:hAnsi="Arial"/>
          <w:sz w:val="18"/>
          <w:szCs w:val="18"/>
          <w:color w:val="auto"/>
        </w:rPr>
        <w:t>campus in Phoenix, Arizona and significant investments in technology innovation to support our students and staff. In 2014, we completed three new dormitories, another classroom building, a second parking garage along with more campus eateries and a 3,000 seat upper deck Arena expansion. In addition, in late 2014, we commenced construction on a classroom building for engineering and the center for Worship Arts, four more student dormitories that will house 3,200 additional students in the Fall of 2015 and another parking garage. These investments are intended to support our growing on-campus student population as well as enhance the brand of the University by creating a dynamic educational and living environment for our students.</w:t>
      </w:r>
    </w:p>
    <w:p>
      <w:pPr>
        <w:spacing w:after="0" w:line="216" w:lineRule="exact"/>
        <w:rPr>
          <w:rFonts w:ascii="Arial" w:cs="Arial" w:eastAsia="Arial" w:hAnsi="Arial"/>
          <w:sz w:val="18"/>
          <w:szCs w:val="18"/>
          <w:color w:val="auto"/>
        </w:rPr>
      </w:pPr>
    </w:p>
    <w:p>
      <w:pPr>
        <w:ind w:left="900" w:right="80" w:hanging="446"/>
        <w:spacing w:after="0" w:line="276"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i w:val="1"/>
          <w:iCs w:val="1"/>
          <w:u w:val="single" w:color="auto"/>
          <w:color w:val="auto"/>
        </w:rPr>
        <w:t>Community Involvement and the Public Good</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2014, the University announced a five-point plan to restore west Phoenix through (i) a unique</w:t>
      </w:r>
      <w:r>
        <w:rPr>
          <w:rFonts w:ascii="Arial" w:cs="Arial" w:eastAsia="Arial" w:hAnsi="Arial"/>
          <w:sz w:val="17"/>
          <w:szCs w:val="17"/>
          <w:i w:val="1"/>
          <w:iCs w:val="1"/>
          <w:color w:val="auto"/>
        </w:rPr>
        <w:t xml:space="preserve"> </w:t>
      </w:r>
      <w:r>
        <w:rPr>
          <w:rFonts w:ascii="Arial" w:cs="Arial" w:eastAsia="Arial" w:hAnsi="Arial"/>
          <w:sz w:val="17"/>
          <w:szCs w:val="17"/>
          <w:color w:val="auto"/>
        </w:rPr>
        <w:t>partnership with Habitat for Humanity to repair hundreds of homes in the University’s neighborhood; (ii) an ongoing initiative with the Phoenix Police Department to improve public safety; (iii) the creation of jobs and commerce on the main campus and along the Camelback Road corridor in West Phoenix; (iv) the development of a trained workforce in the areas of science, technology, engineering and mathematics; and (v) the continued support of K-12 students at neighborhood schools via our Outreach Program. Our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6" w:name="page27"/>
    <w:bookmarkEnd w:id="26"/>
    <w:p>
      <w:pPr>
        <w:ind w:left="9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students are serving as tutors and mentors to these high school students and the results thus far have been extremely positive. The University continues to be involved in more than 120 community events and projects throughout the year, helping organizations such as the Phoenix Dream Center, Feed My Starving Children, Hopefest, Arizona Foster Care, Phoenix Rescue Mission, Boy/Girl Scouts, Goodwill Arizona, Muscular Dystrophy Association, Young Life and Elevate Phoenix. The University also puts on a Fall festival in October that draws more than 5,000 people to campus, and popular gift drives at Christmas and Easter help brighten those seasons for many underprivileged families. Our faculty, staff and students also go out into our surrounding neighborhoods to participate in University sponsored programs such as Serve the City, Canyon Kids, 12 Months of Service and the Run to Fight Children’s Cancer.</w:t>
      </w:r>
    </w:p>
    <w:p>
      <w:pPr>
        <w:spacing w:after="0" w:line="83" w:lineRule="exact"/>
        <w:rPr>
          <w:sz w:val="20"/>
          <w:szCs w:val="20"/>
          <w:color w:val="auto"/>
        </w:rPr>
      </w:pPr>
    </w:p>
    <w:p>
      <w:pPr>
        <w:ind w:left="900" w:right="80" w:hanging="446"/>
        <w:spacing w:after="0" w:line="255"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i w:val="1"/>
          <w:iCs w:val="1"/>
          <w:u w:val="single" w:color="auto"/>
          <w:color w:val="auto"/>
        </w:rPr>
        <w:t>Quality of student body</w:t>
      </w:r>
      <w:r>
        <w:rPr>
          <w:rFonts w:ascii="Arial" w:cs="Arial" w:eastAsia="Arial" w:hAnsi="Arial"/>
          <w:sz w:val="18"/>
          <w:szCs w:val="18"/>
          <w:color w:val="auto"/>
        </w:rPr>
        <w:t>. Not only has our enrollment grown over the past year, we believe the quality of our student body has as well.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incoming grade point average of our admitted traditional students was approximately 3.5. Approximately 50% of all traditional students are studying in our science, technology, and math programs. The pass rates of our nursing, health care professionals and teacher education students on national exams continue to be high. Our students are being accepted into the top medical, dental, veterinary and pharmacy schools in the country. In addition, the percentage of our working adult students studying in graduate programs as well as degree completer bachelor programs such as the RN-BSN program continues to grow.</w:t>
      </w:r>
    </w:p>
    <w:p>
      <w:pPr>
        <w:spacing w:after="0" w:line="193"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have held stockholder advisory votes on the compensation of our named executive officers, commonly referred to as a Say-on-Pay vote, at each of our past four annual meetings of stockholders and, in each case, our stockholders approved the compensation of our named executive officers by wide margins. As we evaluated our compensation practices for 2014 and into 2015 in light of such votes, we gave great consideration to the strong support our stockholders expressed for our current compensation philosophy and practices. As a result, our Compensation Committee retained our general approach to executive compensation in 2014 and into 2015, as discussed below.</w:t>
      </w:r>
    </w:p>
    <w:p>
      <w:pPr>
        <w:spacing w:after="0" w:line="1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believe our executive pay is reasonable and provides appropriate incentives to our executives to achieve our financial and strategic goals without encouraging them to take excessive risks in their business decisions. We regularly evaluate the major risks to our business, including how risks taken by management could impact the amount and value of the compensation that our executives receive. To this end, we continued practices that are considered standard for good corporate governance and executive compensation, including:</w:t>
      </w:r>
    </w:p>
    <w:p>
      <w:pPr>
        <w:spacing w:after="0" w:line="9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Strong alignment between company-wide performance and payouts under our annual cash incentive plan (“Annual Cash Incentive Plan”);</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absence of any guaranteed bonuses;</w:t>
      </w:r>
    </w:p>
    <w:p>
      <w:pPr>
        <w:spacing w:after="0" w:line="130"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Severance arrangements with our named executive officers that are limited to one year of compensation (base salary and target bonus) and benefits and limited acceleration of vesting;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Double-trigger change-in-control arrangements with our named executive officers.</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light of the foregoing factors and practices, we believe our executive compensation in fiscal year 2014 appropriately reflected the economic and regulatory environments, the performance of the Company and the relationship with market compensation necessary to retain and motivate our executives, and that the continuation of these practices in 2015 is appropriate given the continued regulatory, economic and competitive challenges that we expect to face.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2014 Executive Compensation</w:t>
      </w:r>
    </w:p>
    <w:p>
      <w:pPr>
        <w:spacing w:after="0" w:line="117"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purpose of this Compensation Discussion and Analysis is to provide information about each material element of compensation that we pay or award to, or that is earned by, the individuals set forth in the Summary Compensation Table set forth below (our “named executive officers”), including our principal executive officer, our principal financial officer, and our three other most highly compensated executive officers whose total compensation for the fiscal year ended December 31, 2014, was in excess of $100,000 and who were serving as executive officers at the end of that fiscal year. We also provide information about each material element of compensation that we pay or award to, or that is earned by, our Executive Chairman.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7" w:name="page28"/>
    <w:bookmarkEnd w:id="27"/>
    <w:p>
      <w:pPr>
        <w:ind w:right="1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Compensation Discussion and Analysis addresses and explains the compensation practices we followed in 2014, the numerical and related information contained in the summary compensation and related tables presented below, and actions we have taken regarding executive compensation since the end of our 2014 fiscal year. Specifically, this Compensation Discussion and Analysis addresses:</w:t>
      </w:r>
    </w:p>
    <w:p>
      <w:pPr>
        <w:spacing w:after="0" w:line="8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objectives of our compensation program (found in the section entitled “Objectives of Compensation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what our compensation program is designed to reward (also described in the section entitled “Objectives of Compensation Programs”);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element of compensation (set forth in the section entitled “Compensation Program Design and Elements of Compensation”);</w:t>
      </w:r>
    </w:p>
    <w:p>
      <w:pPr>
        <w:spacing w:after="0" w:line="130"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why each element was chosen (described with each element of compensation, including base pay, short-term incentives and long-term incentives);</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how amounts and formulas for pay are calculated and determined (also described with each element of compensation, including base pay, short-term incentives and long-term incentives); and</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how each compensation element and our decisions regarding that element fit into our overall compensation objectives and affect decisions regarding other elements (described with each element of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Determinations</w:t>
      </w:r>
    </w:p>
    <w:p>
      <w:pPr>
        <w:spacing w:after="0" w:line="11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All of our named executive officers who appear in the Summary Compensation Table are parties to employment agreements. With respect to each named executive officer, the level of base salary to be paid to those officers over the term of their respective employment agreements and their individual target bonus percentages were initially determined as part of the negotiation process relating to such agreements, and are subject to annual review by the Compensation Committee.</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Compensation Committee’s charter empowers it to set all compensation, including, but not limited to, salary, bonus, incentive compensation, equity awards, benefits and perquisites, for our named executive officers. Our Compensation Committee makes such determinations with respect to our Chief Executive Officer and, for all other named executives, makes such determinations in consultation with our Chief Executive Officer. For additional information regarding the Compensation Committee, please see “Corporate Governance and Board Matters —Committees of Our Board of Directors — Compensation Committee.”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of Compensation Programs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pay our executive officers based on company-wide business performance, subject to adjustment based on their achievement of individual performance goals, and, in setting compensation levels, we take into consideration our past practices, our current and anticipated future needs, and the relative skills and experience of each individual executive.</w:t>
      </w:r>
    </w:p>
    <w:p>
      <w:pPr>
        <w:spacing w:after="0" w:line="181"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i w:val="1"/>
          <w:iCs w:val="1"/>
          <w:color w:val="auto"/>
        </w:rPr>
        <w:t xml:space="preserve">Compensation philosophy. </w:t>
      </w:r>
      <w:r>
        <w:rPr>
          <w:rFonts w:ascii="Arial" w:cs="Arial" w:eastAsia="Arial" w:hAnsi="Arial"/>
          <w:sz w:val="18"/>
          <w:szCs w:val="18"/>
          <w:color w:val="auto"/>
        </w:rPr>
        <w:t>Under our compensation philosophy, a named executive officer’s total compensation will vary based on our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as well as the Compensation Committee’s assessment of the particular named executive officer’s personal performance and contribution to our overall results. This philosophy generally applies to all of our employees, although the degree of variability and compensation at risk increases as an employee’s function and level of responsibility increases. Our overall goals in implementing this philosophy are to attract, motivate, and retain highly qualified individuals responsible for guiding us and creating value for our investors.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8" w:name="page29"/>
    <w:bookmarkEnd w:id="28"/>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Compensation objectives. </w:t>
      </w:r>
      <w:r>
        <w:rPr>
          <w:rFonts w:ascii="Arial" w:cs="Arial" w:eastAsia="Arial" w:hAnsi="Arial"/>
          <w:sz w:val="18"/>
          <w:szCs w:val="18"/>
          <w:color w:val="auto"/>
        </w:rPr>
        <w:t>We believe that the compensation program we follow helps us achieve the following objectives:</w:t>
      </w:r>
    </w:p>
    <w:p>
      <w:pPr>
        <w:spacing w:after="0" w:line="131" w:lineRule="exact"/>
        <w:rPr>
          <w:sz w:val="20"/>
          <w:szCs w:val="20"/>
          <w:color w:val="auto"/>
        </w:rPr>
      </w:pPr>
    </w:p>
    <w:p>
      <w:pPr>
        <w:ind w:left="900" w:right="340" w:hanging="446"/>
        <w:spacing w:after="0" w:line="286"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Compensation should be related to performance. </w:t>
      </w:r>
      <w:r>
        <w:rPr>
          <w:rFonts w:ascii="Arial" w:cs="Arial" w:eastAsia="Arial" w:hAnsi="Arial"/>
          <w:sz w:val="17"/>
          <w:szCs w:val="17"/>
          <w:color w:val="auto"/>
        </w:rPr>
        <w:t>We believe that the performance-based portion of an individual’s total compensation should</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as the individual’s business responsibilities increase. Thus, a material portion of executive compensation is linked to our financial performance, which also serves to align the named executive officers’ interests with those of our stockholders.</w:t>
      </w:r>
    </w:p>
    <w:p>
      <w:pPr>
        <w:spacing w:after="0" w:line="70" w:lineRule="exact"/>
        <w:rPr>
          <w:rFonts w:ascii="Arial" w:cs="Arial" w:eastAsia="Arial" w:hAnsi="Arial"/>
          <w:sz w:val="17"/>
          <w:szCs w:val="17"/>
          <w:color w:val="auto"/>
        </w:rPr>
      </w:pPr>
    </w:p>
    <w:p>
      <w:pPr>
        <w:ind w:left="900" w:hanging="446"/>
        <w:spacing w:after="0" w:line="25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Compensation should be competitive and cost effective. </w:t>
      </w:r>
      <w:r>
        <w:rPr>
          <w:rFonts w:ascii="Arial" w:cs="Arial" w:eastAsia="Arial" w:hAnsi="Arial"/>
          <w:sz w:val="18"/>
          <w:szCs w:val="18"/>
          <w:color w:val="auto"/>
        </w:rPr>
        <w:t>We believe that our compensation program should foster an innovative, high integrity,</w:t>
      </w:r>
      <w:r>
        <w:rPr>
          <w:rFonts w:ascii="Arial" w:cs="Arial" w:eastAsia="Arial" w:hAnsi="Arial"/>
          <w:sz w:val="18"/>
          <w:szCs w:val="18"/>
          <w:i w:val="1"/>
          <w:iCs w:val="1"/>
          <w:color w:val="auto"/>
        </w:rPr>
        <w:t xml:space="preserve"> </w:t>
      </w:r>
      <w:r>
        <w:rPr>
          <w:rFonts w:ascii="Arial" w:cs="Arial" w:eastAsia="Arial" w:hAnsi="Arial"/>
          <w:sz w:val="18"/>
          <w:szCs w:val="18"/>
          <w:color w:val="auto"/>
        </w:rPr>
        <w:t>and performance-oriented culture that serves to attract, motivate, and retain executives and other key employees with the appropriate skill sets to lead us through expected future growth in a dynamic, competitive, and highly regulated environment. Accordingly, we seek to provide compensation, in amounts and based on performance targets, necessary to achieve these goals and which is of fair value relative to other positions at the Company</w:t>
      </w:r>
    </w:p>
    <w:p>
      <w:pPr>
        <w:spacing w:after="0" w:line="188"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i w:val="1"/>
          <w:iCs w:val="1"/>
          <w:color w:val="auto"/>
        </w:rPr>
        <w:t xml:space="preserve">Company compensation policies. </w:t>
      </w:r>
      <w:r>
        <w:rPr>
          <w:rFonts w:ascii="Arial" w:cs="Arial" w:eastAsia="Arial" w:hAnsi="Arial"/>
          <w:sz w:val="18"/>
          <w:szCs w:val="18"/>
          <w:color w:val="auto"/>
        </w:rPr>
        <w:t>During 2014, our named executive officers’ total in-service compensation consisted of base salaries, cash bonuses,</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compensation, limited perquisites, and other benefits generally available to all employees. With regard to these components, we adhere to the following compensation policies:</w:t>
      </w:r>
    </w:p>
    <w:p>
      <w:pPr>
        <w:spacing w:after="0" w:line="87" w:lineRule="exact"/>
        <w:rPr>
          <w:sz w:val="20"/>
          <w:szCs w:val="20"/>
          <w:color w:val="auto"/>
        </w:rPr>
      </w:pPr>
    </w:p>
    <w:p>
      <w:pPr>
        <w:ind w:left="900" w:right="40" w:hanging="446"/>
        <w:spacing w:after="0" w:line="279" w:lineRule="auto"/>
        <w:tabs>
          <w:tab w:leader="none" w:pos="900" w:val="left"/>
        </w:tabs>
        <w:numPr>
          <w:ilvl w:val="0"/>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Founders who have significant equity stakes require limited cash or equity incentives. </w:t>
      </w:r>
      <w:r>
        <w:rPr>
          <w:rFonts w:ascii="Arial" w:cs="Arial" w:eastAsia="Arial" w:hAnsi="Arial"/>
          <w:sz w:val="17"/>
          <w:szCs w:val="17"/>
          <w:color w:val="auto"/>
        </w:rPr>
        <w:t>In the past, we have adhered to a belief that our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founders, who had significant equity stakes, did not require further equity incentives to enhance their motivation. While Brent D. Richardson, our remaining founder who continues to serve as our Executive Chairman, no longer has significant equity ownership in the Company, in 2014, as in past years, Mr. Richardson was compensated solely through base salary, a bonus and limited perquisites.</w:t>
      </w:r>
    </w:p>
    <w:p>
      <w:pPr>
        <w:spacing w:after="0" w:line="76" w:lineRule="exact"/>
        <w:rPr>
          <w:rFonts w:ascii="Arial" w:cs="Arial" w:eastAsia="Arial" w:hAnsi="Arial"/>
          <w:sz w:val="17"/>
          <w:szCs w:val="17"/>
          <w:i w:val="1"/>
          <w:iCs w:val="1"/>
          <w:color w:val="auto"/>
        </w:rPr>
      </w:pPr>
    </w:p>
    <w:p>
      <w:pPr>
        <w:ind w:left="900" w:right="460" w:hanging="446"/>
        <w:spacing w:after="0" w:line="259" w:lineRule="auto"/>
        <w:tabs>
          <w:tab w:leader="none" w:pos="9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should be a significant component of compensation. </w:t>
      </w:r>
      <w:r>
        <w:rPr>
          <w:rFonts w:ascii="Arial" w:cs="Arial" w:eastAsia="Arial" w:hAnsi="Arial"/>
          <w:sz w:val="18"/>
          <w:szCs w:val="18"/>
          <w:color w:val="auto"/>
        </w:rPr>
        <w:t>The Company’s compensation policy focuses on providing the opportunity for its</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to earn total cash compensation at levels that enable the Company to achieve the motivation and retention goals described above, and to provide equity incentives that are intended to reward superior performance rather than serve as a substitute for cash compensation.</w:t>
      </w:r>
    </w:p>
    <w:p>
      <w:pPr>
        <w:spacing w:after="0" w:line="92" w:lineRule="exact"/>
        <w:rPr>
          <w:rFonts w:ascii="Arial" w:cs="Arial" w:eastAsia="Arial" w:hAnsi="Arial"/>
          <w:sz w:val="18"/>
          <w:szCs w:val="18"/>
          <w:i w:val="1"/>
          <w:iCs w:val="1"/>
          <w:color w:val="auto"/>
        </w:rPr>
      </w:pPr>
    </w:p>
    <w:p>
      <w:pPr>
        <w:ind w:left="900" w:right="20" w:hanging="446"/>
        <w:spacing w:after="0" w:line="259" w:lineRule="auto"/>
        <w:tabs>
          <w:tab w:leader="none" w:pos="9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Base salaries should generally be the largest component of cash compensation</w:t>
      </w:r>
      <w:r>
        <w:rPr>
          <w:rFonts w:ascii="Arial" w:cs="Arial" w:eastAsia="Arial" w:hAnsi="Arial"/>
          <w:sz w:val="18"/>
          <w:szCs w:val="18"/>
          <w:color w:val="auto"/>
        </w:rPr>
        <w:t>. Our compensation programs generally reflect our view that base</w:t>
      </w:r>
      <w:r>
        <w:rPr>
          <w:rFonts w:ascii="Arial" w:cs="Arial" w:eastAsia="Arial" w:hAnsi="Arial"/>
          <w:sz w:val="18"/>
          <w:szCs w:val="18"/>
          <w:i w:val="1"/>
          <w:iCs w:val="1"/>
          <w:color w:val="auto"/>
        </w:rPr>
        <w:t xml:space="preserve"> </w:t>
      </w:r>
      <w:r>
        <w:rPr>
          <w:rFonts w:ascii="Arial" w:cs="Arial" w:eastAsia="Arial" w:hAnsi="Arial"/>
          <w:sz w:val="18"/>
          <w:szCs w:val="18"/>
          <w:color w:val="auto"/>
        </w:rPr>
        <w:t>salaries reflect compensation for the named executive officers to perform the essential elements of their respective jobs, and that cash bonuses are a reward for superior company performance. In this regard, absent clear outperformance of financial goals, base salary should generally be the largest component of cash compensation.</w:t>
      </w:r>
    </w:p>
    <w:p>
      <w:pPr>
        <w:spacing w:after="0" w:line="92" w:lineRule="exact"/>
        <w:rPr>
          <w:rFonts w:ascii="Arial" w:cs="Arial" w:eastAsia="Arial" w:hAnsi="Arial"/>
          <w:sz w:val="18"/>
          <w:szCs w:val="18"/>
          <w:i w:val="1"/>
          <w:iCs w:val="1"/>
          <w:color w:val="auto"/>
        </w:rPr>
      </w:pPr>
    </w:p>
    <w:p>
      <w:pPr>
        <w:ind w:left="900" w:right="60" w:hanging="446"/>
        <w:spacing w:after="0" w:line="264" w:lineRule="auto"/>
        <w:tabs>
          <w:tab w:leader="none" w:pos="90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incentives should be linked to performance. </w:t>
      </w:r>
      <w:r>
        <w:rPr>
          <w:rFonts w:ascii="Arial" w:cs="Arial" w:eastAsia="Arial" w:hAnsi="Arial"/>
          <w:sz w:val="18"/>
          <w:szCs w:val="18"/>
          <w:color w:val="auto"/>
        </w:rPr>
        <w:t>Under our Annual Cash Incentive Plan, bonuses paid to our named executive officers are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overall company financial performance, but are subject to reduction based on the Compensation Committee’s assessment of the particular named executive officer’s personal performance and contribution to our overall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policies have helped us achieve our compensation objectives of attracting, motivating, retaining, and rewarding our key officers.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Programs Design and Elements of Compensation</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We choose to pay each element of compensation to further the objectives of our compensation program, which, as noted, include the need to attract, motivate, retain, and reward key leaders critical to our success by providing competitive total compensation.</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 xml:space="preserve">Elements of In-Service Compensation. </w:t>
      </w:r>
      <w:r>
        <w:rPr>
          <w:rFonts w:ascii="Arial" w:cs="Arial" w:eastAsia="Arial" w:hAnsi="Arial"/>
          <w:sz w:val="18"/>
          <w:szCs w:val="18"/>
          <w:color w:val="auto"/>
        </w:rPr>
        <w:t>For our 2014 fiscal year, our executive compensation mix included base salaries, cash bonuses,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limited perquisites, and other benefits generally available to all employees. We generally determine the nature and amount of each element of compensation as follows:</w:t>
      </w:r>
    </w:p>
    <w:p>
      <w:pPr>
        <w:spacing w:after="0" w:line="87" w:lineRule="exact"/>
        <w:rPr>
          <w:sz w:val="20"/>
          <w:szCs w:val="20"/>
          <w:color w:val="auto"/>
        </w:rPr>
      </w:pPr>
    </w:p>
    <w:p>
      <w:pPr>
        <w:ind w:left="900" w:right="220" w:hanging="446"/>
        <w:spacing w:after="0" w:line="277" w:lineRule="auto"/>
        <w:tabs>
          <w:tab w:leader="none" w:pos="9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We typically agree upon a base salary with a named executive officer at the time of initial employment. The amount of 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agreed upon, which is not at risk, reflects our views as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9" w:name="page30"/>
    <w:bookmarkEnd w:id="29"/>
    <w:p>
      <w:pPr>
        <w:ind w:left="9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individual executive’s past experience, future potential, knowledge, scope of anticipated responsibilities, skills, expertise, and potential to add value through performance, as well as competitive industry salary practices. Although minimum base salaries for each of our current named executive officers are set by their respective employment agreements, as described below, we review executive officer salaries annually and may increase them based on an evaluation of the Company’s performance for the year and the performance of the functional areas under an executive officer’s scope of responsibility. We also consider qualitative criteria, such as education and experience requirements, complexity, and scope or impact of the position compared to other executive positions internally.</w:t>
      </w:r>
    </w:p>
    <w:p>
      <w:pPr>
        <w:spacing w:after="0" w:line="84" w:lineRule="exact"/>
        <w:rPr>
          <w:sz w:val="20"/>
          <w:szCs w:val="20"/>
          <w:color w:val="auto"/>
        </w:rPr>
      </w:pPr>
    </w:p>
    <w:p>
      <w:pPr>
        <w:ind w:left="900" w:right="120" w:hanging="446"/>
        <w:spacing w:after="0" w:line="264" w:lineRule="auto"/>
        <w:tabs>
          <w:tab w:leader="none" w:pos="9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Bonuses. </w:t>
      </w:r>
      <w:r>
        <w:rPr>
          <w:rFonts w:ascii="Arial" w:cs="Arial" w:eastAsia="Arial" w:hAnsi="Arial"/>
          <w:sz w:val="18"/>
          <w:szCs w:val="18"/>
          <w:color w:val="auto"/>
        </w:rPr>
        <w:t>We provide cash bonuses, which typically are at-risk, to recognize and reward our named executive officers based on our success in a</w:t>
      </w:r>
      <w:r>
        <w:rPr>
          <w:rFonts w:ascii="Arial" w:cs="Arial" w:eastAsia="Arial" w:hAnsi="Arial"/>
          <w:sz w:val="18"/>
          <w:szCs w:val="18"/>
          <w:i w:val="1"/>
          <w:iCs w:val="1"/>
          <w:color w:val="auto"/>
        </w:rPr>
        <w:t xml:space="preserve"> </w:t>
      </w:r>
      <w:r>
        <w:rPr>
          <w:rFonts w:ascii="Arial" w:cs="Arial" w:eastAsia="Arial" w:hAnsi="Arial"/>
          <w:sz w:val="18"/>
          <w:szCs w:val="18"/>
          <w:color w:val="auto"/>
        </w:rPr>
        <w:t>given year. For 2014, we awarded performance-related bonuses based on the Annual Cash Incentive Plan. The operation of this plan as it relates to our named executive officers is described in more detail below.</w:t>
      </w:r>
    </w:p>
    <w:p>
      <w:pPr>
        <w:spacing w:after="0" w:line="86" w:lineRule="exact"/>
        <w:rPr>
          <w:rFonts w:ascii="Arial" w:cs="Arial" w:eastAsia="Arial" w:hAnsi="Arial"/>
          <w:sz w:val="18"/>
          <w:szCs w:val="18"/>
          <w:i w:val="1"/>
          <w:iCs w:val="1"/>
          <w:color w:val="auto"/>
        </w:rPr>
      </w:pPr>
    </w:p>
    <w:p>
      <w:pPr>
        <w:ind w:left="900" w:right="100" w:hanging="446"/>
        <w:spacing w:after="0" w:line="264" w:lineRule="auto"/>
        <w:tabs>
          <w:tab w:leader="none" w:pos="9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We currently have authorized a total of 12,167,127 shares of common stock for grants under our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In 2014, our named executive officers received grants of restricted stock under this plan as part of an overall, annual equity incentive grant made to Company employees.</w:t>
      </w:r>
    </w:p>
    <w:p>
      <w:pPr>
        <w:spacing w:after="0" w:line="86" w:lineRule="exact"/>
        <w:rPr>
          <w:rFonts w:ascii="Arial" w:cs="Arial" w:eastAsia="Arial" w:hAnsi="Arial"/>
          <w:sz w:val="18"/>
          <w:szCs w:val="18"/>
          <w:i w:val="1"/>
          <w:iCs w:val="1"/>
          <w:color w:val="auto"/>
        </w:rPr>
      </w:pPr>
    </w:p>
    <w:p>
      <w:pPr>
        <w:ind w:left="900" w:right="40" w:hanging="446"/>
        <w:spacing w:after="0" w:line="264" w:lineRule="auto"/>
        <w:tabs>
          <w:tab w:leader="none" w:pos="90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Perquisites. </w:t>
      </w:r>
      <w:r>
        <w:rPr>
          <w:rFonts w:ascii="Arial" w:cs="Arial" w:eastAsia="Arial" w:hAnsi="Arial"/>
          <w:sz w:val="18"/>
          <w:szCs w:val="18"/>
          <w:color w:val="auto"/>
        </w:rPr>
        <w:t>We seek to compensate our named executive officers at levels that eliminate the need for material perquisites and enable each</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officer to provide for his or her own needs. Accordingly, in 2014, we provided limited perquisites to our named executive officers. See “Compensation of Executive Officers — Summary Compensation Table” for additional detail.</w:t>
      </w:r>
    </w:p>
    <w:p>
      <w:pPr>
        <w:spacing w:after="0" w:line="86" w:lineRule="exact"/>
        <w:rPr>
          <w:rFonts w:ascii="Arial" w:cs="Arial" w:eastAsia="Arial" w:hAnsi="Arial"/>
          <w:sz w:val="18"/>
          <w:szCs w:val="18"/>
          <w:i w:val="1"/>
          <w:iCs w:val="1"/>
          <w:color w:val="auto"/>
        </w:rPr>
      </w:pPr>
    </w:p>
    <w:p>
      <w:pPr>
        <w:ind w:left="900" w:right="80" w:hanging="446"/>
        <w:spacing w:after="0" w:line="272" w:lineRule="auto"/>
        <w:tabs>
          <w:tab w:leader="none" w:pos="900" w:val="left"/>
        </w:tabs>
        <w:numPr>
          <w:ilvl w:val="0"/>
          <w:numId w:val="2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We offer other employee benefits to named executive officers for the purpose of meeting current and future health and security needs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executives and their families. These benefits, which we generally offer to all eligible employees, include medical, dental, and life insurance benefits; short-term disability pay; long-term disability insurance; flexible spending accounts for medical expense reimbursements; a 401(k) retirement savings plan; and free tuition for a spouse or up to two children with no more than two participants receiving the tuition benefit at any one time. The 401(k) retirement savings plan is a defined contribution plan under Section 401(a) of the Code, into which employees may make pre-tax contributions into the plan, expressed as a percentage of compensation, up to prescribed IRS annual limits, with such contributions subject to a matching Company contribution up to prescribed limits.</w:t>
      </w:r>
    </w:p>
    <w:p>
      <w:pPr>
        <w:spacing w:after="0" w:line="178"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i w:val="1"/>
          <w:iCs w:val="1"/>
          <w:color w:val="auto"/>
        </w:rPr>
        <w:t xml:space="preserve">Elements of Post-Termination Compensation and Benefits. </w:t>
      </w:r>
      <w:r>
        <w:rPr>
          <w:rFonts w:ascii="Arial" w:cs="Arial" w:eastAsia="Arial" w:hAnsi="Arial"/>
          <w:sz w:val="17"/>
          <w:szCs w:val="17"/>
          <w:color w:val="auto"/>
        </w:rPr>
        <w:t>The employment agreements of our named executive officers provide for post-termination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salary and benefit continuation in the event of a termination by us without Cause (as defined below) or by the executive for Good Reason (as defined below) or in the event of any such termination within 12 months following a Change in Control (as defined below), and for so long as the named executive officer abides by customary confidentiality, non-competition, and non-solicitation covenants and executes a full release of all claims, known or unknown, that the executive may have against the Company. We believe that the amounts of these payments and benefits and the periods of time during which they would be provided are fair and reasonable, and we have not historically taken into account any amounts that may be received by a named executive officer following termination when establishing current compensation levels. The elements of post-termination compensation that were in effect during 2014 pursuant to the written employment agreements consisted of the following:</w:t>
      </w:r>
    </w:p>
    <w:p>
      <w:pPr>
        <w:spacing w:after="0" w:line="84" w:lineRule="exact"/>
        <w:rPr>
          <w:sz w:val="20"/>
          <w:szCs w:val="20"/>
          <w:color w:val="auto"/>
        </w:rPr>
      </w:pPr>
    </w:p>
    <w:p>
      <w:pPr>
        <w:ind w:left="900" w:right="160" w:hanging="446"/>
        <w:spacing w:after="0" w:line="277" w:lineRule="auto"/>
        <w:tabs>
          <w:tab w:leader="none" w:pos="9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Salary continuation. </w:t>
      </w:r>
      <w:r>
        <w:rPr>
          <w:rFonts w:ascii="Arial" w:cs="Arial" w:eastAsia="Arial" w:hAnsi="Arial"/>
          <w:sz w:val="18"/>
          <w:szCs w:val="18"/>
          <w:color w:val="auto"/>
        </w:rPr>
        <w:t>Each named executive officer would continue to receive salary payments for a period of twelve (12) months following any</w:t>
      </w:r>
      <w:r>
        <w:rPr>
          <w:rFonts w:ascii="Arial" w:cs="Arial" w:eastAsia="Arial" w:hAnsi="Arial"/>
          <w:sz w:val="18"/>
          <w:szCs w:val="18"/>
          <w:i w:val="1"/>
          <w:iCs w:val="1"/>
          <w:color w:val="auto"/>
        </w:rPr>
        <w:t xml:space="preserve"> </w:t>
      </w:r>
      <w:r>
        <w:rPr>
          <w:rFonts w:ascii="Arial" w:cs="Arial" w:eastAsia="Arial" w:hAnsi="Arial"/>
          <w:sz w:val="18"/>
          <w:szCs w:val="18"/>
          <w:color w:val="auto"/>
        </w:rPr>
        <w:t>qualifying termination of employment.</w:t>
      </w:r>
    </w:p>
    <w:p>
      <w:pPr>
        <w:spacing w:after="0" w:line="75" w:lineRule="exact"/>
        <w:rPr>
          <w:rFonts w:ascii="Arial" w:cs="Arial" w:eastAsia="Arial" w:hAnsi="Arial"/>
          <w:sz w:val="18"/>
          <w:szCs w:val="18"/>
          <w:i w:val="1"/>
          <w:iCs w:val="1"/>
          <w:color w:val="auto"/>
        </w:rPr>
      </w:pPr>
    </w:p>
    <w:p>
      <w:pPr>
        <w:ind w:left="900" w:right="440" w:hanging="446"/>
        <w:spacing w:after="0" w:line="264" w:lineRule="auto"/>
        <w:tabs>
          <w:tab w:leader="none" w:pos="9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Payment of target bonus</w:t>
      </w:r>
      <w:r>
        <w:rPr>
          <w:rFonts w:ascii="Arial" w:cs="Arial" w:eastAsia="Arial" w:hAnsi="Arial"/>
          <w:sz w:val="18"/>
          <w:szCs w:val="18"/>
          <w:color w:val="auto"/>
        </w:rPr>
        <w:t>. Each named executive officer would receive an additional amount equal to 100% of the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target bonus for the year in which such termination occurs, with such amount also payable over twelve (12) months following any qualifying termination of employment.</w:t>
      </w:r>
    </w:p>
    <w:p>
      <w:pPr>
        <w:spacing w:after="0" w:line="86" w:lineRule="exact"/>
        <w:rPr>
          <w:rFonts w:ascii="Arial" w:cs="Arial" w:eastAsia="Arial" w:hAnsi="Arial"/>
          <w:sz w:val="18"/>
          <w:szCs w:val="18"/>
          <w:i w:val="1"/>
          <w:iCs w:val="1"/>
          <w:color w:val="auto"/>
        </w:rPr>
      </w:pPr>
    </w:p>
    <w:p>
      <w:pPr>
        <w:ind w:left="900" w:right="380" w:hanging="446"/>
        <w:spacing w:after="0" w:line="277" w:lineRule="auto"/>
        <w:tabs>
          <w:tab w:leader="none" w:pos="90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Benefits continuation. </w:t>
      </w:r>
      <w:r>
        <w:rPr>
          <w:rFonts w:ascii="Arial" w:cs="Arial" w:eastAsia="Arial" w:hAnsi="Arial"/>
          <w:sz w:val="18"/>
          <w:szCs w:val="18"/>
          <w:color w:val="auto"/>
        </w:rPr>
        <w:t>Each named executive officer would continue to receive Company-paid premiums for continued group health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COBRA during the salary continuation period.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30" w:name="page31"/>
    <w:bookmarkEnd w:id="30"/>
    <w:p>
      <w:pPr>
        <w:ind w:left="900" w:hanging="446"/>
        <w:spacing w:after="0" w:line="264" w:lineRule="auto"/>
        <w:tabs>
          <w:tab w:leader="none" w:pos="9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Partially accelerated vesting of equity incentives</w:t>
      </w:r>
      <w:r>
        <w:rPr>
          <w:rFonts w:ascii="Arial" w:cs="Arial" w:eastAsia="Arial" w:hAnsi="Arial"/>
          <w:sz w:val="18"/>
          <w:szCs w:val="18"/>
          <w:color w:val="auto"/>
        </w:rPr>
        <w:t>. Certain of our named executive officers would receive partial acceleration of the vesting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stock options or restricted stock awards to the next vesting date immediately following the date of termination, in the event of a termination by us without Cause or by the executive for Good Reason.</w:t>
      </w:r>
    </w:p>
    <w:p>
      <w:pPr>
        <w:spacing w:after="0" w:line="86" w:lineRule="exact"/>
        <w:rPr>
          <w:rFonts w:ascii="Arial" w:cs="Arial" w:eastAsia="Arial" w:hAnsi="Arial"/>
          <w:sz w:val="18"/>
          <w:szCs w:val="18"/>
          <w:i w:val="1"/>
          <w:iCs w:val="1"/>
          <w:color w:val="auto"/>
        </w:rPr>
      </w:pPr>
    </w:p>
    <w:p>
      <w:pPr>
        <w:ind w:left="900" w:right="320" w:hanging="446"/>
        <w:spacing w:after="0" w:line="264" w:lineRule="auto"/>
        <w:tabs>
          <w:tab w:leader="none" w:pos="90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Fully accelerated vesting of stock options</w:t>
      </w:r>
      <w:r>
        <w:rPr>
          <w:rFonts w:ascii="Arial" w:cs="Arial" w:eastAsia="Arial" w:hAnsi="Arial"/>
          <w:sz w:val="18"/>
          <w:szCs w:val="18"/>
          <w:color w:val="auto"/>
        </w:rPr>
        <w:t>. In the event of a termination by us without Cause or by the executive for Good Reason within 12</w:t>
      </w:r>
      <w:r>
        <w:rPr>
          <w:rFonts w:ascii="Arial" w:cs="Arial" w:eastAsia="Arial" w:hAnsi="Arial"/>
          <w:sz w:val="18"/>
          <w:szCs w:val="18"/>
          <w:i w:val="1"/>
          <w:iCs w:val="1"/>
          <w:color w:val="auto"/>
        </w:rPr>
        <w:t xml:space="preserve"> </w:t>
      </w:r>
      <w:r>
        <w:rPr>
          <w:rFonts w:ascii="Arial" w:cs="Arial" w:eastAsia="Arial" w:hAnsi="Arial"/>
          <w:sz w:val="18"/>
          <w:szCs w:val="18"/>
          <w:color w:val="auto"/>
        </w:rPr>
        <w:t>months following a Change in Control, each named executive officer would receive full acceleration of the vesting of their outstanding stock options or restricted stock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See “Potential Payments Upon Termination or Change in Control” for certain exceptions and additional detail.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Performance on Compensation</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Under the Annual Cash Incentive Plan as in effect for 2014, a named executive officer’s bonus is based on the Company’s achievement of revenue and Adjusted EBITDA targets, with the resulting amount subject to reduction based on the Compensation Committee’s assessment of the particular named executive officer’s personal performance and contribution to our overall results. For 2014, we defined Adjusted EBITDA for purposes of the Annual Cash Incentive Plan in a manner consistent with the definition we use when reporting our financial results. See Item 6, </w:t>
      </w:r>
      <w:r>
        <w:rPr>
          <w:rFonts w:ascii="Arial" w:cs="Arial" w:eastAsia="Arial" w:hAnsi="Arial"/>
          <w:sz w:val="17"/>
          <w:szCs w:val="17"/>
          <w:i w:val="1"/>
          <w:iCs w:val="1"/>
          <w:color w:val="auto"/>
        </w:rPr>
        <w:t>Selected Consolidated Financial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Data, </w:t>
      </w:r>
      <w:r>
        <w:rPr>
          <w:rFonts w:ascii="Arial" w:cs="Arial" w:eastAsia="Arial" w:hAnsi="Arial"/>
          <w:sz w:val="17"/>
          <w:szCs w:val="17"/>
          <w:color w:val="auto"/>
        </w:rPr>
        <w:t>beginning on page 42 of our Annual Report on Form 10-K for the fiscal year ended December 31, 2014 for information regarding our use and</w:t>
      </w:r>
      <w:r>
        <w:rPr>
          <w:rFonts w:ascii="Arial" w:cs="Arial" w:eastAsia="Arial" w:hAnsi="Arial"/>
          <w:sz w:val="17"/>
          <w:szCs w:val="17"/>
          <w:i w:val="1"/>
          <w:iCs w:val="1"/>
          <w:color w:val="auto"/>
        </w:rPr>
        <w:t xml:space="preserve"> </w:t>
      </w:r>
      <w:r>
        <w:rPr>
          <w:rFonts w:ascii="Arial" w:cs="Arial" w:eastAsia="Arial" w:hAnsi="Arial"/>
          <w:sz w:val="17"/>
          <w:szCs w:val="17"/>
          <w:color w:val="auto"/>
        </w:rPr>
        <w:t>calculation of Adjusted EBITDA. As such, we believe it is fair and reasonable to our executives to assess their individual performance on the same basis as our performance is assessed by our Board of Directors and investors.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Company performance</w:t>
      </w:r>
      <w:r>
        <w:rPr>
          <w:rFonts w:ascii="Arial" w:cs="Arial" w:eastAsia="Arial" w:hAnsi="Arial"/>
          <w:sz w:val="18"/>
          <w:szCs w:val="18"/>
          <w:color w:val="auto"/>
        </w:rPr>
        <w:t>. For our named executive officers, the financial metrics account for 100% of the target bonus, with the resulting amount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reduction based on the Compensation Committee’s assessment of the particular named executive officer’s personal performance and contribution to our overall results. For other plan participants, the financial metrics account for 60% of the target bonus and specific individual performance goals account for 40% of the target bonus.</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Individual performance</w:t>
      </w:r>
      <w:r>
        <w:rPr>
          <w:rFonts w:ascii="Arial" w:cs="Arial" w:eastAsia="Arial" w:hAnsi="Arial"/>
          <w:sz w:val="18"/>
          <w:szCs w:val="18"/>
          <w:color w:val="auto"/>
        </w:rPr>
        <w:t>. In reviewing individual performance, we look at an executive’s achievement of non-financial objectives that, with respect to a</w:t>
      </w:r>
      <w:r>
        <w:rPr>
          <w:rFonts w:ascii="Arial" w:cs="Arial" w:eastAsia="Arial" w:hAnsi="Arial"/>
          <w:sz w:val="18"/>
          <w:szCs w:val="18"/>
          <w:i w:val="1"/>
          <w:iCs w:val="1"/>
          <w:color w:val="auto"/>
        </w:rPr>
        <w:t xml:space="preserve"> </w:t>
      </w:r>
      <w:r>
        <w:rPr>
          <w:rFonts w:ascii="Arial" w:cs="Arial" w:eastAsia="Arial" w:hAnsi="Arial"/>
          <w:sz w:val="18"/>
          <w:szCs w:val="18"/>
          <w:color w:val="auto"/>
        </w:rPr>
        <w:t>given participant, may include achieving objectives related to, among other things, program development and expansion, regulatory compliance, student retention and academic outcomes.</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Calculation of bonuses</w:t>
      </w:r>
      <w:r>
        <w:rPr>
          <w:rFonts w:ascii="Arial" w:cs="Arial" w:eastAsia="Arial" w:hAnsi="Arial"/>
          <w:sz w:val="18"/>
          <w:szCs w:val="18"/>
          <w:color w:val="auto"/>
        </w:rPr>
        <w:t>. For each named executive officer, the Compensation Committee establishes a target bonus, which is stated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officer’s base salary other than for Mr. Roberts whose target bonus was set at $125,000 for 2014, the target bonus percentages for the other named executive officers were as follows:</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760" w:type="dxa"/>
            <w:vAlign w:val="bottom"/>
            <w:gridSpan w:val="3"/>
          </w:tcPr>
          <w:p>
            <w:pPr>
              <w:jc w:val="center"/>
              <w:ind w:left="2134"/>
              <w:spacing w:after="0"/>
              <w:rPr>
                <w:sz w:val="20"/>
                <w:szCs w:val="20"/>
                <w:color w:val="auto"/>
              </w:rPr>
            </w:pPr>
            <w:r>
              <w:rPr>
                <w:rFonts w:ascii="Arial" w:cs="Arial" w:eastAsia="Arial" w:hAnsi="Arial"/>
                <w:sz w:val="14"/>
                <w:szCs w:val="14"/>
                <w:b w:val="1"/>
                <w:bCs w:val="1"/>
                <w:color w:val="auto"/>
                <w:w w:val="90"/>
              </w:rPr>
              <w:t>Target Bonus as a</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64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3640" w:type="dxa"/>
            <w:vAlign w:val="bottom"/>
            <w:vMerge w:val="continue"/>
          </w:tcPr>
          <w:p>
            <w:pPr>
              <w:spacing w:after="0"/>
              <w:rPr>
                <w:sz w:val="13"/>
                <w:szCs w:val="13"/>
                <w:color w:val="auto"/>
              </w:rPr>
            </w:pPr>
          </w:p>
        </w:tc>
        <w:tc>
          <w:tcPr>
            <w:tcW w:w="2440" w:type="dxa"/>
            <w:vAlign w:val="bottom"/>
          </w:tcPr>
          <w:p>
            <w:pPr>
              <w:spacing w:after="0"/>
              <w:rPr>
                <w:sz w:val="13"/>
                <w:szCs w:val="13"/>
                <w:color w:val="auto"/>
              </w:rPr>
            </w:pPr>
          </w:p>
        </w:tc>
        <w:tc>
          <w:tcPr>
            <w:tcW w:w="13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0"/>
              </w:rPr>
              <w:t>Base Salary</w:t>
            </w:r>
          </w:p>
        </w:tc>
        <w:tc>
          <w:tcPr>
            <w:tcW w:w="0" w:type="dxa"/>
            <w:vAlign w:val="bottom"/>
          </w:tcPr>
          <w:p>
            <w:pPr>
              <w:spacing w:after="0"/>
              <w:rPr>
                <w:sz w:val="1"/>
                <w:szCs w:val="1"/>
                <w:color w:val="auto"/>
              </w:rPr>
            </w:pPr>
          </w:p>
        </w:tc>
      </w:tr>
      <w:tr>
        <w:trPr>
          <w:trHeight w:val="20"/>
        </w:trPr>
        <w:tc>
          <w:tcPr>
            <w:tcW w:w="4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2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gridSpan w:val="2"/>
            <w:vMerge w:val="continue"/>
            <w:shd w:val="clear" w:color="auto" w:fill="CCEEFF"/>
          </w:tcPr>
          <w:p>
            <w:pPr>
              <w:spacing w:after="0"/>
              <w:rPr>
                <w:sz w:val="17"/>
                <w:szCs w:val="17"/>
                <w:color w:val="auto"/>
              </w:rPr>
            </w:pPr>
          </w:p>
        </w:tc>
        <w:tc>
          <w:tcPr>
            <w:tcW w:w="2440" w:type="dxa"/>
            <w:vAlign w:val="bottom"/>
            <w:vMerge w:val="continue"/>
            <w:shd w:val="clear" w:color="auto" w:fill="CCEEFF"/>
          </w:tcPr>
          <w:p>
            <w:pPr>
              <w:spacing w:after="0"/>
              <w:rPr>
                <w:sz w:val="17"/>
                <w:szCs w:val="17"/>
                <w:color w:val="auto"/>
              </w:rPr>
            </w:pPr>
          </w:p>
        </w:tc>
        <w:tc>
          <w:tcPr>
            <w:tcW w:w="13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Brian E. Mueller</w:t>
            </w:r>
          </w:p>
        </w:tc>
        <w:tc>
          <w:tcPr>
            <w:tcW w:w="376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3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Daniel E. Bachus</w:t>
            </w:r>
          </w:p>
        </w:tc>
        <w:tc>
          <w:tcPr>
            <w:tcW w:w="3760" w:type="dxa"/>
            <w:vAlign w:val="bottom"/>
            <w:gridSpan w:val="3"/>
          </w:tcPr>
          <w:p>
            <w:pPr>
              <w:jc w:val="right"/>
              <w:ind w:right="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3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For each named executive officer, the financial metrics account for 100% of the target bonus, with the revenue target and the Adjusted EBITDA target accounting for 50% each. The actual percentage is determined on the basis of the Company’s achievement of the revenue and Adjusted EBITDA targets that the Compensation Committee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31" w:name="page32"/>
    <w:bookmarkEnd w:id="31"/>
    <w:p>
      <w:pPr>
        <w:ind w:right="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establishes for the applicable fiscal year. With respect to these targets, the financial goals are based upon goals established for the applicable fiscal year. For participants to earn any payout under the plan, the Company must achieve at least 95% of both the revenue and Adjusted EBITDA goals. Assuming both of these thresholds are achieved, payouts are made based on the Company’s achievement of a minimum of 95% of both the revenue goal and Adjusted EBITDA goal (resulting in a bonus of 50% of the target bonus) and a maximum of 105% of the revenue goal and 107% of the Adjusted EBITDA goal (resulting in a bonus of 150% of the target bonus). Performance between minimum and maximum levels results in prorated payments using straight-line interpolation.</w:t>
      </w:r>
    </w:p>
    <w:p>
      <w:pPr>
        <w:sectPr>
          <w:pgSz w:w="11900" w:h="16838" w:orient="portrait"/>
          <w:cols w:equalWidth="0" w:num="1">
            <w:col w:w="11420"/>
          </w:cols>
          <w:pgMar w:left="240" w:top="274" w:right="239" w:bottom="1440" w:gutter="0" w:footer="0" w:header="0"/>
        </w:sectPr>
      </w:pP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Shown below is a summary of the matrix described above:</w:t>
      </w:r>
    </w:p>
    <w:p>
      <w:pPr>
        <w:spacing w:after="0" w:line="267" w:lineRule="exact"/>
        <w:rPr>
          <w:sz w:val="20"/>
          <w:szCs w:val="20"/>
          <w:color w:val="auto"/>
        </w:rPr>
      </w:pPr>
    </w:p>
    <w:p>
      <w:pPr>
        <w:ind w:left="920"/>
        <w:spacing w:after="0"/>
        <w:rPr>
          <w:sz w:val="20"/>
          <w:szCs w:val="20"/>
          <w:color w:val="auto"/>
        </w:rPr>
      </w:pPr>
      <w:r>
        <w:rPr>
          <w:rFonts w:ascii="Arial" w:cs="Arial" w:eastAsia="Arial" w:hAnsi="Arial"/>
          <w:sz w:val="14"/>
          <w:szCs w:val="14"/>
          <w:b w:val="1"/>
          <w:bCs w:val="1"/>
          <w:u w:val="single" w:color="auto"/>
          <w:color w:val="auto"/>
        </w:rPr>
        <w:t>Goal</w:t>
      </w:r>
    </w:p>
    <w:p>
      <w:pPr>
        <w:spacing w:after="0" w:line="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Revenue goal</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(50.0% of financial metric)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Adjusted EBITDA</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(50.0% of financial metric)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Bonus payout as a % of target bonus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5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Target</w:t>
            </w:r>
          </w:p>
        </w:tc>
        <w:tc>
          <w:tcPr>
            <w:tcW w:w="5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Maximum</w:t>
            </w:r>
          </w:p>
        </w:tc>
      </w:tr>
      <w:tr>
        <w:trPr>
          <w:trHeight w:val="426"/>
        </w:trPr>
        <w:tc>
          <w:tcPr>
            <w:tcW w:w="142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95% of goal</w:t>
            </w:r>
          </w:p>
        </w:tc>
        <w:tc>
          <w:tcPr>
            <w:tcW w:w="152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100% of goal</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105% of goal</w:t>
            </w:r>
          </w:p>
        </w:tc>
      </w:tr>
      <w:tr>
        <w:trPr>
          <w:trHeight w:val="431"/>
        </w:trPr>
        <w:tc>
          <w:tcPr>
            <w:tcW w:w="1420" w:type="dxa"/>
            <w:vAlign w:val="bottom"/>
            <w:gridSpan w:val="2"/>
          </w:tcPr>
          <w:p>
            <w:pPr>
              <w:jc w:val="center"/>
              <w:ind w:right="540"/>
              <w:spacing w:after="0"/>
              <w:rPr>
                <w:sz w:val="20"/>
                <w:szCs w:val="20"/>
                <w:color w:val="auto"/>
              </w:rPr>
            </w:pPr>
            <w:r>
              <w:rPr>
                <w:rFonts w:ascii="Arial" w:cs="Arial" w:eastAsia="Arial" w:hAnsi="Arial"/>
                <w:sz w:val="18"/>
                <w:szCs w:val="18"/>
                <w:color w:val="auto"/>
                <w:w w:val="92"/>
              </w:rPr>
              <w:t>95% of goal</w:t>
            </w:r>
          </w:p>
        </w:tc>
        <w:tc>
          <w:tcPr>
            <w:tcW w:w="152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100% of goal</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107% of goal</w:t>
            </w:r>
          </w:p>
        </w:tc>
      </w:tr>
      <w:tr>
        <w:trPr>
          <w:trHeight w:val="230"/>
        </w:trPr>
        <w:tc>
          <w:tcPr>
            <w:tcW w:w="88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5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5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-702310</wp:posOffset>
            </wp:positionV>
            <wp:extent cx="6080125" cy="2832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80125" cy="283210"/>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-136525</wp:posOffset>
            </wp:positionV>
            <wp:extent cx="608012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60" w:space="720"/>
            <w:col w:w="4840"/>
          </w:cols>
          <w:pgMar w:left="240" w:top="274" w:right="239" w:bottom="1440" w:gutter="0" w:footer="0" w:header="0"/>
          <w:type w:val="continuous"/>
        </w:sectPr>
      </w:pPr>
    </w:p>
    <w:p>
      <w:pPr>
        <w:spacing w:after="0" w:line="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Annual Cash Incentive Plan, the actual bonus that a named executive officer could earn for a given fiscal year ranges from 0% to a maximum of 150% of his or her annual target bonus. To illustrate how the plan functions, assume that a named executive officer’s base salary for 2014 is $300,000 and that the target bonus is 50% of base salary. Of this target bonus of $150,000, $75,000 (or 50%) would be paid based upon the Company’s achievement of the revenue target and $75,000 (or 50%) would be paid based on the Company’s achievement of the Adjusted EBITDA target. If the revenue target is achieved at the threshold level (so only 50% of the revenue component is payable at that level) and the Adjusted EBITDA target is achieved at the target level (so that 100% of the Adjusted EBITDA component is payable at that level) the participant would be entitled to a potential bonus of $112,500 (calculated as $37,500 plus $75,000).</w:t>
      </w:r>
    </w:p>
    <w:p>
      <w:pPr>
        <w:spacing w:after="0" w:line="18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plan for eligible senior management other than the named executive officers differs in that it continues to include achievement of individual performance targets as a primary element of the bonus calculation, such that achievement of revenue and Adjusted EBITDA targets each account for 30% of target bonus and the achievement of individual performance targets accounts for 40% of target bonus. In addition, for eligible senior management other than the named executive officers, the bonus is calculated based on two six-month cycles, such that the determination of the bonus payable for each half of the applicable year is determined on the basis of the achievement of the revenue, Adjusted EBITDA and individual performance targets established for each such period.</w:t>
      </w:r>
    </w:p>
    <w:p>
      <w:pPr>
        <w:spacing w:after="0" w:line="19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Changes to performance goals and target awards</w:t>
      </w:r>
      <w:r>
        <w:rPr>
          <w:rFonts w:ascii="Arial" w:cs="Arial" w:eastAsia="Arial" w:hAnsi="Arial"/>
          <w:sz w:val="18"/>
          <w:szCs w:val="18"/>
          <w:color w:val="auto"/>
        </w:rPr>
        <w:t>. In accordance with the terms of the Annual Cash Incentive Plan, at any time prior to the final</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of bonuses earned, the Compensation Committee may adjust the performance goals and target awards to reflect a change in corporate capitalization (such as a stock split or stock dividend), or a corporate transaction (such as a merger, consolidation, separation, reorganization or partial or complete liquidation), or to reflect equitably the occurrence of any extraordinary event, any change in applicable accounting rules or principles, any change in the Company’s method of accounting, any change in applicable law, or any other change of a similar nature. In addition, under the Annual Cash Incentive Plan, the Compensation Committee may reduce (but not increase) the bonus amount for each named executive officer based on the committee’s determination of the participant’s achievement of personal and other performance goals established by the Compensation Committee and other factors as the committee determines.</w:t>
      </w:r>
    </w:p>
    <w:p>
      <w:pPr>
        <w:spacing w:after="0" w:line="192" w:lineRule="exact"/>
        <w:rPr>
          <w:sz w:val="20"/>
          <w:szCs w:val="20"/>
          <w:color w:val="auto"/>
        </w:rPr>
      </w:pPr>
    </w:p>
    <w:p>
      <w:pPr>
        <w:jc w:val="both"/>
        <w:ind w:right="560" w:firstLine="456"/>
        <w:spacing w:after="0" w:line="286" w:lineRule="auto"/>
        <w:rPr>
          <w:sz w:val="20"/>
          <w:szCs w:val="20"/>
          <w:color w:val="auto"/>
        </w:rPr>
      </w:pPr>
      <w:r>
        <w:rPr>
          <w:rFonts w:ascii="Arial" w:cs="Arial" w:eastAsia="Arial" w:hAnsi="Arial"/>
          <w:sz w:val="17"/>
          <w:szCs w:val="17"/>
          <w:i w:val="1"/>
          <w:iCs w:val="1"/>
          <w:color w:val="auto"/>
        </w:rPr>
        <w:t xml:space="preserve">2014 financial goals. </w:t>
      </w:r>
      <w:r>
        <w:rPr>
          <w:rFonts w:ascii="Arial" w:cs="Arial" w:eastAsia="Arial" w:hAnsi="Arial"/>
          <w:sz w:val="17"/>
          <w:szCs w:val="17"/>
          <w:color w:val="auto"/>
        </w:rPr>
        <w:t>The following table shows the company-wide financial goals established for the named executive officers for 2014. These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goals were selected based upon a combination of the Company’s internal budget and analyst estimates, which the Board of Directors believes establishes an appropriate level at which to set goals in order to maximize the incentive for superior performance.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type w:val="continuous"/>
        </w:sectPr>
      </w:pPr>
    </w:p>
    <w:bookmarkStart w:id="32" w:name="page33"/>
    <w:bookmarkEnd w:id="32"/>
    <w:tbl>
      <w:tblPr>
        <w:tblLayout w:type="fixed"/>
        <w:tblInd w:w="9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60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Threshold</w:t>
            </w: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Target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(105% of Goal for</w:t>
            </w: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Revenue/107% of Goal</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(95% of Goal)</w:t>
            </w: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(100% of Goal)</w:t>
            </w:r>
          </w:p>
        </w:tc>
        <w:tc>
          <w:tcPr>
            <w:tcW w:w="280" w:type="dxa"/>
            <w:vAlign w:val="bottom"/>
          </w:tcPr>
          <w:p>
            <w:pPr>
              <w:spacing w:after="0"/>
              <w:rPr>
                <w:sz w:val="14"/>
                <w:szCs w:val="14"/>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for Adjusted EBITDA</w:t>
            </w: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$634,600,000</w:t>
            </w:r>
          </w:p>
        </w:tc>
        <w:tc>
          <w:tcPr>
            <w:tcW w:w="6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$668,000,000</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b w:val="1"/>
                <w:bCs w:val="1"/>
                <w:i w:val="1"/>
                <w:iCs w:val="1"/>
                <w:color w:val="auto"/>
              </w:rPr>
              <w:t>Adjusted EBITDA</w:t>
            </w:r>
          </w:p>
        </w:tc>
        <w:tc>
          <w:tcPr>
            <w:tcW w:w="1600" w:type="dxa"/>
            <w:vAlign w:val="bottom"/>
            <w:gridSpan w:val="2"/>
          </w:tcPr>
          <w:p>
            <w:pPr>
              <w:jc w:val="right"/>
              <w:ind w:right="600"/>
              <w:spacing w:after="0"/>
              <w:rPr>
                <w:sz w:val="20"/>
                <w:szCs w:val="20"/>
                <w:color w:val="auto"/>
              </w:rPr>
            </w:pPr>
            <w:r>
              <w:rPr>
                <w:rFonts w:ascii="Arial" w:cs="Arial" w:eastAsia="Arial" w:hAnsi="Arial"/>
                <w:sz w:val="18"/>
                <w:szCs w:val="18"/>
                <w:color w:val="auto"/>
                <w:w w:val="97"/>
              </w:rPr>
              <w:t>195,172,160</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205,444,379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219,825,486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20" w:firstLine="456"/>
        <w:spacing w:after="0" w:line="257" w:lineRule="auto"/>
        <w:rPr>
          <w:sz w:val="20"/>
          <w:szCs w:val="20"/>
          <w:color w:val="auto"/>
        </w:rPr>
      </w:pPr>
      <w:r>
        <w:rPr>
          <w:rFonts w:ascii="Arial" w:cs="Arial" w:eastAsia="Arial" w:hAnsi="Arial"/>
          <w:sz w:val="18"/>
          <w:szCs w:val="18"/>
          <w:i w:val="1"/>
          <w:iCs w:val="1"/>
          <w:color w:val="auto"/>
        </w:rPr>
        <w:t>Actual performance vs. compensation paid for 2014</w:t>
      </w:r>
      <w:r>
        <w:rPr>
          <w:rFonts w:ascii="Arial" w:cs="Arial" w:eastAsia="Arial" w:hAnsi="Arial"/>
          <w:sz w:val="18"/>
          <w:szCs w:val="18"/>
          <w:color w:val="auto"/>
        </w:rPr>
        <w:t>. For 2014, the Company achieved revenue of $692.5 million (excluding certain adjustments) ,</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equal to 103.7% of target, and Adjusted EBITDA of $228.0 million (excluding certain adjustments), which is equal to 111.0% of target, resulting in performance payout percentages equal to 135.2% for the revenue component of the target bonus and the maximum 150.0% for the Adjusted EBITDA component of the target bonus. Accordingly, the named executive officers achieved incentive bonuses equal to the following percentages of their base salaries: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3"/>
              </w:rPr>
              <w:t>Adjusted</w:t>
            </w:r>
          </w:p>
        </w:tc>
        <w:tc>
          <w:tcPr>
            <w:tcW w:w="146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7"/>
              </w:rPr>
              <w:t>2014 Bonus as</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2014 Bonus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4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2"/>
              </w:rPr>
              <w:t>Revenue</w:t>
            </w:r>
          </w:p>
        </w:tc>
        <w:tc>
          <w:tcPr>
            <w:tcW w:w="140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76"/>
              </w:rPr>
              <w:t>as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EBITDA</w:t>
            </w: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Percentage</w:t>
            </w:r>
          </w:p>
        </w:tc>
        <w:tc>
          <w:tcPr>
            <w:tcW w:w="900" w:type="dxa"/>
            <w:vAlign w:val="bottom"/>
            <w:gridSpan w:val="2"/>
            <w:vMerge w:val="restart"/>
          </w:tcPr>
          <w:p>
            <w:pPr>
              <w:jc w:val="center"/>
              <w:ind w:left="133"/>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660" w:type="dxa"/>
            <w:vAlign w:val="bottom"/>
            <w:vMerge w:val="restart"/>
          </w:tcPr>
          <w:p>
            <w:pPr>
              <w:spacing w:after="0"/>
              <w:rPr>
                <w:sz w:val="12"/>
                <w:szCs w:val="12"/>
                <w:color w:val="auto"/>
              </w:rPr>
            </w:pP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Target Bonus</w:t>
            </w: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of Base</w:t>
            </w: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4660" w:type="dxa"/>
            <w:vAlign w:val="bottom"/>
            <w:vMerge w:val="continue"/>
          </w:tcPr>
          <w:p>
            <w:pPr>
              <w:spacing w:after="0"/>
              <w:rPr>
                <w:sz w:val="13"/>
                <w:szCs w:val="13"/>
                <w:color w:val="auto"/>
              </w:rPr>
            </w:pPr>
          </w:p>
        </w:tc>
        <w:tc>
          <w:tcPr>
            <w:tcW w:w="142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6"/>
              </w:rPr>
              <w:t>Payout (%)</w:t>
            </w:r>
          </w:p>
        </w:tc>
        <w:tc>
          <w:tcPr>
            <w:tcW w:w="140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6"/>
              </w:rPr>
              <w:t>Payout (%)</w:t>
            </w: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3"/>
                <w:szCs w:val="13"/>
                <w:color w:val="auto"/>
              </w:rPr>
            </w:pPr>
          </w:p>
        </w:tc>
        <w:tc>
          <w:tcPr>
            <w:tcW w:w="110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Salary($)</w:t>
            </w:r>
          </w:p>
        </w:tc>
        <w:tc>
          <w:tcPr>
            <w:tcW w:w="220" w:type="dxa"/>
            <w:vAlign w:val="bottom"/>
          </w:tcPr>
          <w:p>
            <w:pPr>
              <w:spacing w:after="0"/>
              <w:rPr>
                <w:sz w:val="13"/>
                <w:szCs w:val="13"/>
                <w:color w:val="auto"/>
              </w:rPr>
            </w:pPr>
          </w:p>
        </w:tc>
        <w:tc>
          <w:tcPr>
            <w:tcW w:w="78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5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8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gridSpan w:val="2"/>
            <w:vMerge w:val="continue"/>
            <w:shd w:val="clear" w:color="auto" w:fill="CCEEFF"/>
          </w:tcPr>
          <w:p>
            <w:pPr>
              <w:spacing w:after="0"/>
              <w:rPr>
                <w:sz w:val="17"/>
                <w:szCs w:val="17"/>
                <w:color w:val="auto"/>
              </w:rPr>
            </w:pPr>
          </w:p>
        </w:tc>
        <w:tc>
          <w:tcPr>
            <w:tcW w:w="142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135.2%</w:t>
            </w:r>
          </w:p>
        </w:tc>
        <w:tc>
          <w:tcPr>
            <w:tcW w:w="140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150.0%</w:t>
            </w:r>
          </w:p>
        </w:tc>
        <w:tc>
          <w:tcPr>
            <w:tcW w:w="146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143.4%</w:t>
            </w:r>
          </w:p>
        </w:tc>
        <w:tc>
          <w:tcPr>
            <w:tcW w:w="11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35.8%</w:t>
            </w:r>
          </w:p>
        </w:tc>
        <w:tc>
          <w:tcPr>
            <w:tcW w:w="2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$ 35,838</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Brian E. Mueller</w:t>
            </w:r>
            <w:r>
              <w:rPr>
                <w:rFonts w:ascii="Arial" w:cs="Arial" w:eastAsia="Arial" w:hAnsi="Arial"/>
                <w:sz w:val="15"/>
                <w:szCs w:val="15"/>
                <w:color w:val="auto"/>
              </w:rPr>
              <w:t>(1)</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135.2%</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150.0%</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143.4%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143.4%</w:t>
            </w:r>
          </w:p>
        </w:tc>
        <w:tc>
          <w:tcPr>
            <w:tcW w:w="900" w:type="dxa"/>
            <w:vAlign w:val="bottom"/>
            <w:gridSpan w:val="2"/>
          </w:tcPr>
          <w:p>
            <w:pPr>
              <w:jc w:val="center"/>
              <w:ind w:left="133"/>
              <w:spacing w:after="0"/>
              <w:rPr>
                <w:sz w:val="20"/>
                <w:szCs w:val="20"/>
                <w:color w:val="auto"/>
              </w:rPr>
            </w:pPr>
            <w:r>
              <w:rPr>
                <w:rFonts w:ascii="Arial" w:cs="Arial" w:eastAsia="Arial" w:hAnsi="Arial"/>
                <w:sz w:val="18"/>
                <w:szCs w:val="18"/>
                <w:color w:val="auto"/>
                <w:w w:val="90"/>
              </w:rPr>
              <w:t>$920,307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W. Stan Meyer</w:t>
            </w:r>
            <w:r>
              <w:rPr>
                <w:rFonts w:ascii="Arial" w:cs="Arial" w:eastAsia="Arial" w:hAnsi="Arial"/>
                <w:sz w:val="15"/>
                <w:szCs w:val="15"/>
                <w:color w:val="auto"/>
              </w:rPr>
              <w:t>(1)</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135.2%</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143.4%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107.5%</w:t>
            </w:r>
          </w:p>
        </w:tc>
        <w:tc>
          <w:tcPr>
            <w:tcW w:w="9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90"/>
              </w:rPr>
              <w:t>$403,172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Daniel E. Bachus</w:t>
            </w:r>
            <w:r>
              <w:rPr>
                <w:rFonts w:ascii="Arial" w:cs="Arial" w:eastAsia="Arial" w:hAnsi="Arial"/>
                <w:sz w:val="15"/>
                <w:szCs w:val="15"/>
                <w:color w:val="auto"/>
              </w:rPr>
              <w:t>(1)</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135.2%</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150.0%</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143.4%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107.5%</w:t>
            </w:r>
          </w:p>
        </w:tc>
        <w:tc>
          <w:tcPr>
            <w:tcW w:w="900" w:type="dxa"/>
            <w:vAlign w:val="bottom"/>
            <w:gridSpan w:val="2"/>
          </w:tcPr>
          <w:p>
            <w:pPr>
              <w:jc w:val="center"/>
              <w:ind w:left="133"/>
              <w:spacing w:after="0"/>
              <w:rPr>
                <w:sz w:val="20"/>
                <w:szCs w:val="20"/>
                <w:color w:val="auto"/>
              </w:rPr>
            </w:pPr>
            <w:r>
              <w:rPr>
                <w:rFonts w:ascii="Arial" w:cs="Arial" w:eastAsia="Arial" w:hAnsi="Arial"/>
                <w:sz w:val="18"/>
                <w:szCs w:val="18"/>
                <w:color w:val="auto"/>
                <w:w w:val="90"/>
              </w:rPr>
              <w:t>$403,172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N. Mildenhall</w:t>
            </w:r>
            <w:r>
              <w:rPr>
                <w:rFonts w:ascii="Arial" w:cs="Arial" w:eastAsia="Arial" w:hAnsi="Arial"/>
                <w:sz w:val="15"/>
                <w:szCs w:val="15"/>
                <w:color w:val="auto"/>
              </w:rPr>
              <w:t>(1)</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135.2%</w:t>
            </w: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150.0%</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143.4%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w:t>
            </w:r>
          </w:p>
        </w:tc>
        <w:tc>
          <w:tcPr>
            <w:tcW w:w="9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90"/>
              </w:rPr>
              <w:t>$230,077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Brian M. Roberts</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135.2%</w:t>
            </w: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150.0%</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143.4%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65.2%</w:t>
            </w:r>
          </w:p>
        </w:tc>
        <w:tc>
          <w:tcPr>
            <w:tcW w:w="900" w:type="dxa"/>
            <w:vAlign w:val="bottom"/>
            <w:gridSpan w:val="2"/>
          </w:tcPr>
          <w:p>
            <w:pPr>
              <w:jc w:val="center"/>
              <w:ind w:left="133"/>
              <w:spacing w:after="0"/>
              <w:rPr>
                <w:sz w:val="20"/>
                <w:szCs w:val="20"/>
                <w:color w:val="auto"/>
              </w:rPr>
            </w:pPr>
            <w:r>
              <w:rPr>
                <w:rFonts w:ascii="Arial" w:cs="Arial" w:eastAsia="Arial" w:hAnsi="Arial"/>
                <w:sz w:val="18"/>
                <w:szCs w:val="18"/>
                <w:color w:val="auto"/>
                <w:w w:val="90"/>
              </w:rPr>
              <w:t>$179,367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00" w:hanging="452"/>
        <w:spacing w:after="0" w:line="302"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Compensation Committee’s historical practice has been to analyze named executive officer base salaries during the first half of the fiscal year and make adjustments, if any, with effect from July 1 of such year. Accordingly, the actual bonus paid as a percentage of fiscal year end base salary may be slightly lower than the bonus percentage listed above, reflecting the fact that a portion of the bonus calculation was based on a lower base salary in effect during the first half of the year. In 2014, the named executive officers received base salary increases effective April 1, 2014.</w:t>
      </w:r>
    </w:p>
    <w:p>
      <w:pPr>
        <w:spacing w:after="0" w:line="154"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i w:val="1"/>
          <w:iCs w:val="1"/>
          <w:color w:val="auto"/>
        </w:rPr>
        <w:t>2014 individual goals</w:t>
      </w:r>
      <w:r>
        <w:rPr>
          <w:rFonts w:ascii="Arial" w:cs="Arial" w:eastAsia="Arial" w:hAnsi="Arial"/>
          <w:sz w:val="16"/>
          <w:szCs w:val="16"/>
          <w:color w:val="auto"/>
        </w:rPr>
        <w:t>. The individual performance goals applicable to the named executive officers in 2014 focused on each executive’s achievement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one or more objectives that related to their specific duties and responsibilities on behalf of the Company. For Dr. Meyer, Mr. Bachus, Mr. Mildenhall, and Mr. Roberts one individual performance goal was to manage their individual departments within budget. Mr. Richardson’s individual performance goals included providing insight and direction to the senior management team regarding key corporate objectives. The individual performance goals for</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Mr. Mueller, Dr. Meyer, and Mr. Bachus included continuing to work on initiatives to increase the percentage of students studying in high retention rate programs, expanding public good projects in our surrounding neighborhoods and developing campus infrastructure. The individual performance goals for Mr. Mueller and Mr. Bachus also included participation in a specified number of investor conferences and/or investor meetings, while Dr. Meyer’s individual performance goals included demonstrating leadership over key functional areas such as facilities, security and the athletics department. Mr. Bachus’ individual performance goals included managing the financial and reporting functions to ensure that no material weaknesses occurred within the Company’s financial reporting structure. Mr. Mildenhall’s individual performance goals included improving and building additional software engineering capabilities to address key needs in student scheduling, demonstration of improvement in application availability, managing the learning management system and overseeing the relationship with CampusVue to ensure continued improvement are made to the product to eliminate manual processes. Mr. Roberts individual performance goals included compliance with regulatory and Securities and Exchange Commission rules and regulations and timely resolution to litigation matters. Based on each individual named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53" w:right="239" w:bottom="1440" w:gutter="0" w:footer="0" w:header="0"/>
        </w:sectPr>
      </w:pPr>
    </w:p>
    <w:bookmarkStart w:id="33" w:name="page34"/>
    <w:bookmarkEnd w:id="33"/>
    <w:p>
      <w:pPr>
        <w:ind w:right="1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 achievement or substantial achievement of their individual performance goals, and in light of the superior financial performance achieved by the Company in 2014, the Compensation Committee determined that cash bonuses under the Annual Cash Incentive Plan should be paid out at the maximum level achieved as a result of the achievement of the company-wide financial goals, and that no reductions were otherwise merited.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2008, our Board of Directors and stockholders adopted the Equity Incentive Plan and authorized and reserved a total of 4,199,937 shares of our common stock for issuance thereunder. The number of shares authorized and reserved under the Equity Incentive Plan increases on each subsequent January 1 through 2018 by an amount equal to the smaller of (a) 2.5% of the number of shares of common stock issued and outstanding on the immediately preceding December 31, or (b) a lesser amount determined by our Board of Directors. As of January 1, 2015, we had authorized and reserved a total of 12,167,127 shares under the Equity Incentive Plan. Shares subject to awards that expire or are cancelled or forfeited are available for issuance under the Equity Incentive Plan. The shares available are not reduced by awards settled in cash or by shares withheld to satisfy tax withholding obligations. Only the net number of shares issued upon the exercise of stock appreciation rights or options exercised by means of a net exercise or by tender of previously owned shares are deducted from the shares available under the Equity Incentive Plan.</w:t>
      </w:r>
    </w:p>
    <w:p>
      <w:pPr>
        <w:spacing w:after="0" w:line="17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following table provides information as of December 31, 2014, with respect to shares of our common stock that may be issued under our existing equity compensation plans: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8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1"/>
              </w:rPr>
              <w:t>Number of securities</w:t>
            </w: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available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9"/>
              </w:rPr>
              <w:t>to be</w:t>
            </w:r>
          </w:p>
        </w:tc>
        <w:tc>
          <w:tcPr>
            <w:tcW w:w="16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 future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issued upon exercise</w:t>
            </w:r>
          </w:p>
        </w:tc>
        <w:tc>
          <w:tcPr>
            <w:tcW w:w="100" w:type="dxa"/>
            <w:vAlign w:val="bottom"/>
          </w:tcPr>
          <w:p>
            <w:pPr>
              <w:spacing w:after="0"/>
              <w:rPr>
                <w:sz w:val="12"/>
                <w:szCs w:val="12"/>
                <w:color w:val="auto"/>
              </w:rPr>
            </w:pPr>
          </w:p>
        </w:tc>
        <w:tc>
          <w:tcPr>
            <w:tcW w:w="15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issuance under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0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15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options,</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0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66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warrants and</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58"/>
        </w:trPr>
        <w:tc>
          <w:tcPr>
            <w:tcW w:w="4700" w:type="dxa"/>
            <w:vAlign w:val="bottom"/>
            <w:gridSpan w:val="2"/>
            <w:vMerge w:val="continue"/>
          </w:tcPr>
          <w:p>
            <w:pPr>
              <w:spacing w:after="0"/>
              <w:rPr>
                <w:sz w:val="13"/>
                <w:szCs w:val="13"/>
                <w:color w:val="auto"/>
              </w:rPr>
            </w:pPr>
          </w:p>
        </w:tc>
        <w:tc>
          <w:tcPr>
            <w:tcW w:w="2080" w:type="dxa"/>
            <w:vAlign w:val="bottom"/>
            <w:gridSpan w:val="2"/>
          </w:tcPr>
          <w:p>
            <w:pPr>
              <w:jc w:val="center"/>
              <w:ind w:right="780"/>
              <w:spacing w:after="0" w:line="158" w:lineRule="exact"/>
              <w:rPr>
                <w:sz w:val="20"/>
                <w:szCs w:val="20"/>
                <w:color w:val="auto"/>
              </w:rPr>
            </w:pPr>
            <w:r>
              <w:rPr>
                <w:rFonts w:ascii="Arial" w:cs="Arial" w:eastAsia="Arial" w:hAnsi="Arial"/>
                <w:sz w:val="14"/>
                <w:szCs w:val="14"/>
                <w:b w:val="1"/>
                <w:bCs w:val="1"/>
                <w:color w:val="auto"/>
                <w:w w:val="93"/>
              </w:rPr>
              <w:t>warrants and rights</w:t>
            </w:r>
          </w:p>
        </w:tc>
        <w:tc>
          <w:tcPr>
            <w:tcW w:w="100" w:type="dxa"/>
            <w:vAlign w:val="bottom"/>
          </w:tcPr>
          <w:p>
            <w:pPr>
              <w:spacing w:after="0"/>
              <w:rPr>
                <w:sz w:val="13"/>
                <w:szCs w:val="13"/>
                <w:color w:val="auto"/>
              </w:rPr>
            </w:pPr>
          </w:p>
        </w:tc>
        <w:tc>
          <w:tcPr>
            <w:tcW w:w="156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color w:val="auto"/>
                <w:w w:val="92"/>
              </w:rPr>
              <w:t>rights</w:t>
            </w:r>
          </w:p>
        </w:tc>
        <w:tc>
          <w:tcPr>
            <w:tcW w:w="11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plans</w:t>
            </w:r>
          </w:p>
        </w:tc>
        <w:tc>
          <w:tcPr>
            <w:tcW w:w="0" w:type="dxa"/>
            <w:vAlign w:val="bottom"/>
          </w:tcPr>
          <w:p>
            <w:pPr>
              <w:spacing w:after="0"/>
              <w:rPr>
                <w:sz w:val="1"/>
                <w:szCs w:val="1"/>
                <w:color w:val="auto"/>
              </w:rPr>
            </w:pPr>
          </w:p>
        </w:tc>
      </w:tr>
      <w:tr>
        <w:trPr>
          <w:trHeight w:val="20"/>
        </w:trPr>
        <w:tc>
          <w:tcPr>
            <w:tcW w:w="880" w:type="dxa"/>
            <w:vAlign w:val="bottom"/>
            <w:tcBorders>
              <w:bottom w:val="single" w:sz="8" w:color="CCEEFF"/>
            </w:tcBorders>
            <w:shd w:val="clear" w:color="auto" w:fill="000000"/>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7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w:t>
            </w:r>
          </w:p>
        </w:tc>
        <w:tc>
          <w:tcPr>
            <w:tcW w:w="1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Securityholders</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2,451,924</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14.83</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5,580,461</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2"/>
        </w:trPr>
        <w:tc>
          <w:tcPr>
            <w:tcW w:w="47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Securityholders</w:t>
            </w:r>
          </w:p>
        </w:tc>
        <w:tc>
          <w:tcPr>
            <w:tcW w:w="2080" w:type="dxa"/>
            <w:vAlign w:val="bottom"/>
            <w:gridSpan w:val="2"/>
          </w:tcPr>
          <w:p>
            <w:pPr>
              <w:jc w:val="right"/>
              <w:ind w:right="80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20"/>
                <w:szCs w:val="20"/>
                <w:color w:val="auto"/>
              </w:rPr>
            </w:pPr>
          </w:p>
        </w:tc>
        <w:tc>
          <w:tcPr>
            <w:tcW w:w="15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2,451,924</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14.83</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5,580,461</w:t>
            </w:r>
            <w:r>
              <w:rPr>
                <w:rFonts w:ascii="Arial" w:cs="Arial" w:eastAsia="Arial" w:hAnsi="Arial"/>
                <w:sz w:val="15"/>
                <w:szCs w:val="15"/>
                <w:color w:val="auto"/>
              </w:rPr>
              <w:t>(2)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outstanding options to purchase shares of our common stock under our Equity Incentive Plan.</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our Equity Incentive Plan.</w:t>
      </w:r>
    </w:p>
    <w:p>
      <w:pPr>
        <w:spacing w:after="0" w:line="21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grant awards under the Equity Incentive Plan to our employees, officers, directors, or consultants, or those of any future parent or subsidiary corporation or other affiliated entity. While we may grant incentive stock options only to employees, we may grant nonstatutory stock options, stock appreciation rights, restricted stock purchase rights or bonuses, restricted stock units, performance shares, performance units, and cash-based awards or other stock-based awards to any eligible participant.</w:t>
      </w:r>
    </w:p>
    <w:p>
      <w:pPr>
        <w:spacing w:after="0" w:line="18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Only members of the Board of Directors who are not employees at the time of grant are eligible to participate in the non-employee director awards component of the Equity Incentive Plan. The Board of Directors, based on the recommendation of the Compensation Committee, sets the amount and type of non-employee director awards to be awarded on a periodic, non-discriminatory basis. Non-employee director awards may be granted in the form of nonstatutory stock options, stock appreciation rights, restricted stock awards and restricted stock unit awards.</w:t>
      </w:r>
    </w:p>
    <w:p>
      <w:pPr>
        <w:spacing w:after="0" w:line="17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the event of a change in control, as described in the Equity Incentive Plan, the acquiring or successor entity may assume or continue all or any awards outstanding under the Equity Incentive Plan or substitute substantially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4" w:name="page35"/>
    <w:bookmarkEnd w:id="3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equivalent awards. Any awards that are not assumed or continued in connection with a change in control or are not exercised or settled prior to the change in control will terminate effective as of the time of the change in control. In connection with a change in control, the Compensation Committee may provide for the acceleration of vesting of any or all outstanding awards upon such terms and to such extent as it determines, except that the vesting of all non-employee director awards will automatically be accelerated in full, and the vesting of awards held by each of our named executive officers who are parties to employment agreements will automatically be accelerated in full upon termination other than for cause upon or within 12 months following such change in control. The Equity Incentive Plan also authorizes the Compensation Committee, in its discretion and without the consent of any participant, to cancel each or any outstanding award denominated in shares upon a change in control in exchange for a payment to the participant with respect to each share subject to the cancelled award of an amount equal to the excess of the consideration to be paid per share of common stock in the change in control transaction over the exercise price per share, if any, under the award.</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has approved a policy relating to the granting of stock options and other equity-based awards. Under this policy:</w:t>
      </w:r>
    </w:p>
    <w:p>
      <w:pPr>
        <w:spacing w:after="0" w:line="131" w:lineRule="exact"/>
        <w:rPr>
          <w:sz w:val="20"/>
          <w:szCs w:val="20"/>
          <w:color w:val="auto"/>
        </w:rPr>
      </w:pPr>
    </w:p>
    <w:p>
      <w:pPr>
        <w:ind w:left="900" w:right="4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stock option grants, restricted stock awards, and other equity based awards, which we collectively refer to as stock-based grants, must be approved by the Compensation Committee;</w:t>
      </w:r>
    </w:p>
    <w:p>
      <w:pPr>
        <w:spacing w:after="0" w:line="75" w:lineRule="exact"/>
        <w:rPr>
          <w:rFonts w:ascii="Arial" w:cs="Arial" w:eastAsia="Arial" w:hAnsi="Arial"/>
          <w:sz w:val="18"/>
          <w:szCs w:val="18"/>
          <w:color w:val="auto"/>
        </w:rPr>
      </w:pPr>
    </w:p>
    <w:p>
      <w:pPr>
        <w:jc w:val="both"/>
        <w:ind w:left="900" w:right="8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for determining the strike price and similar measurements for stock-based awards will be the date of the meeting (or a date shortly after the meeting) or, in the case of an employee, director, or consultant not yet hired, appointed, or retained, respectively, the subsequent date of hire, appointment, or retention, as the case may be;</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will not intentionally grant stock-based awards before the anticipated announcement of materially favorable news or intentionally delay the grant of stock-based awards until after the announcement of materially unfavorable news;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Compensation Committee will approve stock-based grants only for persons specifically identified at the meeting by management.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Compensation Committee has the sole authority, delegated from the Board of Directors, to appoint, compensate and oversee the work of our outside compensation consultant. In prior years, the Compensation Committee has retained Mercer as its consultant to assist the Compensation Committee with its responsibilities related to our executive compensation programs. The executive compensation services that Mercer provided to the Compensation Committee included providing market benchmark information and advising on changes to executive officer and non-employee director compensation levels. Mercer did not perform any compensation consulting services during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Accounting and Tax Treatment on Compensation Decisions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Internal Revenue Code Section 162(m) Policy</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Section 162(m) of the Code, as amended, imposes a $1 million limit on the amount that a public company may deduct for compensation paid to the company’s chief executive officer or any of the company’s four other most highly compensated executive officers who are employed as of the end of the year. This limitation does not apply 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35" w:name="page36"/>
    <w:bookmarkEnd w:id="35"/>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that meets the requirements under Section 162(m) for “qualifying performance-based” compensation (i.e., compensation paid only if the individual’s performance meets pre-established objective goals based on performance criteria approved by stockholders). The performance criteria within our Equity Incentive Plan and our Annual Cash Incentive Plan were approved by our stockholders at our 2011 annual meeting in accordance with Section 162(m).</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Internal Revenue Code Section 409A</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Section 409A of the 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and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With respect to our compensation and benefit plans that are subject to Section 409A, in accordance with Section 409A and regulatory guidance issued by the Internal Revenue Service, we believe we are currently operating such plans in compliance with Section 409A.</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Standards</w:t>
      </w:r>
    </w:p>
    <w:p>
      <w:pPr>
        <w:spacing w:after="0" w:line="11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Grants of equity awards under the Equity Incentive Plan are recognized as compensation expense for the fair value of equity-based compensation awards. The Compensation Committee considers the accounting implications of significant compensation decisions, including in connection with decisions that relate to the Equity Incentive Plan and equity award programs thereunder. As accounting standards change, we may revise certain programs to appropriately align accounting expenses of our equity awards with our overall executive compensation philosophy and objectives.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117" w:lineRule="exact"/>
        <w:rPr>
          <w:sz w:val="20"/>
          <w:szCs w:val="20"/>
          <w:color w:val="auto"/>
        </w:rPr>
      </w:pPr>
    </w:p>
    <w:p>
      <w:pPr>
        <w:jc w:val="both"/>
        <w:ind w:right="260" w:firstLine="456"/>
        <w:spacing w:after="0" w:line="277" w:lineRule="auto"/>
        <w:rPr>
          <w:sz w:val="20"/>
          <w:szCs w:val="20"/>
          <w:color w:val="auto"/>
        </w:rPr>
      </w:pPr>
      <w:r>
        <w:rPr>
          <w:rFonts w:ascii="Arial" w:cs="Arial" w:eastAsia="Arial" w:hAnsi="Arial"/>
          <w:sz w:val="18"/>
          <w:szCs w:val="18"/>
          <w:color w:val="auto"/>
        </w:rPr>
        <w:t>We believe that the compensation amounts paid to our named executive officers for their service in 2014 were reasonable and appropriate and in our best interests.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Events After December 31, 2014</w:t>
      </w:r>
    </w:p>
    <w:p>
      <w:pPr>
        <w:spacing w:after="0" w:line="117" w:lineRule="exact"/>
        <w:rPr>
          <w:sz w:val="20"/>
          <w:szCs w:val="20"/>
          <w:color w:val="auto"/>
        </w:rPr>
      </w:pPr>
    </w:p>
    <w:p>
      <w:pPr>
        <w:jc w:val="both"/>
        <w:ind w:right="240" w:firstLine="456"/>
        <w:spacing w:after="0" w:line="286" w:lineRule="auto"/>
        <w:rPr>
          <w:sz w:val="20"/>
          <w:szCs w:val="20"/>
          <w:color w:val="auto"/>
        </w:rPr>
      </w:pPr>
      <w:r>
        <w:rPr>
          <w:rFonts w:ascii="Arial" w:cs="Arial" w:eastAsia="Arial" w:hAnsi="Arial"/>
          <w:sz w:val="17"/>
          <w:szCs w:val="17"/>
          <w:i w:val="1"/>
          <w:iCs w:val="1"/>
          <w:color w:val="auto"/>
        </w:rPr>
        <w:t xml:space="preserve">Restricted stock grants. </w:t>
      </w:r>
      <w:r>
        <w:rPr>
          <w:rFonts w:ascii="Arial" w:cs="Arial" w:eastAsia="Arial" w:hAnsi="Arial"/>
          <w:sz w:val="17"/>
          <w:szCs w:val="17"/>
          <w:color w:val="auto"/>
        </w:rPr>
        <w:t>The Compensation Committee approved grants of restricted stock awards to the Company’s named executive officers,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Mr. Richardson, effective March 18, 2015. Each restricted stock award vests 20% on March 1, 2016 (the “First Vesting Date”) and on each of the first four anniversaries of the First Vesting Date. The number of shares granted to each such officer was as follows:</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600" w:type="dxa"/>
            <w:vAlign w:val="bottom"/>
          </w:tcPr>
          <w:p>
            <w:pPr>
              <w:spacing w:after="0"/>
              <w:rPr>
                <w:sz w:val="16"/>
                <w:szCs w:val="16"/>
                <w:color w:val="auto"/>
              </w:rPr>
            </w:pPr>
          </w:p>
        </w:tc>
        <w:tc>
          <w:tcPr>
            <w:tcW w:w="4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Shares Subject to Restricted Stock Award</w:t>
            </w:r>
          </w:p>
        </w:tc>
      </w:tr>
      <w:tr>
        <w:trPr>
          <w:trHeight w:val="203"/>
        </w:trPr>
        <w:tc>
          <w:tcPr>
            <w:tcW w:w="2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Brian E. Mueller</w:t>
            </w:r>
          </w:p>
        </w:tc>
        <w:tc>
          <w:tcPr>
            <w:tcW w:w="1440" w:type="dxa"/>
            <w:vAlign w:val="bottom"/>
            <w:tcBorders>
              <w:top w:val="single" w:sz="8" w:color="CCEEFF"/>
            </w:tcBorders>
            <w:shd w:val="clear" w:color="auto" w:fill="CCEEFF"/>
          </w:tcPr>
          <w:p>
            <w:pPr>
              <w:spacing w:after="0"/>
              <w:rPr>
                <w:sz w:val="17"/>
                <w:szCs w:val="17"/>
                <w:color w:val="auto"/>
              </w:rPr>
            </w:pPr>
          </w:p>
        </w:tc>
        <w:tc>
          <w:tcPr>
            <w:tcW w:w="3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34,500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shd w:val="clear" w:color="auto" w:fill="CCEEFF"/>
          </w:tcPr>
          <w:p>
            <w:pPr>
              <w:spacing w:after="0"/>
              <w:rPr>
                <w:sz w:val="18"/>
                <w:szCs w:val="18"/>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Joseph N. Mildenhall</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Policies and Practices as Related to Risk Management</w:t>
      </w:r>
    </w:p>
    <w:p>
      <w:pPr>
        <w:spacing w:after="0" w:line="117"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In connection with the preparation of this proxy statement, our Compensation Committee reviewed and discussed our compensation policies and practices for senior management, including our named executive officers. In this regard, the Compensation Committee took note of the fact that: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6" w:name="page37"/>
    <w:bookmarkEnd w:id="36"/>
    <w:p>
      <w:pPr>
        <w:ind w:left="900" w:right="280" w:hanging="446"/>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pay base salaries we believe are competitive and that are generally intended to constitute the largest component of cash compensation. We believe that this emphasis on paying competitive base salaries that are not at risk for performance discourages inappropriate risk taking;</w:t>
      </w:r>
    </w:p>
    <w:p>
      <w:pPr>
        <w:spacing w:after="0" w:line="29" w:lineRule="exact"/>
        <w:rPr>
          <w:rFonts w:ascii="Arial" w:cs="Arial" w:eastAsia="Arial" w:hAnsi="Arial"/>
          <w:sz w:val="16"/>
          <w:szCs w:val="16"/>
          <w:color w:val="auto"/>
        </w:rPr>
      </w:pPr>
    </w:p>
    <w:p>
      <w:pPr>
        <w:ind w:left="900" w:right="840" w:hanging="446"/>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Annual Cash Incentive Plan focuses on the achievement of company-wide revenue and adjusted EBITDA targets, which prevents participants from being able to materially enhance their bonus prospects through excessive or inappropriate risk-taking;</w:t>
      </w:r>
    </w:p>
    <w:p>
      <w:pPr>
        <w:spacing w:after="0" w:line="51" w:lineRule="exact"/>
        <w:rPr>
          <w:rFonts w:ascii="Arial" w:cs="Arial" w:eastAsia="Arial" w:hAnsi="Arial"/>
          <w:sz w:val="17"/>
          <w:szCs w:val="17"/>
          <w:color w:val="auto"/>
        </w:rPr>
      </w:pPr>
    </w:p>
    <w:p>
      <w:pPr>
        <w:ind w:left="900" w:right="46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cash payments that may be made to our named executive officers under the Annual Cash Incentive Plan are subject to stated maximum limits, which we believe mitigates any risks that our named executive officers may take; and</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equity grants made to our named executive officers, and all other employees, under the Equity Incentive Plan all vest in annual increments over a period of five years, which we believe discourages excessive or inappropriate short-term risk taking.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that review, and with input from management, the Compensation Committee has determined that there are no known potential risks arising from our compensation polices or practices that are reasonably likely to have a material adverse effect on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Compensation Committee: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David J. Johnson (Chair)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Jack A. Henry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Sara R. Dial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of Named Executive Officers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sets forth the total compensation earned for services rendered by our principal executive officer, our principal financial officer, our three other most highly compensated executive officers whose total compensation for the fiscal year ended December 31, 2014 was in excess of $100,000 and who were serving as executive officers at the end of that fiscal year, and our Executive Chairman. The listed individuals are referred to herein as the “named executive officers.”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1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Non-Equity</w:t>
            </w:r>
          </w:p>
        </w:tc>
        <w:tc>
          <w:tcPr>
            <w:tcW w:w="120" w:type="dxa"/>
            <w:vAlign w:val="bottom"/>
          </w:tcPr>
          <w:p>
            <w:pPr>
              <w:spacing w:after="0"/>
              <w:rPr>
                <w:sz w:val="14"/>
                <w:szCs w:val="14"/>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Awards</w:t>
            </w:r>
          </w:p>
        </w:tc>
        <w:tc>
          <w:tcPr>
            <w:tcW w:w="180" w:type="dxa"/>
            <w:vAlign w:val="bottom"/>
          </w:tcPr>
          <w:p>
            <w:pPr>
              <w:spacing w:after="0"/>
              <w:rPr>
                <w:sz w:val="12"/>
                <w:szCs w:val="12"/>
                <w:color w:val="auto"/>
              </w:rPr>
            </w:pPr>
          </w:p>
        </w:tc>
        <w:tc>
          <w:tcPr>
            <w:tcW w:w="12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2"/>
                <w:szCs w:val="12"/>
                <w:color w:val="auto"/>
              </w:rPr>
            </w:pPr>
          </w:p>
        </w:tc>
        <w:tc>
          <w:tcPr>
            <w:tcW w:w="9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90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80" w:type="dxa"/>
            <w:vAlign w:val="bottom"/>
          </w:tcPr>
          <w:p>
            <w:pPr>
              <w:jc w:val="right"/>
              <w:ind w:right="172"/>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13"/>
              <w:spacing w:after="0" w:line="158" w:lineRule="exact"/>
              <w:rPr>
                <w:sz w:val="20"/>
                <w:szCs w:val="20"/>
                <w:color w:val="auto"/>
              </w:rPr>
            </w:pPr>
            <w:r>
              <w:rPr>
                <w:rFonts w:ascii="Arial" w:cs="Arial" w:eastAsia="Arial" w:hAnsi="Arial"/>
                <w:sz w:val="14"/>
                <w:szCs w:val="14"/>
                <w:b w:val="1"/>
                <w:bCs w:val="1"/>
                <w:color w:val="auto"/>
                <w:w w:val="99"/>
              </w:rPr>
              <w:t>($)(1)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center"/>
              <w:ind w:right="91"/>
              <w:spacing w:after="0" w:line="158" w:lineRule="exact"/>
              <w:rPr>
                <w:sz w:val="20"/>
                <w:szCs w:val="20"/>
                <w:color w:val="auto"/>
              </w:rPr>
            </w:pPr>
            <w:r>
              <w:rPr>
                <w:rFonts w:ascii="Arial" w:cs="Arial" w:eastAsia="Arial" w:hAnsi="Arial"/>
                <w:sz w:val="14"/>
                <w:szCs w:val="14"/>
                <w:b w:val="1"/>
                <w:bCs w:val="1"/>
                <w:color w:val="auto"/>
                <w:w w:val="99"/>
              </w:rPr>
              <w:t>($)(2)</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32"/>
              <w:spacing w:after="0" w:line="158" w:lineRule="exact"/>
              <w:rPr>
                <w:sz w:val="20"/>
                <w:szCs w:val="20"/>
                <w:color w:val="auto"/>
              </w:rPr>
            </w:pPr>
            <w:r>
              <w:rPr>
                <w:rFonts w:ascii="Arial" w:cs="Arial" w:eastAsia="Arial" w:hAnsi="Arial"/>
                <w:sz w:val="14"/>
                <w:szCs w:val="14"/>
                <w:b w:val="1"/>
                <w:bCs w:val="1"/>
                <w:color w:val="auto"/>
                <w:w w:val="94"/>
              </w:rPr>
              <w:t>($) (3)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Brent D. Richardson</w:t>
            </w:r>
          </w:p>
        </w:tc>
        <w:tc>
          <w:tcPr>
            <w:tcW w:w="42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84"/>
              </w:rPr>
              <w:t>2014</w:t>
            </w: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$100,000</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
              <w:spacing w:after="0" w:line="17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35,838</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2,513</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  138,351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Executive Chairman</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103,750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36,500</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14,388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154,638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160" w:type="dxa"/>
            <w:vAlign w:val="bottom"/>
            <w:shd w:val="clear" w:color="auto" w:fill="CCEEFF"/>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154,471</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37,500</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14,523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900" w:type="dxa"/>
            <w:vAlign w:val="bottom"/>
            <w:gridSpan w:val="2"/>
          </w:tcPr>
          <w:p>
            <w:pPr>
              <w:spacing w:after="0" w:line="201" w:lineRule="exact"/>
              <w:rPr>
                <w:sz w:val="20"/>
                <w:szCs w:val="20"/>
                <w:color w:val="auto"/>
              </w:rPr>
            </w:pPr>
            <w:r>
              <w:rPr>
                <w:rFonts w:ascii="Arial" w:cs="Arial" w:eastAsia="Arial" w:hAnsi="Arial"/>
                <w:sz w:val="18"/>
                <w:szCs w:val="18"/>
                <w:color w:val="auto"/>
              </w:rPr>
              <w:t>Brian E. Mueller</w:t>
            </w:r>
          </w:p>
        </w:tc>
        <w:tc>
          <w:tcPr>
            <w:tcW w:w="8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2014</w:t>
            </w:r>
          </w:p>
        </w:tc>
        <w:tc>
          <w:tcPr>
            <w:tcW w:w="8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635,862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w w:val="87"/>
              </w:rPr>
              <w:t>1,592,520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920,307</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3,564</w:t>
            </w: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3,152,253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Executive Officer and Director</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2013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621,000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1,622,025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906,660</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11,443</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3,161,128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180"/>
              <w:spacing w:after="0"/>
              <w:rPr>
                <w:sz w:val="20"/>
                <w:szCs w:val="20"/>
                <w:color w:val="auto"/>
              </w:rPr>
            </w:pPr>
            <w:r>
              <w:rPr>
                <w:rFonts w:ascii="Arial" w:cs="Arial" w:eastAsia="Arial" w:hAnsi="Arial"/>
                <w:sz w:val="18"/>
                <w:szCs w:val="18"/>
                <w:i w:val="1"/>
                <w:iCs w:val="1"/>
                <w:color w:val="auto"/>
              </w:rPr>
              <w:t>(Principal Executive Officer)</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2012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609,692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1,149,525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915,750</w:t>
            </w: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2,322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2,677,289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371,273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849,344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403,172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7,797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1,631,586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Operating Officer</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362,250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865,080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396,664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1,639,505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60" w:type="dxa"/>
            <w:vAlign w:val="bottom"/>
            <w:shd w:val="clear" w:color="auto" w:fill="CCEEFF"/>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355,654</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613,080</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400,641</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5,796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1,375,171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900" w:type="dxa"/>
            <w:vAlign w:val="bottom"/>
            <w:gridSpan w:val="2"/>
          </w:tcPr>
          <w:p>
            <w:pPr>
              <w:spacing w:after="0" w:line="201" w:lineRule="exact"/>
              <w:rPr>
                <w:sz w:val="20"/>
                <w:szCs w:val="20"/>
                <w:color w:val="auto"/>
              </w:rPr>
            </w:pPr>
            <w:r>
              <w:rPr>
                <w:rFonts w:ascii="Arial" w:cs="Arial" w:eastAsia="Arial" w:hAnsi="Arial"/>
                <w:sz w:val="18"/>
                <w:szCs w:val="18"/>
                <w:color w:val="auto"/>
              </w:rPr>
              <w:t>Daniel E. Bachus</w:t>
            </w:r>
          </w:p>
        </w:tc>
        <w:tc>
          <w:tcPr>
            <w:tcW w:w="8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2014</w:t>
            </w:r>
          </w:p>
        </w:tc>
        <w:tc>
          <w:tcPr>
            <w:tcW w:w="8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371,273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849,344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403,172</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390</w:t>
            </w: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1,624,179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2013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362,250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865,080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396,664</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376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1,624,370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gridSpan w:val="2"/>
          </w:tcPr>
          <w:p>
            <w:pPr>
              <w:ind w:left="180"/>
              <w:spacing w:after="0"/>
              <w:rPr>
                <w:sz w:val="20"/>
                <w:szCs w:val="20"/>
                <w:color w:val="auto"/>
              </w:rPr>
            </w:pPr>
            <w:r>
              <w:rPr>
                <w:rFonts w:ascii="Arial" w:cs="Arial" w:eastAsia="Arial" w:hAnsi="Arial"/>
                <w:sz w:val="18"/>
                <w:szCs w:val="18"/>
                <w:i w:val="1"/>
                <w:iCs w:val="1"/>
                <w:color w:val="auto"/>
              </w:rPr>
              <w:t>(Principal Financial Officer)</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2012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355,654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613,080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400,641</w:t>
            </w: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376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1,396,751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317,931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849,344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230,077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1,399,498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Information Officer</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865,050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226,665</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160" w:type="dxa"/>
            <w:vAlign w:val="bottom"/>
            <w:shd w:val="clear" w:color="auto" w:fill="CCEEFF"/>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304,846</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851,500</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228,938</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1,390,322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900" w:type="dxa"/>
            <w:vAlign w:val="bottom"/>
            <w:gridSpan w:val="2"/>
          </w:tcPr>
          <w:p>
            <w:pPr>
              <w:spacing w:after="0" w:line="201" w:lineRule="exact"/>
              <w:rPr>
                <w:sz w:val="20"/>
                <w:szCs w:val="20"/>
                <w:color w:val="auto"/>
              </w:rPr>
            </w:pPr>
            <w:r>
              <w:rPr>
                <w:rFonts w:ascii="Arial" w:cs="Arial" w:eastAsia="Arial" w:hAnsi="Arial"/>
                <w:sz w:val="18"/>
                <w:szCs w:val="18"/>
                <w:color w:val="auto"/>
              </w:rPr>
              <w:t>Brian M. Roberts (4)</w:t>
            </w:r>
          </w:p>
        </w:tc>
        <w:tc>
          <w:tcPr>
            <w:tcW w:w="8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2014</w:t>
            </w:r>
          </w:p>
        </w:tc>
        <w:tc>
          <w:tcPr>
            <w:tcW w:w="8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260,385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849,344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179,367</w:t>
            </w:r>
          </w:p>
        </w:tc>
        <w:tc>
          <w:tcPr>
            <w:tcW w:w="120" w:type="dxa"/>
            <w:vAlign w:val="bottom"/>
          </w:tcPr>
          <w:p>
            <w:pPr>
              <w:spacing w:after="0"/>
              <w:rPr>
                <w:sz w:val="17"/>
                <w:szCs w:val="17"/>
                <w:color w:val="auto"/>
              </w:rPr>
            </w:pPr>
          </w:p>
        </w:tc>
        <w:tc>
          <w:tcPr>
            <w:tcW w:w="96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3,533</w:t>
            </w: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1,292,629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ind w:left="180"/>
              <w:spacing w:after="0"/>
              <w:rPr>
                <w:sz w:val="20"/>
                <w:szCs w:val="20"/>
                <w:color w:val="auto"/>
              </w:rPr>
            </w:pPr>
            <w:r>
              <w:rPr>
                <w:rFonts w:ascii="Arial" w:cs="Arial" w:eastAsia="Arial" w:hAnsi="Arial"/>
                <w:sz w:val="18"/>
                <w:szCs w:val="18"/>
                <w:i w:val="1"/>
                <w:iCs w:val="1"/>
                <w:color w:val="auto"/>
              </w:rPr>
              <w:t>General Counsel</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2013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225,000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480,600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102,200</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2,643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810,443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2012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140,885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334,800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60,500</w:t>
            </w:r>
          </w:p>
        </w:tc>
        <w:tc>
          <w:tcPr>
            <w:tcW w:w="12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1,528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537,713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right="40" w:hanging="452"/>
        <w:spacing w:after="0" w:line="253"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shown in this column reflect the compensation costs attributable to the restricted stock awards granted in 2014, 2013 and 2012. The compensation costs are based on the grant date fair value of each restricted stock award and do not take into account any estimated forfeitures related to service-based vesting conditions, if any. Assumptions used in the calculation of the grant date fair value of each restricted stock award granted during the 2014, 2013, and 2012, fiscal years are set forth in Notes 2 and 14 to our financial statements for the fiscal year ended December 31, 2014 included in our 2014 Annual Report on Form 10-K.</w:t>
      </w:r>
    </w:p>
    <w:p>
      <w:pPr>
        <w:spacing w:after="0" w:line="3"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in this column reflect non-equity incentive payments earned pursuant to our Annual Cash Incentive Plan.</w:t>
      </w:r>
    </w:p>
    <w:p>
      <w:pPr>
        <w:spacing w:after="0" w:line="9"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2014, 2013, and 2012, the amounts in this column include company paid life insurance premiums for all named executive officers. In addition for Mr. Richardson, the amounts in this column include, for 2012 and 2013, the value of payments made by us on a Company-owned vehicle used by Mr. Richardson and, for 2014, the imputed value of Mr. Richardson’s use of that vehicle. For Dr. Meyer, Mr. Mildenhall, and Mr. Roberts, the amounts in this column reflect matching payments made by the Company under our 401(k) plan.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Roberts commenced employment with us in May 2012.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2014 Grants of Plan-Based Awards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sets forth certain information with respect to incentive plan awards under our Annual Cash Incentive Plan and our Equity Incentive Plan for the fiscal year ended December 31, 2014 to each of our named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gridSpan w:val="7"/>
            <w:vMerge w:val="restart"/>
          </w:tcPr>
          <w:p>
            <w:pPr>
              <w:jc w:val="center"/>
              <w:ind w:right="280"/>
              <w:spacing w:after="0"/>
              <w:rPr>
                <w:sz w:val="20"/>
                <w:szCs w:val="20"/>
                <w:color w:val="auto"/>
              </w:rPr>
            </w:pPr>
            <w:r>
              <w:rPr>
                <w:rFonts w:ascii="Arial" w:cs="Arial" w:eastAsia="Arial" w:hAnsi="Arial"/>
                <w:sz w:val="14"/>
                <w:szCs w:val="14"/>
                <w:b w:val="1"/>
                <w:bCs w:val="1"/>
                <w:color w:val="auto"/>
                <w:w w:val="93"/>
              </w:rPr>
              <w:t>Estimated Future Payouts Under Non-</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9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4"/>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0" w:type="dxa"/>
            <w:vAlign w:val="bottom"/>
            <w:gridSpan w:val="7"/>
            <w:vMerge w:val="continue"/>
          </w:tcPr>
          <w:p>
            <w:pPr>
              <w:spacing w:after="0"/>
              <w:rPr>
                <w:sz w:val="12"/>
                <w:szCs w:val="12"/>
                <w:color w:val="auto"/>
              </w:rPr>
            </w:pPr>
          </w:p>
        </w:tc>
        <w:tc>
          <w:tcPr>
            <w:tcW w:w="8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20" w:type="dxa"/>
            <w:vAlign w:val="bottom"/>
            <w:tcBorders>
              <w:bottom w:val="single" w:sz="8" w:color="auto"/>
            </w:tcBorders>
            <w:gridSpan w:val="6"/>
          </w:tcPr>
          <w:p>
            <w:pPr>
              <w:jc w:val="center"/>
              <w:spacing w:after="0" w:line="129" w:lineRule="exact"/>
              <w:rPr>
                <w:sz w:val="20"/>
                <w:szCs w:val="20"/>
                <w:color w:val="auto"/>
              </w:rPr>
            </w:pPr>
            <w:r>
              <w:rPr>
                <w:rFonts w:ascii="Arial" w:cs="Arial" w:eastAsia="Arial" w:hAnsi="Arial"/>
                <w:sz w:val="14"/>
                <w:szCs w:val="14"/>
                <w:b w:val="1"/>
                <w:bCs w:val="1"/>
                <w:color w:val="auto"/>
                <w:w w:val="94"/>
              </w:rPr>
              <w:t>Equity Incentive Plan Awards(1)</w:t>
            </w:r>
          </w:p>
        </w:tc>
        <w:tc>
          <w:tcPr>
            <w:tcW w:w="280" w:type="dxa"/>
            <w:vAlign w:val="bottom"/>
          </w:tcPr>
          <w:p>
            <w:pPr>
              <w:spacing w:after="0"/>
              <w:rPr>
                <w:sz w:val="12"/>
                <w:szCs w:val="12"/>
                <w:color w:val="auto"/>
              </w:rPr>
            </w:pPr>
          </w:p>
        </w:tc>
        <w:tc>
          <w:tcPr>
            <w:tcW w:w="88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3"/>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vMerge w:val="restart"/>
          </w:tcPr>
          <w:p>
            <w:pPr>
              <w:spacing w:after="0"/>
              <w:rPr>
                <w:sz w:val="11"/>
                <w:szCs w:val="11"/>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Grant Date</w:t>
            </w: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u w:val="single" w:color="auto"/>
                <w:color w:val="auto"/>
              </w:rPr>
              <w:t>Threshold($</w:t>
            </w:r>
            <w:r>
              <w:rPr>
                <w:rFonts w:ascii="Arial" w:cs="Arial" w:eastAsia="Arial" w:hAnsi="Arial"/>
                <w:sz w:val="14"/>
                <w:szCs w:val="14"/>
                <w:b w:val="1"/>
                <w:bCs w:val="1"/>
                <w:color w:val="auto"/>
              </w:rPr>
              <w:t>)</w:t>
            </w: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u w:val="single" w:color="auto"/>
                <w:color w:val="auto"/>
                <w:w w:val="93"/>
              </w:rPr>
              <w:t>Target($</w:t>
            </w:r>
            <w:r>
              <w:rPr>
                <w:rFonts w:ascii="Arial" w:cs="Arial" w:eastAsia="Arial" w:hAnsi="Arial"/>
                <w:sz w:val="14"/>
                <w:szCs w:val="14"/>
                <w:b w:val="1"/>
                <w:bCs w:val="1"/>
                <w:color w:val="auto"/>
                <w:w w:val="93"/>
              </w:rPr>
              <w:t>)</w:t>
            </w:r>
          </w:p>
        </w:tc>
        <w:tc>
          <w:tcPr>
            <w:tcW w:w="140" w:type="dxa"/>
            <w:vAlign w:val="bottom"/>
          </w:tcPr>
          <w:p>
            <w:pPr>
              <w:spacing w:after="0"/>
              <w:rPr>
                <w:sz w:val="11"/>
                <w:szCs w:val="11"/>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Maximum($</w:t>
            </w:r>
            <w:r>
              <w:rPr>
                <w:rFonts w:ascii="Arial" w:cs="Arial" w:eastAsia="Arial" w:hAnsi="Arial"/>
                <w:sz w:val="14"/>
                <w:szCs w:val="14"/>
                <w:b w:val="1"/>
                <w:bCs w:val="1"/>
                <w:color w:val="auto"/>
              </w:rPr>
              <w:t>)</w:t>
            </w:r>
          </w:p>
        </w:tc>
        <w:tc>
          <w:tcPr>
            <w:tcW w:w="88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8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w w:val="91"/>
              </w:rPr>
              <w:t>of Stock (#)</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w w:val="91"/>
              </w:rPr>
              <w:t>Awards(2)</w:t>
            </w:r>
          </w:p>
        </w:tc>
        <w:tc>
          <w:tcPr>
            <w:tcW w:w="0" w:type="dxa"/>
            <w:vAlign w:val="bottom"/>
          </w:tcPr>
          <w:p>
            <w:pPr>
              <w:spacing w:after="0"/>
              <w:rPr>
                <w:sz w:val="1"/>
                <w:szCs w:val="1"/>
                <w:color w:val="auto"/>
              </w:rPr>
            </w:pPr>
          </w:p>
        </w:tc>
      </w:tr>
      <w:tr>
        <w:trPr>
          <w:trHeight w:val="203"/>
        </w:trPr>
        <w:tc>
          <w:tcPr>
            <w:tcW w:w="4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Brent D. Richardson</w:t>
            </w:r>
          </w:p>
        </w:tc>
        <w:tc>
          <w:tcPr>
            <w:tcW w:w="1080" w:type="dxa"/>
            <w:vAlign w:val="bottom"/>
            <w:tcBorders>
              <w:top w:val="single" w:sz="8" w:color="auto"/>
            </w:tcBorders>
            <w:shd w:val="clear" w:color="auto" w:fill="CCEEFF"/>
          </w:tcPr>
          <w:p>
            <w:pPr>
              <w:ind w:left="80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12,500</w:t>
            </w: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$ 25,000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37,500</w:t>
            </w: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Brian E. Mueller</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Mar. 14, 2014</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321,000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642,000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963,000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34,500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1,592,520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Mar. 14, 2014</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140,625</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281,250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421,875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Daniel E. Bachus</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Mar. 14, 2014</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140,625</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281,250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421,875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18,400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849,344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13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Mar. 14, 2014</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80,250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160,500</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240,750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Brian M. Roberts</w:t>
            </w:r>
          </w:p>
        </w:tc>
        <w:tc>
          <w:tcPr>
            <w:tcW w:w="1360" w:type="dxa"/>
            <w:vAlign w:val="bottom"/>
            <w:gridSpan w:val="2"/>
          </w:tcPr>
          <w:p>
            <w:pPr>
              <w:ind w:left="60"/>
              <w:spacing w:after="0"/>
              <w:rPr>
                <w:sz w:val="20"/>
                <w:szCs w:val="20"/>
                <w:color w:val="auto"/>
              </w:rPr>
            </w:pPr>
            <w:r>
              <w:rPr>
                <w:rFonts w:ascii="Arial" w:cs="Arial" w:eastAsia="Arial" w:hAnsi="Arial"/>
                <w:sz w:val="18"/>
                <w:szCs w:val="18"/>
                <w:color w:val="auto"/>
              </w:rPr>
              <w:t>Mar. 14, 2014</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62,500</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125,000</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187,500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18,400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849,344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220" w:hanging="452"/>
        <w:spacing w:after="0" w:line="271"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These amounts reflect the Threshold, Target and Maximum bonuses payable to our named executive officers under our Annual Cash Incentive Plan (based on their base salaries as in effect at year end). In 2014, the named executive officers received base salary increases effective April 1, 2014. All such awards have been paid, and the actual amounts paid are set forth in the Summary Compensation Table above.</w:t>
      </w:r>
    </w:p>
    <w:p>
      <w:pPr>
        <w:ind w:left="460" w:right="100" w:hanging="452"/>
        <w:spacing w:after="0" w:line="277" w:lineRule="auto"/>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dollar value reported in this column with respect to restricted stock awards represents the grant date fair value of each restricted stock award. A discussion of the fair value of share-based awards and amortization of share-based compensation expense is set forth in Notes 2 and 14 to our financial statements for the fiscal year ended December 31, 2014, included in our 2014 Annual Report on Form 10-K.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Outstanding Equity Awards at Fiscal Year-End</w:t>
      </w:r>
    </w:p>
    <w:p>
      <w:pPr>
        <w:spacing w:after="0" w:line="117"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The following table provides certain summary information concerning outstanding equity awards held by the named executive officers as of December 31,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Option Awards(1)</w:t>
            </w:r>
          </w:p>
        </w:tc>
        <w:tc>
          <w:tcPr>
            <w:tcW w:w="1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Number of</w:t>
            </w:r>
          </w:p>
        </w:tc>
        <w:tc>
          <w:tcPr>
            <w:tcW w:w="11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Underlying</w:t>
            </w:r>
          </w:p>
        </w:tc>
        <w:tc>
          <w:tcPr>
            <w:tcW w:w="160" w:type="dxa"/>
            <w:vAlign w:val="bottom"/>
          </w:tcPr>
          <w:p>
            <w:pPr>
              <w:spacing w:after="0"/>
              <w:rPr>
                <w:sz w:val="12"/>
                <w:szCs w:val="12"/>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Shares of</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Option Expiration</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Stock That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8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Options (#)</w:t>
            </w:r>
          </w:p>
        </w:tc>
        <w:tc>
          <w:tcPr>
            <w:tcW w:w="11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Options (#)</w:t>
            </w:r>
          </w:p>
        </w:tc>
        <w:tc>
          <w:tcPr>
            <w:tcW w:w="11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660" w:type="dxa"/>
            <w:vAlign w:val="bottom"/>
            <w:gridSpan w:val="2"/>
            <w:vMerge w:val="continue"/>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Have Not</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1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160" w:type="dxa"/>
            <w:vAlign w:val="bottom"/>
          </w:tcPr>
          <w:p>
            <w:pPr>
              <w:spacing w:after="0"/>
              <w:rPr>
                <w:sz w:val="15"/>
                <w:szCs w:val="15"/>
                <w:color w:val="auto"/>
              </w:rPr>
            </w:pPr>
          </w:p>
        </w:tc>
        <w:tc>
          <w:tcPr>
            <w:tcW w:w="720" w:type="dxa"/>
            <w:vAlign w:val="bottom"/>
          </w:tcPr>
          <w:p>
            <w:pPr>
              <w:jc w:val="right"/>
              <w:ind w:right="272"/>
              <w:spacing w:after="0" w:line="15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1660" w:type="dxa"/>
            <w:vAlign w:val="bottom"/>
            <w:gridSpan w:val="2"/>
          </w:tcPr>
          <w:p>
            <w:pPr>
              <w:ind w:left="580"/>
              <w:spacing w:after="0" w:line="158" w:lineRule="exact"/>
              <w:rPr>
                <w:sz w:val="20"/>
                <w:szCs w:val="20"/>
                <w:color w:val="auto"/>
              </w:rPr>
            </w:pPr>
            <w:r>
              <w:rPr>
                <w:rFonts w:ascii="Arial" w:cs="Arial" w:eastAsia="Arial" w:hAnsi="Arial"/>
                <w:sz w:val="14"/>
                <w:szCs w:val="14"/>
                <w:b w:val="1"/>
                <w:bCs w:val="1"/>
                <w:color w:val="auto"/>
              </w:rPr>
              <w:t>Date</w:t>
            </w:r>
          </w:p>
        </w:tc>
        <w:tc>
          <w:tcPr>
            <w:tcW w:w="10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Vested (2)</w:t>
            </w:r>
          </w:p>
        </w:tc>
        <w:tc>
          <w:tcPr>
            <w:tcW w:w="9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203"/>
        </w:trPr>
        <w:tc>
          <w:tcPr>
            <w:tcW w:w="4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Brian E. Mueller</w:t>
            </w: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90,000</w:t>
            </w:r>
          </w:p>
        </w:tc>
        <w:tc>
          <w:tcPr>
            <w:tcW w:w="3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60,000</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15.34</w:t>
            </w:r>
          </w:p>
        </w:tc>
        <w:tc>
          <w:tcPr>
            <w:tcW w:w="3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March 11, 2021</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129,000</w:t>
            </w: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$ 6,019,140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80,000</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21.10</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25, 2020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609,788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12.00</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19, 2018</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line="201" w:lineRule="exact"/>
              <w:rPr>
                <w:sz w:val="20"/>
                <w:szCs w:val="20"/>
                <w:color w:val="auto"/>
              </w:rPr>
            </w:pPr>
            <w:r>
              <w:rPr>
                <w:rFonts w:ascii="Arial" w:cs="Arial" w:eastAsia="Arial" w:hAnsi="Arial"/>
                <w:sz w:val="18"/>
                <w:szCs w:val="18"/>
                <w:color w:val="auto"/>
              </w:rPr>
              <w:t>Dr. W. Stan Meyer</w:t>
            </w:r>
          </w:p>
        </w:tc>
        <w:tc>
          <w:tcPr>
            <w:tcW w:w="220" w:type="dxa"/>
            <w:vAlign w:val="bottom"/>
          </w:tcPr>
          <w:p>
            <w:pPr>
              <w:spacing w:after="0"/>
              <w:rPr>
                <w:sz w:val="17"/>
                <w:szCs w:val="17"/>
                <w:color w:val="auto"/>
              </w:rPr>
            </w:pPr>
          </w:p>
        </w:tc>
        <w:tc>
          <w:tcPr>
            <w:tcW w:w="10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48,000</w:t>
            </w:r>
          </w:p>
        </w:tc>
        <w:tc>
          <w:tcPr>
            <w:tcW w:w="118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32,000</w:t>
            </w:r>
          </w:p>
        </w:tc>
        <w:tc>
          <w:tcPr>
            <w:tcW w:w="160" w:type="dxa"/>
            <w:vAlign w:val="bottom"/>
          </w:tcPr>
          <w:p>
            <w:pPr>
              <w:spacing w:after="0"/>
              <w:rPr>
                <w:sz w:val="17"/>
                <w:szCs w:val="17"/>
                <w:color w:val="auto"/>
              </w:rPr>
            </w:pPr>
          </w:p>
        </w:tc>
        <w:tc>
          <w:tcPr>
            <w:tcW w:w="10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15.34</w:t>
            </w:r>
          </w:p>
        </w:tc>
        <w:tc>
          <w:tcPr>
            <w:tcW w:w="1660" w:type="dxa"/>
            <w:vAlign w:val="bottom"/>
            <w:gridSpan w:val="2"/>
          </w:tcPr>
          <w:p>
            <w:pPr>
              <w:spacing w:after="0" w:line="201" w:lineRule="exact"/>
              <w:rPr>
                <w:sz w:val="20"/>
                <w:szCs w:val="20"/>
                <w:color w:val="auto"/>
              </w:rPr>
            </w:pPr>
            <w:r>
              <w:rPr>
                <w:rFonts w:ascii="Arial" w:cs="Arial" w:eastAsia="Arial" w:hAnsi="Arial"/>
                <w:sz w:val="18"/>
                <w:szCs w:val="18"/>
                <w:color w:val="auto"/>
              </w:rPr>
              <w:t>March 11, 2021</w:t>
            </w:r>
          </w:p>
        </w:tc>
        <w:tc>
          <w:tcPr>
            <w:tcW w:w="10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68,800</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3,210,208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32,000</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21.10</w:t>
            </w:r>
          </w:p>
        </w:tc>
        <w:tc>
          <w:tcPr>
            <w:tcW w:w="1660" w:type="dxa"/>
            <w:vAlign w:val="bottom"/>
            <w:gridSpan w:val="2"/>
          </w:tcPr>
          <w:p>
            <w:pPr>
              <w:spacing w:after="0"/>
              <w:rPr>
                <w:sz w:val="20"/>
                <w:szCs w:val="20"/>
                <w:color w:val="auto"/>
              </w:rPr>
            </w:pPr>
            <w:r>
              <w:rPr>
                <w:rFonts w:ascii="Arial" w:cs="Arial" w:eastAsia="Arial" w:hAnsi="Arial"/>
                <w:sz w:val="18"/>
                <w:szCs w:val="18"/>
                <w:color w:val="auto"/>
              </w:rPr>
              <w:t>February 25, 2020</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241,315</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12.00</w:t>
            </w:r>
          </w:p>
        </w:tc>
        <w:tc>
          <w:tcPr>
            <w:tcW w:w="1660" w:type="dxa"/>
            <w:vAlign w:val="bottom"/>
            <w:gridSpan w:val="2"/>
          </w:tcPr>
          <w:p>
            <w:pPr>
              <w:spacing w:after="0"/>
              <w:rPr>
                <w:sz w:val="20"/>
                <w:szCs w:val="20"/>
                <w:color w:val="auto"/>
              </w:rPr>
            </w:pPr>
            <w:r>
              <w:rPr>
                <w:rFonts w:ascii="Arial" w:cs="Arial" w:eastAsia="Arial" w:hAnsi="Arial"/>
                <w:sz w:val="18"/>
                <w:szCs w:val="18"/>
                <w:color w:val="auto"/>
              </w:rPr>
              <w:t>November 19, 2018</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Bachus</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48,000</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15.34</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11, 2021</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68,800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32,000</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21.10</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25, 2020</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169,128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12.00</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19, 2018</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80" w:type="dxa"/>
            <w:vAlign w:val="bottom"/>
            <w:gridSpan w:val="2"/>
          </w:tcPr>
          <w:p>
            <w:pPr>
              <w:spacing w:after="0" w:line="201" w:lineRule="exact"/>
              <w:rPr>
                <w:sz w:val="20"/>
                <w:szCs w:val="20"/>
                <w:color w:val="auto"/>
              </w:rPr>
            </w:pPr>
            <w:r>
              <w:rPr>
                <w:rFonts w:ascii="Arial" w:cs="Arial" w:eastAsia="Arial" w:hAnsi="Arial"/>
                <w:sz w:val="18"/>
                <w:szCs w:val="18"/>
                <w:color w:val="auto"/>
              </w:rPr>
              <w:t>Joseph N. Mildenhall</w:t>
            </w:r>
          </w:p>
        </w:tc>
        <w:tc>
          <w:tcPr>
            <w:tcW w:w="220" w:type="dxa"/>
            <w:vAlign w:val="bottom"/>
          </w:tcPr>
          <w:p>
            <w:pPr>
              <w:spacing w:after="0"/>
              <w:rPr>
                <w:sz w:val="17"/>
                <w:szCs w:val="17"/>
                <w:color w:val="auto"/>
              </w:rPr>
            </w:pPr>
          </w:p>
        </w:tc>
        <w:tc>
          <w:tcPr>
            <w:tcW w:w="106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6,900</w:t>
            </w:r>
          </w:p>
        </w:tc>
        <w:tc>
          <w:tcPr>
            <w:tcW w:w="118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32,000</w:t>
            </w:r>
          </w:p>
        </w:tc>
        <w:tc>
          <w:tcPr>
            <w:tcW w:w="160" w:type="dxa"/>
            <w:vAlign w:val="bottom"/>
          </w:tcPr>
          <w:p>
            <w:pPr>
              <w:spacing w:after="0"/>
              <w:rPr>
                <w:sz w:val="17"/>
                <w:szCs w:val="17"/>
                <w:color w:val="auto"/>
              </w:rPr>
            </w:pPr>
          </w:p>
        </w:tc>
        <w:tc>
          <w:tcPr>
            <w:tcW w:w="102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15.34</w:t>
            </w:r>
          </w:p>
        </w:tc>
        <w:tc>
          <w:tcPr>
            <w:tcW w:w="1660" w:type="dxa"/>
            <w:vAlign w:val="bottom"/>
            <w:gridSpan w:val="2"/>
          </w:tcPr>
          <w:p>
            <w:pPr>
              <w:spacing w:after="0" w:line="201" w:lineRule="exact"/>
              <w:rPr>
                <w:sz w:val="20"/>
                <w:szCs w:val="20"/>
                <w:color w:val="auto"/>
              </w:rPr>
            </w:pPr>
            <w:r>
              <w:rPr>
                <w:rFonts w:ascii="Arial" w:cs="Arial" w:eastAsia="Arial" w:hAnsi="Arial"/>
                <w:sz w:val="18"/>
                <w:szCs w:val="18"/>
                <w:color w:val="auto"/>
              </w:rPr>
              <w:t>March 11, 2021</w:t>
            </w:r>
          </w:p>
        </w:tc>
        <w:tc>
          <w:tcPr>
            <w:tcW w:w="10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77,200</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3,602,152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20,000</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21.10</w:t>
            </w:r>
          </w:p>
        </w:tc>
        <w:tc>
          <w:tcPr>
            <w:tcW w:w="1660" w:type="dxa"/>
            <w:vAlign w:val="bottom"/>
            <w:gridSpan w:val="2"/>
          </w:tcPr>
          <w:p>
            <w:pPr>
              <w:spacing w:after="0"/>
              <w:rPr>
                <w:sz w:val="20"/>
                <w:szCs w:val="20"/>
                <w:color w:val="auto"/>
              </w:rPr>
            </w:pPr>
            <w:r>
              <w:rPr>
                <w:rFonts w:ascii="Arial" w:cs="Arial" w:eastAsia="Arial" w:hAnsi="Arial"/>
                <w:sz w:val="18"/>
                <w:szCs w:val="18"/>
                <w:color w:val="auto"/>
              </w:rPr>
              <w:t>February 25, 2020</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50,000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17.03</w:t>
            </w:r>
          </w:p>
        </w:tc>
        <w:tc>
          <w:tcPr>
            <w:tcW w:w="1660" w:type="dxa"/>
            <w:vAlign w:val="bottom"/>
            <w:gridSpan w:val="2"/>
          </w:tcPr>
          <w:p>
            <w:pPr>
              <w:spacing w:after="0"/>
              <w:rPr>
                <w:sz w:val="20"/>
                <w:szCs w:val="20"/>
                <w:color w:val="auto"/>
              </w:rPr>
            </w:pPr>
            <w:r>
              <w:rPr>
                <w:rFonts w:ascii="Arial" w:cs="Arial" w:eastAsia="Arial" w:hAnsi="Arial"/>
                <w:sz w:val="18"/>
                <w:szCs w:val="18"/>
                <w:color w:val="auto"/>
              </w:rPr>
              <w:t>September 16, 2019</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M. Roberts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46,400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80" w:hanging="452"/>
        <w:spacing w:after="0" w:line="259"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shares covered by the options granted to Mr. Mueller, Dr. Meyer, Mr. Bachus, and Mr. Mildenhall vest in five successive equal annual installments upon the completion of each year of service with us over the five year period measured from the respective date of grant, subject to fully accelerated vesting in the event of a termination of employment by us without cause or by the executive for good reason within 12 months following a change in control of the Company. Mr. Mueller, Dr. Meyer, Mr. Bachus and Mr. Mildenhall also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9" w:name="page40"/>
    <w:bookmarkEnd w:id="39"/>
    <w:p>
      <w:pPr>
        <w:ind w:left="460" w:right="1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 partially accelerated vesting through the next vesting date immediately following the date of termination, upon the termination of employment by us without Cause or by the executive for Good Reason (as further discussed below).</w:t>
      </w:r>
    </w:p>
    <w:p>
      <w:pPr>
        <w:spacing w:after="0" w:line="1" w:lineRule="exact"/>
        <w:rPr>
          <w:sz w:val="20"/>
          <w:szCs w:val="20"/>
          <w:color w:val="auto"/>
        </w:rPr>
      </w:pPr>
    </w:p>
    <w:p>
      <w:pPr>
        <w:ind w:left="460" w:right="520" w:hanging="452"/>
        <w:spacing w:after="0" w:line="281"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restricted stock awards granted to Mr. Mueller, Dr. Meyer, Mr. Bachus, Mr. Mildenhall, and Mr. Roberts vest in five successive equal annual installments upon the completion of each year of service with us over the five year period, subject to fully accelerated vesting in the event of a termination of employment without cause or by the executive for good reason within 12 months following a change in control of the Company.</w:t>
      </w:r>
    </w:p>
    <w:p>
      <w:pPr>
        <w:spacing w:after="0" w:line="2" w:lineRule="exact"/>
        <w:rPr>
          <w:rFonts w:ascii="Arial" w:cs="Arial" w:eastAsia="Arial" w:hAnsi="Arial"/>
          <w:sz w:val="16"/>
          <w:szCs w:val="16"/>
          <w:color w:val="auto"/>
        </w:rPr>
      </w:pPr>
    </w:p>
    <w:p>
      <w:pPr>
        <w:ind w:left="460"/>
        <w:spacing w:after="0" w:line="323" w:lineRule="auto"/>
        <w:rPr>
          <w:rFonts w:ascii="Arial" w:cs="Arial" w:eastAsia="Arial" w:hAnsi="Arial"/>
          <w:sz w:val="16"/>
          <w:szCs w:val="16"/>
          <w:color w:val="auto"/>
        </w:rPr>
      </w:pPr>
      <w:r>
        <w:rPr>
          <w:rFonts w:ascii="Arial" w:cs="Arial" w:eastAsia="Arial" w:hAnsi="Arial"/>
          <w:sz w:val="16"/>
          <w:szCs w:val="16"/>
          <w:color w:val="auto"/>
        </w:rPr>
        <w:t>Mr. Mueller, Dr. Meyer, Mr. Bachus and Mr. Mildenhall also receive partial accelerated vesting through the next vesting date immediately following the date of termination, upon the termination of employment by us without Cause or by the executive for Good Reason (as further discussed below).</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Option Exercises and Stock Vested</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table provides certain summary information concerning option awards exercised by our named executive officers, and restricted stock awards made to our named executive officers that vested, during the fiscal year ended December 31, 2014.</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20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w w:val="98"/>
              </w:rPr>
              <w:t>Option Awards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Restricted Stock Awards</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80" w:type="dxa"/>
            <w:vAlign w:val="bottom"/>
            <w:vMerge w:val="restart"/>
          </w:tcPr>
          <w:p>
            <w:pPr>
              <w:spacing w:after="0"/>
              <w:rPr>
                <w:sz w:val="10"/>
                <w:szCs w:val="10"/>
                <w:color w:val="auto"/>
              </w:rPr>
            </w:pPr>
          </w:p>
        </w:tc>
        <w:tc>
          <w:tcPr>
            <w:tcW w:w="22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8"/>
              </w:rPr>
              <w:t>Number of Shares Acquired</w:t>
            </w:r>
          </w:p>
        </w:tc>
        <w:tc>
          <w:tcPr>
            <w:tcW w:w="11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Value Realized on</w:t>
            </w:r>
          </w:p>
        </w:tc>
        <w:tc>
          <w:tcPr>
            <w:tcW w:w="460" w:type="dxa"/>
            <w:vAlign w:val="bottom"/>
          </w:tcPr>
          <w:p>
            <w:pPr>
              <w:spacing w:after="0"/>
              <w:rPr>
                <w:sz w:val="10"/>
                <w:szCs w:val="10"/>
                <w:color w:val="auto"/>
              </w:rPr>
            </w:pPr>
          </w:p>
        </w:tc>
        <w:tc>
          <w:tcPr>
            <w:tcW w:w="19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Number of Shares Acquired</w:t>
            </w:r>
          </w:p>
        </w:tc>
        <w:tc>
          <w:tcPr>
            <w:tcW w:w="240" w:type="dxa"/>
            <w:vAlign w:val="bottom"/>
          </w:tcPr>
          <w:p>
            <w:pPr>
              <w:spacing w:after="0"/>
              <w:rPr>
                <w:sz w:val="10"/>
                <w:szCs w:val="10"/>
                <w:color w:val="auto"/>
              </w:rPr>
            </w:pPr>
          </w:p>
        </w:tc>
        <w:tc>
          <w:tcPr>
            <w:tcW w:w="11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Value Realized on</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220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89"/>
              </w:rPr>
              <w:t>on Exercise(#)</w:t>
            </w:r>
          </w:p>
        </w:tc>
        <w:tc>
          <w:tcPr>
            <w:tcW w:w="160" w:type="dxa"/>
            <w:vAlign w:val="bottom"/>
          </w:tcPr>
          <w:p>
            <w:pPr>
              <w:spacing w:after="0"/>
              <w:rPr>
                <w:sz w:val="15"/>
                <w:szCs w:val="15"/>
                <w:color w:val="auto"/>
              </w:rPr>
            </w:pPr>
          </w:p>
        </w:tc>
        <w:tc>
          <w:tcPr>
            <w:tcW w:w="14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Exercise($)</w:t>
            </w:r>
          </w:p>
        </w:tc>
        <w:tc>
          <w:tcPr>
            <w:tcW w:w="19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on Vesting(#)</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1"/>
              </w:rPr>
              <w:t>Vesting($)</w:t>
            </w:r>
          </w:p>
        </w:tc>
        <w:tc>
          <w:tcPr>
            <w:tcW w:w="0" w:type="dxa"/>
            <w:vAlign w:val="bottom"/>
          </w:tcPr>
          <w:p>
            <w:pPr>
              <w:spacing w:after="0"/>
              <w:rPr>
                <w:sz w:val="1"/>
                <w:szCs w:val="1"/>
                <w:color w:val="auto"/>
              </w:rPr>
            </w:pPr>
          </w:p>
        </w:tc>
      </w:tr>
      <w:tr>
        <w:trPr>
          <w:trHeight w:val="203"/>
        </w:trPr>
        <w:tc>
          <w:tcPr>
            <w:tcW w:w="3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Brian E. Mueller</w:t>
            </w:r>
          </w:p>
        </w:tc>
        <w:tc>
          <w:tcPr>
            <w:tcW w:w="1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w:t>
            </w: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5,266,509</w:t>
            </w:r>
          </w:p>
        </w:tc>
        <w:tc>
          <w:tcPr>
            <w:tcW w:w="46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27,000</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1,278,045</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Dr. W. Stan Meyer</w:t>
            </w:r>
          </w:p>
        </w:tc>
        <w:tc>
          <w:tcPr>
            <w:tcW w:w="2200" w:type="dxa"/>
            <w:vAlign w:val="bottom"/>
            <w:gridSpan w:val="2"/>
          </w:tcPr>
          <w:p>
            <w:pPr>
              <w:jc w:val="right"/>
              <w:ind w:right="460"/>
              <w:spacing w:after="0"/>
              <w:rPr>
                <w:sz w:val="20"/>
                <w:szCs w:val="20"/>
                <w:color w:val="auto"/>
              </w:rPr>
            </w:pPr>
            <w:r>
              <w:rPr>
                <w:rFonts w:ascii="Arial" w:cs="Arial" w:eastAsia="Arial" w:hAnsi="Arial"/>
                <w:sz w:val="18"/>
                <w:szCs w:val="18"/>
                <w:color w:val="auto"/>
              </w:rPr>
              <w:t>30,000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1,065,266</w:t>
            </w:r>
          </w:p>
        </w:tc>
        <w:tc>
          <w:tcPr>
            <w:tcW w:w="460" w:type="dxa"/>
            <w:vAlign w:val="bottom"/>
          </w:tcPr>
          <w:p>
            <w:pPr>
              <w:spacing w:after="0"/>
              <w:rPr>
                <w:sz w:val="18"/>
                <w:szCs w:val="18"/>
                <w:color w:val="auto"/>
              </w:rPr>
            </w:pP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14,400</w:t>
            </w:r>
          </w:p>
        </w:tc>
        <w:tc>
          <w:tcPr>
            <w:tcW w:w="46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681,624</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Daniel E. Bachus</w:t>
            </w:r>
          </w:p>
        </w:tc>
        <w:tc>
          <w:tcPr>
            <w:tcW w:w="2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18,300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654,419</w:t>
            </w:r>
          </w:p>
        </w:tc>
        <w:tc>
          <w:tcPr>
            <w:tcW w:w="4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14,400</w:t>
            </w:r>
          </w:p>
        </w:tc>
        <w:tc>
          <w:tcPr>
            <w:tcW w:w="46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681,624</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Mr. Joseph N. Mildenhall</w:t>
            </w:r>
          </w:p>
        </w:tc>
        <w:tc>
          <w:tcPr>
            <w:tcW w:w="2200" w:type="dxa"/>
            <w:vAlign w:val="bottom"/>
            <w:gridSpan w:val="2"/>
          </w:tcPr>
          <w:p>
            <w:pPr>
              <w:jc w:val="right"/>
              <w:ind w:right="460"/>
              <w:spacing w:after="0"/>
              <w:rPr>
                <w:sz w:val="20"/>
                <w:szCs w:val="20"/>
                <w:color w:val="auto"/>
              </w:rPr>
            </w:pPr>
            <w:r>
              <w:rPr>
                <w:rFonts w:ascii="Arial" w:cs="Arial" w:eastAsia="Arial" w:hAnsi="Arial"/>
                <w:sz w:val="18"/>
                <w:szCs w:val="18"/>
                <w:color w:val="auto"/>
              </w:rPr>
              <w:t>16,100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519,123</w:t>
            </w:r>
          </w:p>
        </w:tc>
        <w:tc>
          <w:tcPr>
            <w:tcW w:w="460" w:type="dxa"/>
            <w:vAlign w:val="bottom"/>
          </w:tcPr>
          <w:p>
            <w:pPr>
              <w:spacing w:after="0"/>
              <w:rPr>
                <w:sz w:val="18"/>
                <w:szCs w:val="18"/>
                <w:color w:val="auto"/>
              </w:rPr>
            </w:pP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17,200</w:t>
            </w:r>
          </w:p>
        </w:tc>
        <w:tc>
          <w:tcPr>
            <w:tcW w:w="46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813,980</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Brian M. Roberts</w:t>
            </w:r>
          </w:p>
        </w:tc>
        <w:tc>
          <w:tcPr>
            <w:tcW w:w="220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8,000</w:t>
            </w:r>
          </w:p>
        </w:tc>
        <w:tc>
          <w:tcPr>
            <w:tcW w:w="46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374,440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Employment Agreements</w:t>
      </w:r>
    </w:p>
    <w:p>
      <w:pPr>
        <w:spacing w:after="0" w:line="11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We are parties to employment agreements with each of our named executive officers. Each of the agreements have a four-year term that automatically renews for one year periods after the initial four-year term unless either party provides written notice that it does not wish to renew the respective agreement. Except with respect to certain items of compensation, as described below, the terms of each agreement are similar in all material respects.</w:t>
      </w:r>
    </w:p>
    <w:p>
      <w:pPr>
        <w:spacing w:after="0" w:line="52" w:lineRule="exact"/>
        <w:rPr>
          <w:sz w:val="20"/>
          <w:szCs w:val="20"/>
          <w:color w:val="auto"/>
        </w:rPr>
      </w:pPr>
    </w:p>
    <w:p>
      <w:pPr>
        <w:ind w:left="900" w:right="240" w:hanging="446"/>
        <w:spacing w:after="0" w:line="34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agreement with Mr. Richardson provides for a base salary, subject to annual review by the Compensation Committee. The agreement does not set a target performance bonus as percentage of base salary, but leaves such target to be determined by the Compensation Committee.</w:t>
      </w:r>
    </w:p>
    <w:p>
      <w:pPr>
        <w:spacing w:after="0" w:line="29"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agreements with each of Mr. Mueller, Dr. Meyer, Mr. Bachus, Mr. Mildenhall, and Mr. Roberts provide for a base salary and a target bonus under our Annual Cash Incentive Plan.</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agreement entitles the executive to receive customary and usual fringe benefits generally available to our senior management, and to be reimbursed for reasonable out-of-pocket business expenses.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agreement entitles the executive to certain benefits upon his or her termination of employment under specified circumstances.</w:t>
      </w:r>
    </w:p>
    <w:p>
      <w:pPr>
        <w:spacing w:after="0" w:line="225"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In addition, each of the above employment agreements provides for payments upon certain terminations of the executive’s employment. For a description of these termination provisions, whether or not following a change-in-control, and a quantification of benefits that would be received by these executives, see the heading “Potential Payments upon Termination or Change in Control” below.</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Potential Payments upon Termination or Change in Control</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employment agreements with our named executive officers entitle them to certain severance payments and other benefits in the event of certain types of terminations, which are summarized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for Cause</w:t>
      </w:r>
    </w:p>
    <w:p>
      <w:pPr>
        <w:spacing w:after="0" w:line="117" w:lineRule="exact"/>
        <w:rPr>
          <w:sz w:val="20"/>
          <w:szCs w:val="20"/>
          <w:color w:val="auto"/>
        </w:rPr>
      </w:pPr>
    </w:p>
    <w:p>
      <w:pPr>
        <w:jc w:val="both"/>
        <w:ind w:right="120" w:firstLine="456"/>
        <w:spacing w:after="0" w:line="288" w:lineRule="auto"/>
        <w:rPr>
          <w:sz w:val="20"/>
          <w:szCs w:val="20"/>
          <w:color w:val="auto"/>
        </w:rPr>
      </w:pPr>
      <w:r>
        <w:rPr>
          <w:rFonts w:ascii="Arial" w:cs="Arial" w:eastAsia="Arial" w:hAnsi="Arial"/>
          <w:sz w:val="16"/>
          <w:szCs w:val="16"/>
          <w:color w:val="auto"/>
        </w:rPr>
        <w:t>Each of the employment agreements provides that if the named executive officer is terminated by us for “Cause,” the named executive officer will be entitled to receive only his or her base salary then in effect, prorated to the date of termination, and all fringe benefits through the date of termination, and all of such officer’s unvested options and restricted stock awards will terminate. For purposes of each of the employment agreements, “Cause” is defined as</w:t>
      </w:r>
    </w:p>
    <w:p>
      <w:pPr>
        <w:ind w:right="20" w:firstLine="8"/>
        <w:spacing w:after="0" w:line="287" w:lineRule="auto"/>
        <w:tabs>
          <w:tab w:leader="none" w:pos="245"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acts or omissions constituting gross negligence, recklessness or willful misconduct on the part of the executive with respect to the executive’s obligations or otherwise relating to the business of the Company; (b) the executive’s material breach of the employment agreement; (c) the executive’s breach of the Company’s employee nondisclosure and assignment agreement; (d) the executive’s conviction or entry of a plea of nolo contendere for fraud, misappropriation or embezzlement, or any felony or crime of moral turpitude; (e) the executive’s inability to perform the essential functions of the executive’s position, with or without reasonable accommodation, due to a mental or physical disability; (f) the executive’s willful neglect of duties as determined in the sole and exclusive discretion of the Board of Directors, provided that the executive has received written notice of the action or omission giving rise to such determination and has failed to remedy such situation to the satisfaction of the Board of Directors within 30 days following receipt of such written notice, unless the executive’s action or omission is not subject to cure, in which case no such notice shall be required, or (g) the executive’s death.</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or Termination for Good Reason</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Each of the employment agreements provides that if the named executive officer’s employment is terminated by us without Cause, or by the executive for “Good Reason,” the named executive officer will be entitled to receive his or her base salary then in effect, pro-rated to the date of termination, as well as a severance package consisting of the following:</w:t>
      </w:r>
    </w:p>
    <w:p>
      <w:pPr>
        <w:spacing w:after="0" w:line="87" w:lineRule="exact"/>
        <w:rPr>
          <w:sz w:val="20"/>
          <w:szCs w:val="20"/>
          <w:color w:val="auto"/>
        </w:rPr>
      </w:pPr>
    </w:p>
    <w:p>
      <w:pPr>
        <w:ind w:left="900" w:hanging="446"/>
        <w:spacing w:after="0" w:line="255"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severance payment in an amount equal to the sum of (i) twelve (12) months of the executive’s base salary then in effect on the date of termination date (except for Mr. Roberts, whose payments would be equivalent to six (6) months of his base salary), and (ii) for Mr. Mueller, Dr. Meyer, Mr. Bachus and Mr. Mildenhall, 100% of the executive’s target bonus for the fiscal year in which the termination occurs, with the total of such amounts to be payable over twelve (12) months in equal installments in accordance with the Company’s regular payroll cycle, commencing with the first payroll date occurring on or after the sixtieth (60th) day following the date of the executive’s termination of employment;</w:t>
      </w:r>
    </w:p>
    <w:p>
      <w:pPr>
        <w:spacing w:after="0" w:line="98" w:lineRule="exact"/>
        <w:rPr>
          <w:rFonts w:ascii="Arial" w:cs="Arial" w:eastAsia="Arial" w:hAnsi="Arial"/>
          <w:sz w:val="18"/>
          <w:szCs w:val="18"/>
          <w:color w:val="auto"/>
        </w:rPr>
      </w:pPr>
    </w:p>
    <w:p>
      <w:pPr>
        <w:ind w:left="900" w:right="60" w:hanging="446"/>
        <w:spacing w:after="0" w:line="25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payment by us of the premiums required to continue the executive’s group health care coverage for a period of twelve (12) months following the executive’s termination (except for Mr. Roberts whose payments would be for a period of six (6) months following his termination) under the applicable provisions of the Consolidated Omnibus Budget Reconciliation Act (“COBRA”), provided that the executive timely elects to continue and remains eligible for these benefits under COBRA, and does not become eligible for health coverage through another employer during this period; and</w:t>
      </w:r>
    </w:p>
    <w:p>
      <w:pPr>
        <w:spacing w:after="0" w:line="93" w:lineRule="exact"/>
        <w:rPr>
          <w:rFonts w:ascii="Arial" w:cs="Arial" w:eastAsia="Arial" w:hAnsi="Arial"/>
          <w:sz w:val="18"/>
          <w:szCs w:val="18"/>
          <w:color w:val="auto"/>
        </w:rPr>
      </w:pPr>
    </w:p>
    <w:p>
      <w:pPr>
        <w:jc w:val="both"/>
        <w:ind w:left="900" w:right="440" w:hanging="446"/>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respect to Mr. Mueller, Dr. Meyer, Mr. Bachus and Mr. Mildenhall, acceleration of the vesting of the next annual installment under any outstanding stock option or restricted stock award that otherwise would have vested on the next vesting date following the named executive officer’s termination.</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To receive the severance package, the executive must: (i) comply with all surviving provisions of his or her agreement, including the non-competition, non-solicitation, and confidentiality provisions described below, and (ii) execute a full general release, releasing all claims, known or unknown, that executive may have against us arising out of or in any way related to executive’s employment or termination of employment with us. In addition, for options that previously vested, the executive has until the earlier of three months from the date of separation and the expiration of the applicable option to exercise such option.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0" w:right="239" w:bottom="1440" w:gutter="0" w:footer="0" w:header="0"/>
        </w:sectPr>
      </w:pPr>
    </w:p>
    <w:bookmarkStart w:id="41" w:name="page42"/>
    <w:bookmarkEnd w:id="41"/>
    <w:p>
      <w:pPr>
        <w:ind w:right="16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each of the employment agreements, “Good Reason” is defined as the occurrence of any of the following conditions without the executive’s written consent, which condition remains in effect 90 days after the executive provides written notice to us of such condition: (a) a material reduction in the executive’s base salary as then in effect prior to such reduction, other than as part of a salary reduction program among similar management employees, (b) a material diminution in the executive’s authority, duties or responsibilities as an employee of the Company as they existed prior to such change, or (c) a relocation of the executive’s principal place of work that increases the executive’s one-way commute distance by more than 50 miles; provided that the executive will be deemed to have given consent to any such condition if the executive does not provide written notice to us of his or her intent to exercise such rights within 30 days following the first occurrence of such condition.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Upon a Change in Control</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Each of the employment agreements provides that if the named executive officer’s employment is terminated by us without Cause or by the executive for Good Reason, in each case upon or within twelve (12) months following a “Change in Control,” then, in addition to receiving his or her base salary then in effect, pro-rated to the date of termination, and the severance package described above, the named executive officer will also be entitled to acceleration of the vesting of all stock option and restricted stock awards held by such executive that have not yet vested as of the date of such termination. For purposes of each of the employment agreements, “Change in Control” is defined as any one of the following occurrences: (a) any “person” (as such term is used in</w:t>
      </w:r>
    </w:p>
    <w:p>
      <w:pPr>
        <w:spacing w:after="0" w:line="2"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Sections 13(d) and 14(d) of the Exchange Act), becomes the “beneficial owner” (as such term is defined in Rule 13d-3 promulgated under the Exchange Act), directly or indirectly, of securities of the Company representing more than 50% of the total fair market value or total combined voting power of our then-outstanding securities entitled to vote generally in the election of directors; provided, however, that a Change in Control shall not be deemed to have occurred if such degree of beneficial ownership results from any of the following: (i) an acquisition of securities by any person who on the effective date of the employment agreement was the beneficial owner of more than 50% of such voting power, (ii) any acquisition of securities directly from us including, without limitation, pursuant to or in connection with a public offering of securities, (iii) any acquisition of securities by us, (iv) any acquisition of securities by a trustee or other fiduciary under a Company employee benefit plan, or (v) any acquisition of securities by an entity owned directly or indirectly by stockholders of the Company in substantially the same proportions as their ownership of the voting securities of the Company; (b) the sale or disposition of all or substantially all of the Company’s assets (other than a sale or disposition to one or more subsidiaries of the Company), or any transaction having similar effect is consummated; (c) the Company is party to a merger or consolidation that results in the holders of voting securities of the Company outstanding immediately prior thereto failing to continue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or (d) the dissolution or liquidation of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and Non-Solicitation Obligations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Each of the employment agreements prohibits the executives from engaging in any work that creates an actual conflict of interest with us, and includes customary non-competition and non-solicitation covenants that prohibit the executives, during their employment with us and for a period of twelve</w:t>
      </w:r>
    </w:p>
    <w:p>
      <w:pPr>
        <w:ind w:right="20" w:firstLine="8"/>
        <w:spacing w:after="0" w:line="268" w:lineRule="auto"/>
        <w:tabs>
          <w:tab w:leader="none" w:pos="345" w:val="left"/>
        </w:tabs>
        <w:numPr>
          <w:ilvl w:val="0"/>
          <w:numId w:val="38"/>
        </w:numPr>
        <w:rPr>
          <w:rFonts w:ascii="Arial" w:cs="Arial" w:eastAsia="Arial" w:hAnsi="Arial"/>
          <w:sz w:val="17"/>
          <w:szCs w:val="17"/>
          <w:color w:val="auto"/>
        </w:rPr>
      </w:pPr>
      <w:r>
        <w:rPr>
          <w:rFonts w:ascii="Arial" w:cs="Arial" w:eastAsia="Arial" w:hAnsi="Arial"/>
          <w:sz w:val="17"/>
          <w:szCs w:val="17"/>
          <w:color w:val="auto"/>
        </w:rPr>
        <w:t>months thereafter, from (i) owning (except ownership of less than 1% of any class of securities which are listed for trading on any securities exchange or which are traded in the over the counter market), managing, controlling, participating in, consulting with, rendering services for, or in any manner engaging in the operation of a for-profit, postsecondary education institution or any other business that is in the same line of business as us; (ii) soliciting funds on behalf of, or for the benefit of, any for-profit, postsecondary education institution (other than us) or any other entity that competes with us; (iii) soliciting our current or prospective students to be students for any other for-profit, postsecondary education institution; (iv) inducing or attempting to induce any of our employees to leave our employ, or in any way interfering with the relationship between us and any of our employees; or (v) inducing or attempting to induce any of our students, customers, suppliers, licensees, or other business partners to cease doing business with, or modify its business relationship with, us, or in any way interfere with or hinder the relationship between any such student, customer, supplier, licensee, or business partner and us. Each of the executives has separately entered into a confidentiality agreement with 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42" w:name="page43"/>
    <w:bookmarkEnd w:id="42"/>
    <w:p>
      <w:pPr>
        <w:ind w:right="220"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provides information regarding the potential payments upon termination without Cause or for Good Reason, as well as upon termination without Cause or for Good Reason after a Change in Control of the Company, which would have been paid to each executive in the event he or she had been terminated as of December 31, 2014, the last business day of fiscal year 2014. All payments in connection with any such termination will comply with Section 409A of the Code, to the extent Section 409A applies. The actual amounts to be paid out can only be determined at the time of such executive’s separation from the Company.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640" w:type="dxa"/>
            <w:vAlign w:val="bottom"/>
            <w:gridSpan w:val="8"/>
            <w:vMerge w:val="restart"/>
          </w:tcPr>
          <w:p>
            <w:pPr>
              <w:ind w:left="260"/>
              <w:spacing w:after="0"/>
              <w:rPr>
                <w:sz w:val="20"/>
                <w:szCs w:val="20"/>
                <w:color w:val="auto"/>
              </w:rPr>
            </w:pPr>
            <w:r>
              <w:rPr>
                <w:rFonts w:ascii="Arial" w:cs="Arial" w:eastAsia="Arial" w:hAnsi="Arial"/>
                <w:sz w:val="14"/>
                <w:szCs w:val="14"/>
                <w:b w:val="1"/>
                <w:bCs w:val="1"/>
                <w:color w:val="auto"/>
              </w:rPr>
              <w:t>Termination without Cause or for Good Reason</w:t>
            </w:r>
          </w:p>
        </w:tc>
        <w:tc>
          <w:tcPr>
            <w:tcW w:w="220" w:type="dxa"/>
            <w:vAlign w:val="bottom"/>
          </w:tcPr>
          <w:p>
            <w:pPr>
              <w:spacing w:after="0"/>
              <w:rPr>
                <w:sz w:val="14"/>
                <w:szCs w:val="14"/>
                <w:color w:val="auto"/>
              </w:rPr>
            </w:pPr>
          </w:p>
        </w:tc>
        <w:tc>
          <w:tcPr>
            <w:tcW w:w="352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Termination without Cause or for Good Reason</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3640" w:type="dxa"/>
            <w:vAlign w:val="bottom"/>
            <w:gridSpan w:val="8"/>
            <w:vMerge w:val="continue"/>
          </w:tcPr>
          <w:p>
            <w:pPr>
              <w:spacing w:after="0"/>
              <w:rPr>
                <w:sz w:val="14"/>
                <w:szCs w:val="14"/>
                <w:color w:val="auto"/>
              </w:rPr>
            </w:pPr>
          </w:p>
        </w:tc>
        <w:tc>
          <w:tcPr>
            <w:tcW w:w="220" w:type="dxa"/>
            <w:vAlign w:val="bottom"/>
          </w:tcPr>
          <w:p>
            <w:pPr>
              <w:spacing w:after="0"/>
              <w:rPr>
                <w:sz w:val="14"/>
                <w:szCs w:val="14"/>
                <w:color w:val="auto"/>
              </w:rPr>
            </w:pPr>
          </w:p>
        </w:tc>
        <w:tc>
          <w:tcPr>
            <w:tcW w:w="352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following a Change in Control</w:t>
            </w: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28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4"/>
                <w:szCs w:val="14"/>
                <w:b w:val="1"/>
                <w:bCs w:val="1"/>
                <w:color w:val="auto"/>
              </w:rPr>
              <w:t>Cash</w:t>
            </w: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Acceleration of</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Acceleration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Benefits</w:t>
            </w:r>
          </w:p>
        </w:tc>
        <w:tc>
          <w:tcPr>
            <w:tcW w:w="22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Vesting of Shares</w:t>
            </w:r>
          </w:p>
        </w:tc>
        <w:tc>
          <w:tcPr>
            <w:tcW w:w="220" w:type="dxa"/>
            <w:vAlign w:val="bottom"/>
          </w:tcPr>
          <w:p>
            <w:pPr>
              <w:spacing w:after="0"/>
              <w:rPr>
                <w:sz w:val="12"/>
                <w:szCs w:val="12"/>
                <w:color w:val="auto"/>
              </w:rPr>
            </w:pPr>
          </w:p>
        </w:tc>
        <w:tc>
          <w:tcPr>
            <w:tcW w:w="13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1"/>
              </w:rPr>
              <w:t>Cash Payment</w:t>
            </w: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4"/>
              </w:rPr>
              <w:t>Benefits</w:t>
            </w:r>
          </w:p>
        </w:tc>
        <w:tc>
          <w:tcPr>
            <w:tcW w:w="11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Vesting of Shares</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2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Payment</w:t>
            </w: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and Options</w:t>
            </w: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and Options</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840" w:type="dxa"/>
            <w:vAlign w:val="bottom"/>
          </w:tcPr>
          <w:p>
            <w:pPr>
              <w:ind w:left="260"/>
              <w:spacing w:after="0"/>
              <w:rPr>
                <w:sz w:val="20"/>
                <w:szCs w:val="20"/>
                <w:color w:val="auto"/>
              </w:rPr>
            </w:pPr>
            <w:r>
              <w:rPr>
                <w:rFonts w:ascii="Arial" w:cs="Arial" w:eastAsia="Arial" w:hAnsi="Arial"/>
                <w:sz w:val="14"/>
                <w:szCs w:val="14"/>
                <w:b w:val="1"/>
                <w:bCs w:val="1"/>
                <w:color w:val="auto"/>
              </w:rPr>
              <w:t>($)(1)</w:t>
            </w:r>
          </w:p>
        </w:tc>
        <w:tc>
          <w:tcPr>
            <w:tcW w:w="440" w:type="dxa"/>
            <w:vAlign w:val="bottom"/>
          </w:tcPr>
          <w:p>
            <w:pPr>
              <w:spacing w:after="0"/>
              <w:rPr>
                <w:sz w:val="14"/>
                <w:szCs w:val="14"/>
                <w:color w:val="auto"/>
              </w:rPr>
            </w:pPr>
          </w:p>
        </w:tc>
        <w:tc>
          <w:tcPr>
            <w:tcW w:w="600" w:type="dxa"/>
            <w:vAlign w:val="bottom"/>
          </w:tcPr>
          <w:p>
            <w:pPr>
              <w:jc w:val="right"/>
              <w:ind w:right="54"/>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14"/>
                <w:szCs w:val="14"/>
                <w:color w:val="auto"/>
              </w:rPr>
            </w:pPr>
          </w:p>
        </w:tc>
        <w:tc>
          <w:tcPr>
            <w:tcW w:w="1120" w:type="dxa"/>
            <w:vAlign w:val="bottom"/>
            <w:gridSpan w:val="2"/>
          </w:tcPr>
          <w:p>
            <w:pPr>
              <w:jc w:val="right"/>
              <w:ind w:right="204"/>
              <w:spacing w:after="0"/>
              <w:rPr>
                <w:sz w:val="20"/>
                <w:szCs w:val="20"/>
                <w:color w:val="auto"/>
              </w:rPr>
            </w:pPr>
            <w:r>
              <w:rPr>
                <w:rFonts w:ascii="Arial" w:cs="Arial" w:eastAsia="Arial" w:hAnsi="Arial"/>
                <w:sz w:val="14"/>
                <w:szCs w:val="14"/>
                <w:b w:val="1"/>
                <w:bCs w:val="1"/>
                <w:color w:val="auto"/>
              </w:rPr>
              <w:t>($)(1)</w:t>
            </w:r>
          </w:p>
        </w:tc>
        <w:tc>
          <w:tcPr>
            <w:tcW w:w="440" w:type="dxa"/>
            <w:vAlign w:val="bottom"/>
          </w:tcPr>
          <w:p>
            <w:pPr>
              <w:spacing w:after="0"/>
              <w:rPr>
                <w:sz w:val="14"/>
                <w:szCs w:val="14"/>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rPr>
              <w:t>($)(2)</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4"/>
              <w:spacing w:after="0"/>
              <w:rPr>
                <w:sz w:val="20"/>
                <w:szCs w:val="20"/>
                <w:color w:val="auto"/>
              </w:rPr>
            </w:pPr>
            <w:r>
              <w:rPr>
                <w:rFonts w:ascii="Arial" w:cs="Arial" w:eastAsia="Arial" w:hAnsi="Arial"/>
                <w:sz w:val="14"/>
                <w:szCs w:val="14"/>
                <w:b w:val="1"/>
                <w:bCs w:val="1"/>
                <w:color w:val="auto"/>
                <w:w w:val="99"/>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125,000</w:t>
            </w: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$ 19,492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125,000</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$19,492</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Brian E. Mueller</w:t>
            </w:r>
          </w:p>
        </w:tc>
        <w:tc>
          <w:tcPr>
            <w:tcW w:w="840" w:type="dxa"/>
            <w:vAlign w:val="bottom"/>
          </w:tcPr>
          <w:p>
            <w:pPr>
              <w:jc w:val="right"/>
              <w:spacing w:after="0"/>
              <w:rPr>
                <w:sz w:val="20"/>
                <w:szCs w:val="20"/>
                <w:color w:val="auto"/>
              </w:rPr>
            </w:pPr>
            <w:r>
              <w:rPr>
                <w:rFonts w:ascii="Arial" w:cs="Arial" w:eastAsia="Arial" w:hAnsi="Arial"/>
                <w:sz w:val="18"/>
                <w:szCs w:val="18"/>
                <w:color w:val="auto"/>
              </w:rPr>
              <w:t>1,284,000</w:t>
            </w:r>
          </w:p>
        </w:tc>
        <w:tc>
          <w:tcPr>
            <w:tcW w:w="4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12,984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2,606,574</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1,284,000</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12,984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5,462,166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Dr. W. Stan Meyer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656,250</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1,378,813</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656,250</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15,662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Daniel E. Bachus</w:t>
            </w:r>
          </w:p>
        </w:tc>
        <w:tc>
          <w:tcPr>
            <w:tcW w:w="840" w:type="dxa"/>
            <w:vAlign w:val="bottom"/>
          </w:tcPr>
          <w:p>
            <w:pPr>
              <w:jc w:val="right"/>
              <w:spacing w:after="0"/>
              <w:rPr>
                <w:sz w:val="20"/>
                <w:szCs w:val="20"/>
                <w:color w:val="auto"/>
              </w:rPr>
            </w:pPr>
            <w:r>
              <w:rPr>
                <w:rFonts w:ascii="Arial" w:cs="Arial" w:eastAsia="Arial" w:hAnsi="Arial"/>
                <w:sz w:val="18"/>
                <w:szCs w:val="18"/>
                <w:color w:val="auto"/>
              </w:rPr>
              <w:t>656,250</w:t>
            </w:r>
          </w:p>
        </w:tc>
        <w:tc>
          <w:tcPr>
            <w:tcW w:w="4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19,492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1,378,813</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656,250</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19,492</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2,901,795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Joseph N. Mildenhall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481,250</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1,324,972</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481,250</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10,430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3,150,311</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Brian M. Roberts</w:t>
            </w:r>
          </w:p>
        </w:tc>
        <w:tc>
          <w:tcPr>
            <w:tcW w:w="840" w:type="dxa"/>
            <w:vAlign w:val="bottom"/>
          </w:tcPr>
          <w:p>
            <w:pPr>
              <w:jc w:val="right"/>
              <w:spacing w:after="0"/>
              <w:rPr>
                <w:sz w:val="20"/>
                <w:szCs w:val="20"/>
                <w:color w:val="auto"/>
              </w:rPr>
            </w:pPr>
            <w:r>
              <w:rPr>
                <w:rFonts w:ascii="Arial" w:cs="Arial" w:eastAsia="Arial" w:hAnsi="Arial"/>
                <w:sz w:val="18"/>
                <w:szCs w:val="18"/>
                <w:color w:val="auto"/>
              </w:rPr>
              <w:t>137,500</w:t>
            </w:r>
          </w:p>
        </w:tc>
        <w:tc>
          <w:tcPr>
            <w:tcW w:w="44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7,831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137,500</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7,831</w:t>
            </w: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1,620,035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Assumes a termination date of December 31, 2014, and is based on the executive’s salary and target bonus in effect at such date.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Reflects the cost related to the continuation of the executive’s health benefits for the period specified.</w:t>
      </w:r>
    </w:p>
    <w:p>
      <w:pPr>
        <w:spacing w:after="0" w:line="9" w:lineRule="exact"/>
        <w:rPr>
          <w:rFonts w:ascii="Arial" w:cs="Arial" w:eastAsia="Arial" w:hAnsi="Arial"/>
          <w:sz w:val="18"/>
          <w:szCs w:val="18"/>
          <w:color w:val="auto"/>
        </w:rPr>
      </w:pPr>
    </w:p>
    <w:p>
      <w:pPr>
        <w:ind w:left="460" w:right="48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Calculated based on an assumed termination date of December 31, 2014 and the closing market price of our common stock on the Nasdaq Global Market on such date, less the applicable exercise price for each option for which vesting is accelerated.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BENEFICIAL OWNERSHIP OF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the beneficial ownership of our common stock as of February 28, 2015 for:</w:t>
      </w:r>
    </w:p>
    <w:p>
      <w:pPr>
        <w:spacing w:after="0" w:line="131"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person, or group of affiliated persons, known to us to own beneficially 5% or more of our outstanding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our directors and named executive officers as a group.</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information in the following table has been presented in accordance with the rules of the SEC. Under SEC rules, beneficial ownership of a class of capital stock includes any shares of such class as to which a person, directly or indirectly, has or shares voting power or investment power and also includes any shares as to which a person has the right to acquire such voting or investment power within 60 days of the date set forth above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Unless otherwise noted below, the address for each holder listed below is 3300 W. Camelback Road, Phoenix, Arizona 85017.</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calculations of beneficial ownership in this table are based on 46,764,573 shares outstanding at February 28, 2015.</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2"/>
          </w:tcPr>
          <w:p>
            <w:pPr>
              <w:ind w:left="1160"/>
              <w:spacing w:after="0"/>
              <w:rPr>
                <w:sz w:val="20"/>
                <w:szCs w:val="20"/>
                <w:color w:val="auto"/>
              </w:rPr>
            </w:pPr>
            <w:r>
              <w:rPr>
                <w:rFonts w:ascii="Arial" w:cs="Arial" w:eastAsia="Arial" w:hAnsi="Arial"/>
                <w:sz w:val="14"/>
                <w:szCs w:val="14"/>
                <w:b w:val="1"/>
                <w:bCs w:val="1"/>
                <w:color w:val="auto"/>
                <w:w w:val="91"/>
              </w:rPr>
              <w:t>Common Stock</w:t>
            </w: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24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Amount and Nature of</w:t>
            </w:r>
          </w:p>
        </w:tc>
        <w:tc>
          <w:tcPr>
            <w:tcW w:w="13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0"/>
              </w:rPr>
              <w:t>Percent of Class</w:t>
            </w:r>
            <w:r>
              <w:rPr>
                <w:rFonts w:ascii="Arial" w:cs="Arial" w:eastAsia="Arial" w:hAnsi="Arial"/>
                <w:sz w:val="12"/>
                <w:szCs w:val="12"/>
                <w:b w:val="1"/>
                <w:bCs w:val="1"/>
                <w:color w:val="auto"/>
                <w:w w:val="90"/>
              </w:rPr>
              <w:t>(1)</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Beneficial Ownership</w:t>
            </w:r>
          </w:p>
        </w:tc>
        <w:tc>
          <w:tcPr>
            <w:tcW w:w="13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Principal Stockholders:</w:t>
            </w:r>
          </w:p>
        </w:tc>
        <w:tc>
          <w:tcPr>
            <w:tcW w:w="3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Wells Fargo &amp; Company</w:t>
            </w:r>
            <w:r>
              <w:rPr>
                <w:rFonts w:ascii="Arial" w:cs="Arial" w:eastAsia="Arial" w:hAnsi="Arial"/>
                <w:sz w:val="15"/>
                <w:szCs w:val="15"/>
                <w:color w:val="auto"/>
              </w:rPr>
              <w:t>(2)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5,595,460</w:t>
            </w:r>
          </w:p>
        </w:tc>
        <w:tc>
          <w:tcPr>
            <w:tcW w:w="72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The Vanguard Group – 23-1945930</w:t>
            </w:r>
            <w:r>
              <w:rPr>
                <w:rFonts w:ascii="Arial" w:cs="Arial" w:eastAsia="Arial" w:hAnsi="Arial"/>
                <w:sz w:val="15"/>
                <w:szCs w:val="15"/>
                <w:color w:val="auto"/>
              </w:rPr>
              <w:t>(3)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3,091,433</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2,556,830</w:t>
            </w:r>
          </w:p>
        </w:tc>
        <w:tc>
          <w:tcPr>
            <w:tcW w:w="72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Riverbridge Partners LLC</w:t>
            </w:r>
            <w:r>
              <w:rPr>
                <w:rFonts w:ascii="Arial" w:cs="Arial" w:eastAsia="Arial" w:hAnsi="Arial"/>
                <w:sz w:val="15"/>
                <w:szCs w:val="15"/>
                <w:color w:val="auto"/>
              </w:rPr>
              <w:t>(5)</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2,262,308</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Brent D. Richardson</w:t>
            </w:r>
            <w:r>
              <w:rPr>
                <w:rFonts w:ascii="Arial" w:cs="Arial" w:eastAsia="Arial" w:hAnsi="Arial"/>
                <w:sz w:val="15"/>
                <w:szCs w:val="15"/>
                <w:color w:val="auto"/>
              </w:rPr>
              <w:t>(6)</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110,504</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Brian E. Mueller</w:t>
            </w:r>
            <w:r>
              <w:rPr>
                <w:rFonts w:ascii="Arial" w:cs="Arial" w:eastAsia="Arial" w:hAnsi="Arial"/>
                <w:sz w:val="15"/>
                <w:szCs w:val="15"/>
                <w:color w:val="auto"/>
              </w:rPr>
              <w:t>(7)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1,089,848</w:t>
            </w:r>
          </w:p>
        </w:tc>
        <w:tc>
          <w:tcPr>
            <w:tcW w:w="72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Dr. W. Stan Meyer</w:t>
            </w:r>
            <w:r>
              <w:rPr>
                <w:rFonts w:ascii="Arial" w:cs="Arial" w:eastAsia="Arial" w:hAnsi="Arial"/>
                <w:sz w:val="15"/>
                <w:szCs w:val="15"/>
                <w:color w:val="auto"/>
              </w:rPr>
              <w:t>(7)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429,420</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Daniel E. Bachus</w:t>
            </w:r>
            <w:r>
              <w:rPr>
                <w:rFonts w:ascii="Arial" w:cs="Arial" w:eastAsia="Arial" w:hAnsi="Arial"/>
                <w:sz w:val="15"/>
                <w:szCs w:val="15"/>
                <w:color w:val="auto"/>
              </w:rPr>
              <w:t>(7)</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363,489</w:t>
            </w:r>
          </w:p>
        </w:tc>
        <w:tc>
          <w:tcPr>
            <w:tcW w:w="72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Joseph N. Mildenhall</w:t>
            </w:r>
            <w:r>
              <w:rPr>
                <w:rFonts w:ascii="Arial" w:cs="Arial" w:eastAsia="Arial" w:hAnsi="Arial"/>
                <w:sz w:val="15"/>
                <w:szCs w:val="15"/>
                <w:color w:val="auto"/>
              </w:rPr>
              <w:t>(7)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192,411</w:t>
            </w:r>
          </w:p>
        </w:tc>
        <w:tc>
          <w:tcPr>
            <w:tcW w:w="7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Brian M. Roberts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49,162</w:t>
            </w:r>
          </w:p>
        </w:tc>
        <w:tc>
          <w:tcPr>
            <w:tcW w:w="72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David J. Johnson</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Jack A. Henry</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15,107</w:t>
            </w:r>
          </w:p>
        </w:tc>
        <w:tc>
          <w:tcPr>
            <w:tcW w:w="7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Bradley A. Casper</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8,229</w:t>
            </w:r>
          </w:p>
        </w:tc>
        <w:tc>
          <w:tcPr>
            <w:tcW w:w="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Kevin F. Warren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4,465</w:t>
            </w:r>
          </w:p>
        </w:tc>
        <w:tc>
          <w:tcPr>
            <w:tcW w:w="7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Sara R. Dial</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r>
              <w:rPr>
                <w:rFonts w:ascii="Arial" w:cs="Arial" w:eastAsia="Arial" w:hAnsi="Arial"/>
                <w:sz w:val="18"/>
                <w:szCs w:val="18"/>
                <w:b w:val="1"/>
                <w:bCs w:val="1"/>
                <w:color w:val="auto"/>
                <w:w w:val="95"/>
              </w:rPr>
              <w:t>All directors and executive officers as a group (11 persons)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2,277,989</w:t>
            </w:r>
          </w:p>
        </w:tc>
        <w:tc>
          <w:tcPr>
            <w:tcW w:w="720" w:type="dxa"/>
            <w:vAlign w:val="bottom"/>
          </w:tcPr>
          <w:p>
            <w:pPr>
              <w:spacing w:after="0"/>
              <w:rPr>
                <w:sz w:val="20"/>
                <w:szCs w:val="20"/>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beneficial ownership of less than 0.1%</w:t>
      </w:r>
    </w:p>
    <w:p>
      <w:pPr>
        <w:spacing w:after="0" w:line="23" w:lineRule="exact"/>
        <w:rPr>
          <w:sz w:val="20"/>
          <w:szCs w:val="20"/>
          <w:color w:val="auto"/>
        </w:rPr>
      </w:pPr>
    </w:p>
    <w:p>
      <w:pPr>
        <w:ind w:left="460" w:right="20" w:hanging="452"/>
        <w:spacing w:after="0" w:line="253"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percentage of beneficial ownership as to any person as of a particular date is calculated by dividing the number of shares beneficially owned by such person, which includes the number of shares as to which such person has the right to acquire voting or investment power within 60 days after such date, by the sum of the number of shares outstanding as of such date plus the number of shares as to which such person has the right to acquire voting or investment power within 60 days after such date. Consequently, the denominator for calculating beneficial ownership percentages may be different for each beneficial owner.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0" w:right="259" w:bottom="1440" w:gutter="0" w:footer="0" w:header="0"/>
        </w:sectPr>
      </w:pPr>
    </w:p>
    <w:bookmarkStart w:id="44" w:name="page45"/>
    <w:bookmarkEnd w:id="44"/>
    <w:p>
      <w:pPr>
        <w:ind w:left="460" w:right="120" w:hanging="452"/>
        <w:spacing w:after="0" w:line="25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information for Wells Fargo &amp; Company is based on a Schedule 13G/A filed with the Securities and Exchange Commission on February 5, 2015. The address for Wells Fargo &amp; Company is 420 Montgomery Street, San Francisco, CA 94104.</w:t>
      </w:r>
    </w:p>
    <w:p>
      <w:pPr>
        <w:spacing w:after="0" w:line="1" w:lineRule="exact"/>
        <w:rPr>
          <w:rFonts w:ascii="Arial" w:cs="Arial" w:eastAsia="Arial" w:hAnsi="Arial"/>
          <w:sz w:val="18"/>
          <w:szCs w:val="18"/>
          <w:color w:val="auto"/>
        </w:rPr>
      </w:pPr>
    </w:p>
    <w:p>
      <w:pPr>
        <w:ind w:left="460" w:right="680" w:hanging="452"/>
        <w:spacing w:after="0" w:line="265" w:lineRule="auto"/>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This information for The Vanguard Group – 23-1945930 is based on a Schedule 13G/A filed with the Securities and Exchange Commission on February 10, 2015. The address for The Vanguard Group – 23-1945930 is 100 Vanguard Blvd., Malvern, PA 19355.</w:t>
      </w:r>
    </w:p>
    <w:p>
      <w:pPr>
        <w:ind w:left="460" w:right="48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information for BlackRock Inc. is based on a Schedule 13G/A filed with the Securities and Exchange Commission on February 2, 2015. The address for BlackRock Inc. is 55 East 52</w:t>
      </w:r>
      <w:r>
        <w:rPr>
          <w:rFonts w:ascii="Arial" w:cs="Arial" w:eastAsia="Arial" w:hAnsi="Arial"/>
          <w:sz w:val="15"/>
          <w:szCs w:val="15"/>
          <w:color w:val="auto"/>
        </w:rPr>
        <w:t>nd</w:t>
      </w:r>
      <w:r>
        <w:rPr>
          <w:rFonts w:ascii="Arial" w:cs="Arial" w:eastAsia="Arial" w:hAnsi="Arial"/>
          <w:sz w:val="18"/>
          <w:szCs w:val="18"/>
          <w:color w:val="auto"/>
        </w:rPr>
        <w:t xml:space="preserve"> Street, New York, NY 10022.</w:t>
      </w:r>
    </w:p>
    <w:p>
      <w:pPr>
        <w:ind w:left="460" w:right="4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information for Riverbridge Partners LLC is based on a Schedule 13G/A filed with the Securities and Exchange Commission on January 29, 2015. The address for Riverbridge Partners is 80 South Eighth St., Suite 1200, Minneapolis, MN 55402.</w:t>
      </w:r>
    </w:p>
    <w:p>
      <w:pPr>
        <w:ind w:left="460" w:right="640" w:hanging="452"/>
        <w:spacing w:after="0" w:line="250"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Consists of 110,504 shares of common stock held of record by Exeter Capital, LLC, a limited liability company of which Mr. Richardson is the manager, which are attributable to, and beneficially owned by, Mr. Richardson.</w:t>
      </w:r>
    </w:p>
    <w:p>
      <w:pPr>
        <w:ind w:left="460" w:right="20" w:hanging="452"/>
        <w:spacing w:after="0" w:line="255"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Mr. Mueller, Dr. Meyer, Mr. Bachus and Mr. Mildenhall, includes the following number of shares that may be acquired upon the exercise of options that are exercisable within 60 days of February 28, 2015: Mr. Mueller (30,000 shares); Dr. Meyer (16,000 shares); Mr. Bachus (16,000 shares); and Mr. Mildenhall (16,000 shares).</w:t>
      </w:r>
    </w:p>
    <w:p>
      <w:pPr>
        <w:spacing w:after="0" w:line="200" w:lineRule="exact"/>
        <w:rPr>
          <w:sz w:val="20"/>
          <w:szCs w:val="20"/>
          <w:color w:val="auto"/>
        </w:rPr>
      </w:pPr>
    </w:p>
    <w:p>
      <w:pPr>
        <w:spacing w:after="0" w:line="20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We have adopted a written related party transactions policy, pursuant to which our executive officers, directors and principal stockholders, including their immediate family members, are not permitted to enter into a related party transaction with us without the prior consent of our Audit Committee. Any request for us to enter into a transaction with an executive officer, director, principal stockholder or any of such persons’ immediate family members or affiliates, in which the amount involved exceeds $120,000 must be presented to our Audit Committee for review, consideration and approval. All of our directors, executive officers and employees are required to report to our Audit Committee any such related party transaction. In approving or rejecting the proposed agreement, our Audit Committee will take into account, among other factors it deems appropriate, whether the transaction is on terms no less favorable than terms generally available to an unaffiliated third-party under the same or similar circumstances and the extent of the related party’s interest in the transaction. Under the policy, if we should discover related party transactions that have not been pre-approved, the Audit Committee will be notified and will determine the appropriate action, including ratification, rescission or amendment of the transaction. In addition, under the policy, certain types of transactions have been pre-approved by the Audit Committee, including employment arrangements with executive officers, director compensation, transactions where all stockholders receive proportional benefits, transactions involving competitive bids, regulated transactions, and banking-related service transactions.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Set forth below is a summary of certain transactions since January 1, 2014, in which the Company was or is to be a participant and involving our directors, executive officers, beneficial owners of more than 5% of our common stock, and some of the entities with which the foregoing persons are affiliated or associated, and in which the amount involved exceeds or will exceed $120,000.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Mind Streams and Lifetime Learning</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Company was a party to a revenue sharing arrangement with Mind Streams, L.L.C. (Mind Streams), which is owned and operated, in part, by Gail Richardson, the father of Brent D. Richardson, our Executive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5" w:name="page46"/>
    <w:bookmarkEnd w:id="45"/>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Chairman. Pursuant to this agreement and in accordance with the applicable rules and regulations of the Department of Education, we pay to Mind Streams a percentage of the net revenue that we receive from applicants to Grand Canyon University who were recruited by Mind Streams and who matriculate at the University. Mind Streams bears all costs associated with the recruitment of these applicants. For the year ended December 31, 2014, we expensed approximately $3.0 million pursuant to this agreement and, as of December 31, 2014, approximately $0.4 million was due to Mind Streams.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Section 16(a) of the Exchange Act requires that our Company’s directors and executive officers and beneficial owners of more than 10% of the Company’s common stock file initial reports of ownership and reports of changes in ownership with the SEC. Directors and executive officers are required to furnish our Company with copies of all Section 16(a) forms they file. Based solely on a review of the copies of such forms furnished to our Company and written representations from our Company’s directors and executive officers, all reports required by Section 16(a) were filed on a timely basis for the fiscal year ended December 31, 2014.</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SEC has adopted rules that permit companies and intermediaries such as brokers to satisfy delivery requirements for annual reports, proxy statements, and Notices of Internet Availability of Proxy Materials with respect to two or more stockholders sharing the same address by delivering a single annual report, proxy statement, or Notice of Internet Availability of Proxy Materials addressed to those stockholders. This process, which is commonly referred to as “householding,” potentially provides extra convenience for stockholders and cost savings for companies. Brokers with account holders who are stockholders of the Company may be householding the Company’s proxy materials. Once you have received notice from your broker that it will be householding materials to your address, householding will continue until you are notified otherwise or until you revoke your consent. If, at any time, you no longer wish to participate in householding and would prefer to receive a separate annual report, proxy statement, or Notice of Internet Availability of Proxy Materials or if you are receiving multiple copies thereof and wish to receive only one, please notify your broker or notify the Company by sending a written request to Grand Canyon Education, Inc., 3300 W. Camelback Road, Phoenix, Arizona, 85017, Attn: Investor Relations, or by calling (602) 639-7500.</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300" w:firstLine="456"/>
        <w:spacing w:after="0" w:line="288" w:lineRule="auto"/>
        <w:rPr>
          <w:sz w:val="20"/>
          <w:szCs w:val="20"/>
          <w:color w:val="auto"/>
        </w:rPr>
      </w:pPr>
      <w:r>
        <w:rPr>
          <w:rFonts w:ascii="Arial" w:cs="Arial" w:eastAsia="Arial" w:hAnsi="Arial"/>
          <w:sz w:val="16"/>
          <w:szCs w:val="16"/>
          <w:color w:val="auto"/>
        </w:rPr>
        <w:t xml:space="preserve">Our 2014 annual report and our Annual Report on Form 10-K for fiscal year 2014, including financial statements, are available electronically along with our proxy statement to all stockholders of record as of March 23, 2015, including those stockholders whose shares are held in a brokerage, bank or similar account, who will receive the same mailing from the organization holding the account. </w:t>
      </w:r>
      <w:r>
        <w:rPr>
          <w:rFonts w:ascii="Arial" w:cs="Arial" w:eastAsia="Arial" w:hAnsi="Arial"/>
          <w:sz w:val="16"/>
          <w:szCs w:val="16"/>
          <w:b w:val="1"/>
          <w:bCs w:val="1"/>
          <w:color w:val="auto"/>
        </w:rPr>
        <w:t>Stockholders who wish to obtain a copy of our Annual</w:t>
      </w:r>
    </w:p>
    <w:p>
      <w:pPr>
        <w:ind w:right="560"/>
        <w:spacing w:after="0" w:line="261" w:lineRule="auto"/>
        <w:rPr>
          <w:sz w:val="20"/>
          <w:szCs w:val="20"/>
          <w:color w:val="auto"/>
        </w:rPr>
      </w:pPr>
      <w:r>
        <w:rPr>
          <w:rFonts w:ascii="Arial" w:cs="Arial" w:eastAsia="Arial" w:hAnsi="Arial"/>
          <w:sz w:val="18"/>
          <w:szCs w:val="18"/>
          <w:b w:val="1"/>
          <w:bCs w:val="1"/>
          <w:color w:val="auto"/>
        </w:rPr>
        <w:t>Report on Form 10-K, for the fiscal year ended December 31, 2014, and our proxy statement may do so without charge by writing to Investor Relations, Grand Canyon Education, Inc., 3300 W. Camelback Road, Phoenix, Arizona 85017.</w:t>
      </w:r>
    </w:p>
    <w:p>
      <w:pPr>
        <w:spacing w:after="0" w:line="184"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As of the date of this proxy statement, management knows of no matters that will be presented for determination at the Annual Meeting other than those referred to herein. If any other matters properly come before the Annual Meeting calling for a vote of stockholders, it is intended that the persons named in the proxies solicited by our Board of Directors, in accordance with their best judgment, will vote the shares represented by these proxies.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26, 2015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GRAND CANYON UNIVERSITY</w:t>
      </w:r>
    </w:p>
    <w:p>
      <w:pPr>
        <w:spacing w:after="0"/>
        <w:rPr>
          <w:sz w:val="20"/>
          <w:szCs w:val="20"/>
          <w:color w:val="auto"/>
        </w:rPr>
      </w:pPr>
      <w:r>
        <w:rPr>
          <w:rFonts w:ascii="Arial" w:cs="Arial" w:eastAsia="Arial" w:hAnsi="Arial"/>
          <w:sz w:val="3"/>
          <w:szCs w:val="3"/>
          <w:color w:val="FFFFFF"/>
        </w:rPr>
        <w:t>ElectronicIMPORTANTVotingANNUALInstructionsMEETING INFORMATION</w:t>
      </w:r>
    </w:p>
    <w:p>
      <w:pPr>
        <w:spacing w:after="0" w:line="194" w:lineRule="auto"/>
        <w:rPr>
          <w:sz w:val="20"/>
          <w:szCs w:val="20"/>
          <w:color w:val="auto"/>
        </w:rPr>
      </w:pPr>
      <w:r>
        <w:rPr>
          <w:rFonts w:ascii="Arial" w:cs="Arial" w:eastAsia="Arial" w:hAnsi="Arial"/>
          <w:sz w:val="5"/>
          <w:szCs w:val="5"/>
          <w:color w:val="FFFFFF"/>
        </w:rPr>
        <w:t>Available 24 hours a day, 7 days a week!</w:t>
      </w:r>
    </w:p>
    <w:p>
      <w:pPr>
        <w:spacing w:after="0"/>
        <w:rPr>
          <w:sz w:val="20"/>
          <w:szCs w:val="20"/>
          <w:color w:val="auto"/>
        </w:rPr>
      </w:pPr>
      <w:r>
        <w:rPr>
          <w:rFonts w:ascii="Arial" w:cs="Arial" w:eastAsia="Arial" w:hAnsi="Arial"/>
          <w:sz w:val="3"/>
          <w:szCs w:val="3"/>
          <w:color w:val="FFFFFF"/>
        </w:rPr>
        <w:t>Instead of mailing your proxy, you may choose one of the voting methods outlined below to vote your proxy.</w:t>
      </w:r>
    </w:p>
    <w:p>
      <w:pPr>
        <w:spacing w:after="0" w:line="181" w:lineRule="auto"/>
        <w:rPr>
          <w:sz w:val="20"/>
          <w:szCs w:val="20"/>
          <w:color w:val="auto"/>
        </w:rPr>
      </w:pPr>
      <w:r>
        <w:rPr>
          <w:rFonts w:ascii="Arial" w:cs="Arial" w:eastAsia="Arial" w:hAnsi="Arial"/>
          <w:sz w:val="10"/>
          <w:szCs w:val="10"/>
          <w:color w:val="FFFFFF"/>
        </w:rPr>
        <w:t>VALIDATION DETAILS ARE LOCATED BELOW IN THE TITLE BAR.</w:t>
      </w:r>
    </w:p>
    <w:p>
      <w:pPr>
        <w:spacing w:after="0"/>
        <w:rPr>
          <w:sz w:val="20"/>
          <w:szCs w:val="20"/>
          <w:color w:val="auto"/>
        </w:rPr>
      </w:pPr>
      <w:r>
        <w:rPr>
          <w:rFonts w:ascii="Arial" w:cs="Arial" w:eastAsia="Arial" w:hAnsi="Arial"/>
          <w:sz w:val="3"/>
          <w:szCs w:val="3"/>
          <w:color w:val="FFFFFF"/>
        </w:rPr>
        <w:t>VoteProxiesby submittedInternet by the Internet or telephone must be received by 11:00 p.m., Mountain Time, on Sunday, May 17, 2015.</w:t>
      </w:r>
    </w:p>
    <w:p>
      <w:pPr>
        <w:spacing w:after="0" w:line="194" w:lineRule="auto"/>
        <w:rPr>
          <w:sz w:val="20"/>
          <w:szCs w:val="20"/>
          <w:color w:val="auto"/>
        </w:rPr>
      </w:pPr>
      <w:r>
        <w:rPr>
          <w:rFonts w:ascii="Arial" w:cs="Arial" w:eastAsia="Arial" w:hAnsi="Arial"/>
          <w:sz w:val="5"/>
          <w:szCs w:val="5"/>
          <w:color w:val="FFFFFF"/>
        </w:rPr>
        <w:t>Go to www.envisionreports.com/LOPE</w:t>
      </w:r>
    </w:p>
    <w:p>
      <w:pPr>
        <w:spacing w:after="0" w:line="188" w:lineRule="auto"/>
        <w:rPr>
          <w:sz w:val="20"/>
          <w:szCs w:val="20"/>
          <w:color w:val="auto"/>
        </w:rPr>
      </w:pPr>
      <w:r>
        <w:rPr>
          <w:rFonts w:ascii="Arial" w:cs="Arial" w:eastAsia="Arial" w:hAnsi="Arial"/>
          <w:sz w:val="9"/>
          <w:szCs w:val="9"/>
          <w:color w:val="FFFFFF"/>
        </w:rPr>
        <w:t>Or scan the QR code with your smartphone</w:t>
      </w:r>
    </w:p>
    <w:p>
      <w:pPr>
        <w:spacing w:after="0"/>
        <w:rPr>
          <w:sz w:val="20"/>
          <w:szCs w:val="20"/>
          <w:color w:val="auto"/>
        </w:rPr>
      </w:pPr>
      <w:r>
        <w:rPr>
          <w:rFonts w:ascii="Arial" w:cs="Arial" w:eastAsia="Arial" w:hAnsi="Arial"/>
          <w:sz w:val="3"/>
          <w:szCs w:val="3"/>
          <w:color w:val="FFFFFF"/>
        </w:rPr>
        <w:t>VoteFollowby thetelephonestepsoutlined on the secure website</w:t>
      </w:r>
    </w:p>
    <w:p>
      <w:pPr>
        <w:spacing w:after="0" w:line="6" w:lineRule="exact"/>
        <w:rPr>
          <w:sz w:val="20"/>
          <w:szCs w:val="20"/>
          <w:color w:val="auto"/>
        </w:rPr>
      </w:pPr>
    </w:p>
    <w:p>
      <w:pPr>
        <w:ind w:right="5560"/>
        <w:spacing w:after="0" w:line="211" w:lineRule="auto"/>
        <w:rPr>
          <w:sz w:val="20"/>
          <w:szCs w:val="20"/>
          <w:color w:val="auto"/>
        </w:rPr>
      </w:pPr>
      <w:r>
        <w:rPr>
          <w:rFonts w:ascii="Arial" w:cs="Arial" w:eastAsia="Arial" w:hAnsi="Arial"/>
          <w:sz w:val="8"/>
          <w:szCs w:val="8"/>
          <w:color w:val="FFFFFF"/>
        </w:rPr>
        <w:t>Call toll free 1-800-652-VOTE (8683) within the USA, US territories &amp; Canada on a touch tone telephone Follow the instructions provided by the recorded message</w:t>
      </w:r>
    </w:p>
    <w:p>
      <w:pPr>
        <w:spacing w:after="0"/>
        <w:rPr>
          <w:sz w:val="20"/>
          <w:szCs w:val="20"/>
          <w:color w:val="auto"/>
        </w:rPr>
      </w:pPr>
      <w:r>
        <w:rPr>
          <w:rFonts w:ascii="Arial" w:cs="Arial" w:eastAsia="Arial" w:hAnsi="Arial"/>
          <w:sz w:val="3"/>
          <w:szCs w:val="3"/>
          <w:color w:val="FFFFFF"/>
        </w:rPr>
        <w:t>Using a black ink pen, mark your votes with an X as shown in this example. Please do not write outside the designated areas.</w:t>
      </w:r>
    </w:p>
    <w:p>
      <w:pPr>
        <w:spacing w:after="0" w:line="194" w:lineRule="auto"/>
        <w:rPr>
          <w:sz w:val="20"/>
          <w:szCs w:val="20"/>
          <w:color w:val="auto"/>
        </w:rPr>
      </w:pPr>
      <w:r>
        <w:rPr>
          <w:rFonts w:ascii="Arial" w:cs="Arial" w:eastAsia="Arial" w:hAnsi="Arial"/>
          <w:sz w:val="5"/>
          <w:szCs w:val="5"/>
          <w:color w:val="FFFFFF"/>
        </w:rPr>
        <w:t>X</w:t>
      </w:r>
    </w:p>
    <w:p>
      <w:pPr>
        <w:spacing w:after="0"/>
        <w:rPr>
          <w:sz w:val="20"/>
          <w:szCs w:val="20"/>
          <w:color w:val="auto"/>
        </w:rPr>
      </w:pPr>
      <w:r>
        <w:rPr>
          <w:rFonts w:ascii="Arial" w:cs="Arial" w:eastAsia="Arial" w:hAnsi="Arial"/>
          <w:sz w:val="3"/>
          <w:szCs w:val="3"/>
          <w:color w:val="FFFFFF"/>
        </w:rPr>
        <w:t>Annual Meeting Proxy Card</w:t>
      </w:r>
    </w:p>
    <w:p>
      <w:pPr>
        <w:spacing w:after="0" w:line="6" w:lineRule="exact"/>
        <w:rPr>
          <w:sz w:val="20"/>
          <w:szCs w:val="20"/>
          <w:color w:val="auto"/>
        </w:rPr>
      </w:pPr>
    </w:p>
    <w:p>
      <w:pPr>
        <w:spacing w:after="0" w:line="211" w:lineRule="auto"/>
        <w:rPr>
          <w:sz w:val="20"/>
          <w:szCs w:val="20"/>
          <w:color w:val="auto"/>
        </w:rPr>
      </w:pPr>
      <w:r>
        <w:rPr>
          <w:rFonts w:ascii="Arial" w:cs="Arial" w:eastAsia="Arial" w:hAnsi="Arial"/>
          <w:sz w:val="8"/>
          <w:szCs w:val="8"/>
          <w:color w:val="FFFFFF"/>
        </w:rPr>
        <w:t>q IF YOU HAVE NOT VOTED VIA THE INTERNET OR TELEPHONE, FOLD ALONG THE PERFORATION, DETACH AND RETURN THE BOTTOM PORTION IN THE ENCLOSED ENVELOPE. q A Proposals — The Board of Directors recommends a vote FOR all the nominees listed, FOR Proposals 2 and 3.</w:t>
      </w:r>
    </w:p>
    <w:p>
      <w:pPr>
        <w:spacing w:after="0" w:line="188" w:lineRule="auto"/>
        <w:rPr>
          <w:sz w:val="20"/>
          <w:szCs w:val="20"/>
          <w:color w:val="auto"/>
        </w:rPr>
      </w:pPr>
      <w:r>
        <w:rPr>
          <w:rFonts w:ascii="Arial" w:cs="Arial" w:eastAsia="Arial" w:hAnsi="Arial"/>
          <w:sz w:val="9"/>
          <w:szCs w:val="9"/>
          <w:color w:val="FFFFFF"/>
        </w:rPr>
        <w:t>1. Election of Directors: For Against Abstain</w:t>
      </w:r>
    </w:p>
    <w:p>
      <w:pPr>
        <w:ind w:left="700"/>
        <w:spacing w:after="0" w:line="2" w:lineRule="auto"/>
        <w:rPr>
          <w:sz w:val="20"/>
          <w:szCs w:val="20"/>
          <w:color w:val="auto"/>
        </w:rPr>
      </w:pPr>
      <w:r>
        <w:rPr>
          <w:rFonts w:ascii="Arial" w:cs="Arial" w:eastAsia="Arial" w:hAnsi="Arial"/>
          <w:sz w:val="1"/>
          <w:szCs w:val="1"/>
          <w:color w:val="FFFFFF"/>
        </w:rPr>
        <w:t>07 - Jack A. Henry</w:t>
      </w:r>
    </w:p>
    <w:p>
      <w:pPr>
        <w:spacing w:after="0" w:line="29" w:lineRule="exact"/>
        <w:rPr>
          <w:sz w:val="20"/>
          <w:szCs w:val="20"/>
          <w:color w:val="auto"/>
        </w:rPr>
      </w:pPr>
    </w:p>
    <w:p>
      <w:pPr>
        <w:ind w:left="260"/>
        <w:spacing w:after="0"/>
        <w:rPr>
          <w:sz w:val="20"/>
          <w:szCs w:val="20"/>
          <w:color w:val="auto"/>
        </w:rPr>
      </w:pPr>
      <w:r>
        <w:rPr>
          <w:rFonts w:ascii="Arial" w:cs="Arial" w:eastAsia="Arial" w:hAnsi="Arial"/>
          <w:sz w:val="2"/>
          <w:szCs w:val="2"/>
          <w:color w:val="FFFFFF"/>
        </w:rPr>
        <w:t>Sara R. Dial</w:t>
      </w:r>
    </w:p>
    <w:p>
      <w:pPr>
        <w:spacing w:after="0" w:line="201" w:lineRule="auto"/>
        <w:rPr>
          <w:sz w:val="20"/>
          <w:szCs w:val="20"/>
          <w:color w:val="auto"/>
        </w:rPr>
      </w:pPr>
      <w:r>
        <w:rPr>
          <w:rFonts w:ascii="Arial" w:cs="Arial" w:eastAsia="Arial" w:hAnsi="Arial"/>
          <w:sz w:val="12"/>
          <w:szCs w:val="12"/>
          <w:color w:val="FFFFFF"/>
        </w:rPr>
        <w:t>For Against Abstain</w:t>
      </w:r>
    </w:p>
    <w:tbl>
      <w:tblPr>
        <w:tblLayout w:type="fixed"/>
        <w:tblInd w:w="0" w:type="dxa"/>
        <w:tblCellMar>
          <w:top w:w="0" w:type="dxa"/>
          <w:left w:w="0" w:type="dxa"/>
          <w:bottom w:w="0" w:type="dxa"/>
          <w:right w:w="0" w:type="dxa"/>
        </w:tblCellMar>
      </w:tblPr>
      <w:tr>
        <w:trPr>
          <w:trHeight w:val="161"/>
        </w:trPr>
        <w:tc>
          <w:tcPr>
            <w:tcW w:w="11300" w:type="dxa"/>
            <w:vAlign w:val="bottom"/>
            <w:gridSpan w:val="2"/>
          </w:tcPr>
          <w:p>
            <w:pPr>
              <w:spacing w:after="0"/>
              <w:rPr>
                <w:sz w:val="20"/>
                <w:szCs w:val="20"/>
                <w:color w:val="auto"/>
              </w:rPr>
            </w:pPr>
            <w:r>
              <w:rPr>
                <w:rFonts w:ascii="Arial" w:cs="Arial" w:eastAsia="Arial" w:hAnsi="Arial"/>
                <w:sz w:val="14"/>
                <w:szCs w:val="14"/>
                <w:color w:val="FFFFFF"/>
              </w:rPr>
              <w:t>03 - David J. Johnson</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For Against</w:t>
            </w:r>
          </w:p>
        </w:tc>
      </w:tr>
      <w:tr>
        <w:trPr>
          <w:trHeight w:val="41"/>
        </w:trPr>
        <w:tc>
          <w:tcPr>
            <w:tcW w:w="11300" w:type="dxa"/>
            <w:vAlign w:val="bottom"/>
            <w:gridSpan w:val="2"/>
          </w:tcPr>
          <w:p>
            <w:pPr>
              <w:ind w:left="80"/>
              <w:spacing w:after="0"/>
              <w:rPr>
                <w:sz w:val="20"/>
                <w:szCs w:val="20"/>
                <w:color w:val="auto"/>
              </w:rPr>
            </w:pPr>
            <w:r>
              <w:rPr>
                <w:rFonts w:ascii="Arial" w:cs="Arial" w:eastAsia="Arial" w:hAnsi="Arial"/>
                <w:sz w:val="3"/>
                <w:szCs w:val="3"/>
                <w:color w:val="FFFFFF"/>
              </w:rPr>
              <w:t>5  Bradley Abstain.Casper</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06 - Kevin F. Warren</w:t>
            </w:r>
          </w:p>
        </w:tc>
      </w:tr>
      <w:tr>
        <w:trPr>
          <w:trHeight w:val="41"/>
        </w:trPr>
        <w:tc>
          <w:tcPr>
            <w:tcW w:w="500" w:type="dxa"/>
            <w:vAlign w:val="bottom"/>
          </w:tcPr>
          <w:p>
            <w:pPr>
              <w:spacing w:after="0"/>
              <w:rPr>
                <w:sz w:val="20"/>
                <w:szCs w:val="20"/>
                <w:color w:val="auto"/>
              </w:rPr>
            </w:pPr>
            <w:r>
              <w:rPr>
                <w:rFonts w:ascii="Arial" w:cs="Arial" w:eastAsia="Arial" w:hAnsi="Arial"/>
                <w:sz w:val="3"/>
                <w:szCs w:val="3"/>
                <w:color w:val="FFFFFF"/>
              </w:rPr>
              <w:t>+</w:t>
            </w:r>
          </w:p>
        </w:tc>
        <w:tc>
          <w:tcPr>
            <w:tcW w:w="10800" w:type="dxa"/>
            <w:vAlign w:val="bottom"/>
          </w:tcPr>
          <w:p>
            <w:pPr>
              <w:spacing w:after="0"/>
              <w:rPr>
                <w:sz w:val="3"/>
                <w:szCs w:val="3"/>
                <w:color w:val="auto"/>
              </w:rPr>
            </w:pP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For Against Abstain</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2. To approve, on an advisory basis, the compensation of our named executive officers.</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For Against Abstain</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3. To ratify the appointment of KPMG LLP as our independent registered public accounting firm</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for the fiscal year ending December 31, 2015.</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B Non-Voting Items</w:t>
            </w:r>
          </w:p>
        </w:tc>
      </w:tr>
      <w:tr>
        <w:trPr>
          <w:trHeight w:val="41"/>
        </w:trPr>
        <w:tc>
          <w:tcPr>
            <w:tcW w:w="11300" w:type="dxa"/>
            <w:vAlign w:val="bottom"/>
            <w:gridSpan w:val="2"/>
          </w:tcPr>
          <w:p>
            <w:pPr>
              <w:ind w:left="100"/>
              <w:spacing w:after="0"/>
              <w:rPr>
                <w:sz w:val="20"/>
                <w:szCs w:val="20"/>
                <w:color w:val="auto"/>
              </w:rPr>
            </w:pPr>
            <w:r>
              <w:rPr>
                <w:rFonts w:ascii="Arial" w:cs="Arial" w:eastAsia="Arial" w:hAnsi="Arial"/>
                <w:sz w:val="3"/>
                <w:szCs w:val="3"/>
                <w:color w:val="FFFFFF"/>
              </w:rPr>
              <w:t>hange of Address — Please print new address below.</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C Authorized Signatures — This section must be completed for your vote to be counted. — Date and Sign Below</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Please sign exactly as your name(s) appear on the proxy. If held in joint tenancy, all persons must sign. Trustee, administrators, etc., should include title and authority. Corporations should provide the full name</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of corporation and the title of the authorized officer signing the proxy.</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Date (mm/dd/yyyy) — Please print date below.</w:t>
            </w:r>
          </w:p>
        </w:tc>
      </w:tr>
      <w:tr>
        <w:trPr>
          <w:trHeight w:val="41"/>
        </w:trPr>
        <w:tc>
          <w:tcPr>
            <w:tcW w:w="500" w:type="dxa"/>
            <w:vAlign w:val="bottom"/>
          </w:tcPr>
          <w:p>
            <w:pPr>
              <w:spacing w:after="0"/>
              <w:rPr>
                <w:sz w:val="3"/>
                <w:szCs w:val="3"/>
                <w:color w:val="auto"/>
              </w:rPr>
            </w:pPr>
          </w:p>
        </w:tc>
        <w:tc>
          <w:tcPr>
            <w:tcW w:w="10800" w:type="dxa"/>
            <w:vAlign w:val="bottom"/>
          </w:tcPr>
          <w:p>
            <w:pPr>
              <w:jc w:val="right"/>
              <w:ind w:right="10663"/>
              <w:spacing w:after="0"/>
              <w:rPr>
                <w:sz w:val="20"/>
                <w:szCs w:val="20"/>
                <w:color w:val="auto"/>
              </w:rPr>
            </w:pPr>
            <w:r>
              <w:rPr>
                <w:rFonts w:ascii="Arial" w:cs="Arial" w:eastAsia="Arial" w:hAnsi="Arial"/>
                <w:sz w:val="3"/>
                <w:szCs w:val="3"/>
                <w:color w:val="FFFFFF"/>
              </w:rPr>
              <w:t>1</w:t>
            </w:r>
          </w:p>
        </w:tc>
      </w:tr>
      <w:tr>
        <w:trPr>
          <w:trHeight w:val="41"/>
        </w:trPr>
        <w:tc>
          <w:tcPr>
            <w:tcW w:w="11300" w:type="dxa"/>
            <w:vAlign w:val="bottom"/>
            <w:gridSpan w:val="2"/>
          </w:tcPr>
          <w:p>
            <w:pPr>
              <w:spacing w:after="0"/>
              <w:rPr>
                <w:sz w:val="20"/>
                <w:szCs w:val="20"/>
                <w:color w:val="auto"/>
              </w:rPr>
            </w:pPr>
            <w:r>
              <w:rPr>
                <w:rFonts w:ascii="Arial" w:cs="Arial" w:eastAsia="Arial" w:hAnsi="Arial"/>
                <w:sz w:val="3"/>
                <w:szCs w:val="3"/>
                <w:color w:val="FFFFFF"/>
              </w:rPr>
              <w:t>Signature 2 — Please keep signature within the box.</w:t>
            </w:r>
          </w:p>
        </w:tc>
      </w:tr>
      <w:tr>
        <w:trPr>
          <w:trHeight w:val="41"/>
        </w:trPr>
        <w:tc>
          <w:tcPr>
            <w:tcW w:w="500" w:type="dxa"/>
            <w:vAlign w:val="bottom"/>
          </w:tcPr>
          <w:p>
            <w:pPr>
              <w:spacing w:after="0"/>
              <w:rPr>
                <w:sz w:val="20"/>
                <w:szCs w:val="20"/>
                <w:color w:val="auto"/>
              </w:rPr>
            </w:pPr>
            <w:r>
              <w:rPr>
                <w:rFonts w:ascii="Arial" w:cs="Arial" w:eastAsia="Arial" w:hAnsi="Arial"/>
                <w:sz w:val="3"/>
                <w:szCs w:val="3"/>
                <w:color w:val="FFFFFF"/>
              </w:rPr>
              <w:t>1UPX</w:t>
            </w:r>
          </w:p>
        </w:tc>
        <w:tc>
          <w:tcPr>
            <w:tcW w:w="10800" w:type="dxa"/>
            <w:vAlign w:val="bottom"/>
          </w:tcPr>
          <w:p>
            <w:pPr>
              <w:spacing w:after="0"/>
              <w:rPr>
                <w:sz w:val="3"/>
                <w:szCs w:val="3"/>
                <w:color w:val="auto"/>
              </w:rPr>
            </w:pPr>
          </w:p>
        </w:tc>
      </w:tr>
      <w:tr>
        <w:trPr>
          <w:trHeight w:val="41"/>
        </w:trPr>
        <w:tc>
          <w:tcPr>
            <w:tcW w:w="500" w:type="dxa"/>
            <w:vAlign w:val="bottom"/>
          </w:tcPr>
          <w:p>
            <w:pPr>
              <w:spacing w:after="0"/>
              <w:rPr>
                <w:sz w:val="20"/>
                <w:szCs w:val="20"/>
                <w:color w:val="auto"/>
              </w:rPr>
            </w:pPr>
            <w:r>
              <w:rPr>
                <w:rFonts w:ascii="Arial" w:cs="Arial" w:eastAsia="Arial" w:hAnsi="Arial"/>
                <w:sz w:val="3"/>
                <w:szCs w:val="3"/>
                <w:color w:val="FFFFFF"/>
              </w:rPr>
              <w:t>+</w:t>
            </w:r>
          </w:p>
        </w:tc>
        <w:tc>
          <w:tcPr>
            <w:tcW w:w="10800" w:type="dxa"/>
            <w:vAlign w:val="bottom"/>
          </w:tcPr>
          <w:p>
            <w:pPr>
              <w:spacing w:after="0"/>
              <w:rPr>
                <w:sz w:val="3"/>
                <w:szCs w:val="3"/>
                <w:color w:val="auto"/>
              </w:rPr>
            </w:pPr>
          </w:p>
        </w:tc>
      </w:tr>
      <w:tr>
        <w:trPr>
          <w:trHeight w:val="0"/>
        </w:trPr>
        <w:tc>
          <w:tcPr>
            <w:tcW w:w="500" w:type="dxa"/>
            <w:vAlign w:val="bottom"/>
          </w:tcPr>
          <w:p>
            <w:pPr>
              <w:spacing w:after="0"/>
              <w:rPr>
                <w:sz w:val="20"/>
                <w:szCs w:val="20"/>
                <w:color w:val="auto"/>
              </w:rPr>
            </w:pPr>
            <w:r>
              <w:rPr>
                <w:rFonts w:ascii="Arial" w:cs="Arial" w:eastAsia="Arial" w:hAnsi="Arial"/>
                <w:sz w:val="14"/>
                <w:szCs w:val="14"/>
                <w:color w:val="FFFFFF"/>
                <w:w w:val="97"/>
              </w:rPr>
              <w:t>02179C</w:t>
            </w:r>
          </w:p>
        </w:tc>
        <w:tc>
          <w:tcPr>
            <w:tcW w:w="10800" w:type="dxa"/>
            <w:vAlign w:val="bottom"/>
          </w:tcPr>
          <w:p>
            <w:pPr>
              <w:spacing w:after="0" w:line="20" w:lineRule="exact"/>
              <w:rPr>
                <w:sz w:val="1"/>
                <w:szCs w:val="1"/>
                <w:color w:val="auto"/>
              </w:rPr>
            </w:pPr>
          </w:p>
        </w:tc>
      </w:tr>
    </w:tbl>
    <w:p>
      <w:pPr>
        <w:ind w:left="80"/>
        <w:spacing w:after="0"/>
        <w:tabs>
          <w:tab w:leader="none" w:pos="240" w:val="left"/>
        </w:tabs>
        <w:rPr>
          <w:sz w:val="20"/>
          <w:szCs w:val="20"/>
          <w:color w:val="auto"/>
        </w:rPr>
      </w:pPr>
      <w:r>
        <w:rPr>
          <w:rFonts w:ascii="Arial" w:cs="Arial" w:eastAsia="Arial" w:hAnsi="Arial"/>
          <w:sz w:val="14"/>
          <w:szCs w:val="14"/>
          <w:color w:val="FFFFFF"/>
        </w:rPr>
        <w:t>2</w:t>
      </w:r>
      <w:r>
        <w:rPr>
          <w:sz w:val="20"/>
          <w:szCs w:val="20"/>
          <w:color w:val="auto"/>
        </w:rPr>
        <w:tab/>
      </w:r>
      <w:r>
        <w:rPr>
          <w:rFonts w:ascii="Arial" w:cs="Arial" w:eastAsia="Arial" w:hAnsi="Arial"/>
          <w:sz w:val="12"/>
          <w:szCs w:val="12"/>
          <w:color w:val="FFFFFF"/>
        </w:rPr>
        <w:t>Brian E Mueller</w:t>
      </w:r>
    </w:p>
    <w:p>
      <w:pPr>
        <w:sectPr>
          <w:pgSz w:w="11900" w:h="16838" w:orient="portrait"/>
          <w:cols w:equalWidth="0" w:num="1">
            <w:col w:w="11320"/>
          </w:cols>
          <w:pgMar w:left="240" w:top="1440" w:right="3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040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704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color w:val="FFFFFF"/>
        </w:rPr>
        <w:t>ANNUAL MEETING OF STOCKHOLDERS</w:t>
      </w:r>
    </w:p>
    <w:p>
      <w:pPr>
        <w:spacing w:after="0" w:line="187" w:lineRule="auto"/>
        <w:rPr>
          <w:sz w:val="20"/>
          <w:szCs w:val="20"/>
          <w:color w:val="auto"/>
        </w:rPr>
      </w:pPr>
      <w:r>
        <w:rPr>
          <w:rFonts w:ascii="Arial" w:cs="Arial" w:eastAsia="Arial" w:hAnsi="Arial"/>
          <w:sz w:val="7"/>
          <w:szCs w:val="7"/>
          <w:color w:val="FFFFFF"/>
        </w:rPr>
        <w:t>10:00Monday.m</w:t>
      </w:r>
      <w:r>
        <w:rPr>
          <w:rFonts w:ascii="Arial" w:cs="Arial" w:eastAsia="Arial" w:hAnsi="Arial"/>
          <w:sz w:val="9"/>
          <w:szCs w:val="9"/>
          <w:color w:val="FFFFFF"/>
          <w:vertAlign w:val="superscript"/>
        </w:rPr>
        <w:t>,May</w:t>
      </w:r>
      <w:r>
        <w:rPr>
          <w:rFonts w:ascii="Arial" w:cs="Arial" w:eastAsia="Arial" w:hAnsi="Arial"/>
          <w:sz w:val="7"/>
          <w:szCs w:val="7"/>
          <w:color w:val="FFFFFF"/>
        </w:rPr>
        <w:t xml:space="preserve">. </w:t>
      </w:r>
      <w:r>
        <w:rPr>
          <w:rFonts w:ascii="Arial" w:cs="Arial" w:eastAsia="Arial" w:hAnsi="Arial"/>
          <w:sz w:val="9"/>
          <w:szCs w:val="9"/>
          <w:color w:val="FFFFFF"/>
          <w:vertAlign w:val="superscript"/>
        </w:rPr>
        <w:t>18, 2015</w:t>
      </w:r>
    </w:p>
    <w:p>
      <w:pPr>
        <w:spacing w:after="0"/>
        <w:rPr>
          <w:sz w:val="20"/>
          <w:szCs w:val="20"/>
          <w:color w:val="auto"/>
        </w:rPr>
      </w:pPr>
      <w:r>
        <w:rPr>
          <w:rFonts w:ascii="Arial" w:cs="Arial" w:eastAsia="Arial" w:hAnsi="Arial"/>
          <w:sz w:val="3"/>
          <w:szCs w:val="3"/>
          <w:color w:val="FFFFFF"/>
        </w:rPr>
        <w:t>Phoenix,GrandCanyonArizonaUniversity85017 Arena 3300 W. Camelback Road</w:t>
      </w:r>
    </w:p>
    <w:p>
      <w:pPr>
        <w:spacing w:after="0" w:line="6" w:lineRule="exact"/>
        <w:rPr>
          <w:sz w:val="20"/>
          <w:szCs w:val="20"/>
          <w:color w:val="auto"/>
        </w:rPr>
      </w:pPr>
    </w:p>
    <w:p>
      <w:pPr>
        <w:ind w:right="40"/>
        <w:spacing w:after="0" w:line="187" w:lineRule="auto"/>
        <w:rPr>
          <w:sz w:val="20"/>
          <w:szCs w:val="20"/>
          <w:color w:val="auto"/>
        </w:rPr>
      </w:pPr>
      <w:r>
        <w:rPr>
          <w:rFonts w:ascii="Arial" w:cs="Arial" w:eastAsia="Arial" w:hAnsi="Arial"/>
          <w:sz w:val="9"/>
          <w:szCs w:val="9"/>
          <w:color w:val="FFFFFF"/>
        </w:rPr>
        <w:t>Important Notice Regarding the Availability of Proxy Materials for the Stockholder Meeting to Be Held on May 18, 2015. This proxy statement and our annual report for the year ended December 31, 2014, are available and may be viewed at</w:t>
      </w:r>
    </w:p>
    <w:p>
      <w:pPr>
        <w:spacing w:after="0"/>
        <w:rPr>
          <w:sz w:val="20"/>
          <w:szCs w:val="20"/>
          <w:color w:val="auto"/>
        </w:rPr>
      </w:pPr>
      <w:r>
        <w:rPr>
          <w:rFonts w:ascii="Arial" w:cs="Arial" w:eastAsia="Arial" w:hAnsi="Arial"/>
          <w:sz w:val="3"/>
          <w:szCs w:val="3"/>
          <w:color w:val="FFFFFF"/>
        </w:rPr>
        <w:t>www.edocumentview.com/LOPE.</w:t>
      </w:r>
    </w:p>
    <w:p>
      <w:pPr>
        <w:spacing w:after="0" w:line="6" w:lineRule="exact"/>
        <w:rPr>
          <w:sz w:val="20"/>
          <w:szCs w:val="20"/>
          <w:color w:val="auto"/>
        </w:rPr>
      </w:pPr>
    </w:p>
    <w:p>
      <w:pPr>
        <w:ind w:right="40"/>
        <w:spacing w:after="0"/>
        <w:rPr>
          <w:sz w:val="20"/>
          <w:szCs w:val="20"/>
          <w:color w:val="auto"/>
        </w:rPr>
      </w:pPr>
      <w:r>
        <w:rPr>
          <w:rFonts w:ascii="Arial" w:cs="Arial" w:eastAsia="Arial" w:hAnsi="Arial"/>
          <w:sz w:val="10"/>
          <w:szCs w:val="10"/>
          <w:color w:val="FFFFFF"/>
        </w:rPr>
        <w:t>q IF YOU HAVE NOT VOTED VIA THE INTERNET OR TELEPHONE, FOLD ALONG THE PERFORATION, DETACH AND RETURN THE BOTTOM PORTION IN THE ENCLOSED ENVELOPE. q Proxy — Grand Canyon Education, Inc.</w:t>
      </w:r>
    </w:p>
    <w:p>
      <w:pPr>
        <w:spacing w:after="0" w:line="196" w:lineRule="auto"/>
        <w:rPr>
          <w:sz w:val="20"/>
          <w:szCs w:val="20"/>
          <w:color w:val="auto"/>
        </w:rPr>
      </w:pPr>
      <w:r>
        <w:rPr>
          <w:rFonts w:ascii="Arial" w:cs="Arial" w:eastAsia="Arial" w:hAnsi="Arial"/>
          <w:sz w:val="5"/>
          <w:szCs w:val="5"/>
          <w:color w:val="FFFFFF"/>
        </w:rPr>
        <w:t>GrandNotice Canyonof2015 UniversityAnnualMeetingArena of Stockholders</w:t>
      </w:r>
    </w:p>
    <w:p>
      <w:pPr>
        <w:spacing w:after="0"/>
        <w:rPr>
          <w:sz w:val="20"/>
          <w:szCs w:val="20"/>
          <w:color w:val="auto"/>
        </w:rPr>
      </w:pPr>
      <w:r>
        <w:rPr>
          <w:rFonts w:ascii="Arial" w:cs="Arial" w:eastAsia="Arial" w:hAnsi="Arial"/>
          <w:sz w:val="3"/>
          <w:szCs w:val="3"/>
          <w:color w:val="FFFFFF"/>
        </w:rPr>
        <w:t>3300 W. Camelback Road Phoenix, Arizona 85017</w:t>
      </w:r>
    </w:p>
    <w:p>
      <w:pPr>
        <w:spacing w:after="0" w:line="194" w:lineRule="auto"/>
        <w:rPr>
          <w:sz w:val="20"/>
          <w:szCs w:val="20"/>
          <w:color w:val="auto"/>
        </w:rPr>
      </w:pPr>
      <w:r>
        <w:rPr>
          <w:rFonts w:ascii="Arial" w:cs="Arial" w:eastAsia="Arial" w:hAnsi="Arial"/>
          <w:sz w:val="3"/>
          <w:szCs w:val="3"/>
          <w:color w:val="FFFFFF"/>
        </w:rPr>
        <w:t>Proxy Solicited by Board of Directors for Annual Meeting — Monday</w:t>
      </w:r>
      <w:r>
        <w:rPr>
          <w:rFonts w:ascii="Arial" w:cs="Arial" w:eastAsia="Arial" w:hAnsi="Arial"/>
          <w:sz w:val="5"/>
          <w:szCs w:val="5"/>
          <w:color w:val="FFFFFF"/>
          <w:vertAlign w:val="superscript"/>
        </w:rPr>
        <w:t>them,</w:t>
      </w:r>
      <w:r>
        <w:rPr>
          <w:rFonts w:ascii="Arial" w:cs="Arial" w:eastAsia="Arial" w:hAnsi="Arial"/>
          <w:sz w:val="3"/>
          <w:szCs w:val="3"/>
          <w:color w:val="FFFFFF"/>
        </w:rPr>
        <w:t>May 18, 2015</w:t>
      </w:r>
    </w:p>
    <w:p>
      <w:pPr>
        <w:spacing w:after="0" w:line="187" w:lineRule="auto"/>
        <w:rPr>
          <w:sz w:val="20"/>
          <w:szCs w:val="20"/>
          <w:color w:val="auto"/>
        </w:rPr>
      </w:pPr>
      <w:r>
        <w:rPr>
          <w:rFonts w:ascii="Arial" w:cs="Arial" w:eastAsia="Arial" w:hAnsi="Arial"/>
          <w:sz w:val="9"/>
          <w:szCs w:val="9"/>
          <w:color w:val="FFFFFF"/>
        </w:rPr>
        <w:t>Brian E. Mueller, Daniel E. Bachus, and Brian M. Roberts, or any of each with the power of substitution, are hereby authorized to represent and vote the shares of the undersigned, with all the powers which the undersigned would possess if personally present, at the Annual Meeting of Stockholders of Grand Canyon Education, Inc. to be held on Monday, May 18, 2015 or at any postponement or adjournment thereof.</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InTHIStheirPROXYdiscretion,WHENtheProxiesPROPERLYareauthorizedEXECUTEDtovoteWILLuponBEsuchVOTEDother businessASDIRECTEDasmay properlyOR,IFNOcomeDIRECTIONbeforethe meeting.ISGIVEN, WILL BE VOTED FOR ITEMS 1, 2 AND 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(Items to be voted appear on reverse side.)</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lvl w:ilvl="1">
      <w:lvlJc w:val="left"/>
      <w:lvlText w:val="(%2)"/>
      <w:numFmt w:val="decimal"/>
      <w:start w:val="1"/>
    </w:lvl>
  </w:abstractNum>
  <w:abstractNum w:abstractNumId="5">
    <w:nsid w:val="8EDBDAB"/>
    <w:multiLevelType w:val="hybridMultilevel"/>
    <w:lvl w:ilvl="0">
      <w:lvlJc w:val="left"/>
      <w:lvlText w:val="(%1)"/>
      <w:numFmt w:val="decimal"/>
      <w:start w:val="4"/>
    </w:lvl>
  </w:abstractNum>
  <w:abstractNum w:abstractNumId="6">
    <w:nsid w:val="79838CB2"/>
    <w:multiLevelType w:val="hybridMultilevel"/>
    <w:lvl w:ilvl="0">
      <w:lvlJc w:val="left"/>
      <w:lvlText w:val="%1."/>
      <w:numFmt w:val="decimal"/>
      <w:start w:val="1"/>
    </w:lvl>
    <w:lvl w:ilvl="1">
      <w:lvlJc w:val="left"/>
      <w:lvlText w:val="%2."/>
      <w:numFmt w:val="lowerLetter"/>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lowerLetter"/>
      <w:start w:val="2"/>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2"/>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lowerLetter"/>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2"/>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2019-12-08T20:53:30Z</dcterms:created>
  <dcterms:modified xsi:type="dcterms:W3CDTF">2019-12-08T20:53:30Z</dcterms:modified>
</cp:coreProperties>
</file>