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Mildenhall Joseph N</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2600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45"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04/09/2019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23"/>
        <w:spacing w:after="0"/>
        <w:rPr>
          <w:sz w:val="20"/>
          <w:szCs w:val="20"/>
          <w:color w:val="auto"/>
        </w:rPr>
      </w:pPr>
      <w:r>
        <w:rPr>
          <w:rFonts w:ascii="Arial" w:cs="Arial" w:eastAsia="Arial" w:hAnsi="Arial"/>
          <w:sz w:val="18"/>
          <w:szCs w:val="18"/>
          <w:color w:val="0000FF"/>
        </w:rPr>
        <w:t>Chief Information Officer</w:t>
      </w:r>
    </w:p>
    <w:p>
      <w:pPr>
        <w:spacing w:after="0" w:line="315" w:lineRule="exact"/>
        <w:rPr>
          <w:sz w:val="24"/>
          <w:szCs w:val="24"/>
          <w:color w:val="auto"/>
        </w:rPr>
      </w:pPr>
    </w:p>
    <w:p>
      <w:pPr>
        <w:sectPr>
          <w:pgSz w:w="11900" w:h="16838" w:orient="portrait"/>
          <w:cols w:equalWidth="0" w:num="3">
            <w:col w:w="3360" w:space="720"/>
            <w:col w:w="3380" w:space="597"/>
            <w:col w:w="3363"/>
          </w:cols>
          <w:pgMar w:left="240" w:top="226" w:right="239" w:bottom="1440" w:gutter="0" w:footer="0" w:header="0"/>
          <w:type w:val="continuous"/>
        </w:sectPr>
      </w:pPr>
    </w:p>
    <w:p>
      <w:pPr>
        <w:spacing w:after="0" w:line="17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85017</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0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00" w:type="dxa"/>
            <w:vAlign w:val="bottom"/>
            <w:gridSpan w:val="2"/>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2"/>
          </w:tcPr>
          <w:p>
            <w:pPr>
              <w:ind w:left="660"/>
              <w:spacing w:after="0"/>
              <w:rPr>
                <w:sz w:val="20"/>
                <w:szCs w:val="20"/>
                <w:color w:val="auto"/>
              </w:rPr>
            </w:pPr>
            <w:r>
              <w:rPr>
                <w:rFonts w:ascii="Arial" w:cs="Arial" w:eastAsia="Arial" w:hAnsi="Arial"/>
                <w:sz w:val="18"/>
                <w:szCs w:val="18"/>
                <w:color w:val="0000FF"/>
              </w:rPr>
              <w:t>04/09/2019</w:t>
            </w: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5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118.12</w:t>
            </w:r>
            <w:r>
              <w:rPr>
                <w:rFonts w:ascii="Arial" w:cs="Arial" w:eastAsia="Arial" w:hAnsi="Arial"/>
                <w:sz w:val="22"/>
                <w:szCs w:val="22"/>
                <w:color w:val="008000"/>
                <w:w w:val="91"/>
                <w:vertAlign w:val="superscript"/>
              </w:rPr>
              <w:t>(2)</w:t>
            </w: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0"/>
                <w:szCs w:val="20"/>
                <w:color w:val="auto"/>
              </w:rPr>
            </w:pPr>
            <w:r>
              <w:rPr>
                <w:rFonts w:ascii="Arial" w:cs="Arial" w:eastAsia="Arial" w:hAnsi="Arial"/>
                <w:sz w:val="18"/>
                <w:szCs w:val="18"/>
                <w:color w:val="0000FF"/>
              </w:rPr>
              <w:t>66,809</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34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These sales were effected pursuant to a 10b5-1 plan adopted by the reporting person dated September 10, 2018.</w:t>
      </w:r>
    </w:p>
    <w:p>
      <w:pPr>
        <w:spacing w:after="0" w:line="41" w:lineRule="exact"/>
        <w:rPr>
          <w:rFonts w:ascii="Arial" w:cs="Arial" w:eastAsia="Arial" w:hAnsi="Arial"/>
          <w:sz w:val="14"/>
          <w:szCs w:val="14"/>
          <w:color w:val="008000"/>
        </w:rPr>
      </w:pPr>
    </w:p>
    <w:p>
      <w:pPr>
        <w:jc w:val="both"/>
        <w:ind w:left="40" w:right="1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$117.80 to $118.54,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Lyn Bickle, Attorney-in-fact 04/09/2019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spacing w:after="0" w:line="51"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96245"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2019-12-24T04:28:58Z</dcterms:created>
  <dcterms:modified xsi:type="dcterms:W3CDTF">2019-12-24T04:28:58Z</dcterms:modified>
</cp:coreProperties>
</file>