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4020" w:type="dxa"/>
            <w:vAlign w:val="bottom"/>
          </w:tcPr>
          <w:p>
            <w:pPr>
              <w:jc w:val="center"/>
              <w:ind w:right="204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6"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Arial" w:cs="Arial" w:eastAsia="Arial" w:hAnsi="Arial"/>
                <w:sz w:val="18"/>
                <w:szCs w:val="18"/>
                <w:color w:val="auto"/>
              </w:rPr>
              <w:t>The total number of shares of common stock outstanding as of August 1, 2016, was 47,137,445.</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tcBorders>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86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Item 2 Management’s Discussion and Analysis of Financial Condition and Results of Operations</w:t>
              </w:r>
            </w:hyperlink>
          </w:p>
        </w:tc>
        <w:tc>
          <w:tcPr>
            <w:tcW w:w="40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61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16"/>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 Legal Proceedings</w:t>
              </w:r>
            </w:hyperlink>
          </w:p>
        </w:tc>
        <w:tc>
          <w:tcPr>
            <w:tcW w:w="1000" w:type="dxa"/>
            <w:vAlign w:val="bottom"/>
            <w:tcBorders>
              <w:top w:val="single" w:sz="8" w:color="0000EE"/>
            </w:tcBorders>
            <w:gridSpan w:val="5"/>
          </w:tcPr>
          <w:p>
            <w:pPr>
              <w:spacing w:after="0"/>
              <w:rPr>
                <w:sz w:val="24"/>
                <w:szCs w:val="24"/>
                <w:color w:val="auto"/>
              </w:rPr>
            </w:pPr>
          </w:p>
        </w:tc>
        <w:tc>
          <w:tcPr>
            <w:tcW w:w="81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Item 1A Risk Factors</w:t>
              </w:r>
            </w:hyperlink>
          </w:p>
        </w:tc>
        <w:tc>
          <w:tcPr>
            <w:tcW w:w="94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2 Unregistered Sales of Equity Securities and Use of Proceeds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3</w:t>
              </w:r>
            </w:hyperlink>
          </w:p>
        </w:tc>
        <w:tc>
          <w:tcPr>
            <w:tcW w:w="436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61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4</w:t>
              </w:r>
            </w:hyperlink>
          </w:p>
        </w:tc>
        <w:tc>
          <w:tcPr>
            <w:tcW w:w="2340" w:type="dxa"/>
            <w:vAlign w:val="bottom"/>
            <w:tcBorders>
              <w:top w:val="single" w:sz="8" w:color="0000EE"/>
            </w:tcBorders>
            <w:gridSpan w:val="9"/>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818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7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99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844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2"/>
              </w:rPr>
              <w:t>101.</w:t>
            </w:r>
            <w:r>
              <w:rPr>
                <w:rFonts w:ascii="Arial" w:cs="Arial" w:eastAsia="Arial" w:hAnsi="Arial"/>
                <w:sz w:val="18"/>
                <w:szCs w:val="18"/>
                <w:u w:val="single" w:color="auto"/>
                <w:color w:val="auto"/>
                <w:w w:val="92"/>
              </w:rPr>
              <w:t>INS</w:t>
            </w:r>
            <w:r>
              <w:rPr>
                <w:rFonts w:ascii="Arial" w:cs="Arial" w:eastAsia="Arial" w:hAnsi="Arial"/>
                <w:sz w:val="18"/>
                <w:szCs w:val="18"/>
                <w:color w:val="auto"/>
                <w:w w:val="92"/>
              </w:rPr>
              <w:t xml:space="preserve"> XBRL Instance Document</w:t>
            </w:r>
          </w:p>
        </w:tc>
        <w:tc>
          <w:tcPr>
            <w:tcW w:w="8440" w:type="dxa"/>
            <w:vAlign w:val="bottom"/>
            <w:gridSpan w:val="7"/>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101.SCH XBRL Taxonomy Extension Schema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101.CAL XBRL Taxonomy Extension Calculation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101.LAB XBRL Taxonomy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101.PRE XBRL Taxonomy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101.DEF XBRL Taxonomy Extension Definition Linkbase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0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42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6880" w:type="dxa"/>
            <w:vAlign w:val="bottom"/>
            <w:gridSpan w:val="3"/>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20" w:type="dxa"/>
            <w:vAlign w:val="bottom"/>
          </w:tcPr>
          <w:p>
            <w:pPr>
              <w:jc w:val="center"/>
              <w:ind w:left="1610"/>
              <w:spacing w:after="0"/>
              <w:rPr>
                <w:sz w:val="20"/>
                <w:szCs w:val="20"/>
                <w:color w:val="auto"/>
              </w:rPr>
            </w:pPr>
            <w:r>
              <w:rPr>
                <w:rFonts w:ascii="Arial" w:cs="Arial" w:eastAsia="Arial" w:hAnsi="Arial"/>
                <w:sz w:val="18"/>
                <w:szCs w:val="18"/>
                <w:b w:val="1"/>
                <w:bCs w:val="1"/>
                <w:color w:val="auto"/>
              </w:rPr>
              <w:t>GRAND CANYON EDUCATION, INC.</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20" w:type="dxa"/>
            <w:vAlign w:val="bottom"/>
          </w:tcPr>
          <w:p>
            <w:pPr>
              <w:jc w:val="center"/>
              <w:ind w:left="1630"/>
              <w:spacing w:after="0"/>
              <w:rPr>
                <w:sz w:val="20"/>
                <w:szCs w:val="20"/>
                <w:color w:val="auto"/>
              </w:rPr>
            </w:pPr>
            <w:r>
              <w:rPr>
                <w:rFonts w:ascii="Arial" w:cs="Arial" w:eastAsia="Arial" w:hAnsi="Arial"/>
                <w:sz w:val="18"/>
                <w:szCs w:val="18"/>
                <w:b w:val="1"/>
                <w:bCs w:val="1"/>
                <w:color w:val="auto"/>
                <w:w w:val="88"/>
              </w:rPr>
              <w:t>Consolidated Income Statements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4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191,279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174,726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418,237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368,853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84,599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179,253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154,044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2"/>
              </w:rPr>
              <w:t>Admissions advisory and related, including $272 and $489 for the three months ended June 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w w:val="91"/>
              </w:rPr>
              <w:t>2016 and 2015, respectively, and $566 and $994 for the six months ended June 30, 2016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2015, respectively, to related parties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28,866</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27,372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58,410</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ind w:left="340"/>
              <w:spacing w:after="0"/>
              <w:rPr>
                <w:sz w:val="20"/>
                <w:szCs w:val="20"/>
                <w:color w:val="auto"/>
              </w:rPr>
            </w:pPr>
            <w:r>
              <w:rPr>
                <w:rFonts w:ascii="Arial" w:cs="Arial" w:eastAsia="Arial" w:hAnsi="Arial"/>
                <w:sz w:val="18"/>
                <w:szCs w:val="18"/>
                <w:color w:val="auto"/>
              </w:rPr>
              <w:t>Marketing and promotional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18,930</w:t>
            </w:r>
          </w:p>
        </w:tc>
        <w:tc>
          <w:tcPr>
            <w:tcW w:w="0" w:type="dxa"/>
            <w:vAlign w:val="bottom"/>
          </w:tcPr>
          <w:p>
            <w:pPr>
              <w:spacing w:after="0"/>
              <w:rPr>
                <w:sz w:val="1"/>
                <w:szCs w:val="1"/>
                <w:color w:val="auto"/>
              </w:rPr>
            </w:pPr>
          </w:p>
        </w:tc>
      </w:tr>
      <w:tr>
        <w:trPr>
          <w:trHeight w:val="20"/>
        </w:trPr>
        <w:tc>
          <w:tcPr>
            <w:tcW w:w="74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146,531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132,470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304,798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270,611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44,748</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42,256</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113,439</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
        </w:trPr>
        <w:tc>
          <w:tcPr>
            <w:tcW w:w="74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44,883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42,237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115,293</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38,150</w:t>
            </w:r>
          </w:p>
        </w:tc>
        <w:tc>
          <w:tcPr>
            <w:tcW w:w="0" w:type="dxa"/>
            <w:vAlign w:val="bottom"/>
          </w:tcPr>
          <w:p>
            <w:pPr>
              <w:spacing w:after="0"/>
              <w:rPr>
                <w:sz w:val="1"/>
                <w:szCs w:val="1"/>
                <w:color w:val="auto"/>
              </w:rPr>
            </w:pPr>
          </w:p>
        </w:tc>
      </w:tr>
      <w:tr>
        <w:trPr>
          <w:trHeight w:val="20"/>
        </w:trPr>
        <w:tc>
          <w:tcPr>
            <w:tcW w:w="74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27,626</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25,776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71,291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Basic weighted average shares outstanding</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4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46,004</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45,813</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weighted average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8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16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6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$27,626</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$25,776</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$71,291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$59,955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Unrealized gains (losses) on available-for-sale securities, net of taxes of $59 and $70 for the three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0"/>
              </w:rPr>
              <w:t>months ended June 30, 2016 and 2015, respectively, and $83 and $67 for the six months ended June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30, 2016 and 2015, respectively</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5"/>
              </w:rPr>
              <w:t>Unrealized gains (losses) on hedging derivatives, net of taxes of $53 and $40 for the three months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520"/>
              <w:spacing w:after="0"/>
              <w:rPr>
                <w:sz w:val="20"/>
                <w:szCs w:val="20"/>
                <w:color w:val="auto"/>
              </w:rPr>
            </w:pPr>
            <w:r>
              <w:rPr>
                <w:rFonts w:ascii="Arial" w:cs="Arial" w:eastAsia="Arial" w:hAnsi="Arial"/>
                <w:sz w:val="18"/>
                <w:szCs w:val="18"/>
                <w:color w:val="auto"/>
                <w:w w:val="91"/>
              </w:rPr>
              <w:t>ended June 30, 2016 and 2015, respectively, and $201 and $113 for the six months ended June 30,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2"/>
          </w:tcPr>
          <w:p>
            <w:pPr>
              <w:ind w:left="520"/>
              <w:spacing w:after="0"/>
              <w:rPr>
                <w:sz w:val="20"/>
                <w:szCs w:val="20"/>
                <w:color w:val="auto"/>
              </w:rPr>
            </w:pPr>
            <w:r>
              <w:rPr>
                <w:rFonts w:ascii="Arial" w:cs="Arial" w:eastAsia="Arial" w:hAnsi="Arial"/>
                <w:sz w:val="18"/>
                <w:szCs w:val="18"/>
                <w:color w:val="auto"/>
              </w:rPr>
              <w:t>2016 and 2015, respectively</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(87)</w:t>
            </w: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6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27,636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25,730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71,102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2016</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7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060" w:type="dxa"/>
            <w:vAlign w:val="bottom"/>
            <w:shd w:val="clear" w:color="auto" w:fill="CCEEFF"/>
          </w:tcPr>
          <w:p>
            <w:pPr>
              <w:jc w:val="center"/>
              <w:ind w:right="2050"/>
              <w:spacing w:after="0"/>
              <w:rPr>
                <w:sz w:val="20"/>
                <w:szCs w:val="20"/>
                <w:color w:val="auto"/>
              </w:rPr>
            </w:pPr>
            <w:r>
              <w:rPr>
                <w:rFonts w:ascii="Arial" w:cs="Arial" w:eastAsia="Arial" w:hAnsi="Arial"/>
                <w:sz w:val="18"/>
                <w:szCs w:val="18"/>
                <w:b w:val="1"/>
                <w:bCs w:val="1"/>
                <w:color w:val="auto"/>
                <w:w w:val="92"/>
              </w:rPr>
              <w:t>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44,554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Restricted cash, cash equivalents and investments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70,840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49,440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17,806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20,863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200,212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794,037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04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1,004,953</w:t>
            </w:r>
          </w:p>
        </w:tc>
        <w:tc>
          <w:tcPr>
            <w:tcW w:w="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891,982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7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060" w:type="dxa"/>
            <w:vAlign w:val="bottom"/>
            <w:shd w:val="clear" w:color="auto" w:fill="CCEEFF"/>
          </w:tcPr>
          <w:p>
            <w:pPr>
              <w:jc w:val="center"/>
              <w:ind w:right="205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39,284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26,819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Student deposits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70,865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47,220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Due to related parties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31,630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91"/>
        </w:trPr>
        <w:tc>
          <w:tcPr>
            <w:tcW w:w="904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233,106</w:t>
            </w: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69,935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73,252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281,731</w:t>
            </w:r>
          </w:p>
        </w:tc>
        <w:tc>
          <w:tcPr>
            <w:tcW w:w="0" w:type="dxa"/>
            <w:vAlign w:val="bottom"/>
          </w:tcPr>
          <w:p>
            <w:pPr>
              <w:spacing w:after="0"/>
              <w:rPr>
                <w:sz w:val="1"/>
                <w:szCs w:val="1"/>
                <w:color w:val="auto"/>
              </w:rPr>
            </w:pPr>
          </w:p>
        </w:tc>
      </w:tr>
      <w:tr>
        <w:trPr>
          <w:trHeight w:val="291"/>
        </w:trPr>
        <w:tc>
          <w:tcPr>
            <w:tcW w:w="904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gridSpan w:val="2"/>
          </w:tcPr>
          <w:p>
            <w:pPr>
              <w:spacing w:after="0" w:line="201" w:lineRule="exact"/>
              <w:rPr>
                <w:sz w:val="20"/>
                <w:szCs w:val="20"/>
                <w:color w:val="auto"/>
              </w:rPr>
            </w:pPr>
            <w:r>
              <w:rPr>
                <w:rFonts w:ascii="Arial" w:cs="Arial" w:eastAsia="Arial" w:hAnsi="Arial"/>
                <w:sz w:val="18"/>
                <w:szCs w:val="18"/>
                <w:color w:val="auto"/>
                <w:w w:val="89"/>
              </w:rPr>
              <w:t>Preferred stock, $0.01 par value, 10,000 shares authorized; 0 shares issued and outstanding at June 30, 2016 and December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31, 2015</w:t>
            </w:r>
          </w:p>
        </w:tc>
        <w:tc>
          <w:tcPr>
            <w:tcW w:w="7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$0.01 par value, 100,000 shares authorized; 51,055 and 50,288 shares issued and 47,133 and 46,877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outstanding at June 30, 2016 and December 31, 2015, respectively</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w w:val="93"/>
              </w:rPr>
              <w:t>Treasury stock, at cost, 3,922 and 3,411 shares of common stock at June 30, 2016 and December 31, 2015, respectively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(88,559)</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195,316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573,693</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04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680,283</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610,251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1,004,953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0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5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700" w:type="dxa"/>
            <w:vAlign w:val="bottom"/>
            <w:gridSpan w:val="6"/>
            <w:vMerge w:val="continue"/>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5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Par Value</w:t>
            </w:r>
          </w:p>
        </w:tc>
        <w:tc>
          <w:tcPr>
            <w:tcW w:w="28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50,288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503</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3,411</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$(69,332)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$177,167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80"/>
              </w:rPr>
              <w:t>(489)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$502,402</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$610,251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71,291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71,102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(14,585)</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center"/>
              <w:ind w:left="15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274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(4,642)</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5,828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493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5</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6,967</w:t>
            </w:r>
          </w:p>
        </w:tc>
        <w:tc>
          <w:tcPr>
            <w:tcW w:w="180" w:type="dxa"/>
            <w:vAlign w:val="bottom"/>
          </w:tcPr>
          <w:p>
            <w:pPr>
              <w:spacing w:after="0"/>
              <w:rPr>
                <w:sz w:val="18"/>
                <w:szCs w:val="18"/>
                <w:color w:val="auto"/>
              </w:rPr>
            </w:pPr>
          </w:p>
        </w:tc>
        <w:tc>
          <w:tcPr>
            <w:tcW w:w="940" w:type="dxa"/>
            <w:vAlign w:val="bottom"/>
            <w:gridSpan w:val="2"/>
          </w:tcPr>
          <w:p>
            <w:pPr>
              <w:jc w:val="center"/>
              <w:ind w:left="15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51,055</w:t>
            </w:r>
          </w:p>
        </w:tc>
        <w:tc>
          <w:tcPr>
            <w:tcW w:w="20" w:type="dxa"/>
            <w:vAlign w:val="bottom"/>
          </w:tcPr>
          <w:p>
            <w:pPr>
              <w:spacing w:after="0"/>
              <w:rPr>
                <w:sz w:val="24"/>
                <w:szCs w:val="24"/>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511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3,922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(88,559)</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195,316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573,693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680,283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9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8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71,291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5,831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Provision for bad debts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including fixed asset impairments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Restricted cash, cash equivalents and investments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Due to/from related parties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11,973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Income taxes receivable/payable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Arial" w:cs="Arial" w:eastAsia="Arial" w:hAnsi="Arial"/>
                <w:sz w:val="18"/>
                <w:szCs w:val="18"/>
                <w:color w:val="auto"/>
              </w:rPr>
              <w:t>Student deposits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114,024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81,667</w:t>
            </w:r>
          </w:p>
        </w:tc>
        <w:tc>
          <w:tcPr>
            <w:tcW w:w="0" w:type="dxa"/>
            <w:vAlign w:val="bottom"/>
          </w:tcPr>
          <w:p>
            <w:pPr>
              <w:spacing w:after="0"/>
              <w:rPr>
                <w:sz w:val="1"/>
                <w:szCs w:val="1"/>
                <w:color w:val="auto"/>
              </w:rPr>
            </w:pPr>
          </w:p>
        </w:tc>
      </w:tr>
      <w:tr>
        <w:trPr>
          <w:trHeight w:val="291"/>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(115,615)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(106,346)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Purchases of land, building and golf course improvements related to off-site development</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(24,769)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Return of equity method investment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57,449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42,274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(106,710)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(94,652)</w:t>
            </w:r>
          </w:p>
        </w:tc>
        <w:tc>
          <w:tcPr>
            <w:tcW w:w="0" w:type="dxa"/>
            <w:vAlign w:val="bottom"/>
          </w:tcPr>
          <w:p>
            <w:pPr>
              <w:spacing w:after="0"/>
              <w:rPr>
                <w:sz w:val="1"/>
                <w:szCs w:val="1"/>
                <w:color w:val="auto"/>
              </w:rPr>
            </w:pPr>
          </w:p>
        </w:tc>
      </w:tr>
      <w:tr>
        <w:trPr>
          <w:trHeight w:val="291"/>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Proceeds from draw on revolving line of credit</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(19,227)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6,972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44,554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80" w:type="dxa"/>
            <w:vAlign w:val="bottom"/>
          </w:tcPr>
          <w:p>
            <w:pPr>
              <w:spacing w:after="0"/>
              <w:rPr>
                <w:sz w:val="5"/>
                <w:szCs w:val="5"/>
                <w:color w:val="auto"/>
              </w:rPr>
            </w:pPr>
          </w:p>
        </w:tc>
        <w:tc>
          <w:tcPr>
            <w:tcW w:w="8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40,176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19,798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Purchases of equipment through capital lease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Grand Canyon Education, Inc. (together with its subsidiaries, the “University”) is a comprehensive regionally accredited university that offers over 200 graduate and undergraduate degree programs and certificates across nine colleges both online and on ground at our over 250-acre campus in Phoenix, Arizona, at leased facilities and at facilities owned by third party employers. We are committed to providing an academically rigorous educational experience with a focus on professionally relevant programs that meet the objectives of our students. Our undergraduate programs are designed to be innovative and to meet the future needs of employers, while providing students with the needed critical thinking and effective communication skills developed through a Christian-oriented,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The University is accredited by The Higher Learning Commission. The University’s wholly-owned subsidiaries are primarily used to facilitate expansion of the University campus.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2015.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2015 from which the December 31, 2015 balance sheet information was derived.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Cash Equivalents and Investments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cash equivalents and investments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cash equivalents and investments. The majority of these funds remains as restricted for an average of 60 to 90 days from the date of receipt.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University considers its investments in municipal bonds, mutual funds and municipal securities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ectPr>
          <w:pgSz w:w="11900" w:h="16838" w:orient="portrait"/>
          <w:cols w:equalWidth="0" w:num="1">
            <w:col w:w="11420"/>
          </w:cols>
          <w:pgMar w:left="240" w:top="459" w:right="239" w:bottom="1440" w:gutter="0" w:footer="0" w:header="0"/>
        </w:sectPr>
      </w:pP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February 27, 2013, the University entered into an interest rate corridor to manage its 30 Day LIBOR interest exposure related to its variable rate debt. The fair value of the interest rate corridor instrument as of June 30, 2016 and December 31, 2015 was $210 and $728, respectively,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$526 and $288 for the six months ended June 30, 2016 and 2015, respectively, for the effective portion of the loss on the derivatives is included as a component of other comprehensive income, net of taxes.</w:t>
      </w:r>
    </w:p>
    <w:p>
      <w:pPr>
        <w:spacing w:after="0" w:line="193" w:lineRule="exact"/>
        <w:rPr>
          <w:sz w:val="20"/>
          <w:szCs w:val="20"/>
          <w:color w:val="auto"/>
        </w:rPr>
      </w:pPr>
    </w:p>
    <w:p>
      <w:pPr>
        <w:jc w:val="both"/>
        <w:ind w:right="260" w:firstLine="456"/>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$76,667 as of June 30, 2016.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2016, no derivative ineffectiveness was identified. Any ineffectiveness in the University’s derivative instrument designated as a hedge is reported in interest expense in the income statement. For the six months ended June 30, 2016, $7 of credit risk was recorded as a reduction in interest expense for the interest rate corridor. At June 30, 2016, the University does not expect to reclassify gains or losses on derivative instruments from accumulated other comprehensive income (loss) into earnings during the next 12 months.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carrying value of cash and cash equivalents, investments, accounts receivable, accounts payable and accrued compensation and benefits and accrued liabilities expenses approximate their fair value based on the liquidity or the short-term maturities of these instruments. The carrying value of notes payable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fair value of investments, primarily municipal securities, including municipal bond portfolios and a mutual fund holding municipal securities, were determined using Level 1 and Level 2 of the hierarchy of valuation inputs, with the use of quoted market prices and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 Because these securities are held by the University as investments, assessment of non-performance risk is not applicable as such considerations are only applicable in evaluating the fair value measurements for liabilities.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color w:val="auto"/>
        </w:rPr>
        <w:t>Net revenues consist primarily of tuition and fees derived from courses taught by the University online, on ground at its approximately 250-acre campus in Phoenix, Arizona, and at facilities it leases or those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six months ended June 30, 2016 and 2015, the University’s revenue was reduced by approximately $85,308 and $76,947,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of such money to the Department of Education is required as a result of his or her withdrawal, the University recognizes revenue after a student withdraws only at the time of cash collection.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The University accelerates the write off of inactive student accounts such that the accounts are written off by day 150.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University evaluates the recoverability of our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In April 2015, the Financial Accounting Standards Board (“FASB”) issued,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The guidance requires that debt issuance costs related to a recognized debt liability be presented in the balance sheet as a direct deduction from the carrying amount of that debt liability, consistent with debt discounts. As the guidance permits, the University has elected to have debt issuance costs related to lines of credit to be reported as an asset and amortized over the term of the line. The guidance is effective for the University’s annual reporting period beginning January 1,</w:t>
      </w:r>
    </w:p>
    <w:p>
      <w:pPr>
        <w:spacing w:after="0" w:line="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2016. The University adopted this new standard on January 1, 2016 on a retrospective basis, and the adoption of this guidance did not have a material impact on its financial condition, results of operations, or disclosures. The University did not have to restate or adjust any of our previously issued consolidated financial statements as our current accounting policy for the presentation of debt issuance costs is in compliance with the new guidance.</w:t>
      </w:r>
    </w:p>
    <w:p>
      <w:pPr>
        <w:spacing w:after="0" w:line="1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April 2015, the FASB issued, “</w:t>
      </w:r>
      <w:r>
        <w:rPr>
          <w:rFonts w:ascii="Arial" w:cs="Arial" w:eastAsia="Arial" w:hAnsi="Arial"/>
          <w:sz w:val="16"/>
          <w:szCs w:val="16"/>
          <w:i w:val="1"/>
          <w:iCs w:val="1"/>
          <w:color w:val="auto"/>
        </w:rPr>
        <w:t>Intangibles-Goodwill and Other-Internal-Use Software, Customer’s Accounting for Fees Paid in a Cloud Computing</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w:t>
      </w:r>
      <w:r>
        <w:rPr>
          <w:rFonts w:ascii="Arial" w:cs="Arial" w:eastAsia="Arial" w:hAnsi="Arial"/>
          <w:sz w:val="16"/>
          <w:szCs w:val="16"/>
          <w:color w:val="auto"/>
        </w:rPr>
        <w:t>.” The guidance requires customers to determine whether a cloud computing arrangement contains a software license. If the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contains a software license, customers must account for fees related to the software license element in a manner consistent with how the acquisition of other software licenses is accounted for under ASC 350-40; if the arrangement does not contain a software license, customers must account for the arrangement as a service contract. The University adopted this standard on January 1, 2016 on a prospective basis, and the adoption of this guidance did not have a material impact on its financial condition, results of operations, or disclosures. The University did not have to restate or adjust any of our previously issued consolidated financial statements as our current accounting policy for cloud computing arrangements is in compliance with the new guidance.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In November 2015, the FASB issued, “</w:t>
      </w:r>
      <w:r>
        <w:rPr>
          <w:rFonts w:ascii="Arial" w:cs="Arial" w:eastAsia="Arial" w:hAnsi="Arial"/>
          <w:sz w:val="16"/>
          <w:szCs w:val="16"/>
          <w:i w:val="1"/>
          <w:iCs w:val="1"/>
          <w:color w:val="auto"/>
        </w:rPr>
        <w:t>Income Taxes: Balance Sheet Classification of Deferred Taxes</w:t>
      </w:r>
      <w:r>
        <w:rPr>
          <w:rFonts w:ascii="Arial" w:cs="Arial" w:eastAsia="Arial" w:hAnsi="Arial"/>
          <w:sz w:val="16"/>
          <w:szCs w:val="16"/>
          <w:color w:val="auto"/>
        </w:rPr>
        <w:t>.” The standard requires that deferred tax assets and liabilities be classified as noncurrent on the balance sheet rather than being separated into current and noncurrent. This standard is effective for fiscal years, and interim periods within those years, beginning after December 15, 2016. Early adoption is permitted and the standard may be applied either retrospectively or on a prospective basis to all deferred tax assets and liabilities. The University early adopted this standard on January 1, 2016 on a retrospective basis. Accordingly, we reclassified the current deferred taxes to noncurrent on our December 31, 2015 consolidated balance sheet, which decreased current deferred tax assets by $6,448 and decreased noncurrent deferred tax liabilities from $21,303 to $14,855.</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May 2014, the FASB issued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accounting guidance also requires additional disclosure about the nature, amount, timing and uncertainty of revenue and cash flows arising from customer contracts, including significant judgements and changes in judgements and assets recognized from costs incurred to obtain or fulfill a contract. After the FASB amended the standard in July 2015, the standard is effective for us on January 1, 2018 using either a full retrospective or a modified retrospective approach and early adoption is permitted effective January 1, 2017. The FASB has also issued the following standards which clarify this standard and have the same effective dates: “</w:t>
      </w:r>
      <w:r>
        <w:rPr>
          <w:rFonts w:ascii="Arial" w:cs="Arial" w:eastAsia="Arial" w:hAnsi="Arial"/>
          <w:sz w:val="17"/>
          <w:szCs w:val="17"/>
          <w:i w:val="1"/>
          <w:iCs w:val="1"/>
          <w:color w:val="auto"/>
        </w:rPr>
        <w:t>Revenue from Contracts with Customers: Principal versus Agent</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 (Reporting Revenue Gross versus Net</w:t>
      </w:r>
      <w:r>
        <w:rPr>
          <w:rFonts w:ascii="Arial" w:cs="Arial" w:eastAsia="Arial" w:hAnsi="Arial"/>
          <w:sz w:val="17"/>
          <w:szCs w:val="17"/>
          <w:color w:val="auto"/>
        </w:rPr>
        <w:t>”; and “</w:t>
      </w:r>
      <w:r>
        <w:rPr>
          <w:rFonts w:ascii="Arial" w:cs="Arial" w:eastAsia="Arial" w:hAnsi="Arial"/>
          <w:sz w:val="17"/>
          <w:szCs w:val="17"/>
          <w:i w:val="1"/>
          <w:iCs w:val="1"/>
          <w:color w:val="auto"/>
        </w:rPr>
        <w:t>Revenue from Contracts with Customers; Narrow-Scope Improvements and Practical Expedients</w:t>
      </w:r>
      <w:r>
        <w:rPr>
          <w:rFonts w:ascii="Arial" w:cs="Arial" w:eastAsia="Arial" w:hAnsi="Arial"/>
          <w:sz w:val="17"/>
          <w:szCs w:val="17"/>
          <w:color w:val="auto"/>
        </w:rPr>
        <w:t>.” The University is currently evaluating which transition approach to use and the impact that the new revenue recognition standards will have on</w:t>
      </w:r>
      <w:r>
        <w:rPr>
          <w:rFonts w:ascii="Arial" w:cs="Arial" w:eastAsia="Arial" w:hAnsi="Arial"/>
          <w:sz w:val="17"/>
          <w:szCs w:val="17"/>
          <w:i w:val="1"/>
          <w:iCs w:val="1"/>
          <w:color w:val="auto"/>
        </w:rPr>
        <w:t xml:space="preserve"> </w:t>
      </w:r>
      <w:r>
        <w:rPr>
          <w:rFonts w:ascii="Arial" w:cs="Arial" w:eastAsia="Arial" w:hAnsi="Arial"/>
          <w:sz w:val="17"/>
          <w:szCs w:val="17"/>
          <w:color w:val="auto"/>
        </w:rPr>
        <w:t>our consolidated financial statements.</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January 2016, the FASB issued “</w:t>
      </w:r>
      <w:r>
        <w:rPr>
          <w:rFonts w:ascii="Arial" w:cs="Arial" w:eastAsia="Arial" w:hAnsi="Arial"/>
          <w:sz w:val="17"/>
          <w:szCs w:val="17"/>
          <w:i w:val="1"/>
          <w:iCs w:val="1"/>
          <w:color w:val="auto"/>
        </w:rPr>
        <w:t>Financial Instruments – Overall: Recognition and Measurement of Financial Assets and Financial Liabilities</w:t>
      </w:r>
      <w:r>
        <w:rPr>
          <w:rFonts w:ascii="Arial" w:cs="Arial" w:eastAsia="Arial" w:hAnsi="Arial"/>
          <w:sz w:val="17"/>
          <w:szCs w:val="17"/>
          <w:color w:val="auto"/>
        </w:rPr>
        <w:t>.” The standard addresses certain aspects of recognition, measurement, presentation, and disclosure of financial instruments. These changes will require an entity to measure, at fair value, investments in equity securities and other ownership interests in an entity – including investments in partnerships, unincorporated joint ventures and limited liability companies that do not result in consolidation and are not accounted for under the equity method – and recognize the changes in fair value within net income. This standard is effective for fiscal years, and interim periods within those years, beginning after December 15, 2017, and early adoption is not permitted. Accordingly, the standard is effective for us on January 1, 2018. We are currently evaluating the impact that the standard will have on our consolidated financial statements.</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February 2016, the FASB issued “</w:t>
      </w:r>
      <w:r>
        <w:rPr>
          <w:rFonts w:ascii="Arial" w:cs="Arial" w:eastAsia="Arial" w:hAnsi="Arial"/>
          <w:sz w:val="18"/>
          <w:szCs w:val="18"/>
          <w:i w:val="1"/>
          <w:iCs w:val="1"/>
          <w:color w:val="auto"/>
        </w:rPr>
        <w:t>Leases</w:t>
      </w:r>
      <w:r>
        <w:rPr>
          <w:rFonts w:ascii="Arial" w:cs="Arial" w:eastAsia="Arial" w:hAnsi="Arial"/>
          <w:sz w:val="18"/>
          <w:szCs w:val="18"/>
          <w:color w:val="auto"/>
        </w:rPr>
        <w:t>.” The standard requires a lessee to recognize assets and liabilities on the balance sheet for leases with lease terms greater than 12 month. This standard is effective for fiscal years, and interim periods within those years, beginning after December 15, 2018, and early adoption is permitted. Accordingly, the standard is effective for us on January 1, 2019 using a modified retrospective approach. We are currently evaluating the impact that the standard will have on our consolidated financial statements.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March 2016, the FASB issued “</w:t>
      </w:r>
      <w:r>
        <w:rPr>
          <w:rFonts w:ascii="Arial" w:cs="Arial" w:eastAsia="Arial" w:hAnsi="Arial"/>
          <w:sz w:val="18"/>
          <w:szCs w:val="18"/>
          <w:i w:val="1"/>
          <w:iCs w:val="1"/>
          <w:color w:val="auto"/>
        </w:rPr>
        <w:t>Compensation – Stock Compensation: Improvements to Employee Share-Based Payment Accounting</w:t>
      </w:r>
      <w:r>
        <w:rPr>
          <w:rFonts w:ascii="Arial" w:cs="Arial" w:eastAsia="Arial" w:hAnsi="Arial"/>
          <w:sz w:val="18"/>
          <w:szCs w:val="18"/>
          <w:color w:val="auto"/>
        </w:rPr>
        <w:t>.” The standard is intended to simplify several areas of accounting for share-based compensation arrangements, including the income tax impact, classification on the statement of cash flows and forfeitures. This standard is effective for fiscal years, and interim periods within those years, beginning after December 15, 2016, and early adoption is permitted. Accordingly, the standard is effective for us on January 1, 2017, and we are currently evaluating the impact that the standard will have on our consolidated financial statements.</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June 2016, the FASB issued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The new guidance revises the accounting requirements related to the measurement of credit losses on financial instruments and the timing of when such losses are recorded. The standard is effective for fiscal years, and interim periods within those years, beginning after December 15, 2019. Early adoption is permitted for fiscal years and interim periods within those years, beginning after December 15, 2018. Accordingly, the standard is effective for us on January 1, 2020 using a modified retrospective approach, and we are currently evaluating the impact that the standard will have on our consolidated financial statements.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University has determined that no other recent accounting pronouncements apply to its operations or could otherwise have a material impact on its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is a summary of amounts included in restricted and unrestricted investments as of June 30, 2016 and December 31, 2015. The University considered all investments as available for sale.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As of June 30, 2016</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(Losses)</w:t>
            </w: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49,421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66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49,440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55,919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55,862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and unrestricted investments</w:t>
            </w:r>
          </w:p>
        </w:tc>
        <w:tc>
          <w:tcPr>
            <w:tcW w:w="1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105,340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66</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(Losses)</w:t>
            </w: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83,507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26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83,364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55,720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55,605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and unrestricted investments</w:t>
            </w:r>
          </w:p>
        </w:tc>
        <w:tc>
          <w:tcPr>
            <w:tcW w:w="22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139,227</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cash flows of municipal securities are backed by the issuing municipality’s credit worthiness. All municipal securities are due in one year or less as of June 30, 2016. For the six months ended June 30, 2016, the net unrealized losses on available-for-sale securities was $24, net of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15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280" w:type="dxa"/>
            <w:vAlign w:val="bottom"/>
          </w:tcPr>
          <w:p>
            <w:pPr>
              <w:spacing w:after="0"/>
              <w:rPr>
                <w:sz w:val="14"/>
                <w:szCs w:val="14"/>
                <w:color w:val="auto"/>
              </w:rPr>
            </w:pPr>
          </w:p>
        </w:tc>
        <w:tc>
          <w:tcPr>
            <w:tcW w:w="17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5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2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46,004</w:t>
            </w:r>
          </w:p>
        </w:tc>
        <w:tc>
          <w:tcPr>
            <w:tcW w:w="2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46,012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45,813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45,901</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r>
      <w:tr>
        <w:trPr>
          <w:trHeight w:val="223"/>
        </w:trPr>
        <w:tc>
          <w:tcPr>
            <w:tcW w:w="728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46,990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47,263</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46,925</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47,233</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and vesting of restricted stock. For the six months ended June 30, 2016 and 2015, approximately 434 and 345, respectively, of the University’s stock options outstanding were excluded from the calculation of diluted earnings per share as their inclusion would have been anti-dilutive. These options and restricted stock awards could be dilutive in the future.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w w:val="91"/>
              </w:rPr>
              <w:t>Charged to</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w w:val="90"/>
              </w:rPr>
              <w:t>Deductions</w:t>
            </w:r>
            <w:r>
              <w:rPr>
                <w:rFonts w:ascii="Arial" w:cs="Arial" w:eastAsia="Arial" w:hAnsi="Arial"/>
                <w:sz w:val="12"/>
                <w:szCs w:val="12"/>
                <w:b w:val="1"/>
                <w:bCs w:val="1"/>
                <w:color w:val="auto"/>
                <w:w w:val="90"/>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Expense</w:t>
            </w:r>
          </w:p>
        </w:tc>
        <w:tc>
          <w:tcPr>
            <w:tcW w:w="14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2016</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(7,525)</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Six months ended June 30, 2015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6,472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8"/>
                <w:szCs w:val="18"/>
                <w:color w:val="auto"/>
              </w:rPr>
              <w:t>7,412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(7,953)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445"/>
        </w:trPr>
        <w:tc>
          <w:tcPr>
            <w:tcW w:w="604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4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consist of the following:</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June 30, 2016</w:t>
            </w:r>
          </w:p>
        </w:tc>
        <w:tc>
          <w:tcPr>
            <w:tcW w:w="148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122,472</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103,280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Land improvements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21,092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13,389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412,258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392,754</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78,108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72,494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96,291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91,225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52,799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51,352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27,284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25,996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140,530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54,506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957,954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812,562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(163,917)</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(145,079)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920" w:type="dxa"/>
            <w:vAlign w:val="bottom"/>
            <w:vMerge w:val="restart"/>
          </w:tcPr>
          <w:p>
            <w:pPr>
              <w:spacing w:after="0"/>
              <w:rPr>
                <w:sz w:val="6"/>
                <w:szCs w:val="6"/>
                <w:color w:val="auto"/>
              </w:rPr>
            </w:pPr>
          </w:p>
        </w:tc>
        <w:tc>
          <w:tcPr>
            <w:tcW w:w="4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794,037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667,483</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28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2022. Future minimum lease payments under operating leases due each year are as follows at June 30, 2016:</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2016 (remaining six months)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2017</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2019</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Thereafter</w:t>
            </w:r>
          </w:p>
        </w:tc>
        <w:tc>
          <w:tcPr>
            <w:tcW w:w="2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six months ended June 30, 2016 and 2015 were $3,606 and $3,880, respectively.</w:t>
      </w:r>
    </w:p>
    <w:p>
      <w:pPr>
        <w:sectPr>
          <w:pgSz w:w="11900" w:h="16838" w:orient="portrait"/>
          <w:cols w:equalWidth="0" w:num="1">
            <w:col w:w="11240"/>
          </w:cols>
          <w:pgMar w:left="240" w:top="459" w:right="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The University reserve is not material for tax matters where its ultimate exposure is considered probable and the potential loss can be reasonably estimated.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During the six months ended June 30, 2016, the University granted 263 shares of common stock with a service vesting condition to certain of its executives, officers, faculty and employees. The restricted shares have voting rights and vest in five annual installments of 20%, with this first installment vesting in March of the calendar year following the date of grant (the “first vesting date”) and on each of the four anniversaries of the first vesting date. Upon vesting, shares will be held in lieu of taxes equivalent to the minimum statutory tax withholding required to be paid when the restricted stock vests. During the six months ended June 30, 2016, the University withheld 113 shares of common stock in lieu of taxes at a cost of $4,642 on the restricted stock vesting dates. In June 2016, the University granted 11 shares of common stock to certain of the non-employee members of the University’s board of directors. The restricted shares granted to these directors have voting rights and vest on the earlier of (a) the one year anniversary of the date of grant or (b) immediately prior to the following year’s annual stockholders’ meeting.</w:t>
      </w:r>
    </w:p>
    <w:p>
      <w:pPr>
        <w:spacing w:after="0" w:line="17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summary of the activity related to restricted stock granted under the University’s 2008 Equity Incentive Plan (“Incentive Plan”) since December 31, 2015 is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Shares</w:t>
            </w:r>
          </w:p>
        </w:tc>
        <w:tc>
          <w:tcPr>
            <w:tcW w:w="1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1,056</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274</w:t>
            </w:r>
          </w:p>
        </w:tc>
        <w:tc>
          <w:tcPr>
            <w:tcW w:w="420" w:type="dxa"/>
            <w:vAlign w:val="bottom"/>
          </w:tcPr>
          <w:p>
            <w:pPr>
              <w:spacing w:after="0"/>
              <w:rPr>
                <w:sz w:val="18"/>
                <w:szCs w:val="18"/>
                <w:color w:val="auto"/>
              </w:rPr>
            </w:pP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4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1,004</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six months ended June 30, 2016, no options were granted. A summary of the activity related to stock options granted under the University’s Incentive Plan since December 31, 2015 is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7"/>
              </w:rPr>
              <w:t>Summary of Stock Options Outstanding</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540" w:type="dxa"/>
            <w:vAlign w:val="bottom"/>
          </w:tcPr>
          <w:p>
            <w:pPr>
              <w:spacing w:after="0"/>
              <w:rPr>
                <w:sz w:val="10"/>
                <w:szCs w:val="10"/>
                <w:color w:val="auto"/>
              </w:rPr>
            </w:pPr>
          </w:p>
        </w:tc>
        <w:tc>
          <w:tcPr>
            <w:tcW w:w="13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Remaining</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Price per</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13"/>
              <w:spacing w:after="0"/>
              <w:rPr>
                <w:sz w:val="20"/>
                <w:szCs w:val="20"/>
                <w:color w:val="auto"/>
              </w:rPr>
            </w:pPr>
            <w:r>
              <w:rPr>
                <w:rFonts w:ascii="Arial" w:cs="Arial" w:eastAsia="Arial" w:hAnsi="Arial"/>
                <w:sz w:val="14"/>
                <w:szCs w:val="14"/>
                <w:b w:val="1"/>
                <w:bCs w:val="1"/>
                <w:color w:val="auto"/>
                <w:w w:val="87"/>
              </w:rPr>
              <w:t>Share</w:t>
            </w:r>
          </w:p>
        </w:tc>
        <w:tc>
          <w:tcPr>
            <w:tcW w:w="5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Term (Years)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2,220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1,727</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June 30, 2016</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80" w:type="dxa"/>
            <w:vAlign w:val="bottom"/>
            <w:gridSpan w:val="2"/>
            <w:vMerge w:val="continue"/>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1,721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14.83</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June 30, 2016</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1,794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June 30, 2016 ($39.92) in excess of the exercise price multiplied by the number of shares underlying options outstanding or exercisable, as applicable.</w:t>
      </w:r>
    </w:p>
    <w:p>
      <w:pPr>
        <w:sectPr>
          <w:pgSz w:w="11900" w:h="16838" w:orient="portrait"/>
          <w:cols w:equalWidth="0" w:num="1">
            <w:col w:w="11340"/>
          </w:cols>
          <w:pgMar w:left="240" w:top="459" w:right="319" w:bottom="1440" w:gutter="0" w:footer="0" w:header="0"/>
        </w:sectPr>
      </w:pP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40"/>
          </w:cols>
          <w:pgMar w:left="240" w:top="459" w:right="31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2016 and 2015 related to restricted stock and stock options granted: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$ 3,544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$ 3,304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2,122</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r>
      <w:tr>
        <w:trPr>
          <w:trHeight w:val="75"/>
        </w:trPr>
        <w:tc>
          <w:tcPr>
            <w:tcW w:w="6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98"/>
              </w:rPr>
              <w:t>Share-based compensation expense included in operating expenses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(2,332)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(2,205)</w:t>
            </w:r>
          </w:p>
        </w:tc>
      </w:tr>
      <w:tr>
        <w:trPr>
          <w:trHeight w:val="75"/>
        </w:trPr>
        <w:tc>
          <w:tcPr>
            <w:tcW w:w="6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$ 3,499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$ 3,307</w:t>
            </w:r>
          </w:p>
        </w:tc>
        <w:tc>
          <w:tcPr>
            <w:tcW w:w="120" w:type="dxa"/>
            <w:vAlign w:val="bottom"/>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June 30, 2016, management believes the University is in compliance with the applicable regulations in all material respects.</w:t>
      </w:r>
    </w:p>
    <w:p>
      <w:pPr>
        <w:spacing w:after="0" w:line="193"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Board of Directors has authorized the University to repurchase up to $175,000 in aggregate of common stock, from time to time, depending on market conditions and other considerations. The current expiration date on the repurchase authorization is December 31, 2017.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initial approval of the share repurchase plan in 2011, the University has purchased 3,471 shares of common stock at an aggregate cost of $75,000, which includes 396 shares of common stock at an aggregate cost of $14,585 for the six months ended June 30, 2016, which are recorded at cost in the accompanying June 30, 2016 consolidated balance sheet and statement of stockholders’ equity. At June 30, 2016, there remained $100,000 available under its share repurchase authorization. Shares repurchased in lieu of taxes are not included in the repurchase plan totals as they were approved in conjunction with the restricted share awards.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900" w:right="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900" w:right="30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900" w:right="4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900" w:right="600" w:hanging="325"/>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properly manage risks and challenges associated with strategic initiatives, including the expansion of our campus, potential acquisitions of, or investments in, new businesses, acquisitions of new properties, or the development of new campuses;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900" w:right="380" w:hanging="325"/>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2015,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are a comprehensive regionally accredited university that offers over 200 graduate and undergraduate degree programs and certificates across nine colleges both online and on ground at our over 250-acre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utilize an integrated, innovative approach to marketing, recruiting, and retaining both traditional-aged students attending on our campus in Phoenix, Arizona and working adult students attending on our campus or at off-site locations in cohorts (referred to by us as professional studies students) or online, which has enabled us to increase enrollment to approximately 67,400 at June 30, 2016.</w:t>
      </w:r>
    </w:p>
    <w:p>
      <w:pPr>
        <w:spacing w:after="0" w:line="178"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End-of-period enrollment increased 7.1% between June 30, 2016 and June 30, 2015, as ground enrollment increased 3.3% and online enrollment increased 7.5% over the prior year. Ground enrollment at June 30, 2016 only includes traditional-aged students that are taking Summer school classes, which is a small percentage of our total traditional-aged student body. As of March 31, 2106 ground enrollment had increased 17% over the prior year. The Spring semester ends near the end of April each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such as ours. For example, our largest local competitor’s undergraduate tuition for online programs ranges from $490 to $553 per credit hour and its graduate tuition for online programs ranges from $492 to $852 per credit hour while our online tuition per credit hour ranges from $355 to $470 for undergraduate programs and $330 to $640 for graduate programs. There are online programs that are less expensive than ours but those programs generally do not provide the full level of support services that we provide to our students.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Net revenues increased 13.4% over the first six month of the prior year primarily due to the enrollment growth and due to an increase in ancillary revenues resulting from the increased traditional student enrollment (e.g. housing, food, etc.). We did not raise tuition in any of our programs for our 2014-2015 academic year. A tuition increase of approximately 1% was implemented for the majority of our online programs for our 2015-2016 academic year. We have not raised our tuition for our traditional ground programs in eight years. Operating income was $113.4 million for the six months ended June 30, 2016, an increase of 15.5% over the $98.2 million in operating income for the six months ended June 30,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June 30, 2016 and 2015 by degree type and by instructional delivery method: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7"/>
                <w:szCs w:val="7"/>
                <w:color w:val="auto"/>
              </w:rPr>
              <w:t>(1)</w:t>
            </w:r>
          </w:p>
        </w:tc>
        <w:tc>
          <w:tcPr>
            <w:tcW w:w="4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7"/>
                <w:szCs w:val="7"/>
                <w:color w:val="auto"/>
              </w:rPr>
              <w:t>(1)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9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9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31,136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28,224</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Undergraduate degree</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36,288</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53.8%</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34,711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67,424</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62,935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7"/>
                <w:szCs w:val="7"/>
                <w:color w:val="auto"/>
              </w:rPr>
              <w:t>(1)</w:t>
            </w:r>
          </w:p>
        </w:tc>
        <w:tc>
          <w:tcPr>
            <w:tcW w:w="4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7"/>
                <w:szCs w:val="7"/>
                <w:color w:val="auto"/>
              </w:rPr>
              <w:t>(1)</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9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9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61,994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57,681</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5,430</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5,254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0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67,424</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62,935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58"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Enrollment at June 30, 2016 and 2015 represents individual students who attended a course during the last two months of the calendar quarter. Included in enrollment at June 30, 2016 and 2015 are students pursuing non-degree certificates of 1,048 and 858, respectively.</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6,739 and 6,106 students pursuing doctoral degrees at June 30, 2016 and 2015, respectively.</w:t>
      </w:r>
    </w:p>
    <w:p>
      <w:pPr>
        <w:spacing w:after="0" w:line="9" w:lineRule="exact"/>
        <w:rPr>
          <w:rFonts w:ascii="Arial" w:cs="Arial" w:eastAsia="Arial" w:hAnsi="Arial"/>
          <w:sz w:val="15"/>
          <w:szCs w:val="15"/>
          <w:color w:val="auto"/>
        </w:rPr>
      </w:pPr>
    </w:p>
    <w:p>
      <w:pPr>
        <w:ind w:left="460" w:right="180" w:hanging="452"/>
        <w:spacing w:after="0" w:line="25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As of June 30, 2016 and 2015, 48.6% and 47.2%, respectively, of our working adult students (online and professional studies students) were pursuing graduate degrees.</w:t>
      </w: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attending Summer semester, as well as our professional studies students.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2015. During the six months ended June 30, 2016, there have been no significant changes in our critical accounting policies.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jc w:val="both"/>
        <w:ind w:right="440" w:firstLine="456"/>
        <w:spacing w:after="0" w:line="279" w:lineRule="auto"/>
        <w:rPr>
          <w:sz w:val="20"/>
          <w:szCs w:val="20"/>
          <w:color w:val="auto"/>
        </w:rPr>
      </w:pPr>
      <w:r>
        <w:rPr>
          <w:rFonts w:ascii="Arial" w:cs="Arial" w:eastAsia="Arial" w:hAnsi="Arial"/>
          <w:sz w:val="17"/>
          <w:szCs w:val="17"/>
          <w:color w:val="auto"/>
        </w:rPr>
        <w:t>Certain key trends, developments and challenges facing the University are disclosed in our Annual Report on Form 10-K for the fiscal year ended December 31, 2015. Except as described below, during the six months ended June 30, 2016, there have been no significant changes in these trends. See Item 7, “Management’s Discussion and Analysis of Financial Condition and Results of Operations – Key Trends, Developments and Challenges” in our Annual Report on Form 10-K for our fiscal year ended December 31, 2015, which is incorporated herein by reference.</w:t>
      </w:r>
    </w:p>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Proposed Department of Education Regulations</w:t>
      </w:r>
      <w:r>
        <w:rPr>
          <w:rFonts w:ascii="Arial" w:cs="Arial" w:eastAsia="Arial" w:hAnsi="Arial"/>
          <w:sz w:val="16"/>
          <w:szCs w:val="16"/>
          <w:color w:val="auto"/>
        </w:rPr>
        <w:t>. In June 2016, the Department of Education issued a Notice of Proposed Rulemaking to establish a</w:t>
      </w:r>
      <w:r>
        <w:rPr>
          <w:rFonts w:ascii="Arial" w:cs="Arial" w:eastAsia="Arial" w:hAnsi="Arial"/>
          <w:sz w:val="16"/>
          <w:szCs w:val="16"/>
          <w:b w:val="1"/>
          <w:bCs w:val="1"/>
          <w:color w:val="auto"/>
        </w:rPr>
        <w:t xml:space="preserve"> </w:t>
      </w:r>
      <w:r>
        <w:rPr>
          <w:rFonts w:ascii="Arial" w:cs="Arial" w:eastAsia="Arial" w:hAnsi="Arial"/>
          <w:sz w:val="16"/>
          <w:szCs w:val="16"/>
          <w:color w:val="auto"/>
        </w:rPr>
        <w:t>new federal standard and a process for determining whether a borrower has a defense to repayment on federal student loans based on an act or omission of a school. The proposed regulations, which, if adopted, could go into effect as early as July 1, 2017, would provide repayment relief to students in respect of student loans first disbursed after July 1, 2017 where: a school breaches contractual promises to a student; certain judgments are entered against a school related to the loan or the educational services after a contested proceeding; or the school makes substantial misrepresentations about the nature of its educational programs, financial charges or employability of graduates, or insubstantial misrepresentations where other factors are present, such as pressure to enroll quickly or taking advantage of students’ distress or lack of knowledge or sophistication. The proposed regulations would allow the Department of Education to identify and grant relief to groups of students where there are common facts, including students who have not requested relief, and would entitle the Department of Education to seek reimbursement from the school in most cases in respect of loans discharged under the new procedure.</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the proposed regulations would automatically require a school to post a letter of credit in the amount of at least 10% of the school’s annual Title IV disbursements upon the occurrence of specified events such as the commencement of a major lawsuit by a state or federal government entity; the filing of a substantial number of borrower defense claims; a default by the school on its debt obligations; the failure of the school to satisfy the 90/10 Rule; and/or action by the school’s accreditor that could result in the school losing its accreditation. If a school experiences any of these triggers, the school would be required to warn prospective and current students that it has been required to provide enhanced financial protection to the Department of Education. The proposed regulations also would require disclosure by proprietary institutions to prospective and enrolled students if student loan repayment rates fall below specified levels.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proposed regulations, the precise standards for student loan discharge may be unclear or subject to interpretation or Department of Education discretion in a manner that is adverse to us and not fully known or predictable in advance. In addition, certain of the potential adverse consequences could arise from actions or claims, such as the mere commencement of enforcement actions by state or federal government entities or the filing of student claims for debt relief, which ultimately are found to lack merit. Each of these consequences could materially and adversely affect our business or require us to change our practices and procedures in a manner that materially increases our costs and reduces our administrative effectiveness. In addition, our flexibility in responding to state or federal and certain private lawsuits may be materially reduced because of the possible significant ancillary consequences of an adverse judgment or finding.</w:t>
      </w:r>
    </w:p>
    <w:p>
      <w:pPr>
        <w:spacing w:after="0" w:line="18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 xml:space="preserve">Arizona Board of Nursing. </w:t>
      </w:r>
      <w:r>
        <w:rPr>
          <w:rFonts w:ascii="Arial" w:cs="Arial" w:eastAsia="Arial" w:hAnsi="Arial"/>
          <w:sz w:val="17"/>
          <w:szCs w:val="17"/>
          <w:color w:val="auto"/>
        </w:rPr>
        <w:t>In July 2016, the University filed notices of appeal and requested a hearing to set aside two Notices of Deficiency that</w:t>
      </w:r>
      <w:r>
        <w:rPr>
          <w:rFonts w:ascii="Arial" w:cs="Arial" w:eastAsia="Arial" w:hAnsi="Arial"/>
          <w:sz w:val="17"/>
          <w:szCs w:val="17"/>
          <w:b w:val="1"/>
          <w:bCs w:val="1"/>
          <w:color w:val="auto"/>
        </w:rPr>
        <w:t xml:space="preserve"> </w:t>
      </w:r>
      <w:r>
        <w:rPr>
          <w:rFonts w:ascii="Arial" w:cs="Arial" w:eastAsia="Arial" w:hAnsi="Arial"/>
          <w:sz w:val="17"/>
          <w:szCs w:val="17"/>
          <w:color w:val="auto"/>
        </w:rPr>
        <w:t>were issued in June 2016 by the Arizona Board of Nursing with respect to the University’s Bachelor of Science in Nursing (“BSN”) and Advanced Practice Registered Nurse (“APRN”) programs. A Notice of Deficiency is not a disciplinary action, although if any issues raised in the notice are not satisfied, it can ultimately lead to disciplinary action. In its appeal, the University expresses its belief that the Arizona Board of Nursing failed to comply with applicable statutes and acted without authority in its review of its programs and subsequent decision to issue the Notices of Deficiency. A scheduling conference is expected to occur shortly with a hearing and decision expected within approximately six months. The University strongly believes in the quality of these two programs, has made significant investments in physical infrastructure to expand these programs in recent years, and is proud that it currently produces more than three times the number of licensed nurses as are produced by any other institution in Arizona. The University believes that the long history of its nursing program and its investment in, and commitment to, the success of its students, combined with the strong brand of the University’s nurses in the healthcare industry in Arizona, will ultimately lead to a positive outcome with respect to these matters.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16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2015</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9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43.1</w:t>
            </w: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15.7</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14.0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w:t>
            </w: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75.8</w:t>
            </w:r>
          </w:p>
        </w:tc>
        <w:tc>
          <w:tcPr>
            <w:tcW w:w="460" w:type="dxa"/>
            <w:vAlign w:val="bottom"/>
          </w:tcPr>
          <w:p>
            <w:pPr>
              <w:spacing w:after="0"/>
              <w:rPr>
                <w:sz w:val="24"/>
                <w:szCs w:val="2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72.9</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3"/>
          </w:tcPr>
          <w:p>
            <w:pPr>
              <w:jc w:val="right"/>
              <w:ind w:right="368"/>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24.2</w:t>
            </w:r>
          </w:p>
        </w:tc>
        <w:tc>
          <w:tcPr>
            <w:tcW w:w="460" w:type="dxa"/>
            <w:vAlign w:val="bottom"/>
          </w:tcPr>
          <w:p>
            <w:pPr>
              <w:spacing w:after="0"/>
              <w:rPr>
                <w:sz w:val="24"/>
                <w:szCs w:val="2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27.6</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14.8</w:t>
            </w:r>
          </w:p>
        </w:tc>
        <w:tc>
          <w:tcPr>
            <w:tcW w:w="460" w:type="dxa"/>
            <w:vAlign w:val="bottom"/>
          </w:tcPr>
          <w:p>
            <w:pPr>
              <w:spacing w:after="0"/>
              <w:rPr>
                <w:sz w:val="24"/>
                <w:szCs w:val="2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17.0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459" w:right="259" w:bottom="63"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Three Months Ended June 30, 2016 Compared to Three Months Ended June 30, 2015</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three months ended June 30, 2016 was $191.3 million, an increase of $16.6 million, or 9.5%,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$174.7 million for the three months ended June 30, 2015. This increase was primarily due to an increase in enrollment and, to a lesser extent, an increase in room and board and other student fees, partially offset by an increase in institutional scholarships. We did not raise tuition in any of our programs for our 2014-2015 academic year. A tuition increase of approximately 1% was implemented for the majority of our online programs in September 2015. We have not raised our tuition for our traditional ground program in eight years. End-of-period enrollment increased 7.1% between June 30, 2016 and June 30, 2015, as ground enrollment increased 3.3%, and online enrollment increased 7.5% over the prior year. The ground enrollment growth between years is primarily due to a slight increase in the number of our ground traditional students taking summer semester courses. Ground enrollment at June 30, 2016 only includes traditional-aged students that are taking Summer school classes which is a small percentage of our total traditional-aged student body. As of March 31, 2016 ground enrollment had increased 17% over the prior year. The Spring semester ends near the end of April each year.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three months ended June 30, 2016 were $84.6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$9.2 million, or 12.3%, as compared to instructional costs and services expenses of $75.4 million for the three months ended June 30, 2015. This increase was primarily due to increases in employee compensation and related expenses including share based compensation, faculty compensation, depreciation and amortization and occupancy expense, dues, fees and subscriptions and other instructional supplies, and other instructional compensation and related expenses, of $2.9 million, $1.5 million, $3.8 million, $0.8 million, and $0.2 million, respectively. The increase in employee compensation and related expenses and faculty compensation is primarily due to the increase in the number of staff and faculty needed to support the increasing number of students attending the University. In addition, we have incurred an increase in benefit costs between years. The increase in depreciation and amortization and occupancy costs is the result of our placing into service additional buildings to support the growing number of ground traditional students in the Fall of</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2015.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 increased 1.1% to 44.2% for the three months ended June 30, 2016, from 43.1% for the three months ended June 30, 2015 primarily due to an increase in depreciation and occupancy expenses as a percentage of net revenue of 1.4% due to additional infrastructure needed to support the growing ground traditional student population. Bad debt expense decreased slightly to 1.8% of net revenue for the three months ended June 30, 2016, from 2.0% for the three months ended June 30, 2015, primarily due to a favorable collection experience with respect to our ground traditional students.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Admissions advisory and related expenses</w:t>
      </w:r>
      <w:r>
        <w:rPr>
          <w:rFonts w:ascii="Arial" w:cs="Arial" w:eastAsia="Arial" w:hAnsi="Arial"/>
          <w:sz w:val="16"/>
          <w:szCs w:val="16"/>
          <w:color w:val="auto"/>
        </w:rPr>
        <w:t>. Our admissions advisory and related expenses for the three months ended June 30, 2016 were $28.9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$1.5 million, or 5.5%, as compared to admissions advisory and related expenses of $27.4 million for the three months ended June 30,</w:t>
      </w:r>
    </w:p>
    <w:p>
      <w:pPr>
        <w:ind w:right="180"/>
        <w:spacing w:after="0" w:line="271" w:lineRule="auto"/>
        <w:rPr>
          <w:sz w:val="20"/>
          <w:szCs w:val="20"/>
          <w:color w:val="auto"/>
        </w:rPr>
      </w:pPr>
      <w:r>
        <w:rPr>
          <w:rFonts w:ascii="Arial" w:cs="Arial" w:eastAsia="Arial" w:hAnsi="Arial"/>
          <w:sz w:val="17"/>
          <w:szCs w:val="17"/>
          <w:color w:val="auto"/>
        </w:rPr>
        <w:t>2015. This increase is primarily the result of increases in employee compensation and related expenses including share based compensation and other advisory related expenses of $1.4 million and $0.1 million, respectively. The increase in employee compensation and related expenses is primarily due to increased headcount and an increase in benefit costs between years. Our admissions advisory and related expenses as a percentage of net revenue decreased 0.6% to 15.1% for the three months ended June 30, 2016, from 15.7% for the three months ended June 30, 2015 primarily due to our ability to leverage our admissions advisory personnel across an increasing revenue base.</w:t>
      </w:r>
    </w:p>
    <w:p>
      <w:pPr>
        <w:spacing w:after="0" w:line="1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three months ended June 30, 2016 were $22.1 million, an increase of $3.7 million, or 20.3%,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$18.4 million for the three months ended June 30, 2015. This increase is primarily the result of increased branding and expansion of our media advertising campaign. Our advertising expenses as a percentage of net revenue increased by 1.1% to 11.6% for the three months ended June 30, 2016, from 10.5% for the three months ended June 30, 2015.</w:t>
      </w:r>
    </w:p>
    <w:p>
      <w:pPr>
        <w:spacing w:after="0" w:line="187"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i w:val="1"/>
          <w:iCs w:val="1"/>
          <w:color w:val="auto"/>
        </w:rPr>
        <w:t>Marketing and promotional expenses</w:t>
      </w:r>
      <w:r>
        <w:rPr>
          <w:rFonts w:ascii="Arial" w:cs="Arial" w:eastAsia="Arial" w:hAnsi="Arial"/>
          <w:sz w:val="16"/>
          <w:szCs w:val="16"/>
          <w:color w:val="auto"/>
        </w:rPr>
        <w:t>. Our marketing and promotional expenses for the three months ended June 30, 2016 were $2.1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$0.3 million, or 17.9%, as compared to marketing and promotional expenses of $1.8 million for the three months ended June 30, 2015. This increase is primarily the result of increases in other promotional expenses of $0.3 million. Our marketing and promotional expenses as a percentage of net revenue increased 0.1% to 1.1% for the three months ended June 30, 2016, from 1.0% for the three months ended June 30, 2015.</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three months ended June 30, 2016 were $8.8 million, a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$0.7 million, or 7.6%, as compared to general and administrative expenses of $9.5 million for the three months ended June 30, 2015. This decrease was primarily due to decreases in legal and other professional costs of $0.8 million, partially offset by a slight increase in occupancy expenses of $0.1 million. Our general and administrative expenses as a percentage of net revenue decreased by 0.9% to 4.6% for the three months ended June 30, 2016, from 5.5% for the three months ended June 30, 2015 due to the decrease in legal and other professional costs and our ability to leverage the fixed cost structure of our general and administrative expenses across an increasing revenue base.</w:t>
      </w:r>
    </w:p>
    <w:p>
      <w:pPr>
        <w:spacing w:after="0" w:line="178"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for the three months ended June 30, 2016 was $0.2 million, an increase of $0.1 million, as compared to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$0.1 million for the three months ended June 30, 2015. This increase was primarily due to higher interest cost due to higher average borrowings. Our interest expense stayed flat as a percentage of net revenue at 0.1% for the three months ended June 30, 2016 and 2015.</w:t>
      </w:r>
    </w:p>
    <w:p>
      <w:pPr>
        <w:spacing w:after="0" w:line="14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Interest and other income for the three months ended June 30, 2016 was $0.3 million, an increase of $0.2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interest and other income of $0.1 million in the three months ended June 30, 2015.</w:t>
      </w:r>
    </w:p>
    <w:p>
      <w:pPr>
        <w:spacing w:after="0" w:line="170"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three months ended June 30, 2016 was $17.3 million, an increase of $0.8 million, or 4.8%,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income tax expense of $16.5 million for the three months ended June 30, 2015. Our effective tax rate was 38.4% during the second quarter of 2016 compared to 39.0% during the second quarter of 2015. Favorable variance in the effective tax rate year over year is primarily due to the continued phase-in of market sourcing for apportionment of Arizona sales and a 0.5% decrease in the Arizona corporate income tax rate.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June 30, 2016 was $27.6 million, an increase of $1.8 million, as compared to $25.8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2015, due to the factors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2016 Compared to Six Months Ended June 30, 2015</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six months ended June 30, 2016 was $418.2 million, an increase of $49.3 million, or 13.4%,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$368.9 million for the six months ended June 30, 2015. This increase was primarily due to an increase in enrollment and, to a lesser extent, an increase in room and board and other student fees, partially offset by an increase in institutional scholarships. We did not raise tuition in any of our programs for our 2014-2015 academic year. A tuition increase of approximately 1% was implemented for the majority of our online programs for our 2015-2016 academic year. We have not raised our tuition for our traditional ground program in eight years. End-of-period enrollment increased 7.1% between June 30, 2016 and June 30, 2015, as ground enrollment increased 3.3%, and online enrollment increased 7.5% over the prior year. The ground enrollment growth between years is primarily due to a slight increase in the number of our ground traditional students taking Summer semester courses. Ground enrollment at June 30, 2016 only includes traditional-aged students that are taking Summer school classes which is a small percentage of our total traditional-aged student body. As of March 31, 2016 ground enrollment had increased 17% over the prior year. The Spring semester ends near the end of April each year.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7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six months ended June 30, 2016 were $179.3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$25.3 million, or 16.4%, as compared to instructional costs and services expenses of $154.0 million for the six months ended June 30, 2015. This increase was primarily due to increases in employee compensation and related expenses including share based compensation, faculty compensation, depreciation and amortization and occupancy expense, dues, fees and subscriptions and other instructional supplies, and other instructional compensation and related expenses, of $7.4 million, $4.7 million, $7.1 million, $4.1 million, and $2.0 million, respectively. The increase in employee compensation and related expenses and faculty compensation is primarily due to the increase in the number of staff and faculty needed to support the increasing number of students attending the University. In addition, we have incurred an increase in benefit costs between years. The increase in depreciation and amortization and occupancy costs is the result of our placing into service additional buildings to support the growing number of ground traditional students in the Fall of</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2015.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 increased 1.1% to 42.9% for the six months ended June 30, 2016, from 41.8% for the six months ended June 30, 2015 primarily due to an increase in depreciation and amortization and occupancy expense as a percentage of net revenue of 1.0% and an increase in dues, fees, subscriptions and other instructional supplies as a percentage of net revenue of 0.4% due to the low profit margin derived on food sales. Bad debt expense declined slightly to 1.9% from 2.0% in the prior year primarily due to favorable collections related to our ground students.</w:t>
      </w:r>
    </w:p>
    <w:p>
      <w:pPr>
        <w:spacing w:after="0" w:line="17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six months ended June 30, 2016 were $58.4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$2.7 million, or 4.9%, as compared to admissions advisory and related expenses of $55.7 million for the six months ended June 30, 2015. This increase is primarily the result of increases in employee compensation and related expenses including share based compensation and other advisory related expense of $2.6 million and $0.1 million, respectively. The increase in employee compensation and related expenses is primarily due to increased headcount and an increase in benefit costs between years. Our admissions advisory and related expenses as a percentage of net revenue decreased 1.1% to 14.0% for the six months ended June 30, 2016, from 15.1% for the six months ended June 30, 2015 primarily due to our ability to leverage our admissions advisory personnel across an increasing revenue base.</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six months ended June 30, 2016 were $43.3 million, an increase of $4.8 million, or 12.5%,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$38.5 million for the six months ended June 30, 2015. This increase is primarily the result of increased branding and expansion of our media advertising campaign. Our advertising expenses as a percentage of net revenue decreased by 0.1% to 10.3% for the six months ended June 30, 2016, from 10.4% for the six months ended June 30, 2015.</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i w:val="1"/>
          <w:iCs w:val="1"/>
          <w:color w:val="auto"/>
        </w:rPr>
        <w:t>Marketing and promotional expenses</w:t>
      </w:r>
      <w:r>
        <w:rPr>
          <w:rFonts w:ascii="Arial" w:cs="Arial" w:eastAsia="Arial" w:hAnsi="Arial"/>
          <w:sz w:val="17"/>
          <w:szCs w:val="17"/>
          <w:color w:val="auto"/>
        </w:rPr>
        <w:t>. Our marketing and promotional expenses for the six months ended June 30, 2016 were $4.3 million,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$0.8 million, or 24.9%, as compared to marketing and promotional expenses of $3.5 million for the six months ended June 30, 2015. This increase is primarily the result of increases in employee compensation and related expenses including stock based compensation and other promotional expenses of $0.3 million and $0.5 million, respectively. Our marketing and promotional expenses as a percentage of net revenue increased 0.1% to 1.0% for the six months ended June 30, 2016, from 0.9% for the six months ended June 30, 2015.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six months ended June 30, 2016 were $19.5 million,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$0.6 million, or 3.2%, as compared to general and administrative expenses of $18.9 million for the six months ended June 30, 2015. This increase was primarily due to increases in employee compensation and related expenses including share based compensation and increases in other general and administrative expenses of $0.2 million and $0.4 million, respectively. Our general and administrative expenses as a percentage of net revenue decreased by 0.4% to 4.7% for the six months ended June 30, 2016, from 5.1% for the six months ended June 30, 2015 due to our ability to leverage the fixed costs structure of our general and administrative expenses across an increasing revenue base.</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six months ended June 30, 2016 and 2015 stayed flat at $0.5 million and as a percentage of net revenue at</w:t>
      </w:r>
      <w:r>
        <w:rPr>
          <w:rFonts w:ascii="Arial" w:cs="Arial" w:eastAsia="Arial" w:hAnsi="Arial"/>
          <w:sz w:val="18"/>
          <w:szCs w:val="18"/>
          <w:i w:val="1"/>
          <w:iCs w:val="1"/>
          <w:color w:val="auto"/>
        </w:rPr>
        <w:t xml:space="preserve"> </w:t>
      </w:r>
      <w:r>
        <w:rPr>
          <w:rFonts w:ascii="Arial" w:cs="Arial" w:eastAsia="Arial" w:hAnsi="Arial"/>
          <w:sz w:val="18"/>
          <w:szCs w:val="18"/>
          <w:color w:val="auto"/>
        </w:rPr>
        <w:t>0.1% for both the six months ended June 30, 2016 and 2015.</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Interest and other income</w:t>
      </w:r>
      <w:r>
        <w:rPr>
          <w:rFonts w:ascii="Arial" w:cs="Arial" w:eastAsia="Arial" w:hAnsi="Arial"/>
          <w:sz w:val="17"/>
          <w:szCs w:val="17"/>
          <w:color w:val="auto"/>
        </w:rPr>
        <w:t>. Interest and other income for the six months ended June 30, 2016 was $2.3 million, an increase of $1.9 million,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interest and other income of $0.4 million in the six months ended June 30, 2015. The increase was primarily due to the University’s proportional share of equity interest income of $1.8 million related to our ownership interest in LoudCloud in the first quarter of 2016.</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six months ended June 30, 2016 was $44.0 million, an increase of $5.8 million, or 15.3%,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income tax expense of $38.2 million for the six months ended June 30, 2015. Our effective tax rate was 38.2% during the six months ended June 30, 2016 compared to 38.9% during the six months ended June 30, 2015. Favorable variance in the effective tax rate year over year is primarily due to the continued phase-in of market sourcing for apportionment of Arizona sales and a 0.5% decrease in the Arizona corporate income tax rate.</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six months ended June 30, 2016 was $71.3 million, an increase of $11.3 million, as compared to $60.0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2015,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Since we intend to continue to increase the relative proportion of our students that are ground traditional students,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six months ended June 30, 2016 and 2015 primarily through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provided by operating activities. Our unrestricted cash and cash equivalents and investments were $94.0 million and $106.4 million at June 30, 2016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respectively. Our restricted cash, cash equivalents and investments at June 30, 2016 and December 31, 2015 were $70.8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$75.4 million, respectively. In December 2012, we entered into a new credit agreement, which increased our term loan to $100 million with a maturity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2019. Additionally, this facility, as amended in January 2016, provides a revolving line of credit in the amount of $150 million through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to be utilized for working capital, capital expenditures and other general corporate purposes. Indebtedness under the credit facility is secured by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assets and is guaranteed by certain of our subsidiaries. $25.0 million was drawn on the revolver as of June 30, 2016.</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an aggregate of $175.0 million of our common stock, from time to time, depending on market conditions and other considerations. The current expiration date on the repurchase authorization by our Board of Directors is December 31, 2017. Repurchases occur at the University’s discretion.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Since the inception of our share repurchase program, the University has purchased 3.5 million shares of common stock at an aggregate cost of $75.0 million. During the six months ended June 30, 2016 the University repurchased 395,555 shares of common stock at an aggregate cost of $14.6 million. At June 30, 2016, there remains $100.0 million available under our share repurchase authorization.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six months ended June 30, 2016 was $114.0 million as compared to $81.7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2015. The increase in cash generated from operating activities between the six months ended June 30, 2015 and the six months ended June 30, 2016 is primarily due to increased net income and the timing of employee related payments as well as changes in other working capital such as accrued liabilities.</w:t>
      </w:r>
    </w:p>
    <w:p>
      <w:pPr>
        <w:spacing w:after="0" w:line="18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$106.7 million and $94.7 million for the six months ended June 30, 2016 and 2015,</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Our cash used in investing activities was primarily related to the purchase of short-term investments and capital expenditures. In the first six months of 2016 and 2015 proceeds from the sale of short-term investments exceeded purchases by $31.4 million and $17.3 million, respectively. Capital expenditures were $115.6 million and $106.3 million for the six months ended June 30, 2016 and 2015, respectively. During the first six months of 2016, capital expenditures primarily consisted of ground campus building projects that started in late 2015 such as three more apartment style residence halls, a 170,000 square foot classroom building for our College of Science, Engineering and Technology, a student service center, and a fourth parking structure, as well as land purchases adjacent to or near our Phoenix campus, and purchases of computer equipment, other internal use software projects and furniture and equipment to support our increasing employee headcount. Included in off-site development during 2016 is $24.8 million primarily related to an off-site office building and parking garage that is in close proximity to our ground traditional campus. Employees that work in two leased office building in the Phoenix area will be consolidated into this new building when it is expected to be completed in late 2016. In addition, during the first six months of 2016, we received a $1.7 million distribution related to our ownership interest in LoudCloud upon its sale to a third party. During the six-month period for 2015, capital expenditures primarily consisted of ground campus building projects such as the construction of four additional dormitories, an additional classroom building for our College of Science, Engineering and Technology and a new parking structure to support our growing traditional student enrollment as well as purchases of computer equipment, other internal use software projects and furniture and equipment to support our increasing employee headcount. Included in off-site development for 2015 is $5.6 million we spent on the Maryvale Golf Course under a partnership agreement with the City of Phoenix. The revitalization was completed by the end of 2015 and the golf course is now known as Grand Canyon University Championship Golf Course.</w:t>
      </w:r>
    </w:p>
    <w:p>
      <w:pPr>
        <w:spacing w:after="0" w:line="17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provided by financing activities was $14.2 million for the six months ended June 30, 2016. Net cash used in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was $1.5 million for the six months ended June 30, 2015. During the six-month period for 2016, net cash provided by financing activities consisted of proceeds received from the revolving line of credit of $25.0 million, proceeds from the exercise of stock options of $7.0 million and excess tax benefits from share-based compensation of $5.5 million, partially offset by $14.6 million used to purchase treasury stock in accordance with the University’s share repurchase program and $4.6 million used to purchase common shares withheld in lieu of income taxes resulting from restricted share awards while principal payments on notes payable and capital leases totaled $3.8 million. During the six-month period for 2015, $4.2 million was used to purchase common shares withheld in lieu of income taxes resulting from restricted share awards and principal payments on notes payable and capital leases totaled $3.4 million, partially offset by proceeds from the exercise of stock options of $2.7 million and excess tax benefits from share-based compensation of $3.4 million.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sets forth, as of June 30, 2016,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1 Year (1)</w:t>
            </w:r>
          </w:p>
        </w:tc>
        <w:tc>
          <w:tcPr>
            <w:tcW w:w="960" w:type="dxa"/>
            <w:vAlign w:val="bottom"/>
            <w:gridSpan w:val="3"/>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310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3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4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234.1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128.4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from July 1, 2016 through December 31,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June 30,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six months ended June 30, 2016 or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future inflation will not have an adverse impact on our operating results and financial condition.</w:t>
      </w:r>
    </w:p>
    <w:p>
      <w:pPr>
        <w:spacing w:after="0" w:line="21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 Day LIBOR interest exposure from the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debt matures in December 2019. The corridor instrument, which hedges variable interest rate risk starting March 1, 2013 through December 20, 2019 with a notional amount of $76.7 million as of June 30, 2016,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158"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4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through the instruments noted above and by investing excess funds in cash equivalents, A rated</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bonds and municipal mutual funds bearing variable interest rates, which are tied to various market indices or individual bond coupon rates. Our future investment income may fall short of expectations due to changes in interest rates or we may suffer losses in principal if we are forced to sell securities that have declined in market value due to changes in interest rates. At June 30, 2016, a 10% increase or decrease in interest rates would not have a material impact on our future earnings, fair values, or cash flows. For information regarding our variable rate debt, see “Market risk” above.</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June 30, 2016,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2015.</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Board of Directors has authorized the University to repurchase up to an aggregate of $175.0 million of common stock, from time to time, depending on market conditions and other considerations. The current expiration date on the repurchase authorization is December 31, 2017.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six months ended June 30, 2016, we repurchased 395,555 shares of common stock at an aggregate cost of $14.6 million. At June 30, 2016, there remains $100.0 million available under our share repurchase authorization.</w:t>
      </w:r>
    </w:p>
    <w:p>
      <w:pPr>
        <w:spacing w:after="0" w:line="193" w:lineRule="exact"/>
        <w:rPr>
          <w:sz w:val="20"/>
          <w:szCs w:val="20"/>
          <w:color w:val="auto"/>
        </w:rPr>
      </w:pPr>
    </w:p>
    <w:p>
      <w:pPr>
        <w:jc w:val="both"/>
        <w:ind w:right="680" w:firstLine="456"/>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second quarter of fiscal 2016:</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6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68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96"/>
              </w:rPr>
              <w:t>Total Number of</w:t>
            </w:r>
          </w:p>
        </w:tc>
        <w:tc>
          <w:tcPr>
            <w:tcW w:w="6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6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2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Period</w:t>
            </w:r>
          </w:p>
        </w:tc>
        <w:tc>
          <w:tcPr>
            <w:tcW w:w="1800" w:type="dxa"/>
            <w:vAlign w:val="bottom"/>
            <w:gridSpan w:val="2"/>
            <w:vMerge w:val="continue"/>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Price Paid</w:t>
            </w: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1"/>
        </w:trPr>
        <w:tc>
          <w:tcPr>
            <w:tcW w:w="4240" w:type="dxa"/>
            <w:vAlign w:val="bottom"/>
            <w:gridSpan w:val="5"/>
            <w:vMerge w:val="continue"/>
          </w:tcPr>
          <w:p>
            <w:pPr>
              <w:spacing w:after="0"/>
              <w:rPr>
                <w:sz w:val="14"/>
                <w:szCs w:val="14"/>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Shares Purchased</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6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the Program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5"/>
              </w:rPr>
              <w:t>Share</w:t>
            </w:r>
          </w:p>
        </w:tc>
        <w:tc>
          <w:tcPr>
            <w:tcW w:w="1060" w:type="dxa"/>
            <w:vAlign w:val="bottom"/>
            <w:tcBorders>
              <w:top w:val="single" w:sz="8" w:color="CCEEFF"/>
              <w:bottom w:val="single" w:sz="8" w:color="auto"/>
            </w:tcBorders>
            <w:gridSpan w:val="2"/>
            <w:shd w:val="clear" w:color="auto" w:fill="CCEEFF"/>
          </w:tcPr>
          <w:p>
            <w:pPr>
              <w:ind w:left="80"/>
              <w:spacing w:after="0" w:line="156" w:lineRule="exact"/>
              <w:rPr>
                <w:sz w:val="20"/>
                <w:szCs w:val="20"/>
                <w:color w:val="auto"/>
              </w:rPr>
            </w:pPr>
            <w:r>
              <w:rPr>
                <w:rFonts w:ascii="Arial" w:cs="Arial" w:eastAsia="Arial" w:hAnsi="Arial"/>
                <w:sz w:val="18"/>
                <w:szCs w:val="18"/>
                <w:b w:val="1"/>
                <w:bCs w:val="1"/>
                <w:color w:val="auto"/>
                <w:w w:val="84"/>
              </w:rPr>
              <w:t>Repurchases</w:t>
            </w:r>
          </w:p>
        </w:tc>
        <w:tc>
          <w:tcPr>
            <w:tcW w:w="276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April 1, 2016 – April 30, 2016</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May 1, 2016 – May 31, 2016</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June 1, 2016 – June 30, 2016</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gridSpan w:val="5"/>
          </w:tcPr>
          <w:p>
            <w:pPr>
              <w:spacing w:after="0"/>
              <w:rPr>
                <w:sz w:val="20"/>
                <w:szCs w:val="20"/>
                <w:color w:val="auto"/>
              </w:rPr>
            </w:pPr>
            <w:r>
              <w:rPr>
                <w:rFonts w:ascii="Arial" w:cs="Arial" w:eastAsia="Arial" w:hAnsi="Arial"/>
                <w:sz w:val="18"/>
                <w:szCs w:val="18"/>
                <w:b w:val="1"/>
                <w:bCs w:val="1"/>
                <w:color w:val="auto"/>
              </w:rPr>
              <w:t>Tax Withholdings</w:t>
            </w:r>
          </w:p>
        </w:tc>
        <w:tc>
          <w:tcPr>
            <w:tcW w:w="1100" w:type="dxa"/>
            <w:vAlign w:val="bottom"/>
            <w:tcBorders>
              <w:top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April 1, 2016 – April 30, 2016</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May 1, 2016 – May 31, 2016</w:t>
            </w:r>
          </w:p>
        </w:tc>
        <w:tc>
          <w:tcPr>
            <w:tcW w:w="1100" w:type="dxa"/>
            <w:vAlign w:val="bottom"/>
          </w:tcPr>
          <w:p>
            <w:pPr>
              <w:jc w:val="right"/>
              <w:spacing w:after="0"/>
              <w:rPr>
                <w:sz w:val="20"/>
                <w:szCs w:val="20"/>
                <w:color w:val="auto"/>
              </w:rPr>
            </w:pPr>
            <w:r>
              <w:rPr>
                <w:rFonts w:ascii="Arial" w:cs="Arial" w:eastAsia="Arial" w:hAnsi="Arial"/>
                <w:sz w:val="18"/>
                <w:szCs w:val="18"/>
                <w:color w:val="auto"/>
              </w:rPr>
              <w:t>1,238</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41.64</w:t>
            </w:r>
          </w:p>
        </w:tc>
        <w:tc>
          <w:tcPr>
            <w:tcW w:w="68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June 1, 2016 – June 30, 2016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24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41.64</w:t>
            </w:r>
          </w:p>
        </w:tc>
        <w:tc>
          <w:tcPr>
            <w:tcW w:w="680" w:type="dxa"/>
            <w:vAlign w:val="bottom"/>
          </w:tcPr>
          <w:p>
            <w:pPr>
              <w:spacing w:after="0"/>
              <w:rPr>
                <w:sz w:val="24"/>
                <w:szCs w:val="24"/>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5240" w:type="dxa"/>
            <w:vAlign w:val="bottom"/>
            <w:gridSpan w:val="2"/>
          </w:tcPr>
          <w:p>
            <w:pPr>
              <w:ind w:left="80"/>
              <w:spacing w:after="0"/>
              <w:rPr>
                <w:sz w:val="20"/>
                <w:szCs w:val="20"/>
                <w:color w:val="auto"/>
              </w:rPr>
            </w:pPr>
            <w:r>
              <w:rPr>
                <w:rFonts w:ascii="Arial" w:cs="Arial" w:eastAsia="Arial" w:hAnsi="Arial"/>
                <w:sz w:val="18"/>
                <w:szCs w:val="18"/>
                <w:b w:val="1"/>
                <w:bCs w:val="1"/>
                <w:color w:val="auto"/>
              </w:rPr>
              <w:t>Defaults Upon Senior Securities</w:t>
            </w:r>
          </w:p>
        </w:tc>
      </w:tr>
      <w:tr>
        <w:trPr>
          <w:trHeight w:val="324"/>
        </w:trPr>
        <w:tc>
          <w:tcPr>
            <w:tcW w:w="960" w:type="dxa"/>
            <w:vAlign w:val="bottom"/>
          </w:tcPr>
          <w:p>
            <w:pPr>
              <w:ind w:left="460"/>
              <w:spacing w:after="0"/>
              <w:rPr>
                <w:sz w:val="20"/>
                <w:szCs w:val="20"/>
                <w:color w:val="auto"/>
              </w:rPr>
            </w:pPr>
            <w:r>
              <w:rPr>
                <w:rFonts w:ascii="Arial" w:cs="Arial" w:eastAsia="Arial" w:hAnsi="Arial"/>
                <w:sz w:val="18"/>
                <w:szCs w:val="18"/>
                <w:color w:val="auto"/>
                <w:w w:val="99"/>
              </w:rPr>
              <w:t>None.</w:t>
            </w: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581"/>
        </w:trPr>
        <w:tc>
          <w:tcPr>
            <w:tcW w:w="9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5240" w:type="dxa"/>
            <w:vAlign w:val="bottom"/>
            <w:gridSpan w:val="2"/>
          </w:tcPr>
          <w:p>
            <w:pPr>
              <w:ind w:left="80"/>
              <w:spacing w:after="0"/>
              <w:rPr>
                <w:sz w:val="20"/>
                <w:szCs w:val="20"/>
                <w:color w:val="auto"/>
              </w:rPr>
            </w:pPr>
            <w:r>
              <w:rPr>
                <w:rFonts w:ascii="Arial" w:cs="Arial" w:eastAsia="Arial" w:hAnsi="Arial"/>
                <w:sz w:val="18"/>
                <w:szCs w:val="18"/>
                <w:b w:val="1"/>
                <w:bCs w:val="1"/>
                <w:color w:val="auto"/>
              </w:rPr>
              <w:t>Mine Safety Disclosures</w:t>
            </w:r>
          </w:p>
        </w:tc>
      </w:tr>
      <w:tr>
        <w:trPr>
          <w:trHeight w:val="324"/>
        </w:trPr>
        <w:tc>
          <w:tcPr>
            <w:tcW w:w="960" w:type="dxa"/>
            <w:vAlign w:val="bottom"/>
          </w:tcPr>
          <w:p>
            <w:pPr>
              <w:ind w:left="460"/>
              <w:spacing w:after="0"/>
              <w:rPr>
                <w:sz w:val="20"/>
                <w:szCs w:val="20"/>
                <w:color w:val="auto"/>
              </w:rPr>
            </w:pPr>
            <w:r>
              <w:rPr>
                <w:rFonts w:ascii="Arial" w:cs="Arial" w:eastAsia="Arial" w:hAnsi="Arial"/>
                <w:sz w:val="18"/>
                <w:szCs w:val="18"/>
                <w:color w:val="auto"/>
                <w:w w:val="99"/>
              </w:rPr>
              <w:t>None.</w:t>
            </w: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581"/>
        </w:trPr>
        <w:tc>
          <w:tcPr>
            <w:tcW w:w="9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524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 Information</w:t>
            </w:r>
          </w:p>
        </w:tc>
      </w:tr>
      <w:tr>
        <w:trPr>
          <w:trHeight w:val="324"/>
        </w:trPr>
        <w:tc>
          <w:tcPr>
            <w:tcW w:w="960" w:type="dxa"/>
            <w:vAlign w:val="bottom"/>
          </w:tcPr>
          <w:p>
            <w:pPr>
              <w:ind w:left="460"/>
              <w:spacing w:after="0"/>
              <w:rPr>
                <w:sz w:val="20"/>
                <w:szCs w:val="20"/>
                <w:color w:val="auto"/>
              </w:rPr>
            </w:pPr>
            <w:r>
              <w:rPr>
                <w:rFonts w:ascii="Arial" w:cs="Arial" w:eastAsia="Arial" w:hAnsi="Arial"/>
                <w:sz w:val="18"/>
                <w:szCs w:val="18"/>
                <w:color w:val="auto"/>
                <w:w w:val="99"/>
              </w:rPr>
              <w:t>None.</w:t>
            </w: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581"/>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24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6200" w:type="dxa"/>
            <w:vAlign w:val="bottom"/>
            <w:gridSpan w:val="3"/>
          </w:tcPr>
          <w:p>
            <w:pPr>
              <w:ind w:left="460"/>
              <w:spacing w:after="0"/>
              <w:rPr>
                <w:sz w:val="20"/>
                <w:szCs w:val="20"/>
                <w:color w:val="auto"/>
              </w:rPr>
            </w:pPr>
            <w:r>
              <w:rPr>
                <w:rFonts w:ascii="Arial" w:cs="Arial" w:eastAsia="Arial" w:hAnsi="Arial"/>
                <w:sz w:val="18"/>
                <w:szCs w:val="18"/>
                <w:color w:val="auto"/>
              </w:rPr>
              <w:t>(a) Exhibits</w:t>
            </w:r>
          </w:p>
        </w:tc>
      </w:tr>
      <w:tr>
        <w:trPr>
          <w:trHeight w:val="405"/>
        </w:trPr>
        <w:tc>
          <w:tcPr>
            <w:tcW w:w="9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24"/>
                <w:szCs w:val="24"/>
                <w:color w:val="auto"/>
              </w:rPr>
            </w:pPr>
          </w:p>
        </w:tc>
        <w:tc>
          <w:tcPr>
            <w:tcW w:w="514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3.1</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Amended and Restated Certificate of Incorporation.</w:t>
            </w:r>
          </w:p>
        </w:tc>
      </w:tr>
      <w:tr>
        <w:trPr>
          <w:trHeight w:val="742"/>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w w:val="97"/>
              </w:rPr>
              <w:t>Certificate of Amendment of Amended and Restated Certificate of</w:t>
            </w:r>
          </w:p>
        </w:tc>
      </w:tr>
      <w:tr>
        <w:trPr>
          <w:trHeight w:val="230"/>
        </w:trPr>
        <w:tc>
          <w:tcPr>
            <w:tcW w:w="96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Incorporation.</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3.3</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w w:val="98"/>
              </w:rPr>
              <w:t>Certification of Principal Executive Officer pursuant to Rules 13a-</w:t>
            </w:r>
          </w:p>
        </w:tc>
      </w:tr>
      <w:tr>
        <w:trPr>
          <w:trHeight w:val="216"/>
        </w:trPr>
        <w:tc>
          <w:tcPr>
            <w:tcW w:w="960" w:type="dxa"/>
            <w:vAlign w:val="bottom"/>
          </w:tcPr>
          <w:p>
            <w:pPr>
              <w:spacing w:after="0"/>
              <w:rPr>
                <w:sz w:val="18"/>
                <w:szCs w:val="18"/>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14(a) and 15d-14(a), as adopted pursuant to Section 302 of the</w:t>
            </w:r>
          </w:p>
        </w:tc>
      </w:tr>
      <w:tr>
        <w:trPr>
          <w:trHeight w:val="230"/>
        </w:trPr>
        <w:tc>
          <w:tcPr>
            <w:tcW w:w="96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Sarbanes-Oxley Act of 2002.</w:t>
            </w: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 of Principal Financial Officer pursuant to Rules 13a-14(a)</w:t>
            </w:r>
          </w:p>
        </w:tc>
      </w:tr>
      <w:tr>
        <w:trPr>
          <w:trHeight w:val="216"/>
        </w:trPr>
        <w:tc>
          <w:tcPr>
            <w:tcW w:w="960" w:type="dxa"/>
            <w:vAlign w:val="bottom"/>
          </w:tcPr>
          <w:p>
            <w:pPr>
              <w:spacing w:after="0"/>
              <w:rPr>
                <w:sz w:val="18"/>
                <w:szCs w:val="18"/>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w w:val="93"/>
              </w:rPr>
              <w:t>and 15d-14(a), as adopted pursuant to Section 302 of the Sarbanes-</w:t>
            </w:r>
          </w:p>
        </w:tc>
      </w:tr>
      <w:tr>
        <w:trPr>
          <w:trHeight w:val="230"/>
        </w:trPr>
        <w:tc>
          <w:tcPr>
            <w:tcW w:w="96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Oxley Act of 2002.</w:t>
            </w: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Certification of Principal Executive Officer pursuant to 18 U.S.C.</w:t>
            </w:r>
          </w:p>
        </w:tc>
      </w:tr>
      <w:tr>
        <w:trPr>
          <w:trHeight w:val="216"/>
        </w:trPr>
        <w:tc>
          <w:tcPr>
            <w:tcW w:w="960" w:type="dxa"/>
            <w:vAlign w:val="bottom"/>
          </w:tcPr>
          <w:p>
            <w:pPr>
              <w:spacing w:after="0"/>
              <w:rPr>
                <w:sz w:val="18"/>
                <w:szCs w:val="18"/>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w w:val="95"/>
              </w:rPr>
              <w:t>Section 1350, as adopted pursuant to Section 906 of the Sarbanes-</w:t>
            </w:r>
          </w:p>
        </w:tc>
      </w:tr>
      <w:tr>
        <w:trPr>
          <w:trHeight w:val="230"/>
        </w:trPr>
        <w:tc>
          <w:tcPr>
            <w:tcW w:w="96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Oxley Act of 2002. ††</w:t>
            </w: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960" w:type="dxa"/>
            <w:vAlign w:val="bottom"/>
          </w:tcPr>
          <w:p>
            <w:pPr>
              <w:spacing w:after="0"/>
              <w:rPr>
                <w:sz w:val="18"/>
                <w:szCs w:val="18"/>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w w:val="95"/>
              </w:rPr>
              <w:t>Section 1350, as adopted pursuant to Section 906 of the Sarbanes-</w:t>
            </w:r>
          </w:p>
        </w:tc>
      </w:tr>
      <w:tr>
        <w:trPr>
          <w:trHeight w:val="230"/>
        </w:trPr>
        <w:tc>
          <w:tcPr>
            <w:tcW w:w="960" w:type="dxa"/>
            <w:vAlign w:val="bottom"/>
          </w:tcPr>
          <w:p>
            <w:pPr>
              <w:spacing w:after="0"/>
              <w:rPr>
                <w:sz w:val="20"/>
                <w:szCs w:val="20"/>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Oxley Act of 2002. ††</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31813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Incorporated by reference to Appendix A to University’s Definitive Proxy Statement filed with the SEC on April 29, 2016.</w:t>
      </w:r>
    </w:p>
    <w:p>
      <w:pPr>
        <w:spacing w:after="0" w:line="3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6200" w:space="200"/>
            <w:col w:w="4920"/>
          </w:cols>
          <w:pgMar w:left="240" w:top="459" w:right="339" w:bottom="1440" w:gutter="0" w:footer="0" w:header="0"/>
        </w:sectPr>
      </w:pPr>
    </w:p>
    <w:p>
      <w:pPr>
        <w:spacing w:after="0" w:line="29" w:lineRule="exact"/>
        <w:rPr>
          <w:sz w:val="20"/>
          <w:szCs w:val="20"/>
          <w:color w:val="auto"/>
        </w:rPr>
      </w:pPr>
    </w:p>
    <w:p>
      <w:pPr>
        <w:ind w:left="460" w:right="6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spacing w:after="0"/>
        <w:tabs>
          <w:tab w:leader="none" w:pos="6080" w:val="left"/>
          <w:tab w:leader="none" w:pos="6500" w:val="left"/>
        </w:tabs>
        <w:rPr>
          <w:sz w:val="20"/>
          <w:szCs w:val="20"/>
          <w:color w:val="auto"/>
        </w:rPr>
      </w:pPr>
      <w:r>
        <w:rPr>
          <w:rFonts w:ascii="Arial" w:cs="Arial" w:eastAsia="Arial" w:hAnsi="Arial"/>
          <w:sz w:val="18"/>
          <w:szCs w:val="18"/>
          <w:color w:val="auto"/>
        </w:rPr>
        <w:t>Date: August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40"/>
          </w:cols>
          <w:pgMar w:left="240" w:top="459" w:right="9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1320"/>
          </w:cols>
          <w:pgMar w:left="240" w:top="459" w:right="33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514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Amended and Restated Certificate of Incorporation.</w:t>
            </w:r>
          </w:p>
        </w:tc>
      </w:tr>
      <w:tr>
        <w:trPr>
          <w:trHeight w:val="742"/>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7"/>
              </w:rPr>
              <w:t>Certificate of Amendment of Amended and Restated Certificate of</w:t>
            </w:r>
          </w:p>
        </w:tc>
      </w:tr>
      <w:tr>
        <w:trPr>
          <w:trHeight w:val="230"/>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Incorporation.</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3.3</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8"/>
              </w:rPr>
              <w:t>Certification of Principal Executive Officer pursuant to Rules 13a-</w:t>
            </w:r>
          </w:p>
        </w:tc>
      </w:tr>
      <w:tr>
        <w:trPr>
          <w:trHeight w:val="216"/>
        </w:trPr>
        <w:tc>
          <w:tcPr>
            <w:tcW w:w="88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14(a) and 15d-14(a), as adopted pursuant to Section 302 of the</w:t>
            </w:r>
          </w:p>
        </w:tc>
      </w:tr>
      <w:tr>
        <w:trPr>
          <w:trHeight w:val="230"/>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Sarbanes-Oxley Act of 2002.</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2"/>
              </w:rPr>
              <w:t>Certification of Principal Financial Officer pursuant to Rules 13a-14(a)</w:t>
            </w:r>
          </w:p>
        </w:tc>
      </w:tr>
      <w:tr>
        <w:trPr>
          <w:trHeight w:val="216"/>
        </w:trPr>
        <w:tc>
          <w:tcPr>
            <w:tcW w:w="88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3"/>
              </w:rPr>
              <w:t>and 15d-14(a), as adopted pursuant to Section 302 of the Sarbanes-</w:t>
            </w:r>
          </w:p>
        </w:tc>
      </w:tr>
      <w:tr>
        <w:trPr>
          <w:trHeight w:val="230"/>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Certification of Principal Executive Officer pursuant to 18 U.S.C.</w:t>
            </w:r>
          </w:p>
        </w:tc>
      </w:tr>
      <w:tr>
        <w:trPr>
          <w:trHeight w:val="216"/>
        </w:trPr>
        <w:tc>
          <w:tcPr>
            <w:tcW w:w="88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5"/>
              </w:rPr>
              <w:t>Section 1350, as adopted pursuant to Section 906 of the Sarbanes-</w:t>
            </w:r>
          </w:p>
        </w:tc>
      </w:tr>
      <w:tr>
        <w:trPr>
          <w:trHeight w:val="230"/>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 ††</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88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5"/>
              </w:rPr>
              <w:t>Section 1350, as adopted pursuant to Section 906 of the Sarbanes-</w:t>
            </w:r>
          </w:p>
        </w:tc>
      </w:tr>
      <w:tr>
        <w:trPr>
          <w:trHeight w:val="230"/>
        </w:trPr>
        <w:tc>
          <w:tcPr>
            <w:tcW w:w="88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 ††</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31813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Incorporated by reference to Appendix A to University’s Definitive Proxy Statement filed with the SEC on April 29, 2016.</w:t>
      </w:r>
    </w:p>
    <w:p>
      <w:pPr>
        <w:spacing w:after="0" w:line="3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sz w:val="20"/>
          <w:szCs w:val="20"/>
          <w:color w:val="auto"/>
        </w:rPr>
      </w:pPr>
    </w:p>
    <w:p>
      <w:pPr>
        <w:sectPr>
          <w:pgSz w:w="11900" w:h="16838" w:orient="portrait"/>
          <w:cols w:equalWidth="0" w:num="2">
            <w:col w:w="6200" w:space="200"/>
            <w:col w:w="4920"/>
          </w:cols>
          <w:pgMar w:left="240" w:top="459" w:right="339" w:bottom="1440" w:gutter="0" w:footer="0" w:header="0"/>
          <w:type w:val="continuous"/>
        </w:sectPr>
      </w:pPr>
    </w:p>
    <w:p>
      <w:pPr>
        <w:spacing w:after="0" w:line="29" w:lineRule="exact"/>
        <w:rPr>
          <w:sz w:val="20"/>
          <w:szCs w:val="20"/>
          <w:color w:val="auto"/>
        </w:rPr>
      </w:pPr>
    </w:p>
    <w:p>
      <w:pPr>
        <w:ind w:left="460" w:right="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2016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4, 2016</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June 30, 2016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4, 2016</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June 30, 2016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June 30, 2016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362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 Accounting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2019-12-29T10:52:31Z</dcterms:created>
  <dcterms:modified xsi:type="dcterms:W3CDTF">2019-12-29T10:52:31Z</dcterms:modified>
</cp:coreProperties>
</file>