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19, 2025</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840" w:right="999" w:bottom="1440" w:gutter="0" w:footer="0" w:header="0"/>
        </w:sectPr>
      </w:pPr>
    </w:p>
    <w:p>
      <w:pPr>
        <w:spacing w:after="0" w:line="17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001-34211</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20-3356009</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20" w:space="720"/>
            <w:col w:w="2480" w:space="720"/>
            <w:col w:w="2880"/>
          </w:cols>
          <w:pgMar w:left="980" w:top="840" w:right="9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2600 W. Camelback Road</w:t>
      </w:r>
    </w:p>
    <w:p>
      <w:pPr>
        <w:spacing w:after="0" w:line="31" w:lineRule="exact"/>
        <w:rPr>
          <w:sz w:val="24"/>
          <w:szCs w:val="24"/>
          <w:color w:val="auto"/>
        </w:rPr>
      </w:pPr>
    </w:p>
    <w:p>
      <w:pPr>
        <w:ind w:left="18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Phoenix, Arizona</w:t>
      </w:r>
      <w:r>
        <w:rPr>
          <w:sz w:val="20"/>
          <w:szCs w:val="20"/>
          <w:color w:val="auto"/>
        </w:rPr>
        <w:tab/>
      </w:r>
      <w:r>
        <w:rPr>
          <w:rFonts w:ascii="Times New Roman" w:cs="Times New Roman" w:eastAsia="Times New Roman" w:hAnsi="Times New Roman"/>
          <w:sz w:val="17"/>
          <w:szCs w:val="17"/>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920"/>
          </w:cols>
          <w:pgMar w:left="980" w:top="840" w:right="99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-127635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14"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1122680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565785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2.02. </w:t>
      </w:r>
      <w:r>
        <w:rPr>
          <w:rFonts w:ascii="Times New Roman" w:cs="Times New Roman" w:eastAsia="Times New Roman" w:hAnsi="Times New Roman"/>
          <w:sz w:val="18"/>
          <w:szCs w:val="18"/>
          <w:b w:val="1"/>
          <w:bCs w:val="1"/>
          <w:u w:val="single" w:color="auto"/>
          <w:color w:val="auto"/>
        </w:rPr>
        <w:t>Results of Operations and Financial Condition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February 19, 2025, the Company reported its results for the quarter ended December 31, 2024. The press release dated February 19, 2025 is furnished as Exhibit 99.1 to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8.01. </w:t>
      </w:r>
      <w:r>
        <w:rPr>
          <w:rFonts w:ascii="Times New Roman" w:cs="Times New Roman" w:eastAsia="Times New Roman" w:hAnsi="Times New Roman"/>
          <w:sz w:val="18"/>
          <w:szCs w:val="18"/>
          <w:b w:val="1"/>
          <w:bCs w:val="1"/>
          <w:u w:val="single" w:color="auto"/>
          <w:color w:val="auto"/>
        </w:rPr>
        <w:t>Other Events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January 29, 2025, the Board of Directors of Grand Canyon Education, Inc. approved a $200.0 million increase under its existing stock repurchase program, reflecting an aggregate authorization for share repurchases by the Company since the initiation of the program of $2,245.0 million. The current expiration date on the repurchase authorization by the Board of Directors is March 1, 2026. Repurchases occur at the Company’s discretion. Repurchases may be made in the open market or in privately negotiated transactions, pursuant to the applicable Securities and Exchange Commission rules.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9.01. </w:t>
      </w:r>
      <w:r>
        <w:rPr>
          <w:rFonts w:ascii="Times New Roman" w:cs="Times New Roman" w:eastAsia="Times New Roman" w:hAnsi="Times New Roman"/>
          <w:sz w:val="18"/>
          <w:szCs w:val="18"/>
          <w:b w:val="1"/>
          <w:bCs w:val="1"/>
          <w:u w:val="single" w:color="auto"/>
          <w:color w:val="auto"/>
        </w:rPr>
        <w:t>Consolidated Financial Statements and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February 19, 2025</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Date File (imbedded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EXHIBIT INDEX</w:t>
            </w:r>
          </w:p>
        </w:tc>
      </w:tr>
      <w:tr>
        <w:trPr>
          <w:trHeight w:val="37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4"/>
                <w:szCs w:val="24"/>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February 19, 2025</w:t>
            </w: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0"/>
                <w:szCs w:val="20"/>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Date File (imbedded within the XBRL document)</w:t>
            </w:r>
          </w:p>
        </w:tc>
      </w:tr>
      <w:tr>
        <w:trPr>
          <w:trHeight w:val="993"/>
        </w:trPr>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66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GRAND CANYON EDUCATION, INC.</w:t>
            </w:r>
          </w:p>
        </w:tc>
      </w:tr>
      <w:tr>
        <w:trPr>
          <w:trHeight w:val="46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2025</w:t>
            </w:r>
          </w:p>
        </w:tc>
        <w:tc>
          <w:tcPr>
            <w:tcW w:w="66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Daniel E. Bachus</w:t>
            </w:r>
          </w:p>
        </w:tc>
      </w:tr>
      <w:tr>
        <w:trPr>
          <w:trHeight w:val="211"/>
        </w:trPr>
        <w:tc>
          <w:tcPr>
            <w:tcW w:w="3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 E. Bachus</w:t>
            </w:r>
          </w:p>
        </w:tc>
      </w:tr>
      <w:tr>
        <w:trPr>
          <w:trHeight w:val="230"/>
        </w:trPr>
        <w:tc>
          <w:tcPr>
            <w:tcW w:w="3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22"/>
        </w:trPr>
        <w:tc>
          <w:tcPr>
            <w:tcW w:w="3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E. Bachus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602-639-6648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Dan.bachus@gce.com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 REPORTS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QUARTER 2024 RESULTS</w:t>
      </w:r>
    </w:p>
    <w:p>
      <w:pPr>
        <w:spacing w:after="0" w:line="20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PHOENIX, AZ., February 19, 2025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Grand Canyon Education,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LOPE), (“GCE” or the “Company”),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publicly traded education services company that currently provides services to 22 university partners. GCE provides a full array of support services in the post-secondary education sector and has developed significant technological solutions, infrastructure and operational processes to provide superior services in these areas on a large scale. GCE today announced financial results for the quarter ended December 31,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17" w:right="1259" w:bottom="1440" w:gutter="0" w:footer="0" w:header="0"/>
        </w:sectPr>
      </w:pPr>
    </w:p>
    <w:bookmarkStart w:id="5" w:name="page6"/>
    <w:bookmarkEnd w:id="5"/>
    <w:p>
      <w:pPr>
        <w:ind w:right="404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Grand Canyon Education, Inc. Reports Fourth Quarter 2024 Results </w:t>
      </w:r>
      <w:r>
        <w:rPr>
          <w:rFonts w:ascii="Times New Roman" w:cs="Times New Roman" w:eastAsia="Times New Roman" w:hAnsi="Times New Roman"/>
          <w:sz w:val="18"/>
          <w:szCs w:val="18"/>
          <w:color w:val="auto"/>
        </w:rPr>
        <w:t>For the three months ended December 31, 2024:</w:t>
      </w:r>
    </w:p>
    <w:p>
      <w:pPr>
        <w:spacing w:after="0" w:line="11" w:lineRule="exact"/>
        <w:rPr>
          <w:sz w:val="20"/>
          <w:szCs w:val="20"/>
          <w:color w:val="auto"/>
        </w:rPr>
      </w:pPr>
    </w:p>
    <w:p>
      <w:pPr>
        <w:ind w:left="640" w:hanging="323"/>
        <w:spacing w:after="0" w:line="25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for the three months ended December 31, 2024 was $292.6 million, an increase of $14.3 million, or 5.1%, as compared to service revenue of $278.3 million for the three months ended December 31, 2023. The increase year over year in service revenue was primarily due to an increase in enrollments at Grand Canyon University, our largest university partner (“GCU”), to 123,149 at December 31, 2024, an increase of 5.0% over enrollments at December 31, 2023, and an increase in revenue per student year over year. The increase in revenue per student between years is primarily due to service revenue per student for Accelerated Bachelor of Science in Nursing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 Additionally, we earned revenue in 2024 with a university partner in which we helped the partner develop an ABSN program under a cost plus arrangement. We will earn limited revenue with this partner going forward. The revenue per student in the three months ended December 31, 2024 was negatively impacted due to the timing of the Fall semester for GCU’s ground traditional campus. The Fall semester at GCU started two days earlier in 2024 than in 2023, which had the effect of shifting $2.2 million in service revenue from the fourth quarter of 2024 to the third quarter of 2024 in comparison to the prior year. Contract modifications for some of our university partners in which the revenue share percentage was reduced in exchange for us no longer reimbursing the partner for certain faculty costs and the termination of one university partner contract at the end of the Spring 2024 semester also had the effect of reducing revenue per student.</w:t>
      </w:r>
    </w:p>
    <w:p>
      <w:pPr>
        <w:spacing w:after="0" w:line="83" w:lineRule="exact"/>
        <w:rPr>
          <w:rFonts w:ascii="Times New Roman" w:cs="Times New Roman" w:eastAsia="Times New Roman" w:hAnsi="Times New Roman"/>
          <w:sz w:val="18"/>
          <w:szCs w:val="18"/>
          <w:color w:val="auto"/>
        </w:rPr>
      </w:pPr>
    </w:p>
    <w:p>
      <w:pPr>
        <w:ind w:left="640" w:right="20" w:hanging="323"/>
        <w:spacing w:after="0" w:line="253"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enrollments totaled 127,155 at December 31, 2024 as compared to 121,250 at December 31, 2023. University partner enrollments at our off-campus classroom and laboratory sites were 4,919, an increase of 9.8% over enrollments at December 31, 2023, which includes 913 and 510 GCU students at December 31, 2024 and 2023, respectively. Excluding sites closing in 2024 to new enrollments, total enrollments at our off-campus classroom and laboratory sites increased 14.9% between years. We opened five sites in the year ended December 31, 2023, and six sites in the year ended December 31, 2024 while closing one site, increasing the total number of these sites to 45 at December 31, 2024, which has also positively impacted the enrollment growth. Enrollments for GCU ground students were 24,552 at December 31, 2024 down from 25,209 at December 31, 2023 due to a small decline in traditional ground students year over year and the continued decline in professional studies students (working adults attending the university’s traditional campus at night), partially offset by an increase in ABSN students between years. GCU online enrollments were 98,597 at December 31, 2024, up from 92,070 at December 31, 2023, an increase of 7.1% between years.</w:t>
      </w:r>
    </w:p>
    <w:p>
      <w:pPr>
        <w:spacing w:after="0" w:line="83" w:lineRule="exact"/>
        <w:rPr>
          <w:rFonts w:ascii="Times New Roman" w:cs="Times New Roman" w:eastAsia="Times New Roman" w:hAnsi="Times New Roman"/>
          <w:sz w:val="18"/>
          <w:szCs w:val="18"/>
          <w:color w:val="auto"/>
        </w:rPr>
      </w:pPr>
    </w:p>
    <w:p>
      <w:pPr>
        <w:ind w:left="640" w:right="200" w:hanging="323"/>
        <w:spacing w:after="0" w:line="26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three months ended December 31, 2024 was $100.0 million, an increase of $2.2 million, or 2.3%, as compared to $97.8 million for the same period in 2023. The operating margin for the three months ended December 31, 2024 and 2023 was 34.2% and 35.1%, respectively. The fourth quarter operating income and operating margin were negatively impacted on a year over year basis by impairment and other charges of $1.9 million.</w:t>
      </w:r>
    </w:p>
    <w:p>
      <w:pPr>
        <w:spacing w:after="0" w:line="179" w:lineRule="exact"/>
        <w:rPr>
          <w:rFonts w:ascii="Times New Roman" w:cs="Times New Roman" w:eastAsia="Times New Roman" w:hAnsi="Times New Roman"/>
          <w:sz w:val="18"/>
          <w:szCs w:val="18"/>
          <w:color w:val="auto"/>
        </w:rPr>
      </w:pPr>
    </w:p>
    <w:p>
      <w:pPr>
        <w:ind w:left="640" w:hanging="323"/>
        <w:spacing w:after="0" w:line="26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for the three months ended December 31, 2024 was $22.1 million, an increase of $2.0 million, or 10.1%, as compared to income tax expense of $20.1 million for the three months ended December 31, 2023. Our effective tax rate was 21.2% during the fourth quarter of 2024 compared to 19.9% during the fourth quarter of 2023. The effective tax rate increased year over year due to higher state income taxes.</w:t>
      </w:r>
    </w:p>
    <w:p>
      <w:pPr>
        <w:spacing w:after="0" w:line="179" w:lineRule="exact"/>
        <w:rPr>
          <w:rFonts w:ascii="Times New Roman" w:cs="Times New Roman" w:eastAsia="Times New Roman" w:hAnsi="Times New Roman"/>
          <w:sz w:val="18"/>
          <w:szCs w:val="18"/>
          <w:color w:val="auto"/>
        </w:rPr>
      </w:pPr>
    </w:p>
    <w:p>
      <w:pPr>
        <w:ind w:left="640" w:right="20" w:hanging="323"/>
        <w:spacing w:after="0" w:line="26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three months ended December 31, 2024 was $81.9 million, an increase of $1.2 million, or 1.4% as compared to $80.7 million for the same period in 2023. As adjusted net income was $85.1 million and $82.5 million for the fourth quarters of 2024 and 2023, respectively.</w:t>
      </w:r>
    </w:p>
    <w:p>
      <w:pPr>
        <w:spacing w:after="0" w:line="175" w:lineRule="exact"/>
        <w:rPr>
          <w:rFonts w:ascii="Times New Roman" w:cs="Times New Roman" w:eastAsia="Times New Roman" w:hAnsi="Times New Roman"/>
          <w:sz w:val="18"/>
          <w:szCs w:val="18"/>
          <w:color w:val="auto"/>
        </w:rPr>
      </w:pPr>
    </w:p>
    <w:p>
      <w:pPr>
        <w:ind w:left="640" w:right="220" w:hanging="323"/>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share was $2.84 and $2.71 for the fourth quarters of 2024 and 2023, respectively. As adjusted diluted net income per share was $2.95 and $2.77 for the fourth quarters of 2024 and 2023, respectively.</w:t>
      </w:r>
    </w:p>
    <w:p>
      <w:pPr>
        <w:spacing w:after="0" w:line="161" w:lineRule="exact"/>
        <w:rPr>
          <w:rFonts w:ascii="Times New Roman" w:cs="Times New Roman" w:eastAsia="Times New Roman" w:hAnsi="Times New Roman"/>
          <w:sz w:val="18"/>
          <w:szCs w:val="18"/>
          <w:color w:val="auto"/>
        </w:rPr>
      </w:pPr>
    </w:p>
    <w:p>
      <w:pPr>
        <w:ind w:left="640" w:right="160" w:hanging="323"/>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5.1% to $116.6 million for the fourth quarter of 2024, compared to $110.9 million for the same period in 2023.</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40"/>
          </w:cols>
          <w:pgMar w:left="1260" w:top="117" w:right="1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For the year ended December 31, 2024:</w:t>
      </w:r>
    </w:p>
    <w:p>
      <w:pPr>
        <w:spacing w:after="0" w:line="225" w:lineRule="exact"/>
        <w:rPr>
          <w:sz w:val="20"/>
          <w:szCs w:val="20"/>
          <w:color w:val="auto"/>
        </w:rPr>
      </w:pPr>
    </w:p>
    <w:p>
      <w:pPr>
        <w:ind w:left="640" w:right="160" w:hanging="323"/>
        <w:spacing w:after="0" w:line="272" w:lineRule="auto"/>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revenue for the year ended December 31, 2024 was $1,033.0 million, an increase of $72.1 million, or 7.5%, as compared to service revenue of $960.9 million for the year ended December 31, 2023. The increase year over year in service revenue was primarily due to an increase in GCU enrollments to 123,149 at December 31, 2024, an increase of</w:t>
      </w:r>
    </w:p>
    <w:p>
      <w:pPr>
        <w:spacing w:after="0" w:line="1" w:lineRule="exact"/>
        <w:rPr>
          <w:rFonts w:ascii="Times New Roman" w:cs="Times New Roman" w:eastAsia="Times New Roman" w:hAnsi="Times New Roman"/>
          <w:sz w:val="17"/>
          <w:szCs w:val="17"/>
          <w:color w:val="auto"/>
        </w:rPr>
      </w:pPr>
    </w:p>
    <w:p>
      <w:pPr>
        <w:ind w:left="640"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5.0% over enrollments at December 31, 2023. The increase in revenue per student between years is primarily due to the service revenue per student for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 The increase in revenue per student in the year ended December 31, 2024 was also due to the additional day for leap year in 2024 which added additional service revenue of $1.5 million as compared to the prior year and we earned revenue in 2024 with a university partner in which we helped the partner develop an ABSN program under a cost plus arrangement. We will earn limited revenue with this partner going forward. Contract modifications for some of our university partners in which the revenue share percentage was reduced in exchange for us no longer reimbursing the partner for certain faculty costs and the termination of one university partner contract at the end of the Spring 2024 semester had the effect of reducing revenue per student.</w:t>
      </w:r>
    </w:p>
    <w:p>
      <w:pPr>
        <w:spacing w:after="0" w:line="192" w:lineRule="exact"/>
        <w:rPr>
          <w:rFonts w:ascii="Times New Roman" w:cs="Times New Roman" w:eastAsia="Times New Roman" w:hAnsi="Times New Roman"/>
          <w:sz w:val="17"/>
          <w:szCs w:val="17"/>
          <w:color w:val="auto"/>
        </w:rPr>
      </w:pPr>
    </w:p>
    <w:p>
      <w:pPr>
        <w:ind w:left="640" w:hanging="323"/>
        <w:spacing w:after="0" w:line="25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year ended December 31, 2024 was $275.4 million, an increase of $26.1 million, or 10.5%, as compared to $249.3 million for the same period in 2023. The operating margin for the year ended December 31, 2024 and 2023 was 26.7% and 25.9%, respectively. The year ended December 31, 2024 operating income and operating margin were positively impacted on a year over year basis by an extra day in 2024 for leap year and were negatively impacted by $1.1 million recorded in the second quarter related to an executive that resigned effective June 30, 2024 and by impairment and other charges of $1.9 million.</w:t>
      </w:r>
    </w:p>
    <w:p>
      <w:pPr>
        <w:spacing w:after="0" w:line="187" w:lineRule="exact"/>
        <w:rPr>
          <w:rFonts w:ascii="Times New Roman" w:cs="Times New Roman" w:eastAsia="Times New Roman" w:hAnsi="Times New Roman"/>
          <w:sz w:val="18"/>
          <w:szCs w:val="18"/>
          <w:color w:val="auto"/>
        </w:rPr>
      </w:pPr>
    </w:p>
    <w:p>
      <w:pPr>
        <w:ind w:left="640" w:right="20" w:hanging="323"/>
        <w:spacing w:after="0" w:line="26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for the year ended December 31, 2024 was $65.1 million, an increase of $10.4 million, or 19.0%, as compared to income tax expense of $54.7 million for the year ended December 31, 2023. Our effective tax rate was</w:t>
      </w:r>
    </w:p>
    <w:p>
      <w:pPr>
        <w:ind w:left="640"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 during the year ended December 31, 2024 compared to 21.1% during the year ended December 31, 2023. The increase in the effective tax rate between years is due to higher state income taxes partially offset by an increase in excess tax benefits from $0.9 million in the year ended December 31, 2023 to $1.5 million in the year ended December 31, 2024 and an increase in the contributions made in lieu of state income taxes from $3.5 million in the year ended December 31, 2023 to $4.5 million in the year ended December 31, 2024.</w:t>
      </w:r>
    </w:p>
    <w:p>
      <w:pPr>
        <w:spacing w:after="0" w:line="186" w:lineRule="exact"/>
        <w:rPr>
          <w:rFonts w:ascii="Times New Roman" w:cs="Times New Roman" w:eastAsia="Times New Roman" w:hAnsi="Times New Roman"/>
          <w:sz w:val="18"/>
          <w:szCs w:val="18"/>
          <w:color w:val="auto"/>
        </w:rPr>
      </w:pPr>
    </w:p>
    <w:p>
      <w:pPr>
        <w:ind w:left="640" w:right="20" w:hanging="323"/>
        <w:spacing w:after="0" w:line="26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year ended December 31, 2024 was $226.2 million, an increase of $21.2 million, or 10.4%, as compared to $205.0 million for the same period in 2023. As adjusted net income was $235.2 million and $212.2 million for the years ended December 31, 2024 and 2023, respectively.</w:t>
      </w:r>
    </w:p>
    <w:p>
      <w:pPr>
        <w:spacing w:after="0" w:line="175" w:lineRule="exact"/>
        <w:rPr>
          <w:rFonts w:ascii="Times New Roman" w:cs="Times New Roman" w:eastAsia="Times New Roman" w:hAnsi="Times New Roman"/>
          <w:sz w:val="18"/>
          <w:szCs w:val="18"/>
          <w:color w:val="auto"/>
        </w:rPr>
      </w:pPr>
    </w:p>
    <w:p>
      <w:pPr>
        <w:ind w:left="640" w:right="220" w:hanging="323"/>
        <w:spacing w:after="0" w:line="26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share was $7.73 and $6.80 for the years ended December 31, 2024 and 2023, respectively. As adjusted diluted net income per share was $8.04 and $7.04 for the years ended December 31, 2024 and 2023, respectively.</w:t>
      </w:r>
    </w:p>
    <w:p>
      <w:pPr>
        <w:spacing w:after="0" w:line="175" w:lineRule="exact"/>
        <w:rPr>
          <w:rFonts w:ascii="Times New Roman" w:cs="Times New Roman" w:eastAsia="Times New Roman" w:hAnsi="Times New Roman"/>
          <w:sz w:val="18"/>
          <w:szCs w:val="18"/>
          <w:color w:val="auto"/>
        </w:rPr>
      </w:pPr>
    </w:p>
    <w:p>
      <w:pPr>
        <w:ind w:left="640" w:right="480" w:hanging="323"/>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12.5% to $340.0 million for the year ended December 31, 2024, compared to $302.3 million for the same period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liquidity position, as measured by cash and cash equivalents and investments increased by $80.1 million between December 31, 2023 and December 31, 2024, which was largely attributable to cash flows from operations for the year ended December 31, 2024 exceeding share repurchases, changes in our investment balances and capital expenditures during the year ended December 31, 2024. Our unrestricted cash and cash equivalents and investments were $324.6 million and $244.5 million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40"/>
          </w:cols>
          <w:pgMar w:left="1260" w:top="337" w:right="1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Plan</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GCE announced today that on January 29, 2025, the Company’s Board of Directors approved a $200.0 million increase under its existing stock repurchase program, reflecting an aggregate authorization for share repurchases by the Company since the initiation of the program of $2,245.0 million. The current expiration date on the repurchase authorization by the Board of Directors is March 1, 2026. As of February 14, 2025, there remained $261.9 million available under the current share repurchase authorization, which includes the increased authorization of $200.0 million. As of February 14, 2025, the Company had 28,724,845 shares of common stock outstanding. The plan permits the Company to make purchases in the open market at prevailing market prices or in privately negotiated transactions in compliance with applicable securities laws and other legal requirements. The level of purchase activity is subject to market conditions and other investment opportunities. The plan does not obligate GCE to acquire any particular amount of common stock and may be suspended or discontinued at any time. The repurchase program may be funded using the Company’s available cash, investments and positive operating cash flows.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(more)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19" w:right="12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Fourth Quarter 2024 Results and Full Year Outlook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Outlook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2025:</w:t>
      </w:r>
    </w:p>
    <w:p>
      <w:pPr>
        <w:spacing w:after="0" w:line="31" w:lineRule="exact"/>
        <w:rPr>
          <w:sz w:val="20"/>
          <w:szCs w:val="20"/>
          <w:color w:val="auto"/>
        </w:rPr>
      </w:pPr>
    </w:p>
    <w:p>
      <w:pPr>
        <w:ind w:left="640" w:hanging="32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$286.5 million and $287.5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30.0% and 30.2%;</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22.2%;</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of between $2.44 and $2.46;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28.6 million diluted shares.</w:t>
      </w:r>
    </w:p>
    <w:p>
      <w:pPr>
        <w:spacing w:after="0" w:line="9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$1.6 million, which equates to a $0.06 impact on diluted EPS. Thus, as adjusted, non-GAAP diluted income per share of between $2.50 and $2.52.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 2025:</w:t>
      </w:r>
    </w:p>
    <w:p>
      <w:pPr>
        <w:spacing w:after="0" w:line="31" w:lineRule="exact"/>
        <w:rPr>
          <w:sz w:val="20"/>
          <w:szCs w:val="20"/>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$236.5 million and $240.5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18.1% and 19.0%;</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24.9%;</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of between $1.22 and $1.30;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 million diluted shares.</w:t>
      </w:r>
    </w:p>
    <w:p>
      <w:pPr>
        <w:spacing w:after="0" w:line="99" w:lineRule="exact"/>
        <w:rPr>
          <w:sz w:val="20"/>
          <w:szCs w:val="20"/>
          <w:color w:val="auto"/>
        </w:rPr>
      </w:pPr>
    </w:p>
    <w:p>
      <w:pPr>
        <w:ind w:left="320" w:firstLine="324"/>
        <w:spacing w:after="0" w:line="312" w:lineRule="auto"/>
        <w:rPr>
          <w:sz w:val="20"/>
          <w:szCs w:val="20"/>
          <w:color w:val="auto"/>
        </w:rPr>
      </w:pPr>
      <w:r>
        <w:rPr>
          <w:rFonts w:ascii="Times New Roman" w:cs="Times New Roman" w:eastAsia="Times New Roman" w:hAnsi="Times New Roman"/>
          <w:sz w:val="17"/>
          <w:szCs w:val="17"/>
          <w:color w:val="auto"/>
        </w:rPr>
        <w:t>The diluted EPS guidance includes non-cash amortization of intangible assets net of taxes of $1.6 million, which equates to a $0.06 impact on diluted EPS. Thus, as adjusted, non-GAAP diluted income per share of between $1.28 and $1.36.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 2025:</w:t>
      </w:r>
    </w:p>
    <w:p>
      <w:pPr>
        <w:spacing w:after="0" w:line="31" w:lineRule="exact"/>
        <w:rPr>
          <w:sz w:val="20"/>
          <w:szCs w:val="20"/>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$250.5 million and $257.5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22.0% and 23.2%;</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24.9%;</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of between $1.55 and $1.68;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million diluted shares.</w:t>
      </w:r>
    </w:p>
    <w:p>
      <w:pPr>
        <w:spacing w:after="0" w:line="9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$1.6 million, which equates to a $0.06 impact on diluted EPS. Thus, as adjusted, non-GAAP diluted income per share of between $1.61 and $1.74.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2025:</w:t>
      </w:r>
    </w:p>
    <w:p>
      <w:pPr>
        <w:spacing w:after="0" w:line="31" w:lineRule="exact"/>
        <w:rPr>
          <w:sz w:val="20"/>
          <w:szCs w:val="20"/>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$301.0 million and $311.5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35.5% and 36.3%;</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24.1%;</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of between $2.99 and $3.16;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27.9 million diluted shares.</w:t>
      </w:r>
    </w:p>
    <w:p>
      <w:pPr>
        <w:spacing w:after="0" w:line="9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$1.6 million, which equates to a $0.06 impact on diluted EPS. Thus, as adjusted, non-GAAP diluted income per share of between $3.05 and $3.22.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w:t>
      </w:r>
    </w:p>
    <w:p>
      <w:pPr>
        <w:spacing w:after="0" w:line="31" w:lineRule="exact"/>
        <w:rPr>
          <w:sz w:val="20"/>
          <w:szCs w:val="20"/>
          <w:color w:val="auto"/>
        </w:rPr>
      </w:pPr>
    </w:p>
    <w:p>
      <w:pPr>
        <w:ind w:left="640" w:hanging="32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$1,074.5 million and $1,097.0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27.1% and 27.9%;</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23.8%;</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between $8.20 and $8.59;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 million diluted shares.</w:t>
      </w:r>
    </w:p>
    <w:p>
      <w:pPr>
        <w:spacing w:after="0" w:line="9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$6.4 million, which equates to a $0.23 impact on diluted EPS. Thus, as adjusted, non-GAAP diluted income per share of between $8.43 and $8.82.</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40"/>
          </w:cols>
          <w:pgMar w:left="1260" w:top="117" w:right="1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8" w:lineRule="exact"/>
        <w:rPr>
          <w:sz w:val="20"/>
          <w:szCs w:val="20"/>
          <w:color w:val="auto"/>
        </w:rPr>
      </w:pPr>
    </w:p>
    <w:p>
      <w:pPr>
        <w:ind w:right="80" w:firstLine="648"/>
        <w:spacing w:after="0" w:line="233"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Federal securities laws which include information relating to future events, future financial performance, strategies expectations, competitive environment, regulation, and availability of resources. These forward-looking statements include, without limitation, statements regarding: proposed new programs; whether regulatory, economic, or business developments or other matters may or may not have a material adverse effect on our financial position, results of operations, or liquidity; projections, predictions, expectations, estimates, and forecasts as to our business, financial and operating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spacing w:after="0" w:line="122"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 (i) legal and regulatory actions taken against us related to our services business, or against our university partners that impact their businesses and that directly or indirectly reduce the service revenue we can earn under our master services agreements; (ii) the occurrence of any event, change or other circumstance that could give rise to the termination of any of the key university partner agreements; (iii) 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 (iv) our ability to comply with the extensive regulatory framework applicable to us either directly as a third-party service provider or indirectly through our university partners; (v) our ability to manage risks associated with epidemics, pandemics, or public health crises; (vi) our ability to manage risks resulting from system disruptions, interruptions, or outages associated with our technology platforms or those of third-party service providers; (vii) the ability of our university partners’ students to obtain federal Title IV funds, state financial aid, and private financing; (viii) potential damage to our reputation or other adverse effects as a result of negative publicity in the media, in the industry or in connection with governmental reports or investigations or otherwise; (ix) risks associated with changes in applicable federal and state laws and regulations and accrediting commission standards; (x) competition from other education service companies in our geographic region and market sector; (xi) our ability to hire and train new, and develop and train existing employees; (xii) the pace of growth of our university partners’ enrollment and its effect on the pace of our own growth; (xiii) fluctuations in our revenues due to seasonality; (xiv) our ability to, on behalf of our university partners, convert prospective students to enrolled students and to retain active students to graduation; and (xv) other risks and uncertainties identified from time to time in documents filed with the Securities and Exchange Commission (the “SEC”) by us.</w:t>
      </w:r>
    </w:p>
    <w:p>
      <w:pPr>
        <w:spacing w:after="0" w:line="18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 This press release should be read in conjunction with the information included in our other press releases, reports and other filings with the SEC. Understanding the information contained in these filings is important in order to fully understand GCE’s reported financial results and our business outlook for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17" w:right="1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Fourth Quarter 2024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Grand Canyon Education, Inc. will discuss its fourth quarter 2024 results and full year 2025 outlook during a conference call scheduled for today, February 19, 2025 at 4:30 p.m. Eastern time (ET).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333333"/>
        </w:rPr>
        <w:t>Live Conference Dial-In:</w:t>
      </w:r>
    </w:p>
    <w:p>
      <w:pPr>
        <w:spacing w:after="0" w:line="256"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333333"/>
        </w:rPr>
        <w:t xml:space="preserve">Those interested in participating in the question-and-answer session should follow the conference dial-in instructions below. Participants may register for the call </w:t>
      </w:r>
      <w:r>
        <w:rPr>
          <w:rFonts w:ascii="Times New Roman" w:cs="Times New Roman" w:eastAsia="Times New Roman" w:hAnsi="Times New Roman"/>
          <w:sz w:val="18"/>
          <w:szCs w:val="18"/>
          <w:color w:val="0000FF"/>
        </w:rPr>
        <w:t>here</w:t>
      </w:r>
      <w:r>
        <w:rPr>
          <w:rFonts w:ascii="Times New Roman" w:cs="Times New Roman" w:eastAsia="Times New Roman" w:hAnsi="Times New Roman"/>
          <w:sz w:val="18"/>
          <w:szCs w:val="18"/>
          <w:color w:val="333333"/>
        </w:rPr>
        <w:t xml:space="preserve"> to receive the dial-in numbers and unique PIN to access the call seamlessly. Please dial in at least ten minutes prior to the start of the call. Journalists are invited to listen only.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333333"/>
        </w:rPr>
        <w:t>Webcast and Replay:</w:t>
      </w:r>
    </w:p>
    <w:p>
      <w:pPr>
        <w:spacing w:after="0" w:line="268"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333333"/>
        </w:rPr>
        <w:t xml:space="preserve">Investors, journalists and the general public may access a live webcast of this event at: </w:t>
      </w:r>
      <w:r>
        <w:rPr>
          <w:rFonts w:ascii="Times New Roman" w:cs="Times New Roman" w:eastAsia="Times New Roman" w:hAnsi="Times New Roman"/>
          <w:sz w:val="18"/>
          <w:szCs w:val="18"/>
          <w:i w:val="1"/>
          <w:iCs w:val="1"/>
          <w:color w:val="337AB7"/>
        </w:rPr>
        <w:t>Q4 2024 Grand Canyon</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i w:val="1"/>
          <w:iCs w:val="1"/>
          <w:color w:val="337AB7"/>
        </w:rPr>
        <w:t>Education Inc. Earnings Conference Call</w:t>
      </w:r>
      <w:r>
        <w:rPr>
          <w:rFonts w:ascii="Times New Roman" w:cs="Times New Roman" w:eastAsia="Times New Roman" w:hAnsi="Times New Roman"/>
          <w:sz w:val="18"/>
          <w:szCs w:val="18"/>
          <w:i w:val="1"/>
          <w:iCs w:val="1"/>
          <w:color w:val="333333"/>
        </w:rPr>
        <w:t>.</w:t>
      </w:r>
      <w:r>
        <w:rPr>
          <w:rFonts w:ascii="Times New Roman" w:cs="Times New Roman" w:eastAsia="Times New Roman" w:hAnsi="Times New Roman"/>
          <w:sz w:val="18"/>
          <w:szCs w:val="18"/>
          <w:i w:val="1"/>
          <w:iCs w:val="1"/>
          <w:color w:val="337AB7"/>
        </w:rPr>
        <w:t xml:space="preserve"> </w:t>
      </w:r>
      <w:r>
        <w:rPr>
          <w:rFonts w:ascii="Times New Roman" w:cs="Times New Roman" w:eastAsia="Times New Roman" w:hAnsi="Times New Roman"/>
          <w:sz w:val="18"/>
          <w:szCs w:val="18"/>
          <w:color w:val="333333"/>
        </w:rPr>
        <w:t>A webcast replay will be available approximately two hours following the conclusion</w:t>
      </w:r>
      <w:r>
        <w:rPr>
          <w:rFonts w:ascii="Times New Roman" w:cs="Times New Roman" w:eastAsia="Times New Roman" w:hAnsi="Times New Roman"/>
          <w:sz w:val="18"/>
          <w:szCs w:val="18"/>
          <w:i w:val="1"/>
          <w:iCs w:val="1"/>
          <w:color w:val="337AB7"/>
        </w:rPr>
        <w:t xml:space="preserve"> </w:t>
      </w:r>
      <w:r>
        <w:rPr>
          <w:rFonts w:ascii="Times New Roman" w:cs="Times New Roman" w:eastAsia="Times New Roman" w:hAnsi="Times New Roman"/>
          <w:sz w:val="18"/>
          <w:szCs w:val="18"/>
          <w:color w:val="333333"/>
        </w:rPr>
        <w:t>of the call at the same link.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Grand Canyon Education, Inc.</w:t>
      </w:r>
    </w:p>
    <w:p>
      <w:pPr>
        <w:spacing w:after="0" w:line="32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Grand Canyon Education, Inc. (“GCE”), incorporated in 2008, is a publicly traded education services company that currently provides services to 22 university partners. GCE is uniquely positioned in the education services industry in that its leadership has over 30 years of proven expertise in providing a full array of support services in the post-secondary education sector and has developed significant technological solutions, infrastructure and operational processes to provide superior services in these areas on a large scale. GCE provides services that support students, faculty and staff of partner institutions such as marketing, strategic enrollment management, counseling services, financial services, technology, technical support, compliance, human resources, classroom operations, content development, faculty recruitment and training, among others. For more information about GCE visit the Company's website at www.gce.com.</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Grand Canyon Education, Inc., 2600 W. Camelback Road, Phoenix, AZ 85017, </w:t>
      </w:r>
      <w:r>
        <w:rPr>
          <w:rFonts w:ascii="Times New Roman" w:cs="Times New Roman" w:eastAsia="Times New Roman" w:hAnsi="Times New Roman"/>
          <w:sz w:val="18"/>
          <w:szCs w:val="18"/>
          <w:b w:val="1"/>
          <w:bCs w:val="1"/>
          <w:color w:val="auto"/>
        </w:rPr>
        <w:t>www.gce.com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20"/>
          </w:cols>
          <w:pgMar w:left="1260" w:top="117" w:right="1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Fourth Quarter 2024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840" w:type="dxa"/>
            <w:vAlign w:val="bottom"/>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20" w:type="dxa"/>
            <w:vAlign w:val="bottom"/>
            <w:gridSpan w:val="4"/>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02"/>
        </w:trPr>
        <w:tc>
          <w:tcPr>
            <w:tcW w:w="39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15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292,573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278,284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1,033,002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960,899</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and academic services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154,870</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Counseling services and support</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302,319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Marketing and communication</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202,800</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Impairment and other</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5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180,485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757,603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711,643</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249,256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Investment interest and other</w:t>
            </w:r>
          </w:p>
        </w:tc>
        <w:tc>
          <w:tcPr>
            <w:tcW w:w="15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259,675</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65,081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54,690</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204,985</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15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vMerge w:val="continue"/>
          </w:tcPr>
          <w:p>
            <w:pPr>
              <w:spacing w:after="0"/>
              <w:rPr>
                <w:sz w:val="20"/>
                <w:szCs w:val="20"/>
                <w:color w:val="auto"/>
              </w:rPr>
            </w:pPr>
          </w:p>
        </w:tc>
        <w:tc>
          <w:tcPr>
            <w:tcW w:w="15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2.71</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7.73</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197"/>
        </w:trPr>
        <w:tc>
          <w:tcPr>
            <w:tcW w:w="3920" w:type="dxa"/>
            <w:vAlign w:val="bottom"/>
            <w:tcBorders>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Basic weighted average shares outstanding</w:t>
            </w:r>
          </w:p>
        </w:tc>
        <w:tc>
          <w:tcPr>
            <w:tcW w:w="1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28,677</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29,555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29,104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29,991</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Diluted weighted average shares outstanding</w:t>
            </w: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28,872</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29,761</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29,271</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30,147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17" w:right="12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Fourth Quarter 2024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par value)</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ind w:left="2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324,623</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146,475</w:t>
            </w:r>
          </w:p>
        </w:tc>
        <w:tc>
          <w:tcPr>
            <w:tcW w:w="0" w:type="dxa"/>
            <w:vAlign w:val="bottom"/>
          </w:tcPr>
          <w:p>
            <w:pPr>
              <w:spacing w:after="0"/>
              <w:rPr>
                <w:sz w:val="1"/>
                <w:szCs w:val="1"/>
                <w:color w:val="auto"/>
              </w:rPr>
            </w:pPr>
          </w:p>
        </w:tc>
      </w:tr>
      <w:tr>
        <w:trPr>
          <w:trHeight w:val="216"/>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78,811</w:t>
            </w:r>
          </w:p>
        </w:tc>
        <w:tc>
          <w:tcPr>
            <w:tcW w:w="0" w:type="dxa"/>
            <w:vAlign w:val="bottom"/>
          </w:tcPr>
          <w:p>
            <w:pPr>
              <w:spacing w:after="0"/>
              <w:rPr>
                <w:sz w:val="1"/>
                <w:szCs w:val="1"/>
                <w:color w:val="auto"/>
              </w:rPr>
            </w:pPr>
          </w:p>
        </w:tc>
      </w:tr>
      <w:tr>
        <w:trPr>
          <w:trHeight w:val="216"/>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419,976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337,522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169,699</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168,381</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49"/>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1,018,425</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930,463</w:t>
            </w: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13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17,676</w:t>
            </w:r>
          </w:p>
        </w:tc>
        <w:tc>
          <w:tcPr>
            <w:tcW w:w="0" w:type="dxa"/>
            <w:vAlign w:val="bottom"/>
          </w:tcPr>
          <w:p>
            <w:pPr>
              <w:spacing w:after="0"/>
              <w:rPr>
                <w:sz w:val="1"/>
                <w:szCs w:val="1"/>
                <w:color w:val="auto"/>
              </w:rPr>
            </w:pPr>
          </w:p>
        </w:tc>
      </w:tr>
      <w:tr>
        <w:trPr>
          <w:trHeight w:val="216"/>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26,725</w:t>
            </w:r>
          </w:p>
        </w:tc>
        <w:tc>
          <w:tcPr>
            <w:tcW w:w="0" w:type="dxa"/>
            <w:vAlign w:val="bottom"/>
          </w:tcPr>
          <w:p>
            <w:pPr>
              <w:spacing w:after="0"/>
              <w:rPr>
                <w:sz w:val="1"/>
                <w:szCs w:val="1"/>
                <w:color w:val="auto"/>
              </w:rPr>
            </w:pPr>
          </w:p>
        </w:tc>
      </w:tr>
      <w:tr>
        <w:trPr>
          <w:trHeight w:val="216"/>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97,033</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95,635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88,257</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234,572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212,449</w:t>
            </w: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 shares authorized; 0 shares issued and outstanding</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2024 and December 31, 2023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 shares authorized; 54,090 and 53,970 shares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28,858 and 29,953 shares outstanding at December 31, 2024 and December 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respectively</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198"/>
        </w:trPr>
        <w:tc>
          <w:tcPr>
            <w:tcW w:w="6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25,232 and 24,017 shares of common stock at December 31, 2024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(2,024,370)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(1,849,693)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336,736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322,512</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2,470,946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2,244,712</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783,853</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718,014</w:t>
            </w:r>
          </w:p>
        </w:tc>
        <w:tc>
          <w:tcPr>
            <w:tcW w:w="0" w:type="dxa"/>
            <w:vAlign w:val="bottom"/>
          </w:tcPr>
          <w:p>
            <w:pPr>
              <w:spacing w:after="0"/>
              <w:rPr>
                <w:sz w:val="1"/>
                <w:szCs w:val="1"/>
                <w:color w:val="auto"/>
              </w:rPr>
            </w:pPr>
          </w:p>
        </w:tc>
      </w:tr>
      <w:tr>
        <w:trPr>
          <w:trHeight w:val="209"/>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1,018,425</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930,463</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60"/>
          </w:cols>
          <w:pgMar w:left="1260" w:top="117" w:right="1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Fourth Quarter 2024 Results</w:t>
      </w:r>
    </w:p>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060" w:type="dxa"/>
            <w:vAlign w:val="bottom"/>
          </w:tcPr>
          <w:p>
            <w:pPr>
              <w:jc w:val="center"/>
              <w:ind w:left="219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226,234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including impairment and fixed asset disposals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from university partners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and lease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receivable/payable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289,958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investing activities: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Additions of amortizable content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Proceeds from sale or maturity of investments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147,619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Repurchase of common shares and shares withheld in lieu of income taxes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(173,175)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(173,175)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 and restricted cash</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beginning of period</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146,475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end of period</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324,623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paid for interest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ROU Asset and Liability recognition</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Excise tax on treasury stock repurchases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7080" w:type="dxa"/>
            <w:vAlign w:val="bottom"/>
            <w:gridSpan w:val="2"/>
          </w:tcPr>
          <w:p>
            <w:pPr>
              <w:jc w:val="right"/>
              <w:ind w:right="2211"/>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80"/>
          </w:cols>
          <w:pgMar w:left="1260" w:top="117" w:right="1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Fourth Quarter 2024 Results</w:t>
      </w:r>
    </w:p>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 (Non-GAAP Financial Measure)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Adjusted EBITDA is defined as net income plus interest expense, less interest income and other gain (loss) recognized on investments, plus income tax expense, and plus depreciation and amortization (EBITDA), as adjusted for (i) contributions to private Arizona school tuition organizations in lieu of the payment of state income taxes; (ii) share-based compensation, and (iii) unusual charges or gains, such as litigation and regulatory reserves, impairment charges and asset write-offs, severance costs, and exit or lease termination costs. 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19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92"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180" w:lineRule="exact"/>
        <w:rPr>
          <w:sz w:val="20"/>
          <w:szCs w:val="20"/>
          <w:color w:val="auto"/>
        </w:rPr>
      </w:pPr>
    </w:p>
    <w:p>
      <w:pPr>
        <w:ind w:left="640" w:hanging="32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expenditures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cash requirements for, our working capital requirements;</w:t>
      </w:r>
    </w:p>
    <w:p>
      <w:pPr>
        <w:spacing w:after="0" w:line="225"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or the cash required to replace assets that are being depreciated or amortized; and</w:t>
      </w:r>
    </w:p>
    <w:p>
      <w:pPr>
        <w:spacing w:after="0" w:line="225" w:lineRule="exact"/>
        <w:rPr>
          <w:rFonts w:ascii="Times New Roman" w:cs="Times New Roman" w:eastAsia="Times New Roman" w:hAnsi="Times New Roman"/>
          <w:sz w:val="18"/>
          <w:szCs w:val="18"/>
          <w:color w:val="auto"/>
        </w:rPr>
      </w:pPr>
    </w:p>
    <w:p>
      <w:pPr>
        <w:ind w:left="640" w:right="60" w:hanging="323"/>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reported results of earnings or charges resulting from the items for which we make adjustments to our EBITDA, as described above and set forth in the table below.</w:t>
      </w:r>
    </w:p>
    <w:p>
      <w:pPr>
        <w:spacing w:after="0" w:line="1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and reported under GAAP, or as an alternative to cash flow from operating activities or as a measure of our liquidity. We compensate for these limitations by relying primarily on our GAAP results and only use Adjusted EBITDA as a supplemental performance measure.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40"/>
          </w:cols>
          <w:pgMar w:left="1260" w:top="117" w:right="1299" w:bottom="1440" w:gutter="0" w:footer="0" w:header="0"/>
        </w:sectPr>
      </w:pPr>
    </w:p>
    <w:bookmarkStart w:id="15" w:name="page16"/>
    <w:bookmarkEnd w:id="15"/>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EBITDA, which is a non-GAAP measure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4"/>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72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172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78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vMerge w:val="continue"/>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1"/>
                <w:szCs w:val="11"/>
                <w:color w:val="auto"/>
              </w:rPr>
            </w:pPr>
          </w:p>
        </w:tc>
        <w:tc>
          <w:tcPr>
            <w:tcW w:w="172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 in thousands)</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$ 226,234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$ 204,985</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Plus: interest expense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investment interest and other</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Plus: income tax expense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65,081</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54,690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amortization of intangible assets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28,135</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23,554</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EBITDA</w:t>
            </w: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109,559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106,463</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311,953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281,229</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Plus: contributions in lieu of state income taxes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share-based compensation</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Plus: litigation and regulatory costs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impairment and other</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Plus: loss on fixed asset disposal</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severance costs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116,572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110,932</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$ 340,013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$ 302,302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 and Non-GAAP Diluted Income Per Share</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believes the presentation of non-GAAP net income and non-GAAP diluted income per share information that excludes amortization of intangible assets, impairment and other costs, loss on disposal of fixed assets and severance costs allows investors to develop a more meaningful understanding of the Company’s performance over time. Accordingly, for the three months and years ended December 31, 2024 and 2023, the table below provides reconciliations of these non-GAAP items to GAAP net income and GAAP diluted income per share, respectively: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6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3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160" w:type="dxa"/>
            <w:vAlign w:val="bottom"/>
            <w:gridSpan w:val="4"/>
          </w:tcPr>
          <w:p>
            <w:pPr>
              <w:ind w:left="560"/>
              <w:spacing w:after="0" w:line="129" w:lineRule="exact"/>
              <w:rPr>
                <w:sz w:val="20"/>
                <w:szCs w:val="20"/>
                <w:color w:val="auto"/>
              </w:rPr>
            </w:pPr>
            <w:r>
              <w:rPr>
                <w:rFonts w:ascii="Times New Roman" w:cs="Times New Roman" w:eastAsia="Times New Roman" w:hAnsi="Times New Roman"/>
                <w:sz w:val="14"/>
                <w:szCs w:val="14"/>
                <w:b w:val="1"/>
                <w:bCs w:val="1"/>
                <w:color w:val="auto"/>
              </w:rPr>
              <w:t>(Unaudited, in thousands</w:t>
            </w:r>
          </w:p>
        </w:tc>
        <w:tc>
          <w:tcPr>
            <w:tcW w:w="13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except per share data)</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0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81,879</w:t>
            </w: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80,709</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226,234</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impairment and other</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costs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effects of adjustments(1)</w:t>
            </w:r>
          </w:p>
        </w:tc>
        <w:tc>
          <w:tcPr>
            <w:tcW w:w="8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Non-GAAP Net income</w:t>
            </w:r>
          </w:p>
        </w:tc>
        <w:tc>
          <w:tcPr>
            <w:tcW w:w="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85,055</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82,527</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235,205</w:t>
            </w: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Diluted income per share</w:t>
            </w:r>
          </w:p>
        </w:tc>
        <w:tc>
          <w:tcPr>
            <w:tcW w:w="10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 (2)</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impairment and other (3)</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fixed assets (4)</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costs (5)</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Adjusted, Non-GAAP Diluted income per share</w:t>
            </w:r>
          </w:p>
        </w:tc>
        <w:tc>
          <w:tcPr>
            <w:tcW w:w="8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40" w:right="340" w:hanging="323"/>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effects of adjustments are based on the effective income tax rate applicable to adjusted (non-GAAP) results.</w:t>
      </w:r>
    </w:p>
    <w:p>
      <w:pPr>
        <w:spacing w:after="0" w:line="134" w:lineRule="exact"/>
        <w:rPr>
          <w:rFonts w:ascii="Times New Roman" w:cs="Times New Roman" w:eastAsia="Times New Roman" w:hAnsi="Times New Roman"/>
          <w:sz w:val="18"/>
          <w:szCs w:val="18"/>
          <w:color w:val="auto"/>
        </w:rPr>
      </w:pPr>
    </w:p>
    <w:p>
      <w:pPr>
        <w:jc w:val="both"/>
        <w:ind w:left="640" w:hanging="323"/>
        <w:spacing w:after="0" w:line="266"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acquired intangible assets per diluted share is net of an income tax benefit of $0.02 and $0.01 for the three months ended December 31, 2024 and 2023, respectively, and net of an income tax benefit of $0.06 for both of the years ended December 31, 2024 and 2023.</w:t>
      </w:r>
    </w:p>
    <w:p>
      <w:pPr>
        <w:spacing w:after="0" w:line="135" w:lineRule="exact"/>
        <w:rPr>
          <w:rFonts w:ascii="Times New Roman" w:cs="Times New Roman" w:eastAsia="Times New Roman" w:hAnsi="Times New Roman"/>
          <w:sz w:val="18"/>
          <w:szCs w:val="18"/>
          <w:color w:val="auto"/>
        </w:rPr>
      </w:pPr>
    </w:p>
    <w:p>
      <w:pPr>
        <w:ind w:left="640" w:right="760" w:hanging="323"/>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and other per diluted share is net of an income tax benefit of $0.01 for the three months ended December 31, 2024, and net of an income tax benefit of $0.01 for the year ended December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16" w:name="page17"/>
    <w:bookmarkEnd w:id="16"/>
    <w:p>
      <w:pPr>
        <w:ind w:left="460" w:hanging="323"/>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on disposal of fixed assets per diluted share is net of an income tax benefit of nil for both of the three months ended December 31, 2024 and 2023, and net of an income tax benefit of nil and $0.01 for the years ended December 31, 2024 and 2023, respectively.</w:t>
      </w:r>
    </w:p>
    <w:p>
      <w:pPr>
        <w:spacing w:after="0" w:line="135" w:lineRule="exact"/>
        <w:rPr>
          <w:rFonts w:ascii="Times New Roman" w:cs="Times New Roman" w:eastAsia="Times New Roman" w:hAnsi="Times New Roman"/>
          <w:sz w:val="18"/>
          <w:szCs w:val="18"/>
          <w:color w:val="auto"/>
        </w:rPr>
      </w:pPr>
    </w:p>
    <w:p>
      <w:pPr>
        <w:ind w:left="460" w:hanging="323"/>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costs per diluted share is net of an income tax benefit of $0.01 for the year ended December 31, 2024.</w:t>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360045</wp:posOffset>
            </wp:positionV>
            <wp:extent cx="59575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sectPr>
      <w:pgSz w:w="11900" w:h="16838" w:orient="portrait"/>
      <w:cols w:equalWidth="0" w:num="1">
        <w:col w:w="9120"/>
      </w:cols>
      <w:pgMar w:left="1440" w:top="121"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2025-02-19T15:20:47Z</dcterms:created>
  <dcterms:modified xsi:type="dcterms:W3CDTF">2025-02-19T15:20:47Z</dcterms:modified>
</cp:coreProperties>
</file>