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5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363220</wp:posOffset>
            </wp:positionH>
            <wp:positionV relativeFrom="page">
              <wp:posOffset>166370</wp:posOffset>
            </wp:positionV>
            <wp:extent cx="5925820" cy="260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8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363220</wp:posOffset>
            </wp:positionH>
            <wp:positionV relativeFrom="page">
              <wp:posOffset>200660</wp:posOffset>
            </wp:positionV>
            <wp:extent cx="59258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8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5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5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ind w:left="3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jc w:val="center"/>
        <w:ind w:right="5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5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ind w:left="2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Date of Report (Date of earliest event reported): May 18, 2010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ind w:right="5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Grand Canyon Education, Inc.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2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3480" w:type="dxa"/>
            <w:vAlign w:val="bottom"/>
            <w:gridSpan w:val="3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Delaware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jc w:val="right"/>
              <w:ind w:righ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001-34211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jc w:val="right"/>
              <w:ind w:right="9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20-3356009</w:t>
            </w:r>
          </w:p>
        </w:tc>
      </w:tr>
      <w:tr>
        <w:trPr>
          <w:trHeight w:val="195"/>
        </w:trPr>
        <w:tc>
          <w:tcPr>
            <w:tcW w:w="300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(State or other Jurisdiction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center"/>
              <w:ind w:right="3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(Commission File Number)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(IRS Employer Identification No.)</w:t>
            </w:r>
          </w:p>
        </w:tc>
      </w:tr>
      <w:tr>
        <w:trPr>
          <w:trHeight w:val="230"/>
        </w:trPr>
        <w:tc>
          <w:tcPr>
            <w:tcW w:w="3480" w:type="dxa"/>
            <w:vAlign w:val="bottom"/>
            <w:gridSpan w:val="3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Incorporation)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4"/>
        </w:trPr>
        <w:tc>
          <w:tcPr>
            <w:tcW w:w="3480" w:type="dxa"/>
            <w:vAlign w:val="bottom"/>
            <w:gridSpan w:val="3"/>
          </w:tcPr>
          <w:p>
            <w:pPr>
              <w:jc w:val="center"/>
              <w:ind w:left="10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3300 W. Camelback Road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4"/>
        </w:trPr>
        <w:tc>
          <w:tcPr>
            <w:tcW w:w="34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left="10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Phoenix, Arizona</w:t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19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85017</w:t>
            </w:r>
          </w:p>
        </w:tc>
      </w:tr>
      <w:tr>
        <w:trPr>
          <w:trHeight w:val="224"/>
        </w:trPr>
        <w:tc>
          <w:tcPr>
            <w:tcW w:w="46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jc w:val="center"/>
              <w:ind w:right="1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(Zip Code)</w:t>
            </w:r>
          </w:p>
        </w:tc>
      </w:tr>
    </w:tbl>
    <w:p>
      <w:pPr>
        <w:spacing w:after="0" w:line="400" w:lineRule="exact"/>
        <w:rPr>
          <w:sz w:val="24"/>
          <w:szCs w:val="24"/>
          <w:color w:val="auto"/>
        </w:rPr>
      </w:pPr>
    </w:p>
    <w:p>
      <w:pPr>
        <w:ind w:left="2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Registrant’s telephone number, including area code: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(602) 639-7500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jc w:val="center"/>
        <w:ind w:right="5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 if changed since last report.)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1555750</wp:posOffset>
            </wp:positionH>
            <wp:positionV relativeFrom="paragraph">
              <wp:posOffset>-130175</wp:posOffset>
            </wp:positionV>
            <wp:extent cx="281305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jc w:val="both"/>
        <w:ind w:right="559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Written communications pursuant to Rule 425 under the Securities Act (17 CFR 230.425)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Soliciting material pursuant to Rule 14a-12 under the Exchange Act (17 CFR 240.14a-12)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Pre-commencement communications pursuant to Rule 14d-2(b) under the Exchange Act (17 CFR 240.14d-2(b))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143510</wp:posOffset>
            </wp:positionV>
            <wp:extent cx="59258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8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160655</wp:posOffset>
            </wp:positionV>
            <wp:extent cx="5925820" cy="260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8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-212090</wp:posOffset>
            </wp:positionH>
            <wp:positionV relativeFrom="paragraph">
              <wp:posOffset>570230</wp:posOffset>
            </wp:positionV>
            <wp:extent cx="7250430" cy="21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879"/>
          </w:cols>
          <w:pgMar w:left="580" w:top="562" w:right="1440" w:bottom="1440" w:gutter="0" w:footer="0" w:header="0"/>
        </w:sectPr>
      </w:pPr>
    </w:p>
    <w:bookmarkStart w:id="1" w:name="page2"/>
    <w:bookmarkEnd w:id="1"/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Item 5.07. </w:t>
      </w: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Submission of Matters to a Vote of Security Holders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both"/>
        <w:ind w:left="340" w:right="1760" w:firstLine="2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May 18, 2010, Grand Canyon Education, Inc. (the “Company”) held its Annual Meeting of Stockholders (the “Meeting”). The total number of shares of the Company’s common stock, par value of $0.01 per share, voted in person or by proxy at the Meeting was 40,670,623, representing approximately 89% of the 45,702,415 shares outstanding and entitled to vote at the Meeting. The number of votes cast for, against or withheld, as well as abstentions and broker non-votes, if applicable, respect to each matter is set forth below.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left="960" w:hanging="358"/>
        <w:spacing w:after="0"/>
        <w:tabs>
          <w:tab w:leader="none" w:pos="9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proposal to elect the nominees listed below as Directors of the Company.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tbl>
      <w:tblPr>
        <w:tblLayout w:type="fixed"/>
        <w:tblInd w:w="3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7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Against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10"/>
        </w:trPr>
        <w:tc>
          <w:tcPr>
            <w:tcW w:w="714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Brent D. Richardson</w:t>
            </w:r>
          </w:p>
        </w:tc>
        <w:tc>
          <w:tcPr>
            <w:tcW w:w="142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34,286,252</w:t>
            </w:r>
          </w:p>
        </w:tc>
        <w:tc>
          <w:tcPr>
            <w:tcW w:w="76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954,573</w:t>
            </w:r>
          </w:p>
        </w:tc>
      </w:tr>
      <w:tr>
        <w:trPr>
          <w:trHeight w:val="216"/>
        </w:trPr>
        <w:tc>
          <w:tcPr>
            <w:tcW w:w="7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Brian E. Mueller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34,625,122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615,703</w:t>
            </w:r>
          </w:p>
        </w:tc>
      </w:tr>
      <w:tr>
        <w:trPr>
          <w:trHeight w:val="216"/>
        </w:trPr>
        <w:tc>
          <w:tcPr>
            <w:tcW w:w="714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Christopher C. Richardson</w:t>
            </w:r>
          </w:p>
        </w:tc>
        <w:tc>
          <w:tcPr>
            <w:tcW w:w="142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34,286,152</w:t>
            </w:r>
          </w:p>
        </w:tc>
        <w:tc>
          <w:tcPr>
            <w:tcW w:w="76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954,673</w:t>
            </w:r>
          </w:p>
        </w:tc>
      </w:tr>
      <w:tr>
        <w:trPr>
          <w:trHeight w:val="216"/>
        </w:trPr>
        <w:tc>
          <w:tcPr>
            <w:tcW w:w="7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Chad N. Heath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34,887,941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352,884</w:t>
            </w:r>
          </w:p>
        </w:tc>
      </w:tr>
      <w:tr>
        <w:trPr>
          <w:trHeight w:val="216"/>
        </w:trPr>
        <w:tc>
          <w:tcPr>
            <w:tcW w:w="714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D. Mark Dorman</w:t>
            </w:r>
          </w:p>
        </w:tc>
        <w:tc>
          <w:tcPr>
            <w:tcW w:w="142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34,887,986</w:t>
            </w:r>
          </w:p>
        </w:tc>
        <w:tc>
          <w:tcPr>
            <w:tcW w:w="76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352,839</w:t>
            </w:r>
          </w:p>
        </w:tc>
      </w:tr>
      <w:tr>
        <w:trPr>
          <w:trHeight w:val="216"/>
        </w:trPr>
        <w:tc>
          <w:tcPr>
            <w:tcW w:w="7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David J. Johnson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34,957,909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282,916</w:t>
            </w:r>
          </w:p>
        </w:tc>
      </w:tr>
      <w:tr>
        <w:trPr>
          <w:trHeight w:val="216"/>
        </w:trPr>
        <w:tc>
          <w:tcPr>
            <w:tcW w:w="714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Jack A. Henry</w:t>
            </w:r>
          </w:p>
        </w:tc>
        <w:tc>
          <w:tcPr>
            <w:tcW w:w="142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34,957,907</w:t>
            </w:r>
          </w:p>
        </w:tc>
        <w:tc>
          <w:tcPr>
            <w:tcW w:w="76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282,918</w:t>
            </w:r>
          </w:p>
        </w:tc>
      </w:tr>
      <w:tr>
        <w:trPr>
          <w:trHeight w:val="230"/>
        </w:trPr>
        <w:tc>
          <w:tcPr>
            <w:tcW w:w="7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Gerald Colangelo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34,957,589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283,236</w:t>
            </w:r>
          </w:p>
        </w:tc>
      </w:tr>
    </w:tbl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left="960" w:right="1760" w:hanging="358"/>
        <w:spacing w:after="0" w:line="277" w:lineRule="auto"/>
        <w:tabs>
          <w:tab w:leader="none" w:pos="96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proposal to ratify the selection of Ernst &amp; Young LLP as the Company’s independent registered public accounting firm for the fiscal year ending December 31, 2010.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Against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Abstain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10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96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Ratification of Ernst &amp; Young LLP</w:t>
            </w:r>
          </w:p>
        </w:tc>
        <w:tc>
          <w:tcPr>
            <w:tcW w:w="144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40,437,256</w:t>
            </w:r>
          </w:p>
        </w:tc>
        <w:tc>
          <w:tcPr>
            <w:tcW w:w="120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132,839</w:t>
            </w:r>
          </w:p>
        </w:tc>
        <w:tc>
          <w:tcPr>
            <w:tcW w:w="72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528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631"/>
        </w:trPr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931" w:right="239" w:bottom="1440" w:gutter="0" w:footer="0" w:header="0"/>
        </w:sectPr>
      </w:pPr>
    </w:p>
    <w:bookmarkStart w:id="2" w:name="page3"/>
    <w:bookmarkEnd w:id="2"/>
    <w:p>
      <w:pPr>
        <w:jc w:val="center"/>
        <w:ind w:right="5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559" w:firstLine="93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4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GRAND CANYON EDUCATION, INC.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May 24, 2010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4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By: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/</w:t>
      </w:r>
      <w:r>
        <w:rPr>
          <w:rFonts w:ascii="Arial" w:cs="Arial" w:eastAsia="Arial" w:hAnsi="Arial"/>
          <w:sz w:val="18"/>
          <w:szCs w:val="18"/>
          <w:color w:val="auto"/>
        </w:rPr>
        <w:t>s/ Daniel E. Bachus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2915285</wp:posOffset>
            </wp:positionH>
            <wp:positionV relativeFrom="paragraph">
              <wp:posOffset>-20320</wp:posOffset>
            </wp:positionV>
            <wp:extent cx="187579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Daniel E. Bachus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(Principal Financial and Principal Accounting Officer)</w:t>
      </w:r>
    </w:p>
    <w:sectPr>
      <w:pgSz w:w="11900" w:h="16838" w:orient="portrait"/>
      <w:cols w:equalWidth="0" w:num="1">
        <w:col w:w="9879"/>
      </w:cols>
      <w:pgMar w:left="580" w:top="93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)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)"/>
      <w:numFmt w:val="decimal"/>
      <w:start w:val="2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2019-12-11T04:26:22Z</dcterms:created>
  <dcterms:modified xsi:type="dcterms:W3CDTF">2019-12-11T04:26:22Z</dcterms:modified>
</cp:coreProperties>
</file>