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197485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5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99060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3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107315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730" w:right="2800" w:hanging="3730"/>
        <w:spacing w:after="0" w:line="322" w:lineRule="auto"/>
        <w:tabs>
          <w:tab w:leader="none" w:pos="42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ind w:left="501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250" w:type="dxa"/>
        <w:tblCellMar>
          <w:top w:w="0" w:type="dxa"/>
          <w:left w:w="0" w:type="dxa"/>
          <w:bottom w:w="0" w:type="dxa"/>
          <w:right w:w="0" w:type="dxa"/>
        </w:tblCellMar>
      </w:tblPr>
      <w:tr>
        <w:trPr>
          <w:trHeight w:val="190"/>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 [</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to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580" w:type="dxa"/>
            <w:vAlign w:val="bottom"/>
          </w:tcPr>
          <w:p>
            <w:pPr>
              <w:spacing w:after="0"/>
              <w:rPr>
                <w:sz w:val="18"/>
                <w:szCs w:val="18"/>
                <w:color w:val="auto"/>
              </w:rPr>
            </w:pP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Commission file number: 001-34211</w:t>
            </w:r>
          </w:p>
        </w:tc>
        <w:tc>
          <w:tcPr>
            <w:tcW w:w="580" w:type="dxa"/>
            <w:vAlign w:val="bottom"/>
          </w:tcPr>
          <w:p>
            <w:pPr>
              <w:spacing w:after="0"/>
              <w:rPr>
                <w:sz w:val="18"/>
                <w:szCs w:val="18"/>
                <w:color w:val="auto"/>
              </w:rPr>
            </w:pPr>
          </w:p>
        </w:tc>
      </w:tr>
      <w:tr>
        <w:trPr>
          <w:trHeight w:val="64"/>
        </w:trPr>
        <w:tc>
          <w:tcPr>
            <w:tcW w:w="580" w:type="dxa"/>
            <w:vAlign w:val="bottom"/>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r>
    </w:tbl>
    <w:p>
      <w:pPr>
        <w:spacing w:after="0" w:line="8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4"/>
          <w:szCs w:val="34"/>
          <w:b w:val="1"/>
          <w:bCs w:val="1"/>
          <w:color w:val="auto"/>
        </w:rPr>
        <w:t>GRAND CANYON EDUCATION, INC.</w:t>
      </w:r>
    </w:p>
    <w:p>
      <w:pPr>
        <w:spacing w:after="0" w:line="3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90805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jc w:val="center"/>
              <w:ind w:left="2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20-3356009</w:t>
            </w:r>
          </w:p>
        </w:tc>
        <w:tc>
          <w:tcPr>
            <w:tcW w:w="2200" w:type="dxa"/>
            <w:vAlign w:val="bottom"/>
          </w:tcPr>
          <w:p>
            <w:pPr>
              <w:spacing w:after="0"/>
              <w:rPr>
                <w:sz w:val="13"/>
                <w:szCs w:val="13"/>
                <w:color w:val="auto"/>
              </w:rPr>
            </w:pPr>
          </w:p>
        </w:tc>
      </w:tr>
      <w:tr>
        <w:trPr>
          <w:trHeight w:val="148"/>
        </w:trPr>
        <w:tc>
          <w:tcPr>
            <w:tcW w:w="6960" w:type="dxa"/>
            <w:vAlign w:val="bottom"/>
            <w:gridSpan w:val="4"/>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80" w:type="dxa"/>
            <w:vAlign w:val="bottom"/>
            <w:gridSpan w:val="2"/>
          </w:tcPr>
          <w:p>
            <w:pPr>
              <w:jc w:val="center"/>
              <w:ind w:right="18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960" w:type="dxa"/>
            <w:vAlign w:val="bottom"/>
            <w:gridSpan w:val="4"/>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80" w:type="dxa"/>
            <w:vAlign w:val="bottom"/>
            <w:gridSpan w:val="2"/>
          </w:tcPr>
          <w:p>
            <w:pPr>
              <w:jc w:val="center"/>
              <w:ind w:right="18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74"/>
        </w:trPr>
        <w:tc>
          <w:tcPr>
            <w:tcW w:w="2940" w:type="dxa"/>
            <w:vAlign w:val="bottom"/>
          </w:tcPr>
          <w:p>
            <w:pPr>
              <w:spacing w:after="0"/>
              <w:rPr>
                <w:sz w:val="15"/>
                <w:szCs w:val="15"/>
                <w:color w:val="auto"/>
              </w:rPr>
            </w:pPr>
          </w:p>
        </w:tc>
        <w:tc>
          <w:tcPr>
            <w:tcW w:w="40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2600 W. Camelback Road, Phoenix, Arizona 85017</w:t>
            </w:r>
          </w:p>
        </w:tc>
        <w:tc>
          <w:tcPr>
            <w:tcW w:w="10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90"/>
        </w:trPr>
        <w:tc>
          <w:tcPr>
            <w:tcW w:w="2940" w:type="dxa"/>
            <w:vAlign w:val="bottom"/>
          </w:tcPr>
          <w:p>
            <w:pPr>
              <w:spacing w:after="0"/>
              <w:rPr>
                <w:sz w:val="16"/>
                <w:szCs w:val="16"/>
                <w:color w:val="auto"/>
              </w:rPr>
            </w:pPr>
          </w:p>
        </w:tc>
        <w:tc>
          <w:tcPr>
            <w:tcW w:w="40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0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5100" w:type="dxa"/>
            <w:vAlign w:val="bottom"/>
            <w:gridSpan w:val="4"/>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(602) 247-4400</w:t>
            </w:r>
          </w:p>
        </w:tc>
        <w:tc>
          <w:tcPr>
            <w:tcW w:w="2200" w:type="dxa"/>
            <w:vAlign w:val="bottom"/>
          </w:tcPr>
          <w:p>
            <w:pPr>
              <w:spacing w:after="0"/>
              <w:rPr>
                <w:sz w:val="18"/>
                <w:szCs w:val="18"/>
                <w:color w:val="auto"/>
              </w:rPr>
            </w:pPr>
          </w:p>
        </w:tc>
      </w:tr>
      <w:tr>
        <w:trPr>
          <w:trHeight w:val="364"/>
        </w:trPr>
        <w:tc>
          <w:tcPr>
            <w:tcW w:w="2940" w:type="dxa"/>
            <w:vAlign w:val="bottom"/>
          </w:tcPr>
          <w:p>
            <w:pPr>
              <w:spacing w:after="0"/>
              <w:rPr>
                <w:sz w:val="24"/>
                <w:szCs w:val="24"/>
                <w:color w:val="auto"/>
              </w:rPr>
            </w:pPr>
          </w:p>
        </w:tc>
        <w:tc>
          <w:tcPr>
            <w:tcW w:w="40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45"/>
        </w:trPr>
        <w:tc>
          <w:tcPr>
            <w:tcW w:w="29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r>
      <w:tr>
        <w:trPr>
          <w:trHeight w:val="142"/>
        </w:trPr>
        <w:tc>
          <w:tcPr>
            <w:tcW w:w="2940" w:type="dxa"/>
            <w:vAlign w:val="bottom"/>
            <w:tcBorders>
              <w:left w:val="single" w:sz="8" w:color="auto"/>
              <w:bottom w:val="single" w:sz="8" w:color="auto"/>
            </w:tcBorders>
          </w:tcPr>
          <w:p>
            <w:pPr>
              <w:jc w:val="center"/>
              <w:ind w:left="748"/>
              <w:spacing w:after="0" w:line="142"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Trading Symbol(s)</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42"/>
        </w:trPr>
        <w:tc>
          <w:tcPr>
            <w:tcW w:w="2940" w:type="dxa"/>
            <w:vAlign w:val="bottom"/>
            <w:tcBorders>
              <w:left w:val="single" w:sz="8" w:color="auto"/>
              <w:bottom w:val="single" w:sz="8" w:color="auto"/>
            </w:tcBorders>
          </w:tcPr>
          <w:p>
            <w:pPr>
              <w:jc w:val="center"/>
              <w:ind w:left="728"/>
              <w:spacing w:after="0" w:line="142"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LOPE</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28"/>
              <w:spacing w:after="0" w:line="142" w:lineRule="exact"/>
              <w:rPr>
                <w:sz w:val="20"/>
                <w:szCs w:val="20"/>
                <w:color w:val="auto"/>
              </w:rPr>
            </w:pPr>
            <w:r>
              <w:rPr>
                <w:rFonts w:ascii="Times New Roman" w:cs="Times New Roman" w:eastAsia="Times New Roman" w:hAnsi="Times New Roman"/>
                <w:sz w:val="14"/>
                <w:szCs w:val="14"/>
                <w:color w:val="auto"/>
              </w:rPr>
              <w:t>Nasdaq Global Select Market</w:t>
            </w:r>
          </w:p>
        </w:tc>
      </w:tr>
      <w:tr>
        <w:trPr>
          <w:trHeight w:val="478"/>
        </w:trPr>
        <w:tc>
          <w:tcPr>
            <w:tcW w:w="8040" w:type="dxa"/>
            <w:vAlign w:val="bottom"/>
            <w:gridSpan w:val="5"/>
          </w:tcPr>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20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43"/>
        </w:trPr>
        <w:tc>
          <w:tcPr>
            <w:tcW w:w="8040" w:type="dxa"/>
            <w:vAlign w:val="bottom"/>
            <w:gridSpan w:val="5"/>
          </w:tcPr>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2200" w:type="dxa"/>
            <w:vAlign w:val="bottom"/>
          </w:tcPr>
          <w:p>
            <w:pPr>
              <w:jc w:val="center"/>
              <w:ind w:right="1468"/>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9" w:lineRule="exact"/>
        <w:rPr>
          <w:sz w:val="24"/>
          <w:szCs w:val="24"/>
          <w:color w:val="auto"/>
        </w:rPr>
      </w:pPr>
    </w:p>
    <w:p>
      <w:pPr>
        <w:ind w:left="10" w:right="200" w:firstLine="64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70"/>
        <w:spacing w:after="0" w:line="161" w:lineRule="exact"/>
        <w:tabs>
          <w:tab w:leader="none" w:pos="61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8" w:lineRule="exact"/>
        <w:rPr>
          <w:sz w:val="24"/>
          <w:szCs w:val="24"/>
          <w:color w:val="auto"/>
        </w:rPr>
      </w:pPr>
    </w:p>
    <w:p>
      <w:pPr>
        <w:ind w:left="10" w:right="8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left="10" w:right="300" w:firstLine="648"/>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4" w:lineRule="exact"/>
        <w:rPr>
          <w:sz w:val="24"/>
          <w:szCs w:val="24"/>
          <w:color w:val="auto"/>
        </w:rPr>
      </w:pPr>
    </w:p>
    <w:tbl>
      <w:tblPr>
        <w:tblLayout w:type="fixed"/>
        <w:tblInd w:w="10" w:type="dxa"/>
        <w:tblCellMar>
          <w:top w:w="0" w:type="dxa"/>
          <w:left w:w="0" w:type="dxa"/>
          <w:bottom w:w="0" w:type="dxa"/>
          <w:right w:w="0" w:type="dxa"/>
        </w:tblCellMar>
      </w:tblP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6" w:lineRule="exact"/>
        <w:rPr>
          <w:sz w:val="24"/>
          <w:szCs w:val="24"/>
          <w:color w:val="auto"/>
        </w:rPr>
      </w:pPr>
    </w:p>
    <w:p>
      <w:pPr>
        <w:ind w:left="10" w:right="14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1" w:lineRule="exact"/>
        <w:rPr>
          <w:sz w:val="24"/>
          <w:szCs w:val="24"/>
          <w:color w:val="auto"/>
        </w:rPr>
      </w:pPr>
    </w:p>
    <w:p>
      <w:pPr>
        <w:ind w:left="10" w:right="36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01" w:lineRule="exact"/>
        <w:rPr>
          <w:sz w:val="24"/>
          <w:szCs w:val="24"/>
          <w:color w:val="auto"/>
        </w:rPr>
      </w:pPr>
    </w:p>
    <w:p>
      <w:pPr>
        <w:ind w:left="10" w:right="12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1" w:lineRule="exact"/>
        <w:rPr>
          <w:sz w:val="24"/>
          <w:szCs w:val="24"/>
          <w:color w:val="auto"/>
        </w:rPr>
      </w:pPr>
    </w:p>
    <w:p>
      <w:pPr>
        <w:ind w:left="10" w:right="12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650" w:right="142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Securities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total number of shares of common stock outstanding as of February 8, 2024 was 30,018,616.</w:t>
      </w:r>
    </w:p>
    <w:p>
      <w:pPr>
        <w:spacing w:after="0" w:line="29" w:lineRule="exact"/>
        <w:rPr>
          <w:sz w:val="24"/>
          <w:szCs w:val="24"/>
          <w:color w:val="auto"/>
        </w:rPr>
      </w:pPr>
    </w:p>
    <w:p>
      <w:pPr>
        <w:ind w:left="10" w:right="40" w:firstLine="648"/>
        <w:spacing w:after="0" w:line="261" w:lineRule="auto"/>
        <w:rPr>
          <w:sz w:val="20"/>
          <w:szCs w:val="20"/>
          <w:color w:val="auto"/>
        </w:rPr>
      </w:pPr>
      <w:r>
        <w:rPr>
          <w:rFonts w:ascii="Times New Roman" w:cs="Times New Roman" w:eastAsia="Times New Roman" w:hAnsi="Times New Roman"/>
          <w:sz w:val="14"/>
          <w:szCs w:val="14"/>
          <w:color w:val="auto"/>
        </w:rPr>
        <w:t>As of June 30, 2023, the last business day of the registrant’s most recently completed second fiscal quarter, the registrant’s common stock was listed on the NASDAQ Global Market. As of June 30, 2023, the aggregate market value of the registrant’s common stock held by non-affiliates was approximately $3.1 billion.</w:t>
      </w:r>
    </w:p>
    <w:p>
      <w:pPr>
        <w:spacing w:after="0" w:line="1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left="10" w:right="400" w:firstLine="648"/>
        <w:spacing w:after="0" w:line="261"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2024 Annual Meeting of Stockholders (which is expected to be filed with the Commission within 120 days after the end of the registrant’s 2023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426720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32385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49530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INDEX</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3"/>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1"/>
        </w:trPr>
        <w:tc>
          <w:tcPr>
            <w:tcW w:w="5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3280" w:type="dxa"/>
            <w:vAlign w:val="bottom"/>
            <w:tcBorders>
              <w:top w:val="single" w:sz="8" w:color="0000EE"/>
            </w:tcBorders>
            <w:gridSpan w:val="18"/>
          </w:tcPr>
          <w:p>
            <w:pPr>
              <w:spacing w:after="0"/>
              <w:rPr>
                <w:sz w:val="24"/>
                <w:szCs w:val="24"/>
                <w:color w:val="auto"/>
              </w:rPr>
            </w:pPr>
          </w:p>
        </w:tc>
        <w:tc>
          <w:tcPr>
            <w:tcW w:w="460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1"/>
        </w:trPr>
        <w:tc>
          <w:tcPr>
            <w:tcW w:w="420" w:type="dxa"/>
            <w:vAlign w:val="bottom"/>
          </w:tcPr>
          <w:p>
            <w:pPr>
              <w:spacing w:after="0"/>
              <w:rPr>
                <w:sz w:val="24"/>
                <w:szCs w:val="24"/>
                <w:color w:val="auto"/>
              </w:rPr>
            </w:pPr>
          </w:p>
        </w:tc>
        <w:tc>
          <w:tcPr>
            <w:tcW w:w="12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6840" w:type="dxa"/>
            <w:vAlign w:val="bottom"/>
            <w:gridSpan w:val="2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0"/>
        </w:trPr>
        <w:tc>
          <w:tcPr>
            <w:tcW w:w="420" w:type="dxa"/>
            <w:vAlign w:val="bottom"/>
          </w:tcPr>
          <w:p>
            <w:pPr>
              <w:spacing w:after="0"/>
              <w:rPr>
                <w:sz w:val="24"/>
                <w:szCs w:val="24"/>
                <w:color w:val="auto"/>
              </w:rPr>
            </w:pPr>
          </w:p>
        </w:tc>
        <w:tc>
          <w:tcPr>
            <w:tcW w:w="16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440" w:type="dxa"/>
            <w:vAlign w:val="bottom"/>
            <w:gridSpan w:val="1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1"/>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1B. Unresolved Staff Comments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90"/>
        </w:trPr>
        <w:tc>
          <w:tcPr>
            <w:tcW w:w="420" w:type="dxa"/>
            <w:vAlign w:val="bottom"/>
          </w:tcPr>
          <w:p>
            <w:pPr>
              <w:spacing w:after="0"/>
              <w:rPr>
                <w:sz w:val="24"/>
                <w:szCs w:val="24"/>
                <w:color w:val="auto"/>
              </w:rPr>
            </w:pPr>
          </w:p>
        </w:tc>
        <w:tc>
          <w:tcPr>
            <w:tcW w:w="27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1C. Cybersecurity</w:t>
            </w:r>
          </w:p>
        </w:tc>
        <w:tc>
          <w:tcPr>
            <w:tcW w:w="532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91"/>
        </w:trPr>
        <w:tc>
          <w:tcPr>
            <w:tcW w:w="420" w:type="dxa"/>
            <w:vAlign w:val="bottom"/>
          </w:tcPr>
          <w:p>
            <w:pPr>
              <w:spacing w:after="0"/>
              <w:rPr>
                <w:sz w:val="24"/>
                <w:szCs w:val="24"/>
                <w:color w:val="auto"/>
              </w:rPr>
            </w:pPr>
          </w:p>
        </w:tc>
        <w:tc>
          <w:tcPr>
            <w:tcW w:w="16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2. Properties</w:t>
            </w:r>
          </w:p>
        </w:tc>
        <w:tc>
          <w:tcPr>
            <w:tcW w:w="6360" w:type="dxa"/>
            <w:vAlign w:val="bottom"/>
            <w:gridSpan w:val="1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1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3. Legal Proceedings</w:t>
            </w:r>
          </w:p>
        </w:tc>
        <w:tc>
          <w:tcPr>
            <w:tcW w:w="6140" w:type="dxa"/>
            <w:vAlign w:val="bottom"/>
            <w:gridSpan w:val="17"/>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91"/>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78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Purchases of Equity</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7320" w:type="dxa"/>
            <w:vAlign w:val="bottom"/>
            <w:gridSpan w:val="2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90"/>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6. [Reserved]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70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 Operations</w:t>
            </w:r>
          </w:p>
        </w:tc>
        <w:tc>
          <w:tcPr>
            <w:tcW w:w="102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90"/>
        </w:trPr>
        <w:tc>
          <w:tcPr>
            <w:tcW w:w="420" w:type="dxa"/>
            <w:vAlign w:val="bottom"/>
          </w:tcPr>
          <w:p>
            <w:pPr>
              <w:spacing w:after="0"/>
              <w:rPr>
                <w:sz w:val="24"/>
                <w:szCs w:val="24"/>
                <w:color w:val="auto"/>
              </w:rPr>
            </w:pPr>
          </w:p>
        </w:tc>
        <w:tc>
          <w:tcPr>
            <w:tcW w:w="50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304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90"/>
        </w:trPr>
        <w:tc>
          <w:tcPr>
            <w:tcW w:w="420" w:type="dxa"/>
            <w:vAlign w:val="bottom"/>
          </w:tcPr>
          <w:p>
            <w:pPr>
              <w:spacing w:after="0"/>
              <w:rPr>
                <w:sz w:val="24"/>
                <w:szCs w:val="24"/>
                <w:color w:val="auto"/>
              </w:rPr>
            </w:pPr>
          </w:p>
        </w:tc>
        <w:tc>
          <w:tcPr>
            <w:tcW w:w="48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Item 8. Consolidated Financial Statements and Supplementary Data</w:t>
            </w:r>
          </w:p>
        </w:tc>
        <w:tc>
          <w:tcPr>
            <w:tcW w:w="316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90"/>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91"/>
        </w:trPr>
        <w:tc>
          <w:tcPr>
            <w:tcW w:w="42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600" w:type="dxa"/>
            <w:vAlign w:val="bottom"/>
            <w:tcBorders>
              <w:top w:val="single" w:sz="8" w:color="0000EE"/>
            </w:tcBorders>
            <w:gridSpan w:val="10"/>
          </w:tcPr>
          <w:p>
            <w:pPr>
              <w:spacing w:after="0"/>
              <w:rPr>
                <w:sz w:val="24"/>
                <w:szCs w:val="24"/>
                <w:color w:val="auto"/>
              </w:rPr>
            </w:pPr>
          </w:p>
        </w:tc>
        <w:tc>
          <w:tcPr>
            <w:tcW w:w="9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90"/>
        </w:trPr>
        <w:tc>
          <w:tcPr>
            <w:tcW w:w="420" w:type="dxa"/>
            <w:vAlign w:val="bottom"/>
          </w:tcPr>
          <w:p>
            <w:pPr>
              <w:spacing w:after="0"/>
              <w:rPr>
                <w:sz w:val="24"/>
                <w:szCs w:val="24"/>
                <w:color w:val="auto"/>
              </w:rPr>
            </w:pPr>
          </w:p>
        </w:tc>
        <w:tc>
          <w:tcPr>
            <w:tcW w:w="2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9B. Other Information</w:t>
            </w:r>
          </w:p>
        </w:tc>
        <w:tc>
          <w:tcPr>
            <w:tcW w:w="6040" w:type="dxa"/>
            <w:vAlign w:val="bottom"/>
            <w:gridSpan w:val="16"/>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90"/>
        </w:trPr>
        <w:tc>
          <w:tcPr>
            <w:tcW w:w="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3"/>
              </w:rPr>
              <w:t>PART III</w:t>
            </w:r>
          </w:p>
        </w:tc>
        <w:tc>
          <w:tcPr>
            <w:tcW w:w="7740" w:type="dxa"/>
            <w:vAlign w:val="bottom"/>
            <w:gridSpan w:val="26"/>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90"/>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90"/>
        </w:trPr>
        <w:tc>
          <w:tcPr>
            <w:tcW w:w="420" w:type="dxa"/>
            <w:vAlign w:val="bottom"/>
          </w:tcPr>
          <w:p>
            <w:pPr>
              <w:spacing w:after="0"/>
              <w:rPr>
                <w:sz w:val="24"/>
                <w:szCs w:val="24"/>
                <w:color w:val="auto"/>
              </w:rPr>
            </w:pPr>
          </w:p>
        </w:tc>
        <w:tc>
          <w:tcPr>
            <w:tcW w:w="47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330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4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w:t>
            </w:r>
          </w:p>
        </w:tc>
        <w:tc>
          <w:tcPr>
            <w:tcW w:w="4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w:t>
            </w:r>
          </w:p>
        </w:tc>
        <w:tc>
          <w:tcPr>
            <w:tcW w:w="6780" w:type="dxa"/>
            <w:vAlign w:val="bottom"/>
            <w:tcBorders>
              <w:top w:val="single" w:sz="8" w:color="0000EE"/>
            </w:tcBorders>
            <w:gridSpan w:val="23"/>
          </w:tcPr>
          <w:p>
            <w:pPr>
              <w:spacing w:after="0"/>
              <w:rPr>
                <w:sz w:val="17"/>
                <w:szCs w:val="17"/>
                <w:color w:val="auto"/>
              </w:rPr>
            </w:pPr>
          </w:p>
        </w:tc>
        <w:tc>
          <w:tcPr>
            <w:tcW w:w="70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90"/>
        </w:trPr>
        <w:tc>
          <w:tcPr>
            <w:tcW w:w="420" w:type="dxa"/>
            <w:vAlign w:val="bottom"/>
          </w:tcPr>
          <w:p>
            <w:pPr>
              <w:spacing w:after="0"/>
              <w:rPr>
                <w:sz w:val="24"/>
                <w:szCs w:val="24"/>
                <w:color w:val="auto"/>
              </w:rPr>
            </w:pPr>
          </w:p>
        </w:tc>
        <w:tc>
          <w:tcPr>
            <w:tcW w:w="61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194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90"/>
        </w:trPr>
        <w:tc>
          <w:tcPr>
            <w:tcW w:w="420" w:type="dxa"/>
            <w:vAlign w:val="bottom"/>
          </w:tcPr>
          <w:p>
            <w:pPr>
              <w:spacing w:after="0"/>
              <w:rPr>
                <w:sz w:val="24"/>
                <w:szCs w:val="24"/>
                <w:color w:val="auto"/>
              </w:rPr>
            </w:pPr>
          </w:p>
        </w:tc>
        <w:tc>
          <w:tcPr>
            <w:tcW w:w="35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14. Principal Accounting Fees and Services</w:t>
            </w:r>
          </w:p>
        </w:tc>
        <w:tc>
          <w:tcPr>
            <w:tcW w:w="452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90"/>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16"/>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48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15. Exhibits and Consolidated Financial Statement Schedules</w:t>
            </w:r>
          </w:p>
        </w:tc>
        <w:tc>
          <w:tcPr>
            <w:tcW w:w="324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91"/>
        </w:trPr>
        <w:tc>
          <w:tcPr>
            <w:tcW w:w="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7480" w:type="dxa"/>
            <w:vAlign w:val="bottom"/>
            <w:gridSpan w:val="2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90"/>
        </w:trPr>
        <w:tc>
          <w:tcPr>
            <w:tcW w:w="1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360" w:type="dxa"/>
            <w:vAlign w:val="bottom"/>
            <w:gridSpan w:val="2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Annual Report on Form 10-K, including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contains certain “forward-looking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meaning of Section 27A of the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 You can also identify forward-looking statements by discussions of strategy, plans or intentions of management.</w:t>
      </w:r>
    </w:p>
    <w:p>
      <w:pPr>
        <w:spacing w:after="0" w:line="192"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p>
      <w:pPr>
        <w:spacing w:after="0" w:line="189" w:lineRule="exact"/>
        <w:rPr>
          <w:sz w:val="20"/>
          <w:szCs w:val="20"/>
          <w:color w:val="auto"/>
        </w:rPr>
      </w:pPr>
    </w:p>
    <w:p>
      <w:pPr>
        <w:ind w:left="1500" w:right="219" w:hanging="329"/>
        <w:spacing w:after="0" w:line="276" w:lineRule="auto"/>
        <w:tabs>
          <w:tab w:leader="none" w:pos="1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and regulatory actions taken against our university partners that impact their businesses and that directly or indirectly reduce the service revenue we can earn under our master services agreements;</w:t>
      </w:r>
    </w:p>
    <w:p>
      <w:pPr>
        <w:ind w:left="1500" w:right="9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any of the key university partner agreements;</w:t>
      </w:r>
    </w:p>
    <w:p>
      <w:pPr>
        <w:ind w:left="1500" w:right="27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 w:lineRule="exact"/>
        <w:rPr>
          <w:rFonts w:ascii="Times New Roman" w:cs="Times New Roman" w:eastAsia="Times New Roman" w:hAnsi="Times New Roman"/>
          <w:sz w:val="18"/>
          <w:szCs w:val="18"/>
          <w:color w:val="auto"/>
        </w:rPr>
      </w:pPr>
    </w:p>
    <w:p>
      <w:pPr>
        <w:jc w:val="both"/>
        <w:ind w:left="1500" w:right="47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 w:lineRule="exact"/>
        <w:rPr>
          <w:rFonts w:ascii="Times New Roman" w:cs="Times New Roman" w:eastAsia="Times New Roman" w:hAnsi="Times New Roman"/>
          <w:sz w:val="18"/>
          <w:szCs w:val="18"/>
          <w:color w:val="auto"/>
        </w:rPr>
      </w:pPr>
    </w:p>
    <w:p>
      <w:pPr>
        <w:ind w:left="1500" w:right="45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harm to our business, results of operations, and financial condition, and harm to our university partners resulting from epidemics, pandemics, or public health crises;</w:t>
      </w:r>
    </w:p>
    <w:p>
      <w:pPr>
        <w:ind w:left="1500" w:right="23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university partners’ students to obtain federal Title IV funds, state financial aid, and private financing;</w:t>
      </w:r>
    </w:p>
    <w:p>
      <w:pPr>
        <w:jc w:val="both"/>
        <w:ind w:left="1500" w:right="57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 w:lineRule="exact"/>
        <w:rPr>
          <w:rFonts w:ascii="Times New Roman" w:cs="Times New Roman" w:eastAsia="Times New Roman" w:hAnsi="Times New Roman"/>
          <w:sz w:val="18"/>
          <w:szCs w:val="18"/>
          <w:color w:val="auto"/>
        </w:rPr>
      </w:pPr>
    </w:p>
    <w:p>
      <w:pPr>
        <w:ind w:left="1500" w:right="29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in applicable federal and state laws and regulations and accrediting commission standards, including pending rulemaking by the United States Department of Education (“ED”) applicable to us directly or indirectly through our university partners;</w:t>
      </w:r>
    </w:p>
    <w:p>
      <w:pPr>
        <w:spacing w:after="0" w:line="1" w:lineRule="exact"/>
        <w:rPr>
          <w:rFonts w:ascii="Times New Roman" w:cs="Times New Roman" w:eastAsia="Times New Roman" w:hAnsi="Times New Roman"/>
          <w:sz w:val="18"/>
          <w:szCs w:val="18"/>
          <w:color w:val="auto"/>
        </w:rPr>
      </w:pPr>
    </w:p>
    <w:p>
      <w:pPr>
        <w:ind w:left="1500" w:right="55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education service companies in our geographic region and market sector, including competition for students, qualified executives and other personnel;</w:t>
      </w:r>
    </w:p>
    <w:p>
      <w:pPr>
        <w:ind w:left="1500" w:hanging="32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tax payments and tax rate;</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train new, and develop and train existing employees;</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growth of our university partners’ enrollment and its effect on the pace of our own growth;</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revenues due to seasonality;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359" w:hanging="329"/>
        <w:spacing w:after="0" w:line="261"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on behalf of our university partners, convert prospective students to enrolled students and to retain active students to graduation;</w:t>
      </w:r>
    </w:p>
    <w:p>
      <w:pPr>
        <w:ind w:left="1500" w:right="13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updating and expanding the content of existing programs and developing new programs in a cost-effective manner or on a timely basis for our university partners;</w:t>
      </w:r>
    </w:p>
    <w:p>
      <w:pPr>
        <w:ind w:left="1500" w:right="65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competitive environment for marketing the programs of our university partners;</w:t>
      </w:r>
    </w:p>
    <w:p>
      <w:pPr>
        <w:ind w:left="1500" w:right="29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keep up with advances in technology that could enhance the experience for our university partners’ students;</w:t>
      </w:r>
    </w:p>
    <w:p>
      <w:pPr>
        <w:ind w:left="1500" w:hanging="32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 effectively;</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w:t>
      </w:r>
    </w:p>
    <w:p>
      <w:pPr>
        <w:spacing w:after="0" w:line="9" w:lineRule="exact"/>
        <w:rPr>
          <w:rFonts w:ascii="Times New Roman" w:cs="Times New Roman" w:eastAsia="Times New Roman" w:hAnsi="Times New Roman"/>
          <w:sz w:val="18"/>
          <w:szCs w:val="18"/>
          <w:color w:val="auto"/>
        </w:rPr>
      </w:pPr>
    </w:p>
    <w:p>
      <w:pPr>
        <w:ind w:left="1500" w:right="69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adverse economic conditions or other developments that affect the job prospects of our university partners’ students; and</w:t>
      </w:r>
    </w:p>
    <w:p>
      <w:pPr>
        <w:ind w:left="1500" w:right="139" w:hanging="329"/>
        <w:spacing w:after="0" w:line="26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headings “Risk Factors,” “Management’s Discussion and Analysis of Financial Condition and Results of Operations,” “Business,” and “Regulation.”</w:t>
      </w:r>
    </w:p>
    <w:p>
      <w:pPr>
        <w:spacing w:after="0" w:line="181" w:lineRule="exact"/>
        <w:rPr>
          <w:sz w:val="20"/>
          <w:szCs w:val="20"/>
          <w:color w:val="auto"/>
        </w:rPr>
      </w:pPr>
    </w:p>
    <w:p>
      <w:pPr>
        <w:jc w:val="both"/>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Grand Canyon Education, Inc., a Delaware corporation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ten colleges both online and on ground at its campus in Phoenix, Arizona and at six off-campus classroom and laboratory sites. As of December 31, 2023, GCE provided education services and support to approximately 121,000 students with more than 117,000 students enrolled in GCU’s programs, emphases and certificates.</w:t>
      </w:r>
    </w:p>
    <w:p>
      <w:pPr>
        <w:spacing w:after="0" w:line="19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January 2019, GCE began providing education services to numerous university partners across the United States, through our wholly owned subsidiary, Orbis Education Services LLC (“Orbis Education”), which we acquired in 2019 (the “Acquisition”). In the healthcare field, we work in partnership with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2023, GCE provides education services to 25 university partners across the United States.</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seek to add additional university partners and to roll out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GCE is an education services company with 25 university partners as of December 31, 2023. We have invested more than $300 million in the last 15 years in technology which includes the cost to develop systems that automate key processes and enable us to scale these processes to hundreds of thousands of students. GCE is capable of supporting not just core academic functions, technology and marketing but many additional key processes that surround those functions, such as faculty recruiting and training, admissions, financial aid, accounting, and technical support. We provide these services to our university partners pursuant to master services agreements that define the scope of our engagement, the types of services provided and other key terms of the engagement. Our investments also include the cost to build our off-site classroom and laboratory sites (including the specialized equipment) that are used by our university partners to educate healthcare students.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Suite of Services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describes the various services that we are capable of providing to university partners. Services actually provided to a given university partner depend upon the nature of programs supported by GCE, existing university infrastructure, and university partner preferences.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Academic Services</w:t>
      </w:r>
    </w:p>
    <w:p>
      <w:pPr>
        <w:spacing w:after="0" w:line="22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We provide technology and academic services that can include the ongoing maintenance of our university partners’ educational infrastructure, including online course delivery and management, student records, assessment, customer relations management and other internal administrative systems. These services can also include curriculum conversion, support for content development, support for faculty and related training and development, technical support, rent and occupancy costs for university partners’ simulation and skills labs, and assistance with state regulatory compliance. We have established secure, reliable and scalable technology systems that provide a high-quality educational environment and that give us the capability to grow our university partners’ programs and enrollment.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Technology Services may include the following:</w:t>
      </w:r>
    </w:p>
    <w:p>
      <w:pPr>
        <w:spacing w:after="0" w:line="225" w:lineRule="exact"/>
        <w:rPr>
          <w:sz w:val="20"/>
          <w:szCs w:val="20"/>
          <w:color w:val="auto"/>
        </w:rPr>
      </w:pPr>
    </w:p>
    <w:p>
      <w:pPr>
        <w:ind w:left="1500" w:right="79" w:hanging="329"/>
        <w:spacing w:after="0" w:line="251"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 Management System (“LMS”) - GCE designed and offers to its university partners its own proprietary LMS, called Halo. All of GCU’s students, online and ground use this LMS. The basic functionality includes an interactive course syllabus, discussion questions and forums, instruction interaction, class quizzes, group assignments, written assignment submission and rubrics, grading, participation, attendance and integration with our student information system. The functions in Halo have been reimagined to work more intuitively with new user interface design and more seamless ways of accomplishing the same tasks. Halo was designed as a “Cloud native” application taking advantage of all the performance and reliability features of the Cloud. Halo supports small classes that are instructor led, highly interactive and collaborative. Rich content that originates from a myriad of sources, including direct advisement from industry, is coupled with a robust discussion environment. Students most often respond to the content and discussion through written work. The writing assignments are designed to promote critical thinking which is often connected to solving real world problems. This platform can easily and reliably scale as student populations increase. The platform provides in-depth analytics that allow us to closely monitor student success and the quality of instructional resources. GCE also designed its previous learning management system, LoudCloud which GCU used prior to HALO.</w:t>
      </w:r>
    </w:p>
    <w:p>
      <w:pPr>
        <w:spacing w:after="0" w:line="10" w:lineRule="exact"/>
        <w:rPr>
          <w:rFonts w:ascii="Times New Roman" w:cs="Times New Roman" w:eastAsia="Times New Roman" w:hAnsi="Times New Roman"/>
          <w:sz w:val="18"/>
          <w:szCs w:val="18"/>
          <w:color w:val="auto"/>
        </w:rPr>
      </w:pPr>
    </w:p>
    <w:p>
      <w:pPr>
        <w:ind w:left="1500" w:right="159" w:hanging="329"/>
        <w:spacing w:after="0" w:line="250"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administration - We utilize a commercial customer relations management development platform to distribute, manage, track, and report on all 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 We have done significant internal software development around these systems to increase the productivity of our employees and provide students an exceptional educational experience.</w:t>
      </w:r>
    </w:p>
    <w:p>
      <w:pPr>
        <w:spacing w:after="0" w:line="2" w:lineRule="exact"/>
        <w:rPr>
          <w:rFonts w:ascii="Times New Roman" w:cs="Times New Roman" w:eastAsia="Times New Roman" w:hAnsi="Times New Roman"/>
          <w:sz w:val="18"/>
          <w:szCs w:val="18"/>
          <w:color w:val="auto"/>
        </w:rPr>
      </w:pPr>
    </w:p>
    <w:p>
      <w:pPr>
        <w:ind w:left="1500" w:right="99" w:hanging="329"/>
        <w:spacing w:after="0" w:line="265" w:lineRule="auto"/>
        <w:tabs>
          <w:tab w:leader="none" w:pos="15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Infrastructure - We operate two data centers, one at GCU’s campus and one at another Phoenix-area location. Our infrastructure supports IT for GCE and we can provide it for our customers. All of our servers are networked, and we have redundant data backup. We manage our technology environment internally. Our wide area network is fully redundant to ensure maximum uptime, bandwidth capacity and network performance. Student access is load balanced for optimal performance. Real-time monitoring provides current system status across network, server, and storage components. We provide cybersecurity services, support and incident response for all infrastructure and software that we utilize.</w:t>
      </w:r>
    </w:p>
    <w:p>
      <w:pPr>
        <w:spacing w:after="0" w:line="1" w:lineRule="exact"/>
        <w:rPr>
          <w:rFonts w:ascii="Times New Roman" w:cs="Times New Roman" w:eastAsia="Times New Roman" w:hAnsi="Times New Roman"/>
          <w:sz w:val="17"/>
          <w:szCs w:val="17"/>
          <w:color w:val="auto"/>
        </w:rPr>
      </w:pPr>
    </w:p>
    <w:p>
      <w:pPr>
        <w:ind w:left="1500" w:right="99" w:hanging="329"/>
        <w:spacing w:after="0" w:line="260"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 We provide 18/7 technical support for students and faculty. There are two systems utilized by GCE to provide these services.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Academic Services may include the following:</w:t>
      </w:r>
    </w:p>
    <w:p>
      <w:pPr>
        <w:spacing w:after="0" w:line="225" w:lineRule="exact"/>
        <w:rPr>
          <w:sz w:val="20"/>
          <w:szCs w:val="20"/>
          <w:color w:val="auto"/>
        </w:rPr>
      </w:pPr>
    </w:p>
    <w:p>
      <w:pPr>
        <w:ind w:left="1500" w:right="99" w:hanging="329"/>
        <w:spacing w:after="0" w:line="258"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and Curriculum – GCE has a curriculum content department that provides design and conversion services to our university partners. In collaboration with our university partners, we assist with the program and course design by providing curricular assistance and recommendations with respect to content and techniques that make use of the available technologies and methods embodied in the learning management system. GCE developed a proprietary system to support these services.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139" w:hanging="329"/>
        <w:spacing w:after="0" w:line="253"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Faculty and Related Training and Development – GCE provides faculty support including recruitment, training and oversight services to its university partners. Under the direction of our university partners and their academic leadership, we recruit and screen candidates, and schedule faculty based on university partner-created requirements. We evaluate all faculty according to university partner standards and provide evaluation results, if requested. Many of the health sciences specific faculty development resources are accredited by the International Association for Continuing Education and Training (“IACET”) and the American Nurses Credentialing Center (“ANCC”) allowing faculty to earn continuing education credits.</w:t>
      </w:r>
    </w:p>
    <w:p>
      <w:pPr>
        <w:jc w:val="both"/>
        <w:ind w:left="1500" w:right="79" w:hanging="329"/>
        <w:spacing w:after="0" w:line="250"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Scheduling – GCE has a class scheduling department and has developed a proprietary system to provide these services to our university partners. Our scheduling software provides students the ability to set their class schedule and flexibility to make changes and create opportunities to complete courses in a myriad of online or onsite options. We optimize class size prior to course starts based on university partner standards, in order to maximize class resources and faculty utilization.</w:t>
      </w:r>
    </w:p>
    <w:p>
      <w:pPr>
        <w:spacing w:after="0" w:line="1" w:lineRule="exact"/>
        <w:rPr>
          <w:rFonts w:ascii="Times New Roman" w:cs="Times New Roman" w:eastAsia="Times New Roman" w:hAnsi="Times New Roman"/>
          <w:sz w:val="18"/>
          <w:szCs w:val="18"/>
          <w:color w:val="auto"/>
        </w:rPr>
      </w:pPr>
    </w:p>
    <w:p>
      <w:pPr>
        <w:ind w:left="1500" w:right="259" w:hanging="329"/>
        <w:spacing w:after="0" w:line="251"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and Simulation Lab Sites – GCE secures, develops and finances off-campus classroom and laboratory sites for use in various programs offered by our university partners, including the accelerated Bachelor of Science in Nursing (ABSN). Off-campus classroom and laboratory sites are branded for specific university partners and all classrooms, faculty, counselors, staff and specialized equipment are centralized and made accessible to every university partner student. The laboratories contain the latest in skills and simulation learning technology; including computer-based scenarios, hands-on work with physical simulators and internally developed Mixed Reality with state-of-the-art technology, which help students gain unique experiences in an alternative clinical setting.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Counseling Services and Support</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provide counseling services and support including one-on-one admissions, schedule and financial counseling and other support for prospective and current students of our university partners. We offer financial aid processing as well.</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Counseling Services and Support may include the following:</w:t>
      </w:r>
    </w:p>
    <w:p>
      <w:pPr>
        <w:spacing w:after="0" w:line="225" w:lineRule="exact"/>
        <w:rPr>
          <w:sz w:val="20"/>
          <w:szCs w:val="20"/>
          <w:color w:val="auto"/>
        </w:rPr>
      </w:pPr>
    </w:p>
    <w:p>
      <w:pPr>
        <w:ind w:left="1500" w:right="219" w:hanging="329"/>
        <w:spacing w:after="0" w:line="253"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Admissions Services – GCE provides prospective students with transparent information on program requirements, finance options, degree time to completion and net price calculator results in alignment with university partners’ standards. GCE has developed a robust proprietary system to efficiently evaluate transcripts and build schedules for prospective students. GCE processes applications in alignment with university partners’ admission standards and provides reports on those students selected for admission.</w:t>
      </w:r>
    </w:p>
    <w:p>
      <w:pPr>
        <w:spacing w:after="0" w:line="5" w:lineRule="exact"/>
        <w:rPr>
          <w:rFonts w:ascii="Times New Roman" w:cs="Times New Roman" w:eastAsia="Times New Roman" w:hAnsi="Times New Roman"/>
          <w:sz w:val="18"/>
          <w:szCs w:val="18"/>
          <w:color w:val="auto"/>
        </w:rPr>
      </w:pPr>
    </w:p>
    <w:p>
      <w:pPr>
        <w:ind w:left="1500" w:right="79" w:hanging="329"/>
        <w:spacing w:after="0" w:line="250"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Aid – GCE provides financial aid services, including awarding, certifying, originating and disbursing Title IV program funds to students. We deliver Title IV program credit balance refunds to students, process return of Title IV program funds to the federal government when appropriate and provide financial aid counseling and entrance and exit loan counseling to students. Additionally, we prepare required reports, including but not limited to enrollment reporting to the National Student Loan Data system and the Integrated Postsecondary Education Data System. Additionally, GCE has built a proprietary system called the Financial Transparent Degree Plan Calculator, which provides students the cost of their entire program.</w:t>
      </w:r>
    </w:p>
    <w:p>
      <w:pPr>
        <w:spacing w:after="0" w:line="3" w:lineRule="exact"/>
        <w:rPr>
          <w:rFonts w:ascii="Times New Roman" w:cs="Times New Roman" w:eastAsia="Times New Roman" w:hAnsi="Times New Roman"/>
          <w:sz w:val="18"/>
          <w:szCs w:val="18"/>
          <w:color w:val="auto"/>
        </w:rPr>
      </w:pPr>
    </w:p>
    <w:p>
      <w:pPr>
        <w:ind w:left="1500" w:right="79" w:hanging="329"/>
        <w:spacing w:after="0" w:line="251"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Counseling Services – GCE provides proactive services to our university partners’ students throughout their matriculation such as schedule building, and financial aid counseling. We provide students an assigned advisor who proactively works with students throughout their matriculation process. We assist students with program changes and communicate with those students throughout their program to help with retention. We provide students with the ability to access a variety of administrative services both telephonically and via the Internet. For example, students can apply for financial aid, pay their tuition, order their transcripts, and apply for graduation online. We believe this online accessibility provides the convenience and self-service capabilities that students value. GCE assesses levels of satisfaction using student surveys.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99" w:hanging="329"/>
        <w:spacing w:after="0" w:line="254"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Experience Counseling – For university partner students pursuing programs that lead to external credentials (e.g., teaching, nursing, counseling, social work, theology, etc.), GCE leverages a growing nationwide network of approved healthcare facilities, schools, preceptors, and supervisors to ensure that all students are able to meet program-specific requirements. Each student is assigned a counselor before or during their first course, and several prescribed appointments with their counselor are scheduled throughout the student’s program to ensure that all state-specific progression requirements are met well in advance of deadlines. GCE assists in gathering all required documentation, verifying it as official, and storing it as part of the student’s record.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Marketing and Communication</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provide marketing and communication services that include lead acquisition, digital communication strategies, brand identity advertising, media planning and strategy, video, data science and analysis to potential students and other promotional and communication services.</w:t>
      </w:r>
    </w:p>
    <w:p>
      <w:pPr>
        <w:spacing w:after="0" w:line="1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GCE’s marketing leadership team approaches the marketplace with an outlook that applies the latest advancements in integrated marketing strategy and new and emerging technologies while leveraging GCE’s buying power. This methodology embraces proven traditional and online solutions that are developed in conjunction with our university partners.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Marketing and Communication services may include the following:</w:t>
      </w:r>
    </w:p>
    <w:p>
      <w:pPr>
        <w:spacing w:after="0" w:line="225" w:lineRule="exact"/>
        <w:rPr>
          <w:sz w:val="20"/>
          <w:szCs w:val="20"/>
          <w:color w:val="auto"/>
        </w:rPr>
      </w:pPr>
    </w:p>
    <w:p>
      <w:pPr>
        <w:ind w:left="1500" w:right="159" w:hanging="329"/>
        <w:spacing w:after="0" w:line="272" w:lineRule="auto"/>
        <w:tabs>
          <w:tab w:leader="none" w:pos="1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Acquisition – GCE’s marketing team employs experts across a wide breadth of digital marketing channels. These include Search Engine Optimization, Search Engine Marketing, Social Media Optimization, organic content and strategic acquisition funnels across a variety of mobile markets.</w:t>
      </w:r>
    </w:p>
    <w:p>
      <w:pPr>
        <w:spacing w:after="0" w:line="1" w:lineRule="exact"/>
        <w:rPr>
          <w:rFonts w:ascii="Times New Roman" w:cs="Times New Roman" w:eastAsia="Times New Roman" w:hAnsi="Times New Roman"/>
          <w:sz w:val="17"/>
          <w:szCs w:val="17"/>
          <w:color w:val="auto"/>
        </w:rPr>
      </w:pPr>
    </w:p>
    <w:p>
      <w:pPr>
        <w:ind w:left="1500" w:right="119" w:hanging="329"/>
        <w:spacing w:after="0" w:line="250"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Communications Strategy – GCE’s subject matter experts utilize best-in-class technologies through marketing automation, integrated email, SMS text messaging and social media. GCE develops effective communication strategies that encompass the entire student lifecycle from prospect through alumni.</w:t>
      </w:r>
    </w:p>
    <w:p>
      <w:pPr>
        <w:spacing w:after="0" w:line="1" w:lineRule="exact"/>
        <w:rPr>
          <w:rFonts w:ascii="Times New Roman" w:cs="Times New Roman" w:eastAsia="Times New Roman" w:hAnsi="Times New Roman"/>
          <w:sz w:val="18"/>
          <w:szCs w:val="18"/>
          <w:color w:val="auto"/>
        </w:rPr>
      </w:pPr>
    </w:p>
    <w:p>
      <w:pPr>
        <w:ind w:left="1500" w:right="139" w:hanging="329"/>
        <w:spacing w:after="0" w:line="250"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Identity – GCE’s award-winning team of specialists have proven track records of developing strong brands and ensuring the right image is exposed to the consumer. GCE specializes in storytelling shaped by logo creation, positioning taglines, campaign and content development, custom music, and sonic branding.</w:t>
      </w:r>
    </w:p>
    <w:p>
      <w:pPr>
        <w:spacing w:after="0" w:line="1" w:lineRule="exact"/>
        <w:rPr>
          <w:rFonts w:ascii="Times New Roman" w:cs="Times New Roman" w:eastAsia="Times New Roman" w:hAnsi="Times New Roman"/>
          <w:sz w:val="18"/>
          <w:szCs w:val="18"/>
          <w:color w:val="auto"/>
        </w:rPr>
      </w:pPr>
    </w:p>
    <w:p>
      <w:pPr>
        <w:ind w:left="1500" w:right="279" w:hanging="329"/>
        <w:spacing w:after="0" w:line="250"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Planning and Strategy –GCE offers full-service media planning and strategies that are built to grow sophisticated brands through traditional and digital media platforms. GCE understands today’s culture and how content is consumed in the everchanging world of media. GCE creates robust strategies that build long lasting connections with proven results.</w:t>
      </w:r>
    </w:p>
    <w:p>
      <w:pPr>
        <w:spacing w:after="0" w:line="1" w:lineRule="exact"/>
        <w:rPr>
          <w:rFonts w:ascii="Times New Roman" w:cs="Times New Roman" w:eastAsia="Times New Roman" w:hAnsi="Times New Roman"/>
          <w:sz w:val="18"/>
          <w:szCs w:val="18"/>
          <w:color w:val="auto"/>
        </w:rPr>
      </w:pPr>
    </w:p>
    <w:p>
      <w:pPr>
        <w:ind w:left="1500" w:right="219" w:hanging="329"/>
        <w:spacing w:after="0" w:line="265" w:lineRule="auto"/>
        <w:tabs>
          <w:tab w:leader="none" w:pos="1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Video – GCE’s team of in-house video experts specialize in high-quality content expanding across a wide variety of marketing channels. Capabilities include broadcast-quality commercials, explainer videos, mini- and full-length documentaries, original programming, animations, motion graphics, and short, stackable video content for a variety of social media channels. GCE enhances its internal team with preferred partners to help offset workload and provide scalability of production requirements.</w:t>
      </w:r>
    </w:p>
    <w:p>
      <w:pPr>
        <w:ind w:left="1500" w:right="159" w:hanging="329"/>
        <w:spacing w:after="0" w:line="250"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Intelligence and Data Science – GCE employs a team of in-house data analysis professionals who apply descriptive and prescriptive analytics to help understand the marketplace and facilitate important business decisions. GCE specializes in all aspects of data analytics and science, including predictive modeling, data mining and visualization to enrich today’s technology and data-driven marketplace, while providing the information required for success.</w:t>
      </w:r>
    </w:p>
    <w:p>
      <w:pPr>
        <w:spacing w:after="0" w:line="1" w:lineRule="exact"/>
        <w:rPr>
          <w:rFonts w:ascii="Times New Roman" w:cs="Times New Roman" w:eastAsia="Times New Roman" w:hAnsi="Times New Roman"/>
          <w:sz w:val="18"/>
          <w:szCs w:val="18"/>
          <w:color w:val="auto"/>
        </w:rPr>
      </w:pPr>
    </w:p>
    <w:p>
      <w:pPr>
        <w:ind w:left="1500" w:right="119" w:hanging="329"/>
        <w:spacing w:after="0" w:line="253"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Research – GCE’s market research professionals survey market, population and job data for various locations across the country in order to make data-driven recommendations for new sites, partnerships, and educational offerings that will maximize reach and impact and provide education and career training to the areas where it will be most impactful.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Back-Office Services</w:t>
      </w:r>
    </w:p>
    <w:p>
      <w:pPr>
        <w:spacing w:after="0" w:line="229"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In addition, we currently provide certain requested back-office services to GCU that include finance, human resources, audit, and other corporate functions.</w:t>
      </w:r>
    </w:p>
    <w:p>
      <w:pPr>
        <w:spacing w:after="0" w:line="160" w:lineRule="exact"/>
        <w:rPr>
          <w:sz w:val="20"/>
          <w:szCs w:val="20"/>
          <w:color w:val="auto"/>
        </w:rPr>
      </w:pPr>
    </w:p>
    <w:p>
      <w:pPr>
        <w:jc w:val="both"/>
        <w:ind w:left="1500" w:right="139" w:hanging="329"/>
        <w:spacing w:after="0" w:line="258"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Finance and accounting </w:t>
      </w:r>
      <w:r>
        <w:rPr>
          <w:rFonts w:ascii="Times New Roman" w:cs="Times New Roman" w:eastAsia="Times New Roman" w:hAnsi="Times New Roman"/>
          <w:sz w:val="18"/>
          <w:szCs w:val="18"/>
          <w:color w:val="auto"/>
        </w:rPr>
        <w:t>- Finance and accounting services include administration of payroll,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general ledger, student accounting, financial reporting, budgeting and taxes at the direction of GCU.</w:t>
      </w:r>
    </w:p>
    <w:p>
      <w:pPr>
        <w:ind w:left="1500" w:right="379" w:hanging="329"/>
        <w:spacing w:after="0" w:line="250"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Human Resources </w:t>
      </w:r>
      <w:r>
        <w:rPr>
          <w:rFonts w:ascii="Times New Roman" w:cs="Times New Roman" w:eastAsia="Times New Roman" w:hAnsi="Times New Roman"/>
          <w:sz w:val="18"/>
          <w:szCs w:val="18"/>
          <w:color w:val="auto"/>
        </w:rPr>
        <w:t>- Human resources services include administration of performance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policies, recruitment and onboarding of new personnel, and benefit plan design and procurement, among others.</w:t>
      </w:r>
    </w:p>
    <w:p>
      <w:pPr>
        <w:spacing w:after="0" w:line="1" w:lineRule="exact"/>
        <w:rPr>
          <w:rFonts w:ascii="Times New Roman" w:cs="Times New Roman" w:eastAsia="Times New Roman" w:hAnsi="Times New Roman"/>
          <w:sz w:val="18"/>
          <w:szCs w:val="18"/>
          <w:color w:val="auto"/>
        </w:rPr>
      </w:pPr>
    </w:p>
    <w:p>
      <w:pPr>
        <w:ind w:left="1500" w:right="439" w:hanging="329"/>
        <w:spacing w:after="0" w:line="250"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w:t>
      </w:r>
      <w:r>
        <w:rPr>
          <w:rFonts w:ascii="Times New Roman" w:cs="Times New Roman" w:eastAsia="Times New Roman" w:hAnsi="Times New Roman"/>
          <w:sz w:val="18"/>
          <w:szCs w:val="18"/>
          <w:color w:val="auto"/>
        </w:rPr>
        <w:t>- Audit services include development and administration of a GCU approved annual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plan and execution of the audit plan for the service period.</w:t>
      </w:r>
    </w:p>
    <w:p>
      <w:pPr>
        <w:ind w:left="1500" w:right="159" w:hanging="329"/>
        <w:spacing w:after="0" w:line="255"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Procurement </w:t>
      </w:r>
      <w:r>
        <w:rPr>
          <w:rFonts w:ascii="Times New Roman" w:cs="Times New Roman" w:eastAsia="Times New Roman" w:hAnsi="Times New Roman"/>
          <w:sz w:val="18"/>
          <w:szCs w:val="18"/>
          <w:color w:val="auto"/>
        </w:rPr>
        <w:t>- Procurement services include management of purchasing and vendor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travel services, review of vendor contracts, and maintenance of contracts in the procurement system.</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Social Responsibility and Human Capital Development</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Social responsibility and human capital development are a significant focus of the Company. Our efforts are led by our Chief Executive Officer and a portion of his compensation is tied to our success in these areas. To this end, our business was created and continues to evolve to meet the needs of the local community in which we operate as well as those outside our community. We started by identifying what we believe to be the educational challenges that our country is facing and then worked to find solutions to these challenges. We believe these challenges include:</w:t>
      </w:r>
    </w:p>
    <w:p>
      <w:pPr>
        <w:spacing w:after="0" w:line="183" w:lineRule="exact"/>
        <w:rPr>
          <w:sz w:val="20"/>
          <w:szCs w:val="20"/>
          <w:color w:val="auto"/>
        </w:rPr>
      </w:pPr>
    </w:p>
    <w:p>
      <w:pPr>
        <w:ind w:left="1500" w:hanging="329"/>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University education is too expensive;</w:t>
      </w:r>
    </w:p>
    <w:p>
      <w:pPr>
        <w:spacing w:after="0" w:line="27"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Students are taking on too much debt;</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Bachelor degrees are taking too long to complete;</w:t>
      </w:r>
    </w:p>
    <w:p>
      <w:pPr>
        <w:spacing w:after="0" w:line="9" w:lineRule="exact"/>
        <w:rPr>
          <w:rFonts w:ascii="Times New Roman" w:cs="Times New Roman" w:eastAsia="Times New Roman" w:hAnsi="Times New Roman"/>
          <w:sz w:val="18"/>
          <w:szCs w:val="18"/>
          <w:color w:val="auto"/>
        </w:rPr>
      </w:pPr>
    </w:p>
    <w:p>
      <w:pPr>
        <w:ind w:left="1500" w:right="139" w:hanging="329"/>
        <w:spacing w:after="0" w:line="250"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are not targeted enough toward careers. Recent surveys show that a large percentage of college students would change majors if starting over, and a significant number of recent graduates are under employed or are in jobs that don’t required degrees;</w:t>
      </w:r>
    </w:p>
    <w:p>
      <w:pPr>
        <w:spacing w:after="0" w:line="1"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tuition increases, diversity decreases;</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Universities have inadequate counseling and support services, especially for distance learners;</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university professors have no formal training in teaching, learning or course design;</w:t>
      </w:r>
    </w:p>
    <w:p>
      <w:pPr>
        <w:spacing w:after="0" w:line="9" w:lineRule="exact"/>
        <w:rPr>
          <w:rFonts w:ascii="Times New Roman" w:cs="Times New Roman" w:eastAsia="Times New Roman" w:hAnsi="Times New Roman"/>
          <w:sz w:val="18"/>
          <w:szCs w:val="18"/>
          <w:color w:val="auto"/>
        </w:rPr>
      </w:pPr>
    </w:p>
    <w:p>
      <w:pPr>
        <w:ind w:left="1500" w:right="759" w:hanging="329"/>
        <w:spacing w:after="0" w:line="260"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Universities are under significant financial pressure, which has only been enhanced due to the pandemic and a declining number of high school graduates attending college.</w:t>
      </w:r>
    </w:p>
    <w:p>
      <w:pPr>
        <w:spacing w:after="0" w:line="18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provide the capital, technology and expertise to our university partners to lessen the challenges in each of the areas listed above (see </w:t>
      </w:r>
      <w:r>
        <w:rPr>
          <w:rFonts w:ascii="Times New Roman" w:cs="Times New Roman" w:eastAsia="Times New Roman" w:hAnsi="Times New Roman"/>
          <w:sz w:val="18"/>
          <w:szCs w:val="18"/>
          <w:i w:val="1"/>
          <w:iCs w:val="1"/>
          <w:color w:val="auto"/>
        </w:rPr>
        <w:t>Item 1. Business – Suite of Services</w:t>
      </w:r>
      <w:r>
        <w:rPr>
          <w:rFonts w:ascii="Times New Roman" w:cs="Times New Roman" w:eastAsia="Times New Roman" w:hAnsi="Times New Roman"/>
          <w:sz w:val="18"/>
          <w:szCs w:val="18"/>
          <w:color w:val="auto"/>
        </w:rPr>
        <w:t>). We work with these university partners to develop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and their local communities to develop programs where there are skills shortages such as healthcare, teacher education, science, technology, engineering and math. GCE provides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And our business model has helped our university partners as changes in the educational landscape and the pandemic has put pressure on their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3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Community Involvement by GCE and its Employees. </w:t>
      </w:r>
      <w:r>
        <w:rPr>
          <w:rFonts w:ascii="Times New Roman" w:cs="Times New Roman" w:eastAsia="Times New Roman" w:hAnsi="Times New Roman"/>
          <w:sz w:val="18"/>
          <w:szCs w:val="18"/>
          <w:color w:val="auto"/>
        </w:rPr>
        <w:t>Examples of activities in which we and our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include:</w:t>
      </w:r>
    </w:p>
    <w:p>
      <w:pPr>
        <w:spacing w:after="0" w:line="158" w:lineRule="exact"/>
        <w:rPr>
          <w:sz w:val="20"/>
          <w:szCs w:val="20"/>
          <w:color w:val="auto"/>
        </w:rPr>
      </w:pPr>
    </w:p>
    <w:p>
      <w:pPr>
        <w:ind w:left="1040" w:right="99" w:hanging="315"/>
        <w:spacing w:after="0" w:line="257"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Our Neighborhood and Increased Home Values - </w:t>
      </w:r>
      <w:r>
        <w:rPr>
          <w:rFonts w:ascii="Times New Roman" w:cs="Times New Roman" w:eastAsia="Times New Roman" w:hAnsi="Times New Roman"/>
          <w:sz w:val="18"/>
          <w:szCs w:val="18"/>
          <w:color w:val="auto"/>
        </w:rPr>
        <w:t>Together with Habitat for Humanity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concert with our largest university partner, we are participating in the largest home renovation project in the country in the West Phoenix area surrounding GCU’s campus. As of December 31, 2023, 1,388 projects have been completed in which 35,250 hours have been logged by volunteers. These efforts, combined with GCE and GCU’s expanded presence in the community, have contributed to a significant increase in home values since 2011 in the 85017 zip code.</w:t>
      </w:r>
    </w:p>
    <w:p>
      <w:pPr>
        <w:spacing w:after="0" w:line="182" w:lineRule="exact"/>
        <w:rPr>
          <w:rFonts w:ascii="Times New Roman" w:cs="Times New Roman" w:eastAsia="Times New Roman" w:hAnsi="Times New Roman"/>
          <w:sz w:val="18"/>
          <w:szCs w:val="18"/>
          <w:color w:val="auto"/>
        </w:rPr>
      </w:pPr>
    </w:p>
    <w:p>
      <w:pPr>
        <w:ind w:left="1040" w:right="199" w:hanging="315"/>
        <w:spacing w:after="0" w:line="267"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Furthering Job Creation - </w:t>
      </w:r>
      <w:r>
        <w:rPr>
          <w:rFonts w:ascii="Times New Roman" w:cs="Times New Roman" w:eastAsia="Times New Roman" w:hAnsi="Times New Roman"/>
          <w:sz w:val="18"/>
          <w:szCs w:val="18"/>
          <w:color w:val="auto"/>
        </w:rPr>
        <w:t>We, along with GCU have launched a number of new business enterprises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reduced costs, provided management opportunities for recent graduates and employment opportunities for students and neighborhood residents, while spurring economic growth in the area.</w:t>
      </w:r>
    </w:p>
    <w:p>
      <w:pPr>
        <w:spacing w:after="0" w:line="173" w:lineRule="exact"/>
        <w:rPr>
          <w:rFonts w:ascii="Times New Roman" w:cs="Times New Roman" w:eastAsia="Times New Roman" w:hAnsi="Times New Roman"/>
          <w:sz w:val="18"/>
          <w:szCs w:val="18"/>
          <w:color w:val="auto"/>
        </w:rPr>
      </w:pPr>
    </w:p>
    <w:p>
      <w:pPr>
        <w:ind w:left="1040" w:right="159" w:hanging="315"/>
        <w:spacing w:after="0" w:line="267"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Youth Opportunity Foundation - </w:t>
      </w:r>
      <w:r>
        <w:rPr>
          <w:rFonts w:ascii="Times New Roman" w:cs="Times New Roman" w:eastAsia="Times New Roman" w:hAnsi="Times New Roman"/>
          <w:sz w:val="18"/>
          <w:szCs w:val="18"/>
          <w:color w:val="auto"/>
        </w:rPr>
        <w:t>Our employees volunteer and donate time and funds to the Youth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Foundation which provides advocacy, clinical treatment, education and workforce development for at-risk young people in underprivileged areas.</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GCE also invests in the following activities that benefit the community.</w:t>
      </w:r>
    </w:p>
    <w:p>
      <w:pPr>
        <w:spacing w:after="0" w:line="223" w:lineRule="exact"/>
        <w:rPr>
          <w:sz w:val="20"/>
          <w:szCs w:val="20"/>
          <w:color w:val="auto"/>
        </w:rPr>
      </w:pPr>
    </w:p>
    <w:p>
      <w:pPr>
        <w:ind w:left="1040" w:right="19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Funding of Student Tuition Organizations - </w:t>
      </w:r>
      <w:r>
        <w:rPr>
          <w:rFonts w:ascii="Times New Roman" w:cs="Times New Roman" w:eastAsia="Times New Roman" w:hAnsi="Times New Roman"/>
          <w:sz w:val="18"/>
          <w:szCs w:val="18"/>
          <w:color w:val="auto"/>
        </w:rPr>
        <w:t>GCE contributes to private school tuition organizations,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entities that allocate financial contributions toward tuition assistance and scholarships for disadvantaged students to attend Arizona private schools. In 2023 and 2022, we contributed $3.5 million and $5.0 million, respectively, to these organizations.</w:t>
      </w:r>
    </w:p>
    <w:p>
      <w:pPr>
        <w:spacing w:after="0" w:line="179" w:lineRule="exact"/>
        <w:rPr>
          <w:rFonts w:ascii="Times New Roman" w:cs="Times New Roman" w:eastAsia="Times New Roman" w:hAnsi="Times New Roman"/>
          <w:sz w:val="18"/>
          <w:szCs w:val="18"/>
          <w:color w:val="auto"/>
        </w:rPr>
      </w:pPr>
    </w:p>
    <w:p>
      <w:pPr>
        <w:ind w:left="1040" w:right="219" w:hanging="315"/>
        <w:spacing w:after="0" w:line="258"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Encouraging Employee Giving - </w:t>
      </w:r>
      <w:r>
        <w:rPr>
          <w:rFonts w:ascii="Times New Roman" w:cs="Times New Roman" w:eastAsia="Times New Roman" w:hAnsi="Times New Roman"/>
          <w:sz w:val="18"/>
          <w:szCs w:val="18"/>
          <w:color w:val="auto"/>
        </w:rPr>
        <w:t>We participate in Donate to Elevate, a program that encourages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participate in the Arizona individual tax credit program, which allows individual taxpayers to contribute money in lieu of state income tax payments to benefit private schools and other non-profit entities in Arizona, as well as local public schools and public charter schools. Employees are encouraged to designate tax dollars to the school or program of their choice.</w:t>
      </w:r>
    </w:p>
    <w:p>
      <w:pPr>
        <w:spacing w:after="0" w:line="183" w:lineRule="exact"/>
        <w:rPr>
          <w:rFonts w:ascii="Times New Roman" w:cs="Times New Roman" w:eastAsia="Times New Roman" w:hAnsi="Times New Roman"/>
          <w:sz w:val="18"/>
          <w:szCs w:val="18"/>
          <w:color w:val="auto"/>
        </w:rPr>
      </w:pPr>
    </w:p>
    <w:p>
      <w:pPr>
        <w:ind w:left="1040" w:right="23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Students Inspiring Students - </w:t>
      </w:r>
      <w:r>
        <w:rPr>
          <w:rFonts w:ascii="Times New Roman" w:cs="Times New Roman" w:eastAsia="Times New Roman" w:hAnsi="Times New Roman"/>
          <w:sz w:val="18"/>
          <w:szCs w:val="18"/>
          <w:color w:val="auto"/>
        </w:rPr>
        <w:t>GCE continues to support GCU’s free tutoring/mentoring program that serves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Phoenix-area K-12 schools. Students who seek academic assistance in the GCU Learning Lounge may become eligible to receive the Students Inspiring Students full-tuition scholarship. To serve our clients and community, we seek donations to fund this neighborhood scholarship program.</w:t>
      </w:r>
    </w:p>
    <w:p>
      <w:pPr>
        <w:spacing w:after="0" w:line="179" w:lineRule="exact"/>
        <w:rPr>
          <w:rFonts w:ascii="Times New Roman" w:cs="Times New Roman" w:eastAsia="Times New Roman" w:hAnsi="Times New Roman"/>
          <w:sz w:val="18"/>
          <w:szCs w:val="18"/>
          <w:color w:val="auto"/>
        </w:rPr>
      </w:pPr>
    </w:p>
    <w:p>
      <w:pPr>
        <w:ind w:left="1040" w:right="159" w:hanging="315"/>
        <w:spacing w:after="0" w:line="255"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Sponsoring K-12 Educational Development - </w:t>
      </w:r>
      <w:r>
        <w:rPr>
          <w:rFonts w:ascii="Times New Roman" w:cs="Times New Roman" w:eastAsia="Times New Roman" w:hAnsi="Times New Roman"/>
          <w:sz w:val="18"/>
          <w:szCs w:val="18"/>
          <w:color w:val="auto"/>
        </w:rPr>
        <w:t>GCE supports GCU’s K-12 Educational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through sponsorship of GCU’s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 Both initiatives elevate public, private, charter and home schools in the form of scholarships, program discounts, professional development, events, and more.</w:t>
      </w:r>
    </w:p>
    <w:p>
      <w:pPr>
        <w:spacing w:after="0" w:line="184"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Continuing Community Involvement - </w:t>
      </w:r>
      <w:r>
        <w:rPr>
          <w:rFonts w:ascii="Times New Roman" w:cs="Times New Roman" w:eastAsia="Times New Roman" w:hAnsi="Times New Roman"/>
          <w:sz w:val="18"/>
          <w:szCs w:val="18"/>
          <w:color w:val="auto"/>
        </w:rPr>
        <w:t>GCE and our employees partner in countless other community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projects throughout the year. We offer our full-time employees a maximum of 16 hours of PTO annually for community service. This time is used to volunteer at an approved charitable organization. Over 40 organizations are approved for employee volunteerism, including Habitat for Humanity.</w:t>
      </w:r>
    </w:p>
    <w:p>
      <w:pPr>
        <w:spacing w:after="0" w:line="182" w:lineRule="exact"/>
        <w:rPr>
          <w:sz w:val="20"/>
          <w:szCs w:val="20"/>
          <w:color w:val="auto"/>
        </w:rPr>
      </w:pPr>
    </w:p>
    <w:p>
      <w:pPr>
        <w:ind w:left="60" w:right="419" w:firstLine="648"/>
        <w:spacing w:after="0" w:line="289" w:lineRule="auto"/>
        <w:rPr>
          <w:sz w:val="20"/>
          <w:szCs w:val="20"/>
          <w:color w:val="auto"/>
        </w:rPr>
      </w:pPr>
      <w:r>
        <w:rPr>
          <w:rFonts w:ascii="Times New Roman" w:cs="Times New Roman" w:eastAsia="Times New Roman" w:hAnsi="Times New Roman"/>
          <w:sz w:val="17"/>
          <w:szCs w:val="17"/>
          <w:color w:val="auto"/>
        </w:rPr>
        <w:t>In addition, GCE has historically partnered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Mary’s Food Bank. Our employees also went out into our surrounding neighborhoods to participate in programs such as Serve the City, Canyon Kids, Salute Our Troops, Colter Commons senior home visits and the Run to Fight Children’s Cancer.</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believe that we must have the best talent, including employees who possess a diverse range of experiences, backgrounds and skills, in order to anticipate and meet the needs of our business and those of our university partners. Over time, we have hired, developed and retained a diverse management and workforce that reflects our surrounding community and that is a key component in GCE’s success and an important part of our culture. 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 Our employees take advantage of these opportunities and share our commitment to and enthusiasm for community service projects, as well as charitable organizations throughout the Phoenix area. Through these activities, our employees have the opportunity to volunteer and provide servant leadership that benefits the surrounding neighborhoods and West Phoenix community.</w:t>
      </w:r>
    </w:p>
    <w:p>
      <w:pPr>
        <w:spacing w:after="0" w:line="190" w:lineRule="exact"/>
        <w:rPr>
          <w:sz w:val="20"/>
          <w:szCs w:val="20"/>
          <w:color w:val="auto"/>
        </w:rPr>
      </w:pPr>
    </w:p>
    <w:p>
      <w:pPr>
        <w:ind w:left="60" w:right="1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Commitment to Diversity. </w:t>
      </w:r>
      <w:r>
        <w:rPr>
          <w:rFonts w:ascii="Times New Roman" w:cs="Times New Roman" w:eastAsia="Times New Roman" w:hAnsi="Times New Roman"/>
          <w:sz w:val="18"/>
          <w:szCs w:val="18"/>
          <w:color w:val="auto"/>
        </w:rPr>
        <w:t>A growing body of evidence suggests that diverse teams improve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outcomes and support innovation, resiliency, and productivity. GCE’s commitment to fostering diversity in its community is evident in the following:</w:t>
      </w:r>
    </w:p>
    <w:p>
      <w:pPr>
        <w:spacing w:after="0" w:line="173" w:lineRule="exact"/>
        <w:rPr>
          <w:sz w:val="20"/>
          <w:szCs w:val="20"/>
          <w:color w:val="auto"/>
        </w:rPr>
      </w:pPr>
    </w:p>
    <w:p>
      <w:pPr>
        <w:ind w:left="1040" w:right="119" w:hanging="315"/>
        <w:spacing w:after="0" w:line="253"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Diversity Statement - </w:t>
      </w:r>
      <w:r>
        <w:rPr>
          <w:rFonts w:ascii="Times New Roman" w:cs="Times New Roman" w:eastAsia="Times New Roman" w:hAnsi="Times New Roman"/>
          <w:sz w:val="18"/>
          <w:szCs w:val="18"/>
          <w:color w:val="auto"/>
        </w:rPr>
        <w:t>Grand Canyon Education is a faith-friendly shared services provider that embraces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worldview which outlines a responsibility to both charity and stewardship which simply stated is, ‘to love others as yourself’. We are a community of people who value the pursuit of truth and find great understanding in the convergence of differing viewpoints, backgrounds and ideas. We welcome employees from all walks of life which has contributed to a growing diversity within our population. Our diversity encompasses a multitude of dimensions, including age, disability, national origin, race, color, religion, gender, veteran status and more. Our Christian perspective compels us to treat every individual equally with respect and compassion. All community members deserve a comfortable space to express their feelings, so that every voice is heard. All members of the Company will be welcomed, valued, and provided safety in this community. Finally, diversity not only enriches the workplace and the educational endeavors of our partners, it is critical to it. Maintaining a diverse environment requires a measure of tolerance and understanding commensurate with the dignity and value of all human life. In sum, GCE values diversity because it values every employee and university partners’ students entrusted to its care.</w:t>
      </w:r>
    </w:p>
    <w:p>
      <w:pPr>
        <w:spacing w:after="0" w:line="187" w:lineRule="exact"/>
        <w:rPr>
          <w:rFonts w:ascii="Times New Roman" w:cs="Times New Roman" w:eastAsia="Times New Roman" w:hAnsi="Times New Roman"/>
          <w:sz w:val="18"/>
          <w:szCs w:val="18"/>
          <w:color w:val="auto"/>
        </w:rPr>
      </w:pPr>
    </w:p>
    <w:p>
      <w:pPr>
        <w:ind w:left="1040" w:right="239" w:hanging="315"/>
        <w:spacing w:after="0" w:line="258"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Diverse Leadership </w:t>
      </w:r>
      <w:r>
        <w:rPr>
          <w:rFonts w:ascii="Times New Roman" w:cs="Times New Roman" w:eastAsia="Times New Roman" w:hAnsi="Times New Roman"/>
          <w:sz w:val="18"/>
          <w:szCs w:val="18"/>
          <w:color w:val="auto"/>
        </w:rPr>
        <w:t>- Our ability to attract and retain diverse talent is reflected at both the Board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levels. Three of our five directors are women and one director identifies with an underrepresented diverse ethnicity. In addition, for all of our employees at the level of manager and above totaling 618 persons, 72.2% are held by women and other diverse persons, collectively, an increase of 4.9% over 2022.</w:t>
      </w:r>
    </w:p>
    <w:p>
      <w:pPr>
        <w:spacing w:after="0" w:line="183" w:lineRule="exact"/>
        <w:rPr>
          <w:rFonts w:ascii="Times New Roman" w:cs="Times New Roman" w:eastAsia="Times New Roman" w:hAnsi="Times New Roman"/>
          <w:sz w:val="18"/>
          <w:szCs w:val="18"/>
          <w:color w:val="auto"/>
        </w:rPr>
      </w:pPr>
    </w:p>
    <w:p>
      <w:pPr>
        <w:ind w:left="1040" w:right="79" w:hanging="315"/>
        <w:spacing w:after="0" w:line="255"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Diverse Workforce </w:t>
      </w:r>
      <w:r>
        <w:rPr>
          <w:rFonts w:ascii="Times New Roman" w:cs="Times New Roman" w:eastAsia="Times New Roman" w:hAnsi="Times New Roman"/>
          <w:sz w:val="18"/>
          <w:szCs w:val="18"/>
          <w:color w:val="auto"/>
        </w:rPr>
        <w:t>- As of December 31, 2023, for all of our employees totaling 5,800, 83.2%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women and other diverse persons, collectively, an increase of 4.1% over 2022. As of December 31, 2023, GCE employed approximately 4,068 professional and administrative personnel, including technical and academic advisors, counseling advisors, marketing and communication professionals, and personnel that handle financial aid processing, information technology, human resources, corporate accounting, finance, and other administrative functions. In addition, as of December 31, 2023, GCE employed approximately 1,732 part-time employees most of whom are student workers. None of our employees are a party to any collective bargaining or similar agreement with us. We consider our relations with our employees to be strong.</w:t>
      </w:r>
    </w:p>
    <w:p>
      <w:pPr>
        <w:spacing w:after="0" w:line="184"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Hiring Practices and Policies </w:t>
      </w:r>
      <w:r>
        <w:rPr>
          <w:rFonts w:ascii="Times New Roman" w:cs="Times New Roman" w:eastAsia="Times New Roman" w:hAnsi="Times New Roman"/>
          <w:sz w:val="18"/>
          <w:szCs w:val="18"/>
          <w:color w:val="auto"/>
        </w:rPr>
        <w:t>- GCE is committed to hiring policies and practices that promote diversity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identifying the most qualified candidate for a given position. GCE ensures company diversity through hiring policies and practices that support diversity such as the Equal Employment Opportunity Policy, Nondiscrimination and Anti-Harassment Policy and Complaint Procedure, and the</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79"/>
        <w:spacing w:after="0" w:line="266" w:lineRule="auto"/>
        <w:rPr>
          <w:sz w:val="20"/>
          <w:szCs w:val="20"/>
          <w:color w:val="auto"/>
        </w:rPr>
      </w:pPr>
      <w:r>
        <w:rPr>
          <w:rFonts w:ascii="Times New Roman" w:cs="Times New Roman" w:eastAsia="Times New Roman" w:hAnsi="Times New Roman"/>
          <w:sz w:val="18"/>
          <w:szCs w:val="18"/>
          <w:color w:val="auto"/>
        </w:rPr>
        <w:t>Disability Accommodation Policy. We post all open positions to a variety of diversity-related job boards to ensure we attract diverse candidates. We also collect and analyze employee demographic data to identify current trends and areas of opportunity in regard to our diversity efforts.</w:t>
      </w:r>
    </w:p>
    <w:p>
      <w:pPr>
        <w:spacing w:after="0" w:line="174" w:lineRule="exact"/>
        <w:rPr>
          <w:sz w:val="20"/>
          <w:szCs w:val="20"/>
          <w:color w:val="auto"/>
        </w:rPr>
      </w:pPr>
    </w:p>
    <w:p>
      <w:pPr>
        <w:ind w:left="1040" w:right="25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Diversity Training </w:t>
      </w:r>
      <w:r>
        <w:rPr>
          <w:rFonts w:ascii="Times New Roman" w:cs="Times New Roman" w:eastAsia="Times New Roman" w:hAnsi="Times New Roman"/>
          <w:sz w:val="18"/>
          <w:szCs w:val="18"/>
          <w:color w:val="auto"/>
        </w:rPr>
        <w:t>- We provide employees and management with regular diversity training. New hires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anti-discrimination and harassment training within 3 months of starting at GCE. Thereafter, all employees complete the training every other year, while management undertakes it annually. We have also provided Implicit Bias Training to all employees.</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Employee Learning and Development (ELD) Services. </w:t>
      </w:r>
      <w:r>
        <w:rPr>
          <w:rFonts w:ascii="Times New Roman" w:cs="Times New Roman" w:eastAsia="Times New Roman" w:hAnsi="Times New Roman"/>
          <w:sz w:val="18"/>
          <w:szCs w:val="18"/>
          <w:color w:val="auto"/>
        </w:rPr>
        <w:t>We provide learning and development support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through numerous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 stays current with regulatory and other compliance requirements. These programs and curricula are offered virtually as both synchronous and self-paced.</w:t>
      </w:r>
    </w:p>
    <w:p>
      <w:pPr>
        <w:spacing w:after="0" w:line="183"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Tuition Benefit </w:t>
      </w:r>
      <w:r>
        <w:rPr>
          <w:rFonts w:ascii="Times New Roman" w:cs="Times New Roman" w:eastAsia="Times New Roman" w:hAnsi="Times New Roman"/>
          <w:sz w:val="18"/>
          <w:szCs w:val="18"/>
          <w:color w:val="auto"/>
        </w:rPr>
        <w:t>– GCE promotes the concept of lifelong learning and supports this concept by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employees a generous Tuition Benefit program through its university partner, GCU. After 3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 admitted to GCU receives a 100% tuition reduction on undergraduate programs and a 50% tuition reduction on graduate programs.</w:t>
      </w:r>
    </w:p>
    <w:p>
      <w:pPr>
        <w:spacing w:after="0" w:line="18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Monitoring employee engagement and satisfaction </w:t>
      </w:r>
      <w:r>
        <w:rPr>
          <w:rFonts w:ascii="Times New Roman" w:cs="Times New Roman" w:eastAsia="Times New Roman" w:hAnsi="Times New Roman"/>
          <w:sz w:val="18"/>
          <w:szCs w:val="18"/>
          <w:color w:val="auto"/>
        </w:rPr>
        <w:t>– GCE administered a survey with all of its employees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 employee engagement and satisfaction. GCE received responses from 1,835 employees on the 2022 survey. The survey asked a number of questions regarding employee engagement and satisfaction including whether they are actively engaged with their work, whether they have a sense of pride in what they do and whether they enjoy the type of work assigned to them. The responses to each question were overwhelmingly positive. To the prompt, “Overall I am satisfied with GCE as an employer,” less than 10% of the responders disagreed with that statement. 92% of those responses confirmed GCE enables a culture of diversity. This survey also inquired about the importance of Environmental, Social and Governance topics that employees felt are important to GCE’s business performance and financial success both internal and external impacts. The top five selected in the survey by employees were Employee Health and Wellbeing (56%), Community Engagement (55%), Human Capital Management (51%), Workforce Diversity and Engagement (33%) and Professional Integrity (32%).</w:t>
      </w:r>
    </w:p>
    <w:p>
      <w:pPr>
        <w:spacing w:after="0" w:line="1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Whistleblower hotline </w:t>
      </w:r>
      <w:r>
        <w:rPr>
          <w:rFonts w:ascii="Times New Roman" w:cs="Times New Roman" w:eastAsia="Times New Roman" w:hAnsi="Times New Roman"/>
          <w:sz w:val="18"/>
          <w:szCs w:val="18"/>
          <w:color w:val="auto"/>
        </w:rPr>
        <w:t>– GCE has a whistleblower hotline available to both internal and external parties.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whistleblower policy is disclosed on the GCE intranet for employees and disclosed on the GCE investor relations website for external parties. Hotline activity is managed by a third party and all claims are reviewed and monitored by the Chief Risk Officer and General Counsel. All claims are discussed at the quarterly Audit Committee meetings.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Awareness</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Online education is inherently more environmentally friendly than traditional campus education with a reduction in greenhouse gas (“GHG”) production caused by traveling to and from a brick-and-mortar campus. It also increases student capacity while eliminating the need for construction of a physical campus. A majority of our university partners’ students are enrolled in hybrid or online educational models. In addition, a significant number of our university partners’ students utilize an ebook format versus paper textbooks, which is more environmentally friendly in that it saves paper and other materials and there is no shipment required.</w:t>
      </w:r>
    </w:p>
    <w:p>
      <w:pPr>
        <w:spacing w:after="0" w:line="187" w:lineRule="exact"/>
        <w:rPr>
          <w:sz w:val="20"/>
          <w:szCs w:val="20"/>
          <w:color w:val="auto"/>
        </w:rPr>
      </w:pPr>
    </w:p>
    <w:p>
      <w:pPr>
        <w:jc w:val="center"/>
        <w:ind w:left="60" w:right="499"/>
        <w:spacing w:after="0" w:line="266" w:lineRule="auto"/>
        <w:rPr>
          <w:sz w:val="20"/>
          <w:szCs w:val="20"/>
          <w:color w:val="auto"/>
        </w:rPr>
      </w:pPr>
      <w:r>
        <w:rPr>
          <w:rFonts w:ascii="Times New Roman" w:cs="Times New Roman" w:eastAsia="Times New Roman" w:hAnsi="Times New Roman"/>
          <w:sz w:val="18"/>
          <w:szCs w:val="18"/>
          <w:color w:val="auto"/>
        </w:rPr>
        <w:t>GCE owns a four-story 325,000 square foot administrative building, which includes office space for approximately 2,700 employees, and a parking garage at our headquarters in Phoenix, Arizona. We constructed these facilities in 2016 and, as with every one of our projects over the past 12 years, we designed them to maximize energy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efficiency and minimize electricity usage and environmental impact, which ultimately lowers our operating costs. Our headquarters building includes the following design features:</w:t>
      </w:r>
    </w:p>
    <w:p>
      <w:pPr>
        <w:spacing w:after="0" w:line="160" w:lineRule="exact"/>
        <w:rPr>
          <w:sz w:val="20"/>
          <w:szCs w:val="20"/>
          <w:color w:val="auto"/>
        </w:rPr>
      </w:pPr>
    </w:p>
    <w:p>
      <w:pPr>
        <w:ind w:left="1160" w:right="239" w:hanging="327"/>
        <w:spacing w:after="0" w:line="267"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North/South Building Orientation - </w:t>
      </w:r>
      <w:r>
        <w:rPr>
          <w:rFonts w:ascii="Times New Roman" w:cs="Times New Roman" w:eastAsia="Times New Roman" w:hAnsi="Times New Roman"/>
          <w:sz w:val="18"/>
          <w:szCs w:val="18"/>
          <w:color w:val="auto"/>
        </w:rPr>
        <w:t>GCE’s office building is orientated with north/south exposure in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minimize direct sun and thereby reduce power usage. Exterior courtyards were arranged to ensure summer shade thus creating outdoor areas that can be used by our employees throughout the year.</w:t>
      </w:r>
    </w:p>
    <w:p>
      <w:pPr>
        <w:spacing w:after="0" w:line="173" w:lineRule="exact"/>
        <w:rPr>
          <w:rFonts w:ascii="Times New Roman" w:cs="Times New Roman" w:eastAsia="Times New Roman" w:hAnsi="Times New Roman"/>
          <w:sz w:val="18"/>
          <w:szCs w:val="18"/>
          <w:color w:val="auto"/>
        </w:rPr>
      </w:pPr>
    </w:p>
    <w:p>
      <w:pPr>
        <w:ind w:left="1160" w:right="259" w:hanging="327"/>
        <w:spacing w:after="0" w:line="261"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Window Glazing - </w:t>
      </w:r>
      <w:r>
        <w:rPr>
          <w:rFonts w:ascii="Times New Roman" w:cs="Times New Roman" w:eastAsia="Times New Roman" w:hAnsi="Times New Roman"/>
          <w:sz w:val="18"/>
          <w:szCs w:val="18"/>
          <w:color w:val="auto"/>
        </w:rPr>
        <w:t>Our building utilizes significant window glazing to allow for daylighting thus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the need for supplemental electrical lighting. As a result, the building is designed to use just .41 watts per square foot of electrical energy for lighting, which is half of what a typical environmentally efficient building uses.</w:t>
      </w:r>
    </w:p>
    <w:p>
      <w:pPr>
        <w:spacing w:after="0" w:line="179" w:lineRule="exact"/>
        <w:rPr>
          <w:rFonts w:ascii="Times New Roman" w:cs="Times New Roman" w:eastAsia="Times New Roman" w:hAnsi="Times New Roman"/>
          <w:sz w:val="18"/>
          <w:szCs w:val="18"/>
          <w:color w:val="auto"/>
        </w:rPr>
      </w:pPr>
    </w:p>
    <w:p>
      <w:pPr>
        <w:ind w:left="1160" w:right="319" w:hanging="327"/>
        <w:spacing w:after="0" w:line="261"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Reducing Water Consumption - </w:t>
      </w:r>
      <w:r>
        <w:rPr>
          <w:rFonts w:ascii="Times New Roman" w:cs="Times New Roman" w:eastAsia="Times New Roman" w:hAnsi="Times New Roman"/>
          <w:sz w:val="18"/>
          <w:szCs w:val="18"/>
          <w:color w:val="auto"/>
        </w:rPr>
        <w:t>Water usage is another environmental factor for office space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magnified by the Arizona weather. GCE’s office building utilizes numerous water conservation methods including push-tap faucets, waterless urinals, and a rooftop rainwater collection system for irrigating the landscaping below, which significantly reduces our water consumption.</w:t>
      </w:r>
    </w:p>
    <w:p>
      <w:pPr>
        <w:spacing w:after="0" w:line="179" w:lineRule="exact"/>
        <w:rPr>
          <w:rFonts w:ascii="Times New Roman" w:cs="Times New Roman" w:eastAsia="Times New Roman" w:hAnsi="Times New Roman"/>
          <w:sz w:val="18"/>
          <w:szCs w:val="18"/>
          <w:color w:val="auto"/>
        </w:rPr>
      </w:pPr>
    </w:p>
    <w:p>
      <w:pPr>
        <w:ind w:left="1160" w:right="259" w:hanging="327"/>
        <w:spacing w:after="0" w:line="267"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Design Features - </w:t>
      </w:r>
      <w:r>
        <w:rPr>
          <w:rFonts w:ascii="Times New Roman" w:cs="Times New Roman" w:eastAsia="Times New Roman" w:hAnsi="Times New Roman"/>
          <w:sz w:val="18"/>
          <w:szCs w:val="18"/>
          <w:color w:val="auto"/>
        </w:rPr>
        <w:t>Additional environment-friendly design features include low VOC paints,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recycled building materials, interior and exterior LED light bulbs, motion sensor lighting and implementation of an energy-efficient VRF mechanical system.</w:t>
      </w:r>
    </w:p>
    <w:p>
      <w:pPr>
        <w:spacing w:after="0" w:line="175"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 addition to our efficient facilities, we have undertaken other measures to minimize our environmental impact, including, among others:</w:t>
      </w:r>
    </w:p>
    <w:p>
      <w:pPr>
        <w:spacing w:after="0" w:line="162" w:lineRule="exact"/>
        <w:rPr>
          <w:sz w:val="20"/>
          <w:szCs w:val="20"/>
          <w:color w:val="auto"/>
        </w:rPr>
      </w:pPr>
    </w:p>
    <w:p>
      <w:pPr>
        <w:ind w:left="1160" w:right="619" w:hanging="327"/>
        <w:spacing w:after="0" w:line="282"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Trip Reduction Program, which provides incentives to employees who participate in carpooling or take public transportation to work;</w:t>
      </w:r>
    </w:p>
    <w:p>
      <w:pPr>
        <w:spacing w:after="0" w:line="161" w:lineRule="exact"/>
        <w:rPr>
          <w:rFonts w:ascii="Times New Roman" w:cs="Times New Roman" w:eastAsia="Times New Roman" w:hAnsi="Times New Roman"/>
          <w:sz w:val="18"/>
          <w:szCs w:val="18"/>
          <w:color w:val="auto"/>
        </w:rPr>
      </w:pPr>
    </w:p>
    <w:p>
      <w:pPr>
        <w:ind w:left="1160" w:hanging="327"/>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telecommute option for a significant number of positions; and</w:t>
      </w:r>
    </w:p>
    <w:p>
      <w:pPr>
        <w:spacing w:after="0" w:line="225" w:lineRule="exact"/>
        <w:rPr>
          <w:rFonts w:ascii="Times New Roman" w:cs="Times New Roman" w:eastAsia="Times New Roman" w:hAnsi="Times New Roman"/>
          <w:sz w:val="18"/>
          <w:szCs w:val="18"/>
          <w:color w:val="auto"/>
        </w:rPr>
      </w:pPr>
    </w:p>
    <w:p>
      <w:pPr>
        <w:ind w:left="1160" w:hanging="327"/>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recycling program aimed at minimizing the volume of waste products generated by GCE.</w:t>
      </w:r>
    </w:p>
    <w:p>
      <w:pPr>
        <w:spacing w:after="0" w:line="22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Due to our significant investment in infrastructure, since March 2020, when the World Health Organization declared the COVID-19 a global pandemic, a significant portion of our diverse workforce is continuing to work remotely. This has not only increased employee satisfaction but has also resulted in savings in the areas of waste, janitorial costs, and travel costs related to business travel and commuting.</w:t>
      </w:r>
    </w:p>
    <w:p>
      <w:pPr>
        <w:spacing w:after="0" w:line="180"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Our off-campus classroom and laboratory sites are all designed with the same efficient footprint in the 40 sites opened as of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Climate Disclosures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do not operate in a high-risk industry for climate risks. We believe that we have low climate risk with respect to our physical environment (e.g., fires, drought, hailstorms, increasing weather pattern changes). A significant percentage of our workforce is continuing to work remotely. We have insurance policies in place to cover any damage for our property, plant and equipment. Our Audit Committee is tasked with oversight of climate-related risks for the Company.</w:t>
      </w:r>
    </w:p>
    <w:p>
      <w:pPr>
        <w:spacing w:after="0" w:line="180"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We are evaluating emissions reduction requirements with key suppliers for costs such as information security systems, communication and marketing costs, travel costs, and continued expansion of our off-campus classroom and laboratory sites. We currently do not have any regulatory emissions reporting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We do not have significant risk from a transition to a low-carbon economy, which could result in changing customer behavior. Our customers are university partners located in the United States.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We believe that effective corporate governance is critical to our ability to create long term value for our stockholders. The following highlights certain key aspects of our corporate governance framework:</w:t>
      </w:r>
    </w:p>
    <w:p>
      <w:pPr>
        <w:spacing w:after="0" w:line="160" w:lineRule="exact"/>
        <w:rPr>
          <w:sz w:val="20"/>
          <w:szCs w:val="20"/>
          <w:color w:val="auto"/>
        </w:rPr>
      </w:pPr>
    </w:p>
    <w:p>
      <w:pPr>
        <w:jc w:val="both"/>
        <w:ind w:left="1040" w:right="199" w:hanging="315"/>
        <w:spacing w:after="0" w:line="315" w:lineRule="auto"/>
        <w:tabs>
          <w:tab w:leader="none" w:pos="10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Have an Independent and Diverse Board - </w:t>
      </w:r>
      <w:r>
        <w:rPr>
          <w:rFonts w:ascii="Times New Roman" w:cs="Times New Roman" w:eastAsia="Times New Roman" w:hAnsi="Times New Roman"/>
          <w:sz w:val="17"/>
          <w:szCs w:val="17"/>
          <w:color w:val="auto"/>
        </w:rPr>
        <w:t>Four of our five directors are independent. Three of our five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are diverse persons, and one of our directors identifies with an under-represented diverse ethnicity.</w:t>
      </w:r>
    </w:p>
    <w:p>
      <w:pPr>
        <w:spacing w:after="0" w:line="134" w:lineRule="exact"/>
        <w:rPr>
          <w:rFonts w:ascii="Times New Roman" w:cs="Times New Roman" w:eastAsia="Times New Roman" w:hAnsi="Times New Roman"/>
          <w:sz w:val="17"/>
          <w:szCs w:val="17"/>
          <w:color w:val="auto"/>
        </w:rPr>
      </w:pPr>
    </w:p>
    <w:p>
      <w:pPr>
        <w:ind w:left="1040" w:right="359" w:hanging="315"/>
        <w:spacing w:after="0" w:line="284"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Majority Voting for Directors - </w:t>
      </w:r>
      <w:r>
        <w:rPr>
          <w:rFonts w:ascii="Times New Roman" w:cs="Times New Roman" w:eastAsia="Times New Roman" w:hAnsi="Times New Roman"/>
          <w:sz w:val="18"/>
          <w:szCs w:val="18"/>
          <w:color w:val="auto"/>
        </w:rPr>
        <w:t>We have adopted majority voting for directors pursuant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nominees who fail to achieve an affirmative majority of votes cast must submit their resignation.</w:t>
      </w:r>
    </w:p>
    <w:p>
      <w:pPr>
        <w:spacing w:after="0" w:line="15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Hold Annual Elections for Directors - </w:t>
      </w:r>
      <w:r>
        <w:rPr>
          <w:rFonts w:ascii="Times New Roman" w:cs="Times New Roman" w:eastAsia="Times New Roman" w:hAnsi="Times New Roman"/>
          <w:sz w:val="18"/>
          <w:szCs w:val="18"/>
          <w:color w:val="auto"/>
        </w:rPr>
        <w:t>We do not have a staggered board.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Assess Board Performance - </w:t>
      </w:r>
      <w:r>
        <w:rPr>
          <w:rFonts w:ascii="Times New Roman" w:cs="Times New Roman" w:eastAsia="Times New Roman" w:hAnsi="Times New Roman"/>
          <w:sz w:val="18"/>
          <w:szCs w:val="18"/>
          <w:color w:val="auto"/>
        </w:rPr>
        <w:t>We conduct regular evaluations of our Board and Committees.</w:t>
      </w:r>
    </w:p>
    <w:p>
      <w:pPr>
        <w:spacing w:after="0" w:line="225" w:lineRule="exact"/>
        <w:rPr>
          <w:rFonts w:ascii="Times New Roman" w:cs="Times New Roman" w:eastAsia="Times New Roman" w:hAnsi="Times New Roman"/>
          <w:sz w:val="18"/>
          <w:szCs w:val="18"/>
          <w:color w:val="auto"/>
        </w:rPr>
      </w:pPr>
    </w:p>
    <w:p>
      <w:pPr>
        <w:ind w:left="1040" w:right="719" w:hanging="315"/>
        <w:spacing w:after="0" w:line="284"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Independent Directors Meet Without Management - </w:t>
      </w:r>
      <w:r>
        <w:rPr>
          <w:rFonts w:ascii="Times New Roman" w:cs="Times New Roman" w:eastAsia="Times New Roman" w:hAnsi="Times New Roman"/>
          <w:sz w:val="18"/>
          <w:szCs w:val="18"/>
          <w:color w:val="auto"/>
        </w:rPr>
        <w:t>Our independent directors meet regularly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sessions without management present.</w:t>
      </w:r>
    </w:p>
    <w:p>
      <w:pPr>
        <w:spacing w:after="0" w:line="158" w:lineRule="exact"/>
        <w:rPr>
          <w:rFonts w:ascii="Times New Roman" w:cs="Times New Roman" w:eastAsia="Times New Roman" w:hAnsi="Times New Roman"/>
          <w:sz w:val="18"/>
          <w:szCs w:val="18"/>
          <w:color w:val="auto"/>
        </w:rPr>
      </w:pPr>
    </w:p>
    <w:p>
      <w:pPr>
        <w:ind w:left="1040" w:right="539" w:hanging="315"/>
        <w:spacing w:after="0" w:line="284"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a Stock Ownership Policy - </w:t>
      </w:r>
      <w:r>
        <w:rPr>
          <w:rFonts w:ascii="Times New Roman" w:cs="Times New Roman" w:eastAsia="Times New Roman" w:hAnsi="Times New Roman"/>
          <w:sz w:val="18"/>
          <w:szCs w:val="18"/>
          <w:color w:val="auto"/>
        </w:rPr>
        <w:t>We require both our named executive officers and our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 meaningful ownership stake at levels specified in our stock ownership policy.</w:t>
      </w:r>
    </w:p>
    <w:p>
      <w:pPr>
        <w:spacing w:after="0" w:line="158" w:lineRule="exact"/>
        <w:rPr>
          <w:rFonts w:ascii="Times New Roman" w:cs="Times New Roman" w:eastAsia="Times New Roman" w:hAnsi="Times New Roman"/>
          <w:sz w:val="18"/>
          <w:szCs w:val="18"/>
          <w:color w:val="auto"/>
        </w:rPr>
      </w:pPr>
    </w:p>
    <w:p>
      <w:pPr>
        <w:ind w:left="1040" w:right="379" w:hanging="315"/>
        <w:spacing w:after="0" w:line="284"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Key Committees are Independent - </w:t>
      </w:r>
      <w:r>
        <w:rPr>
          <w:rFonts w:ascii="Times New Roman" w:cs="Times New Roman" w:eastAsia="Times New Roman" w:hAnsi="Times New Roman"/>
          <w:sz w:val="18"/>
          <w:szCs w:val="18"/>
          <w:color w:val="auto"/>
        </w:rPr>
        <w:t>We have fully independent Audit, Compensation and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Corporate Governance Committees.</w:t>
      </w:r>
    </w:p>
    <w:p>
      <w:pPr>
        <w:spacing w:after="0" w:line="15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Do Not Have a “Poison Pill” </w:t>
      </w:r>
      <w:r>
        <w:rPr>
          <w:rFonts w:ascii="Times New Roman" w:cs="Times New Roman" w:eastAsia="Times New Roman" w:hAnsi="Times New Roman"/>
          <w:sz w:val="18"/>
          <w:szCs w:val="18"/>
          <w:color w:val="auto"/>
        </w:rPr>
        <w:t>- We do not maintain a stockholder rights plan.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service revenue normally fluctuates due to changes in our university partners’ enrollment which tends to be higher in the Spring and Fall periods and lower in the Summer. Our expenses do not normally fluctuate significantly during the year which results in fluctuations in operating income between quarters. See “Item 7,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 – Seasonality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There are dozens of companies that seek to partner with non-profit schools and state universities to assist in the development and operation of their educational programs. These companies provide various services that traditional institutions historically have not had the experience or organizational capability to fully support. These services include marketing and recruitment, enrollment management, curriculum development, online course design, student retention support, technology infrastructure, and student and faculty call center support. The largest companies in this sector have historically been Pearson Online Learning Services, Wiley Education Services, and 2U.</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education services market, particularly with regard to those companies that help traditional universities develop new degree programs often delivered online, has historically been characterized by a full-service, revenue-sharing model, based on the premise that most traditional institutions are not only operationally unprepared to offer these programs at scale but also are not equipped to make the significant upfront investments necessary to develop these programs organically. In recent years, an alternative unbundled fee-for-service model has emerged, in which the companies offer the same services, or some subset of services, for the market price of those services. Finally, other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industry providers affiliate with university partners to offer massive open online courses, which are aimed at unlimited participation and open access via the web at little or no cost to the student.</w:t>
      </w:r>
    </w:p>
    <w:p>
      <w:pPr>
        <w:spacing w:after="0" w:line="162"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education services market is changing and expanding. It is highly fragmented and subject to evolving technology, shifting needs of students and educators and introductions of new delivery modalities. We believe that the competitive factors in the education services market include:</w:t>
      </w:r>
    </w:p>
    <w:p>
      <w:pPr>
        <w:spacing w:after="0" w:line="176"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brand awareness;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university partner base and performance track record;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sales efforts;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robustness and evolution of technology solutions;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services offerings;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convenient, flexible and dependable access to programs and classes;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student support services;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student and faculty experience;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programs;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necessary to earn a degree.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 of copyrights, trademarks, service marks, trade secrets, domain names, and agreements to protect our intellectual property. We protect our intellectual property by signing agreements with employees, independent contractors, consultants, companies, and any other third party that creates intellectual property for us that assign any intellectual property rights to us. In addition, we seek to maintain the confidentiality of our proprietary information through the use of confidentiality agreements with employees, independent contractors, consultants and companies with which we conduct business. While our intellectual property rights are important to us, we do not believe that the loss of any individual property right or group of related rights would have a material adverse effect on our overall business.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as a Delaware corporation in 2008 and completed our initial public offering in November 2008. Our principal executive offices are located at 2600 West Camelback Road, Phoenix, Arizona 85017, our telephone number is (602) 247-4400 and our Internet address is www.gce.com.</w:t>
      </w:r>
    </w:p>
    <w:p>
      <w:pPr>
        <w:spacing w:after="0" w:line="176" w:lineRule="exact"/>
        <w:rPr>
          <w:sz w:val="20"/>
          <w:szCs w:val="20"/>
          <w:color w:val="auto"/>
        </w:rPr>
      </w:pPr>
    </w:p>
    <w:p>
      <w:pPr>
        <w:ind w:left="60" w:right="239" w:firstLine="648"/>
        <w:spacing w:after="0" w:line="269" w:lineRule="auto"/>
        <w:rPr>
          <w:sz w:val="20"/>
          <w:szCs w:val="20"/>
          <w:color w:val="auto"/>
        </w:rPr>
      </w:pPr>
      <w:r>
        <w:rPr>
          <w:rFonts w:ascii="Times New Roman" w:cs="Times New Roman" w:eastAsia="Times New Roman" w:hAnsi="Times New Roman"/>
          <w:sz w:val="17"/>
          <w:szCs w:val="17"/>
          <w:color w:val="auto"/>
        </w:rPr>
        <w:t>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w:t>
      </w:r>
    </w:p>
    <w:p>
      <w:pPr>
        <w:spacing w:after="0" w:line="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to visiting our website, you may obtain any document we file with the SEC at www.sec.gov. The contents of these websites are not incorporated into this filing and our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 OF OUR EDUCATION SERVICES BUSINESS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Prior to July 1, 2018, GCE, owned and operated GCU. On July 1, 2018, GCE sold GCU to an independent, Arizona non-profit corporation (the “Transaction”). As a result of the Transaction, we no longer own and operate an institution of higher education, nor do we directly participate in Title IV programs regulated and overseen by ED under the Higher Education Act (“HEA”). Instead, we operate as an education service company to institutions of higher education that do participate in Title IV programs. Nevertheless, we are required to comply with certain regulations promulgated by ED for the following reasons:</w:t>
      </w:r>
    </w:p>
    <w:p>
      <w:pPr>
        <w:spacing w:after="0" w:line="187" w:lineRule="exact"/>
        <w:rPr>
          <w:sz w:val="20"/>
          <w:szCs w:val="20"/>
          <w:color w:val="auto"/>
        </w:rPr>
      </w:pPr>
    </w:p>
    <w:p>
      <w:pPr>
        <w:ind w:left="1040" w:right="79" w:hanging="315"/>
        <w:spacing w:after="0" w:line="255"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regulation by ED due to our university partners’ participation in the federal student financial aid programs under Title IV of the HEA.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agency or agencies, be accredited by an accrediting commission recognized by ED, and be certified as an eligible institution by ED.</w:t>
      </w:r>
    </w:p>
    <w:p>
      <w:pPr>
        <w:spacing w:after="0" w:line="188" w:lineRule="exact"/>
        <w:rPr>
          <w:rFonts w:ascii="Times New Roman" w:cs="Times New Roman" w:eastAsia="Times New Roman" w:hAnsi="Times New Roman"/>
          <w:sz w:val="18"/>
          <w:szCs w:val="18"/>
          <w:color w:val="auto"/>
        </w:rPr>
      </w:pPr>
    </w:p>
    <w:p>
      <w:pPr>
        <w:ind w:left="1040" w:right="139" w:hanging="315"/>
        <w:spacing w:after="0" w:line="254"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third-party servicer under the HEA and the related regulations, we also have a direct relationship with ED. ED regulates our operations insofar as we are performing certain functions classified as third-party servicer functions under relevant regulations and sub-regulatory guidance. A “Third-party servicer” is any person or entity used by “any eligible institution of higher education to administer, through either manual or automated processing, any aspect of such institution’s student assistance programs.” Third-party servicers must comply with a number of regulatory requirements. For example, they must conduct and submit to ED compliance audits under 34 C.F.R. § 668.23. In addition, they must comply with the requirements of 34 C.F.R. § 668.25, which among other things, requires third-party servicers, in their contracts with institutions, to be contractually obligated to, among other things:</w:t>
      </w:r>
    </w:p>
    <w:p>
      <w:pPr>
        <w:spacing w:after="0" w:line="188" w:lineRule="exact"/>
        <w:rPr>
          <w:sz w:val="20"/>
          <w:szCs w:val="20"/>
          <w:color w:val="auto"/>
        </w:rPr>
      </w:pPr>
    </w:p>
    <w:p>
      <w:pPr>
        <w:ind w:left="1700" w:right="99" w:hanging="327"/>
        <w:spacing w:after="0" w:line="254" w:lineRule="auto"/>
        <w:tabs>
          <w:tab w:leader="none" w:pos="170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spacing w:after="0" w:line="187" w:lineRule="exact"/>
        <w:rPr>
          <w:rFonts w:ascii="Courier New" w:cs="Courier New" w:eastAsia="Courier New" w:hAnsi="Courier New"/>
          <w:sz w:val="18"/>
          <w:szCs w:val="18"/>
          <w:color w:val="auto"/>
        </w:rPr>
      </w:pPr>
    </w:p>
    <w:p>
      <w:pPr>
        <w:ind w:left="1700" w:right="199" w:hanging="327"/>
        <w:spacing w:after="0" w:line="253" w:lineRule="auto"/>
        <w:tabs>
          <w:tab w:leader="none" w:pos="170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189" w:lineRule="exact"/>
        <w:rPr>
          <w:rFonts w:ascii="Courier New" w:cs="Courier New" w:eastAsia="Courier New" w:hAnsi="Courier New"/>
          <w:sz w:val="18"/>
          <w:szCs w:val="18"/>
          <w:color w:val="auto"/>
        </w:rPr>
      </w:pPr>
    </w:p>
    <w:p>
      <w:pPr>
        <w:ind w:left="1700" w:right="239" w:hanging="327"/>
        <w:spacing w:after="0" w:line="274" w:lineRule="auto"/>
        <w:tabs>
          <w:tab w:leader="none" w:pos="1700" w:val="left"/>
        </w:tabs>
        <w:numPr>
          <w:ilvl w:val="0"/>
          <w:numId w:val="22"/>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71"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a number of data security and privacy regulations given our role as a third-party service provider, the compliance with which can materially impact our business model. In addition, as more fully described below, we are subject to some of the regulations imposed on our university partners by virtue of the nature of the services we provide.</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HEA and the regulations promulgated thereunder are frequently revised, repealed or expanded and the scope of services covered by regulations may evolve and change over time. Congress historically has reauthorized and amended the HEA in regular intervals, approximately every five to seven years. The re-authorization process is currently under way. The re-authorization of the HEA could alter the regulatory landscape of the higher education industry, and thereby impact the manner in which we conduct business and serve our university partners. In addition, ED is independently conducting an ongoing series of rulemakings intended to assure the integrity of the Title IV programs. 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also frequently issues formal and informal guidance instructing institutions of higher education and other covered entities how to comply with various federal laws and regulations. For example, on February 15, 2023, ED released DCL 23-03, a guidance document expanding the definition of what activities are considered as third-party servicer activities. After substantial community outreach to ED, on April 11, 2023, ED notified the public that guidance in this area would be delayed. On November 28, 2023, ED issued a press release seeking nominations for another negotiated rulemaking panel where it said, “the Department intends to issue updated guidance on Third Party Servicers in early 2024.” Regarding data security matters, in Electronic Announcement GEN 23-09, ED stated “The Department will issue guidance on NIST 800-171 compliance in a future Electronic Announcement.” All ED guidance is subject to frequent change and may impact our business model.</w:t>
      </w:r>
    </w:p>
    <w:p>
      <w:pPr>
        <w:spacing w:after="0" w:line="188"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are also regulated (depending upon the applicable activity being regulated) by other federal agencies or departments including the Securities and Exchange Commission (“SEC”), the Internal Revenue Service (“IRS”), and the Federal Trade Commission (“FTC”).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 OF OUR UNIVERSITY PARTNERS</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Institutions of higher education in America are subject to extensive regulation by state post-secondary, licensure and certification agencies, accrediting commissions, and the federal government through ED under the HEA, as well as (depending upon the applicable activity being regulated) other federal agencies and departments including the U.S. Department of Veterans Affairs (“VA”), the FTC, the IRS, and for institutions who issue bonds, the SEC. The regulations, standards, and policies of these agencies cover the vast majority of operations of colleges and universities, including educational programs, facilities, instructional and administrative staff, administrative procedures, marketing, recruiting, financing and financial operations, athletics and financial condition.</w:t>
      </w:r>
    </w:p>
    <w:p>
      <w:pPr>
        <w:spacing w:after="0" w:line="18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current university partners and all likely future university partners are required to be authorized by appropriate state post-secondary, licensure, and certification authorities. In addition, in order to participate in the federal student financial aid programs, our university partners will need to be accredited by an accrediting commission recognized by ED.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HEA requires accrediting commissions recognized by ED to review and monitor many aspects of an institution’s operations and to take appropriate action if the institution fails to meet the accrediting commission’s standards.</w:t>
      </w:r>
    </w:p>
    <w:p>
      <w:pPr>
        <w:spacing w:after="0" w:line="192"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While we no longer own and operate an institution of higher education, nor do we directly participate in Title IV programs, regulatory matters that materially affect GCU and our other university partners will, necessarily, have a material impact on us. The following section describes regulatory matters that affect our university partners and that may affect us as an education service company to institutions of higher education generally.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 Post-Secondary Education Regulation</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university partners are authorized to offer education by the relevant state authorizing agencies for the state in which the client is located. For example, GCU, our most significant university partner, is authorized to offer programs by the Arizona State Board for Private Postsecondary Education, the regulatory agency governing private post-secondary educational institutions in the State of Arizona, where it is located. This authorization is very important to our university partners and, as a result, to our business. To maintain their state authorization, our university partners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university partners’ failure to comply with the requirements of a state regulatory agency could result in our university partners’ losing their ability to offer educational programs, which would cause our university partners to lose their eligibility to participate in the Title IV programs and could force them, and us, to cease operations. Alternatively, a state regulatory body could restrict our university partners’ ability to offer new or certain degree and non-degree programs, which may impair our ability to grow.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State regulatory requirements for online education have historically varied among the states. To address this issue and to meet ED requirements many schools have applied and sought to become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for example, is a member of SARA in Arizona (AZ-SARA), which is administered by the Western Interstate Commission for Higher Education (referred to as W-SARA). There is a yearly renewal for participating in NC-SARA and AZ-SARA and institutions must agree to meet certain requirements to participate. As of December 31, 2023, all states other than California are members of SARA.</w:t>
      </w:r>
    </w:p>
    <w:p>
      <w:pPr>
        <w:spacing w:after="0" w:line="19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Any state that does not participate in SARA may impose regulatory requirements on out-of-state higher education institutions operating within their boundaries, such as those having a physical facility or conducting certain academic activities within the state. GCU, for example, currently enrolls students in all 50 states and the District of Columbia. Although it is currently licensed, authorized, in-process, or exempt in all non-SARA jurisdictions in which it operates, if it fails to comply with state licensing or authorization requirements for a state, or fails to obtain licenses or authorizations when required, it could lose its state license or authorization by that state or be subject to other sanctions, including restrictions on our activities in, and fines and penalties imposed by, that state, as well as fines, penalties, and sanctions imposed by ED. The loss of licensure or authorization by a university partner in any non-SARA state could prohibit us from recruiting prospective students or offering services to current students in that state on behalf of such university partner, which could significantly affect our business.</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Individual state laws establish standards in areas such as instruction, qualifications of faculty, administrative procedures, marketing, recruiting, financial operations, and other operational matters. To the extent required with respect to an educational service category covered by our contractual relationship, we expect to assist our university partners in meeting these requirements. Some states limit schools’ ability to offer educational programs and award degrees to residents of those states. Some states also prescribe financial regulations that are different from those of ED and may require the posting of surety bonds. While we are not directly subject to those laws, those laws may inhibit our university partners from expanding or operating in those states, limiting our ability to serve our university partners, which could significantly affect our business. In addition, state laws can indirectly regulate how GCE provides its services to its university partners. For example, some states have considered new requirements that would dictate what information GCE must convey to students and prospective students and impose reporting requirements related to the nature of our services. To the extent such requirements were ultimately enacted into law, they could significantly affect our business.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 Professional Licensure</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Many states have specific requirements that an individual must satisfy in order to be licensed as a professional in specified fields, including fields such as healthcare, education,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180" w:lineRule="exact"/>
        <w:rPr>
          <w:sz w:val="20"/>
          <w:szCs w:val="20"/>
          <w:color w:val="auto"/>
        </w:rPr>
      </w:pPr>
    </w:p>
    <w:p>
      <w:pPr>
        <w:ind w:left="1040" w:right="17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 and the program were approved by the state in which the graduate seeks licensure, or by a professional association;</w:t>
      </w:r>
    </w:p>
    <w:p>
      <w:pPr>
        <w:ind w:left="1040" w:right="279" w:hanging="315"/>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program from which the student graduated meets all requirements for professional licensure in that state;</w:t>
      </w: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 and the program are accredited and, if so, by what accrediting commissions;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institution’s degrees are recognized by other states in which a student may seek to work.</w:t>
      </w:r>
    </w:p>
    <w:p>
      <w:pPr>
        <w:spacing w:after="0" w:line="207"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Many states also require that graduates pass a state test or examination as a prerequisite to becoming certified in certain fields, such as nursing and teaching. Many states will certify individuals if they have already been certified in another state.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Prior to opening a new off-campus classroom and laboratory site, university partners often require approval from the applicable state board to offer its programs at that location. This can delay the site opening and timing can vary based on the state and the university partner.</w:t>
      </w:r>
    </w:p>
    <w:p>
      <w:pPr>
        <w:spacing w:after="0" w:line="176"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Although not directly regulated by these entities, we must be mindful of the requirements placed by state professional licensure bodies on our university partner institutions to ensure those institutions maintain that licensure.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Accreditation</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ED,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89"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Our most significant university partner, GCU has been regionally accredited by the HLC and its predecessor since 1968, most recently obtaining reaccreditation in 2017 for the ten-year period through 2027. The HLC is an accrediting agency recognized by the Secretary of Education and accredits entire institutions of higher education. The HLC has historically been categorized as a regional accreditor. Institutional accreditation by a recognized accreditation agency is one of the prerequisites for an institution of higher education to be eligible to disburse Title IV aid to students. In addition, GCU holds a number of programmatic accreditations related to the conduct of specific programs of the college. Other colleges and universities depend, in part, on an institution’s accreditation (institutional, and, in some cases, programmatic)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pacing w:after="0" w:line="17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University partners other than GCU may be accredited by different accrediting bodies that are likely to have standards that are different from those of the HLC. Moreover, our other university partners hold various programmatic accreditations that set additional requirements related to specific programs, including for their nursing programs. As we work with university partners in different regions we will need to work with those accrediting bodies and tailor our services to meet the requirements of those accreditors.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of Federal Student Financial Aid Programs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To be eligible to participate in the Title IV programs, an institution must comply with specific requirements contained in the HEA and the regulations issued thereunder by ED. An institution must, among other things, be licensed or authorized to offer its educational programs by the state in which it is physically located and maintain institutional accreditation by an accrediting commission recognized by ED.</w:t>
      </w:r>
    </w:p>
    <w:p>
      <w:pPr>
        <w:spacing w:after="0" w:line="18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substantial amount of federal funds disbursed to schools through the Title IV programs and the large number of students and institutions participating in these programs have caused Congress to require ED to exercise considerable regulatory oversight over educational institutions. As a result, our university partners are subject to extensive oversight and review. Because ED periodically revises its regulations and changes its interpretations of existing laws and regulations, we cannot predict with certainty how the Title IV program requirements will be applied in all circumstances to our university partners or to us directly.</w:t>
      </w:r>
    </w:p>
    <w:p>
      <w:pPr>
        <w:spacing w:after="0" w:line="18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Significant regulations and other factors relating to the Title IV programs that could adversely affect us include the following:</w:t>
      </w:r>
    </w:p>
    <w:p>
      <w:pPr>
        <w:spacing w:after="0" w:line="158"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Congressional 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Congress must reauthorize the HEA on a periodic basis, usually every five to six years,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most recent reauthorization through September 30, 2013, occurred in August 2008. The reauthorized HEA</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reauthorized all of the Title IV programs in which institutions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the higher education industry generally. Because a significant percentage of our revenue is indirectly derived from the Title IV programs, any action by Congress that significantly reduces Title IV program funding or the ability of our university partners to participate in the Title IV programs could reduce the ability of some students to finance their education at our university partner institutions and materially decrease their student enrollment.</w:t>
      </w:r>
    </w:p>
    <w:p>
      <w:pPr>
        <w:spacing w:after="0" w:line="190"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Consolidated Appropriations Act, 2021. </w:t>
      </w:r>
      <w:r>
        <w:rPr>
          <w:rFonts w:ascii="Times New Roman" w:cs="Times New Roman" w:eastAsia="Times New Roman" w:hAnsi="Times New Roman"/>
          <w:sz w:val="17"/>
          <w:szCs w:val="17"/>
          <w:color w:val="auto"/>
        </w:rPr>
        <w:t>On December 27, 2020, former President Trump signed into law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Appropriations Act of 2021. Among other things, this package funded the federal government through September 2021, provided additional COVID-related relief, and made a number of U.S. higher education changes. The legislation includes a number of tax provisions, including replacing the tuition deduction with an expanded Lifetime Learning Credit, which now shares the higher income limitations of the American Opportunity Tax Credit. The legislation also extends until January 1, 2026 expanded employer-provided educational assistance permitting employers to pay up to $5,250 toward an employee’s federal student loans as a tax-free benefit. The bill also provided $22.7 billion for higher education institutions and students impacted by COVID-19 in which all of our university partners were eligible.</w:t>
      </w:r>
    </w:p>
    <w:p>
      <w:pPr>
        <w:spacing w:after="0" w:line="17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Veterans Health Care and Benefits Improvement Act of 2020. </w:t>
      </w:r>
      <w:r>
        <w:rPr>
          <w:rFonts w:ascii="Times New Roman" w:cs="Times New Roman" w:eastAsia="Times New Roman" w:hAnsi="Times New Roman"/>
          <w:sz w:val="18"/>
          <w:szCs w:val="18"/>
          <w:color w:val="auto"/>
        </w:rPr>
        <w:t>On January 5, 2021, former President Trump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law the Veterans Health Care and Benefits Improvement Act of 2020, which expanded student veterans’ protections. Among other things, the legislation requires a risk-based review of schools if an institution is operating under Heightened Cash Monitoring 2 or provisional approval status by ED, is subject to any punitive action by a federal or state entity, faces the loss or risk of loss of accreditation, or has converted from for-profit to non-profit status. The legislation also restores veterans benefits to students whose school closed, as long as the student transferred fewer than 12 credits from the closed school or program; protects students from debt collection by the VA for overpaid tuition benefits; and establishes a number of institutional requirements, including: providing clear disclosures about cost, loan debt, graduation and job placement rates, and acceptance of transfer credit; ensuring institutions are accommodating short absences due to service; prohibiting same-day recruitment and registration; and prohibiting more than three unsolicited recruiting contacts during any one-month period. Most provisions became effective August 1, 2021. Institutions were permitted to seek waivers for certain sections of the new law if they were not able to satisfy compliance requirements by August 1, 2021.</w:t>
      </w:r>
    </w:p>
    <w:p>
      <w:pPr>
        <w:spacing w:after="0" w:line="190"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THRIVE Act. </w:t>
      </w:r>
      <w:r>
        <w:rPr>
          <w:rFonts w:ascii="Times New Roman" w:cs="Times New Roman" w:eastAsia="Times New Roman" w:hAnsi="Times New Roman"/>
          <w:sz w:val="18"/>
          <w:szCs w:val="18"/>
          <w:color w:val="auto"/>
        </w:rPr>
        <w:t>On June 8, 2021, President Biden signed into law the Training in High-Demand Roles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Veteran Employment Act (the “THRIVE Act”), which amended provisions of the Veterans Health Care and Benefits Improvement Act and the American Rescue Plan Act. The law requires the U.S. Department of Labor and VA to collaborate on a list of high-demand occupations for a rapid retraining assistance program. Additionally, the law requires the Government Accountability Office to report on the outcomes and effectiveness of retraining programs. The THRIVE Act amended the Veterans Health Care and Benefits Improvement Act by clarifying that programs pursued solely through distance education on a half-time basis or less are not eligible for the housing stipend that is generally available for retraining programs. As noted above, the Veterans Health Care and Benefits Improvement Act prohibits certain high-pressure recruiting tactics. The THRIVE Act requires the VA to take disciplinary action if a person with whom an institution has a recruiting or educational services agreement violates the VA’s incentive compensation bans.</w:t>
      </w:r>
    </w:p>
    <w:p>
      <w:pPr>
        <w:spacing w:after="0" w:line="185"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REMOTE Act. </w:t>
      </w:r>
      <w:r>
        <w:rPr>
          <w:rFonts w:ascii="Times New Roman" w:cs="Times New Roman" w:eastAsia="Times New Roman" w:hAnsi="Times New Roman"/>
          <w:sz w:val="18"/>
          <w:szCs w:val="18"/>
          <w:color w:val="auto"/>
        </w:rPr>
        <w:t>On December 21, 2021, President Biden signed into law the Responsible Education Mitigating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and Technical Extensions Act, which amended provisions of the Veterans Health Care and Benefits Improvement Act, the American Rescue Plan Act, and the THRIVE Act. The law includes changes to help institutions satisfy the Veterans Health Care and Benefits Improvement Act’s requirements by using the College Financing Plan template, in addition to extending some COVID-related flexibilities previously granted amid the pandemic. The law also extended remote learning waivers through June 1, 2022, simplified the VA verification process for tuition reimbursement, and fixed a technical error to ensure U.S. institutions of higher education can continue to use incentive compensation to recruit foreign students without losing GI Bill funding for their students.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Consolidated Appropriations Act, 2022. </w:t>
      </w:r>
      <w:r>
        <w:rPr>
          <w:rFonts w:ascii="Times New Roman" w:cs="Times New Roman" w:eastAsia="Times New Roman" w:hAnsi="Times New Roman"/>
          <w:sz w:val="18"/>
          <w:szCs w:val="18"/>
          <w:color w:val="auto"/>
        </w:rPr>
        <w:t>On March 15, 2022, President Biden signed into law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Appropriations Act of 2022. The bill allocated $76.4 billion to the Department of Education and its programs, including an increase to the maximum Pell Grant award, bringing the total to $6,895 for the 2022-23 award year. In addition, campus-based aid programs were increased, with $895 million allocated for the FSEOG program, an increase of $15 million above the FY 2021 enacted level, and $1.21 billion allocated for FWS, an increase of $20 million above the FY 2021 enacted level. In addition to the increases in federal student aid funding, the bill provided $2.1 billion for career, technical, and adult education, $61 million above the FY 2021 enacted level, and an additional $3 billion for higher education programs, $452 million more than the FY 2021 enacted level. The bill also dictated ED requirements related to federal loan servicing, including appropriations for just over $2 billion for expenses related to the administration of the federal loan program, and made a number of changes to the FAFSA Simplification Act.</w:t>
      </w:r>
    </w:p>
    <w:p>
      <w:pPr>
        <w:spacing w:after="0" w:line="18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Ensuring the Best Schools for Veterans Act of 2022. </w:t>
      </w:r>
      <w:r>
        <w:rPr>
          <w:rFonts w:ascii="Times New Roman" w:cs="Times New Roman" w:eastAsia="Times New Roman" w:hAnsi="Times New Roman"/>
          <w:sz w:val="18"/>
          <w:szCs w:val="18"/>
          <w:color w:val="auto"/>
        </w:rPr>
        <w:t>On August 26, 2022, President Biden signed into law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Ensuring the Best Schools for Veterans Act of 2022, which amended prior statutory language and made modifications to how the VA operationalizes the 85/15 requirement (that is, the rule that generally forbids use of Department of Veterans Affairs benefits for students enrolling in a program in which more than 85% of students enrolled in the program have any portion of their tuition, fees, or other charges paid to or for them by the institution or by the VA). Among other things, the law clarifies that reporting associated with the 85/15 requirement does not apply to institutions at which 35% or fewer students receive GI bill benefits. The law also exempts programs for which fewer than 10 students have any portion of their tuition, fees, or other charges paid to or for them by the institution or by the VA.</w:t>
      </w:r>
    </w:p>
    <w:p>
      <w:pPr>
        <w:spacing w:after="0" w:line="183"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Eligibility and certification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institution must apply periodically to ED for continued certification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participate in the Title IV programs. Such recertification generally is required every six years, but may be required earlier, including when an institution undergoes a change in control. To the extent ED suspends, limits, modifies, conditions, or terminates any client institution’s eligibility to participate in the Title IV programs, that action is likely to have a negative impact on our business. Indeed, this could range from disallowing the institution from adding new programs or terminating the institution from Title IV eligibility.</w:t>
      </w:r>
    </w:p>
    <w:p>
      <w:pPr>
        <w:spacing w:after="0" w:line="18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Transaction resulted in a change in control of our most significant university partner, GCU, following which it began operating as a non-profit university and necessitating the application by GCU to ED for approval of the change in control and for a new program participation agreement. In November 2019, GCU received a new provisional Program Participation Agreement (“PPA”), which granted GCU the ability to participate in the Title IV programs on a provisional basis through September 30, 2022. As required, GCU filed a renewal application three months in advance of the scheduled expiration date and continued to participate on a month-to-month extension of the PPA while the Department completed its review of the application (institutions are routinely given a month-to-month extension on their PPA until ED has completed its review of the application). The Department approved and the parties executed a new Provisional Program Participation Agreement on September 29, 2023, which expires June 30, 2026. For a school that is certified on a provisional basis, as GCU is, ED may revoke the institution’s certification without advance notice or advance opportunity for the institution to challenge that action. For a school that is provisionally certified on a month-to-month basis, ED may allow the institution’s certification to expire at the end of any month without advance notice, and without any formal procedure for review of such action. To our knowledge, either such action is very rare and has only occurred upon a determination that an institution is in substantial violation of material Title IV requirements.</w:t>
      </w:r>
    </w:p>
    <w:p>
      <w:pPr>
        <w:spacing w:after="0" w:line="19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November 2019 PPA, ED also informed GCU that GCU does not satisfy ED’s definition of a non-profit institution and, as a result, that ED will continue to treat GCU as a proprietary institution for purposes of its continued participation in Title IV programs. GCU has challenged that determination. See “Coordinated actions by federal agencies.”</w:t>
      </w:r>
    </w:p>
    <w:p>
      <w:pPr>
        <w:spacing w:after="0" w:line="176" w:lineRule="exact"/>
        <w:rPr>
          <w:sz w:val="20"/>
          <w:szCs w:val="20"/>
          <w:color w:val="auto"/>
        </w:rPr>
      </w:pPr>
    </w:p>
    <w:p>
      <w:pPr>
        <w:jc w:val="both"/>
        <w:ind w:left="60" w:right="21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Administrative capability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 regulations specify extensive criteria by which an institution must establish that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the requisite “administrative capability” to participate in the Title IV programs. To meet the administrative capability standards, an institution must, among other things:</w:t>
      </w:r>
    </w:p>
    <w:p>
      <w:pPr>
        <w:spacing w:after="0" w:line="175"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Title IV program requirements;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adequate number of qualified personnel to administer the Title IV programs;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acceptable standards for measuring the satisfactory academic progress of its students;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have student loan cohort default rates above specified levels;</w:t>
      </w:r>
    </w:p>
    <w:p>
      <w:pPr>
        <w:spacing w:after="0" w:line="27" w:lineRule="exact"/>
        <w:rPr>
          <w:rFonts w:ascii="Times New Roman" w:cs="Times New Roman" w:eastAsia="Times New Roman" w:hAnsi="Times New Roman"/>
          <w:sz w:val="18"/>
          <w:szCs w:val="18"/>
          <w:color w:val="auto"/>
        </w:rPr>
      </w:pPr>
    </w:p>
    <w:p>
      <w:pPr>
        <w:ind w:left="1040" w:right="899" w:hanging="315"/>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various procedures in place for awarding, disbursing and safeguarding Title IV funds and for maintaining required records;</w:t>
      </w: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Title IV programs with adequate checks and balances in its system of internal controls;</w:t>
      </w:r>
    </w:p>
    <w:p>
      <w:pPr>
        <w:spacing w:after="0" w:line="9" w:lineRule="exact"/>
        <w:rPr>
          <w:rFonts w:ascii="Times New Roman" w:cs="Times New Roman" w:eastAsia="Times New Roman" w:hAnsi="Times New Roman"/>
          <w:sz w:val="18"/>
          <w:szCs w:val="18"/>
          <w:color w:val="auto"/>
        </w:rPr>
      </w:pPr>
    </w:p>
    <w:p>
      <w:pPr>
        <w:ind w:left="1040" w:right="519" w:hanging="315"/>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and not have any principal or affiliate who is, debarred or suspended from federal contracting or engaging in activity that is cause for debarment or suspension;</w:t>
      </w: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financial aid counseling to its students;</w:t>
      </w:r>
    </w:p>
    <w:p>
      <w:pPr>
        <w:spacing w:after="0" w:line="9" w:lineRule="exact"/>
        <w:rPr>
          <w:rFonts w:ascii="Times New Roman" w:cs="Times New Roman" w:eastAsia="Times New Roman" w:hAnsi="Times New Roman"/>
          <w:sz w:val="18"/>
          <w:szCs w:val="18"/>
          <w:color w:val="auto"/>
        </w:rPr>
      </w:pPr>
    </w:p>
    <w:p>
      <w:pPr>
        <w:ind w:left="1040" w:right="579" w:hanging="315"/>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ED’s Office of Inspector General any credible information indicating that any student, parent, employee, third-party servicer or other agent of the institution has engaged in any fraud or other illegal conduct involving the Title IV programs;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all required reports and consolidated financial statements in a timely manner;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otherwise appear to lack administrative capability.</w:t>
      </w:r>
    </w:p>
    <w:p>
      <w:pPr>
        <w:spacing w:after="0" w:line="207"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an education services company, we assist our university partners with some facets of these criteria. As such, we must be mindful of, and compliant with, the administrative capability requirements. If an institution fails to satisfy any of these criteria, ED may:</w:t>
      </w:r>
    </w:p>
    <w:p>
      <w:pPr>
        <w:spacing w:after="0" w:line="176"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institution to repay Title IV funds its students previously received;</w:t>
      </w:r>
    </w:p>
    <w:p>
      <w:pPr>
        <w:spacing w:after="0" w:line="27" w:lineRule="exact"/>
        <w:rPr>
          <w:rFonts w:ascii="Times New Roman" w:cs="Times New Roman" w:eastAsia="Times New Roman" w:hAnsi="Times New Roman"/>
          <w:sz w:val="18"/>
          <w:szCs w:val="18"/>
          <w:color w:val="auto"/>
        </w:rPr>
      </w:pPr>
    </w:p>
    <w:p>
      <w:pPr>
        <w:ind w:left="1040" w:right="15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institution from the advance method of payment of Title IV funds to heightened cash monitoring status or the reimbursement system of payment;</w:t>
      </w: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institution on provisional certification status; or</w:t>
      </w:r>
    </w:p>
    <w:p>
      <w:pPr>
        <w:spacing w:after="0" w:line="9" w:lineRule="exact"/>
        <w:rPr>
          <w:rFonts w:ascii="Times New Roman" w:cs="Times New Roman" w:eastAsia="Times New Roman" w:hAnsi="Times New Roman"/>
          <w:sz w:val="18"/>
          <w:szCs w:val="18"/>
          <w:color w:val="auto"/>
        </w:rPr>
      </w:pPr>
    </w:p>
    <w:p>
      <w:pPr>
        <w:ind w:left="1040" w:right="99" w:hanging="315"/>
        <w:spacing w:after="0" w:line="26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proceeding to impose a fine or to limit, suspend or terminate the institution’s participation in the Title IV programs.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Imposition of these sanctions could have a negative impact on our ability to conduct our business.</w:t>
      </w:r>
    </w:p>
    <w:p>
      <w:pPr>
        <w:spacing w:after="0" w:line="221"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responsibility. </w:t>
      </w:r>
      <w:r>
        <w:rPr>
          <w:rFonts w:ascii="Times New Roman" w:cs="Times New Roman" w:eastAsia="Times New Roman" w:hAnsi="Times New Roman"/>
          <w:sz w:val="18"/>
          <w:szCs w:val="18"/>
          <w:color w:val="auto"/>
        </w:rPr>
        <w:t>The HEA and ED regulations establish extensive standards of financial responsibility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institutions must satisfy in order to participate in the Title IV programs. ED evaluates institutions for compliance with these standards on an annual basis based on the institution’s annual audited consolidated financial statements, as well as when the institution applies to ED to have its eligibility to participate in the Title IV programs recertified. The most significant financial responsibility standard is the institution’s composite score, which is derived from a formula established by ED based on three financial ratios:</w:t>
      </w:r>
    </w:p>
    <w:p>
      <w:pPr>
        <w:spacing w:after="0" w:line="186"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ratio, which measures the institution’s capital resources, financial viability and ability to borrow;</w:t>
      </w:r>
    </w:p>
    <w:p>
      <w:pPr>
        <w:spacing w:after="0" w:line="27" w:lineRule="exact"/>
        <w:rPr>
          <w:rFonts w:ascii="Times New Roman" w:cs="Times New Roman" w:eastAsia="Times New Roman" w:hAnsi="Times New Roman"/>
          <w:sz w:val="18"/>
          <w:szCs w:val="18"/>
          <w:color w:val="auto"/>
        </w:rPr>
      </w:pPr>
    </w:p>
    <w:p>
      <w:pPr>
        <w:ind w:left="1040" w:right="179" w:hanging="315"/>
        <w:spacing w:after="0" w:line="250"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reserve ratio, which measures the institution’s ability to support current operations from expendable resources; and</w:t>
      </w: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ratio, which measures the institution’s ability to operate at a profit or within its means.</w:t>
      </w:r>
    </w:p>
    <w:p>
      <w:pPr>
        <w:spacing w:after="0" w:line="20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ED assigns a strength factor to the results of each of these ratios on a scale from negative 1.0 to positive 3.0, with negative 1.0 reflecting financial weakness and positive 3.0 reflecting financial strength. ED then assigns a</w:t>
      </w: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ED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w:t>
      </w:r>
    </w:p>
    <w:p>
      <w:pPr>
        <w:spacing w:after="0" w:line="188"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an education service company,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program funds under an arrangement other than ED’s standard advance funding arrangement, such as the reimbursement system of payment or heightened cash monitoring, and comply with or accept other limitations on the ability to increase the number of programs it offers or the number of students it enrolls, any of which sanctions on our university partners could also adversely affect our business. In addition, because other regulators may use the composite score for their purposes, a poor composite score could have additional effects. For example, NC-SARA utilizes the composite score in determining whether an institution is eligible to participate in SARA.</w:t>
      </w:r>
    </w:p>
    <w:p>
      <w:pPr>
        <w:spacing w:after="0" w:line="18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Based on the data derived from the audited financial statements of GCU as of each of June 30, 2023 and 2022, GCU’s composite score was 1.8, using the proprietary school calculation methodology. If GCU’s future composite scores do not exceed 1.5, ED could impose sanctions. If any such sanctions were imposed, it could have a negative impact on our ability to conduct our business.</w:t>
      </w:r>
    </w:p>
    <w:p>
      <w:pPr>
        <w:spacing w:after="0" w:line="1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Return of Title IV funds for students who withdraw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a student who has received Title IV program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withdraws from school, the institution must determine the amount of Title IV program funds the student has “earned” and then must return the unearned Title IV program funds (a “return to Title IV”) to the appropriate lender or ED in a timely manner, which is generally no later than 45 days after the date the institution determined that the student withdrew. If such payments are not timely made, the institution will be required to submit a letter of credit to ED equal to 25% of the Title IV funds that the institution should have returned for withdrawn students in its most recently completed fiscal year. Under ED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ED program review. Additionally, on January 4, 2023, ED announced their intention to issue new regulations in eight different areas of higher education regulations via negotiated rulemaking, including on Return to Title IV funds. No specific proposals have been put forth at this time. To the extent our services for a university partner include conducting returns to Title IV, as they do with GCU, we would likely be jointly and severally liable to ED, along with the relevant university partner, for return of those funds.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“90/10 Rule.” </w:t>
      </w:r>
      <w:r>
        <w:rPr>
          <w:rFonts w:ascii="Times New Roman" w:cs="Times New Roman" w:eastAsia="Times New Roman" w:hAnsi="Times New Roman"/>
          <w:sz w:val="18"/>
          <w:szCs w:val="18"/>
          <w:color w:val="auto"/>
        </w:rPr>
        <w:t>A requirement of the HEA, commonly referred to as the “90/10 Rule,” that is applicable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proprietary, post-secondary educational institutions,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ED. If an institution’s rate exceeds 90% for any single fiscal year, it will be placed on provisional certification for at least two fiscal years.</w:t>
      </w:r>
    </w:p>
    <w:p>
      <w:pPr>
        <w:spacing w:after="0" w:line="19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Using ED’s cash-basis, regulatory formula under the 90/10 Rule as currently in effect, GCU, our most significant client, derived approximately 65.5% and 66.2% of its 90/10 Rule revenue from Title IV program funds for the fiscal years ended June 30, 2023 and 2022, respectively, per GCU’s audited financial statements. Accordingly, even if ED continues to treat GCU as a proprietary institution for Title IV purposes, we do not expect this rule to have any material impact on GCU.</w:t>
      </w:r>
    </w:p>
    <w:p>
      <w:pPr>
        <w:spacing w:after="0" w:line="18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March 2021, the $1.9 trillion American Rescue Plan Act of 2021 (“ARPA”) was signed into law. Among other things, the ARPA also includes a provision that amends the 90/10 rule. The ARPA amended the 90/10 rule by treating other “Federal funds that are disbursed or delivered to or on behalf of a student to be used to attend such institution” in the same way as Title IV funds are currently treated in the 90/10 rule calculation. This means that institutions subject to the 90/10 Rule will be required to limit the combined amount of Title IV funds and applicable “Federal funds” revenue in a fiscal year to no more than 90% in a fiscal year as calculated under the rule. Consequently, the ARPA change to the 90/10 rule is expected to increase the 90/10 rule calculations at GCU.</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ARPA stated that the amendments to the 90/10 rule apply to institutional fiscal years beginning on or after January 1, 2023 and were subject to the HEA’s negotiated rulemaking process which may not commence earlier than October 1, 2021. ED started the negotiated rulemaking process in January 2022. In March 2022, the negotiated rulemaking committee reached consensus on changes to the 90/10 Rule. On July 26, 2022, ED released proposed 90/10 regulations consistent with this consensus language which revised the definition of “federal education assistance” to include tuition assistance programs offered by the U.S. Department of Defense and VA, in addition to the Title IV programs already covered by the 90/10 Rule. On October 27, 2022, following a 30-day comment period that ended August 26, 2022, ED released final 90/10 regulations, which are consistent with the consensus language. The new 90/10 regulations are effective for fiscal years beginning on or after January 1, 2023.</w:t>
      </w:r>
    </w:p>
    <w:p>
      <w:pPr>
        <w:spacing w:after="0" w:line="18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Other legislation has been introduced in both chambers of Congress that seeks to further modify the 90/10 Rule, including proposals to change the ratio requirement to 85/15 (federal to nonfederal revenue), or to eliminate the 90/10 Rule. We cannot predict whether or how legislative or regulatory changes will affect the 90/10 Rule.</w:t>
      </w:r>
    </w:p>
    <w:p>
      <w:pPr>
        <w:spacing w:after="0" w:line="172"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Student loan defaults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HEA, an educational institution may lose its eligibility to participate in some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the Title IV programs if defaults by its students on the repayment of their federal student loans exceed certain levels. For each federal fiscal year, ED calculates a rate of student defaults for each institution (known as a “cohort default rate”). The rate is calculated by determining the rate at which borrowers who became subject to their repayment obligation in one federal fiscal year default in that same year or by the end of the second year following the first federal fiscal year (known as the “three-year method”).</w:t>
      </w:r>
    </w:p>
    <w:p>
      <w:pPr>
        <w:spacing w:after="0" w:line="186" w:lineRule="exact"/>
        <w:rPr>
          <w:sz w:val="20"/>
          <w:szCs w:val="20"/>
          <w:color w:val="auto"/>
        </w:rPr>
      </w:pPr>
    </w:p>
    <w:p>
      <w:pPr>
        <w:ind w:left="60" w:right="219" w:firstLine="648"/>
        <w:spacing w:after="0" w:line="268" w:lineRule="auto"/>
        <w:rPr>
          <w:sz w:val="20"/>
          <w:szCs w:val="20"/>
          <w:color w:val="auto"/>
        </w:rPr>
      </w:pPr>
      <w:r>
        <w:rPr>
          <w:rFonts w:ascii="Times New Roman" w:cs="Times New Roman" w:eastAsia="Times New Roman" w:hAnsi="Times New Roman"/>
          <w:sz w:val="17"/>
          <w:szCs w:val="17"/>
          <w:color w:val="auto"/>
        </w:rPr>
        <w:t>ED applies legal thresholds to measure an institution’s compliance. If ED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ED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w:t>
      </w:r>
    </w:p>
    <w:p>
      <w:pPr>
        <w:ind w:left="60" w:right="299"/>
        <w:spacing w:after="0" w:line="260" w:lineRule="auto"/>
        <w:rPr>
          <w:sz w:val="20"/>
          <w:szCs w:val="20"/>
          <w:color w:val="auto"/>
        </w:rPr>
      </w:pPr>
      <w:r>
        <w:rPr>
          <w:rFonts w:ascii="Times New Roman" w:cs="Times New Roman" w:eastAsia="Times New Roman" w:hAnsi="Times New Roman"/>
          <w:sz w:val="18"/>
          <w:szCs w:val="18"/>
          <w:color w:val="auto"/>
        </w:rPr>
        <w:t>fiscal years. If an institution’s cohort default rate for any single federal fiscal year equals or exceeds 30%, ED may place the institution on provisional certification status.</w:t>
      </w:r>
    </w:p>
    <w:p>
      <w:pPr>
        <w:spacing w:after="0" w:line="18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While we cannot directly influence a university partner’s cohort default rates, and do not provide default rate management services, in the course of performing services for a university partner we would work to assist such university partner in ensuring that its cohort default rates do not present a compliance risk under this regulation. Nonetheless, if a university partner institution exceeded the threshold under the three-year method, the sanction imposed could have a negative impact on our ability to conduct our business. While GCU’s cohort default rates have historically been significantly below these levels, we cannot assure you that this will continue to be the case.</w:t>
      </w:r>
    </w:p>
    <w:p>
      <w:pPr>
        <w:spacing w:after="0" w:line="183"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Incentive compensation rule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institution that participates in the Title IV programs may not provide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 bonus, or other incentive payment based directly or indirectly on success in securing enrollments or financial aid to any person or entity engaged in any student recruitment, admissions, or financial aid awarding activity. In its program participation agreement with ED, each higher education institution agrees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rule, we are prohibited from offering our covered employees, who are those employees involved with or responsible for recruiting or admissions activities, any bonus or incentive-based compensation based on the successful recruitment, admission or enrollment of students into a postsecondary institution. We are also precluded from offering our covered employees who work on financial aid matters (if any), any bonus or incentive-based compensation based on the award of financial aid to students enrolled in a postsecondary institution.</w:t>
      </w:r>
    </w:p>
    <w:p>
      <w:pPr>
        <w:spacing w:after="0" w:line="194"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In addition, the incentive compensation rule raises a question as to whether companies like ours, as an entity, are prohibited from entering into tuition revenue-sharing arrangements with university partners. On March 17, 2011, 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3" w:lineRule="auto"/>
        <w:rPr>
          <w:sz w:val="20"/>
          <w:szCs w:val="20"/>
          <w:color w:val="auto"/>
        </w:rPr>
      </w:pPr>
      <w:r>
        <w:rPr>
          <w:rFonts w:ascii="Times New Roman" w:cs="Times New Roman" w:eastAsia="Times New Roman" w:hAnsi="Times New Roman"/>
          <w:sz w:val="18"/>
          <w:szCs w:val="18"/>
          <w:color w:val="auto"/>
        </w:rPr>
        <w:t>issued official agency guidance, known as a “Dear Colleague Letter,” or a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194" w:lineRule="exact"/>
        <w:rPr>
          <w:sz w:val="20"/>
          <w:szCs w:val="20"/>
          <w:color w:val="auto"/>
        </w:rPr>
      </w:pPr>
    </w:p>
    <w:p>
      <w:pPr>
        <w:ind w:left="700" w:right="119"/>
        <w:spacing w:after="0" w:line="254" w:lineRule="auto"/>
        <w:rPr>
          <w:sz w:val="20"/>
          <w:szCs w:val="20"/>
          <w:color w:val="auto"/>
        </w:rPr>
      </w:pPr>
      <w:r>
        <w:rPr>
          <w:rFonts w:ascii="Times New Roman" w:cs="Times New Roman" w:eastAsia="Times New Roman" w:hAnsi="Times New Roman"/>
          <w:sz w:val="18"/>
          <w:szCs w:val="18"/>
          <w:color w:val="auto"/>
        </w:rPr>
        <w:t>“A third-party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w:t>
      </w:r>
    </w:p>
    <w:p>
      <w:pPr>
        <w:spacing w:after="0" w:line="183" w:lineRule="exact"/>
        <w:rPr>
          <w:sz w:val="20"/>
          <w:szCs w:val="20"/>
          <w:color w:val="auto"/>
        </w:rPr>
      </w:pPr>
    </w:p>
    <w:p>
      <w:pPr>
        <w:ind w:left="60" w:right="13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Borrower Defense to Repayment regulations</w:t>
      </w:r>
      <w:r>
        <w:rPr>
          <w:rFonts w:ascii="Times New Roman" w:cs="Times New Roman" w:eastAsia="Times New Roman" w:hAnsi="Times New Roman"/>
          <w:sz w:val="18"/>
          <w:szCs w:val="18"/>
          <w:color w:val="auto"/>
        </w:rPr>
        <w:t>. ED has long had a regulation that establishes standards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borrowers that govern their ability to raise defenses to their obligation to repay certain Title IV loans, which defenses were based on certain acts or omissions of the institution that relate to the making of the loan for enrollment at the school or the provision of educational services for which the loan was provided and that gave rise to a cause of action under state law against the school. This regulation currently applies to all loans first disbursed prior to July 1, 2017.</w:t>
      </w:r>
    </w:p>
    <w:p>
      <w:pPr>
        <w:spacing w:after="0" w:line="183"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2016, ED published a regulatory package related to “Borrower Defense to Repayment.” This was a highly consequential rule that, among other things, would make it easier for borrowers – individually or in groups – to extinguish, in whole or in part, their student loans based on whether:</w:t>
      </w:r>
    </w:p>
    <w:p>
      <w:pPr>
        <w:spacing w:after="0" w:line="176" w:lineRule="exact"/>
        <w:rPr>
          <w:sz w:val="20"/>
          <w:szCs w:val="20"/>
          <w:color w:val="auto"/>
        </w:rPr>
      </w:pPr>
    </w:p>
    <w:p>
      <w:pPr>
        <w:ind w:left="1040" w:right="31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 governmental agency, has obtained against the school a nondefault, favorable contested judgment based on state or federal law in a court of administrative tribunal;</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failed to perform its obligations under the terms of a contract with the student; or</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58"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school or any of its representatives (including contractors) or any institution, organization, or person with whom the school has an agreement to provide educational programs, or to provide marketing, advertising, recruiting or admissions services, made a substantial misrepresentation (as defined by ED regulations) that the borrower reasonably relied on to the borrower’s detriment when the borrower decided to attend, or to continue attending, the school or decided to take out a Direct Loan.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These regulations also established separate procedures for claims initiated for individual borrowers and claims initiated for groups of borrowers as well as separate procedures in the event that the institution is open or closed. The rules established varying, borrower-favorable statutes of limitations for the initiation of claims and, in some cases, imposed an unlimited statute of limitations. If ED official or hearing official approves the borrower’s defense to repayment through the applicable administrative process established in the proposed regulations, ED may discharge the borrower’s obligation to repay some or all of the borrower’s student loans, may return to the borrower amounts already paid by the borrower toward the discharged portion of the loan, and may initiate a separate proceeding to collect the discharged and returned amounts from the institution.</w:t>
      </w:r>
    </w:p>
    <w:p>
      <w:pPr>
        <w:spacing w:after="0" w:line="19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Although ED attempted to prevent the effectiveness of these regulations, an October 2018 court decision mandated that the Borrower Defense to Repayment regulations that were originally published by ED in 2016 are now in effect and apply to loans first disbursed after July 1, 2017, and (because of recent regulatory developments) prior to July 1, 2020.</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September 23, 2019, ED published new regulations related to the “Borrower Defense to Repayment” regulations. These regulations, which went into effect July 1, 2020 modify the existing regulations to now permit borrowers to raise as a defense to repayment on a student loan any statement, act, or omission to a borrower that is false, misleading, or deceptive; made with knowledge of its false, misleading, or deceptive nature or with a reckless disregard for the truth; and directly and clearly related to the making of a Direct Loan for enrollment at the school or the provision of educational services for which the loan was made. Among other things, the new regulations modify the procedures and standards for borrowers to assert through an ED-administered process a defense to the borrowers’ obligation to repay certain Title IV loans first disbursed on or after July 1, 2020, based on certain acts or omissions by the institution or a covered party. The procedures establish a process for students to obtain a loan discharge by establishing by a preponderance of the evidence that the institution made a misrepresentation of material fact, upon which the borrower reasonably relied in deciding to obtain a covered loan, where such misrepresentation directly and clearly relates to enrollment or continuing enrollment at the institution or to the provision of educational services for which the loan was made, and where the borrower was financially harmed by the misrepresentation. The regulations establish revised definitions for misrepresentation and financial harm, identify a nonexclusive list of items that may be evidence that a misrepresentation occurred, identify a list of items that do not constitute a basis for a defense to repayment. The regulations also set forth rules on a limitations period for submitting claims and circumstances for extending this period, on the requirements for submitting an application for a discharge, on the consideration of the application by ED, on the opportunities for the institution to respond and submit evidence, and on the process for discharging the borrower’s loan and for ED to seek recovery of the discharged amounts from the institution.</w:t>
      </w:r>
    </w:p>
    <w:p>
      <w:pPr>
        <w:spacing w:after="0" w:line="191"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to revising the claims for defenses to repayment, the 2019 Borrower Defense to Repayment regulations that became effective on July 1, 2020, revises the financial responsibility regulations that were a part of the 2016 version of those regulations. The 2019 regulation shortens and reduces the scope of the list of events that could result in ED determining that an institution has failed ED’s financial responsibility standards and requiring a letter of credit or other form of acceptable financial protection and the acceptance of other conditions or requirements. Specifically, the regulations establish revised lists of mandatory triggering events and discretionary triggering events. The regulation also establishes discretionary triggering events for which ED may determine that an institution is not able to meet its financial or administrative obligations if the events are likely to have a material adverse effect on the financial condition of the institution. The regulations require the institution to notify ED of the occurrence of a mandatory or discretionary event in accordance with procedures established by ED, typically within 10 days of the occurrence of the event with certain exceptions. ED may make a determination that an institution fails to meet the financial responsibility standards based on the occurrence of one or more mandatory or discretionary triggers and impose a letter of credit and/or other conditions upon the institution. As with the 2016 version of this rule, the 2019 version of the regulations could require institutions we service – like GCU – to submit a letter of credit or other form of acceptable financial protection and accept other conditions or requirements. This could put financial strain on our university partners and negatively affect our business.</w:t>
      </w:r>
    </w:p>
    <w:p>
      <w:pPr>
        <w:spacing w:after="0" w:line="19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On August 10, 2021, ED announced its intention to establish a negotiated rulemaking committee to develop proposed regulations for borrower defenses to repayment and other topics related to programs authorized under Title IV of the HEA. Negotiated rulemaking for the Affordability and Student Loans Committee began in October 2021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concluded in December 2021, with the committee failing to reach consensus on Borrower Defense to Repayment (“BDTR”). On October 31, 2022, ED released final BDTR regulations. Among other things, the final rule sets a single standard and streamlined process for relief that will apply to all future and pending BDTR claims as of July 1, 2023, instead of various standards based on the date of the borrower’s first loan disbursement; defines what kinds of misconduct could lead to borrower defense discharges, including substantial misrepresentations, substantial omissions of fact, breaches of contract, aggressive and deceptive recruitment, and state or federal judgments or final ED actions that could give rise to a BDTR claim; establishes a reconsideration process for borrowers whose claims are not approved for a full discharge; and creates a process for forming groups of borrowers and adjudicating claims based on the common facts of those group claims. The final rule also sets the expectation that ED will hold colleges accountable for the cost of discharges, including establishing a recoupment process separate from the approval of BDTR claims. In addition, the final rule prohibits institutions from requiring borrowers to sign mandatory pre-dispute arbitration agreements or class action waivers for claims related to the making of a Federal Direct Loan or the provision of educational services for which the loan was obtained.</w:t>
      </w:r>
    </w:p>
    <w:p>
      <w:pPr>
        <w:spacing w:after="0" w:line="18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Litigation related to the various iterations of the BDTR regulations, and the enforcement of these regulations has made this area complicated for all parties to understand and assess. Further, the lack of adjudications in this area has also made things less clear. Nonetheless, if our university partners are determined to have violated this regulation there could be significant sanctions imposed, whether related to the recoupment of any loans extinguished by the Department, the imposition of letters of credit, or other sanctions under the financial responsibility or administrative capability regulations (among others). This could put a financial strain on our university partners and negatively affect our business. Also, if we were determined to have been the cause of the meritorious BDTR claim, our partners may have claims against us.</w:t>
      </w:r>
    </w:p>
    <w:p>
      <w:pPr>
        <w:spacing w:after="0" w:line="18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Note, the borrower defense to repayment regulations discussed herein were and are extensive and this does not attempt to discuss all the facets of any of the versions of these regulations. We cannot determine what effect, if any, these regulations may have on out university partners or on GCE.</w:t>
      </w:r>
    </w:p>
    <w:p>
      <w:pPr>
        <w:spacing w:after="0" w:line="17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Compliance reviews. </w:t>
      </w:r>
      <w:r>
        <w:rPr>
          <w:rFonts w:ascii="Times New Roman" w:cs="Times New Roman" w:eastAsia="Times New Roman" w:hAnsi="Times New Roman"/>
          <w:sz w:val="18"/>
          <w:szCs w:val="18"/>
          <w:color w:val="auto"/>
        </w:rPr>
        <w:t>Our client institutions are subject to announced and unannounced compliance reviews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audits by various external agencies, including ED, its Office of Inspector General, state licensing agencies, the applicable state approving agencies for financial assistance to veterans, and accrediting commissions. As part of ED’s ongoing monitoring of institutions’ administration of the Title IV programs, the HEA also requires institutions to annually submit to ED a Title IV compliance audit conducted by an independent certified public accountant in accordance with applicable federal and ED audit standards. In addition, to enable ED to make a determination of an institution’s financial responsibility, each institution must annually submit audited financial statements prepared in accordance with ED regulations.</w:t>
      </w:r>
    </w:p>
    <w:p>
      <w:pPr>
        <w:spacing w:after="0" w:line="187"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Additionally, on October 8, 2021, ED announced establishment of an Office of Enforcement within ED’s Office of Federal Student Aid, designed to strengthen oversight over and enforcement against postsecondary schools that participate in federal student loan, grant, and work-study programs. The Office of Enforcement restores an office first established by ED in 2016. ED announced the Office of Enforcement would comprise four existing divisions: Administrative Actions and Appeals Services Group, Borrower Defense Group, Investigations Group, and Resolution and Referral Management Group. ED intends the Office of Enforcement to coordinate with other state and federal partners, including the Department of Justice, Consumer Financial Protection Bureau, Federal Trade Commission, and state attorneys general.</w:t>
      </w:r>
    </w:p>
    <w:p>
      <w:pPr>
        <w:spacing w:after="0" w:line="17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a third-party servicer, not only are our university partners subject to reviews and audits that may require our involvement, but we are also subject to program reviews from ED and the Office of the Inspector General. Further, we also have an obligation to annually submit to ED a Title IV compliance audit conducted by an independent certified public accountant in accordance with applicable federal and ED audit standards.</w:t>
      </w:r>
    </w:p>
    <w:p>
      <w:pPr>
        <w:spacing w:after="0" w:line="176" w:lineRule="exact"/>
        <w:rPr>
          <w:sz w:val="20"/>
          <w:szCs w:val="20"/>
          <w:color w:val="auto"/>
        </w:rPr>
      </w:pPr>
    </w:p>
    <w:p>
      <w:pPr>
        <w:ind w:left="60" w:right="13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Gainful employment rule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HEA, proprietary schools are eligible to participate in Title IV programs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educational programs that lead to “gainful employment in a recognized occupation,” with the limited exception of qualified programs leading to a bachelor’s degree in liberal arts. ED attempted to define this in a series of regulations from 2010 to 2016. On July 1, 2019, ED rescinded the previously enacted gainful employment regulations.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While this change was effective July 1, 2020, ED also permitted institutions to enact this change as early as July 1, 2019, so long as any such institution made manifest its intention to be subject to the rescinded regulations. It is our understanding that GCU had made manifest that intention and, as of July 1, 2019, was no longer subject to the gainful employment rules. Given that GCU is currently our only university partner that is considered a proprietary school by ED, the gainful employment rules apply to it but not to our other university partners. While GCU largely complied with the previously published gainful employment rules, those rules did indicate that four current degree programs were in the “Zone” – that is, potentially faced sanctions in the future if GCU could not reform the programs to comply with the regulations – including three undergraduate education programs and the Masters in Theology.</w:t>
      </w:r>
    </w:p>
    <w:p>
      <w:pPr>
        <w:spacing w:after="0" w:line="19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On December 8, 2021, ED announced its intention to establish negotiated rulemaking committees to develop proposed regulations for gainful employment and other topics related to programs authorized under Title IV of the HEA. Negotiated rulemaking committee sessions occurred January-March 2022, and the Institutional and Programmatic Eligibility committee failed to reach consensus on the gainful employment topic. At the time, ED indicated its intention to publish draft gainful employment rules in April 2023, which would be effective no earlier than July 2024. On October 10, 2023, ED published the final gainful employment regulations which have a general effective date of July 1, 2024. The final regulations replace prior gainful employment regulations, rescinded by ED in 2019, that required GCU’s educational programs to achieve threshold rates in at least one of two debt measure categories. The new regulations establish rules for annually evaluating GCU’s educational programs based on the calculation of debt-to-earnings rates (an annual debt-to-earnings rate and a discretionary debt-to-earnings rate) and a median earnings measure. ED will calculate these rates and measures under complex regulatory formulas outlined in the regulations and using data such as student debt (including not only Title IV loans but also certain private loans and extensions of credit), student earnings data, and comparative median earnings data for young working adults with only a high school diploma or GED. If GCU’s programs were to yield debt-to-earnings rates or a median earnings measure that do not comply with regulatory benchmarks for two of three consecutive years, they would lose Title IV eligibility for each of the impacted educational programs. The regulations will also require institutions to provide warnings to current and prospective students for programs in danger of losing Title IV eligibility (which could deter prospective students from enrolling and current students from continuing their respective programs). The regulations also include provisions for providing certifications and reporting data to ED and providing required student disclosures related to gainful employment.</w:t>
      </w:r>
    </w:p>
    <w:p>
      <w:pPr>
        <w:spacing w:after="0" w:line="191" w:lineRule="exact"/>
        <w:rPr>
          <w:sz w:val="20"/>
          <w:szCs w:val="20"/>
          <w:color w:val="auto"/>
        </w:rPr>
      </w:pPr>
    </w:p>
    <w:p>
      <w:pPr>
        <w:ind w:left="60" w:right="159" w:firstLine="648"/>
        <w:spacing w:after="0" w:line="270" w:lineRule="auto"/>
        <w:rPr>
          <w:sz w:val="20"/>
          <w:szCs w:val="20"/>
          <w:color w:val="auto"/>
        </w:rPr>
      </w:pPr>
      <w:r>
        <w:rPr>
          <w:rFonts w:ascii="Times New Roman" w:cs="Times New Roman" w:eastAsia="Times New Roman" w:hAnsi="Times New Roman"/>
          <w:sz w:val="17"/>
          <w:szCs w:val="17"/>
          <w:color w:val="auto"/>
        </w:rPr>
        <w:t>The regulations include gainful employment rates and measures that will be based in part on data that is not readily accessible to us or GCU, which makes it difficult for us to predict with certainty how GCU’s educational programs will perform under the new gainful employment benchmarks and the extent to which certain programs could become ineligible for Title IV participation. ED released performance data at the time it published the proposed regulations that calculates rates for each school’s programs while acknowledging that the methodology used to produce the calculations differs from the methodology in the proposed regulations due to limitations in data availability. Because neither we nor GCU nor ED have access to all of the data that will ultimately be used to evaluate GCU’s programs, we cannot predict whether, or the extent to which, GCU’s programs could fail to comply with the new gainful employment benchmarks. Moreover, we do not have control over some of the factors that could impact the rates and measures for GCU’s programs which will limit our ability to eliminate or mitigate the impact of the regulations on us and GCU’s educational programs.</w:t>
      </w:r>
    </w:p>
    <w:p>
      <w:pPr>
        <w:spacing w:after="0" w:line="17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Although we cannot predict how GCU’s programs will perform under the new gainful employment metrics, the performance data released suggests that in general the programs that were in the “Zone” under the previous gainful employment rules - certain undergraduate teacher education and theology programs as well as certain Masters in Counseling programs - were in jeopardy of failing under the new rules. Given that the primary issue for the undergraduate programs that are in jeopardy of failing the new rules is not high average debt levels but rather relatively low earnings rates for first year teachers, it will be difficult for GCU to make material changes to ensure these programs do not fail. The Masters of Counseling programs that are in jeopardy of failing are long duration programs as required by the programmatic accreditation standards and the Title IV regulations allow graduate students to borrow substantially more than is required to pay tuition. Accordingly, the debt levels for these programs are higher than the university’s average. Thus, the implementation of the new gainful employment regulations could require GCU to eliminate or modify these educational programs, could result in the loss Title IV Program funds for the affected programs, and could have a significant impact on the rate at which students enroll in these programs. In addition, given ED continues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refuse to recognize GCU’s non-profit status, students in GCU programs that fail the new metrics may lose Title IV eligibility.</w:t>
      </w:r>
    </w:p>
    <w:p>
      <w:pPr>
        <w:spacing w:after="0" w:line="158" w:lineRule="exact"/>
        <w:rPr>
          <w:sz w:val="20"/>
          <w:szCs w:val="20"/>
          <w:color w:val="auto"/>
        </w:rPr>
      </w:pPr>
    </w:p>
    <w:p>
      <w:pPr>
        <w:ind w:left="60" w:right="99" w:firstLine="648"/>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Substantial misrepresentation</w:t>
      </w:r>
      <w:r>
        <w:rPr>
          <w:rFonts w:ascii="Times New Roman" w:cs="Times New Roman" w:eastAsia="Times New Roman" w:hAnsi="Times New Roman"/>
          <w:sz w:val="17"/>
          <w:szCs w:val="17"/>
          <w:color w:val="auto"/>
        </w:rPr>
        <w:t>. The HEA prohibits an institution that participates in Title IV programs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engaging in “substantial misrepresentation” of the nature of its educational program, its financial charges, or the employability of its graduates. ED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w:t>
      </w:r>
    </w:p>
    <w:p>
      <w:pPr>
        <w:spacing w:after="0" w:line="172"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Therefore, we are subject to this regulation.</w:t>
      </w:r>
    </w:p>
    <w:p>
      <w:pPr>
        <w:spacing w:after="0" w:line="158"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Considering the breadth of the definition of “substantial misrepresentation,” it is possible that despite our efforts to prevent such misrepresentations, our employees or contractors may make statements that could be construed as substantial misrepresentations for which our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subcontractors.</w:t>
      </w:r>
    </w:p>
    <w:p>
      <w:pPr>
        <w:spacing w:after="0" w:line="18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Additionally, matters regarding substantial misrepresentation, and defining what constitutes “aggressive recruiting,” are currently the subject of negotiated rulemaking. While we are watching this process closely, we cannot determine what the outcome will be or the effect of these regulations on out university partners or on GCE.</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Despite our best efforts, we may face complaints from students and prospective students of our university partners over statements made by us and our agents throughout the conduct of our services which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w:t>
      </w:r>
    </w:p>
    <w:p>
      <w:pPr>
        <w:spacing w:after="0" w:line="19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Similar rules apply under state laws or are incorporated in institutional accreditation standards, and the FTC applies similar rules prohibiting any unfair or deceptive marketing practices to the education sector. On October 6, 2021 the FTC announced that it is resurrecting Penalty Offense Authority under Section 5(m) of the FTC Act. Under the FTC Act, the FTC may secure penalties against entities not a party to an original proceeding if the FTC can show that the entity had actual knowledge that the conduct in question was found to be unfair or deceptive. Entities that have actual knowledge of acts or practices the FTC has found to be unlawful and that subsequently engage in such unlawful acts or practices may be held liable for civil penalties up to $50,120 per violation. Also on October 6, 2021, in an effort to establish actual knowledge and create a pathway for penalties in the event of post-notice acts or practices, the FTC issued notice to the 70 largest for-profit schools based on enrollment and revenues. The notice included a list of acts and practices that the FTC has determined are unfair or deceptive, including but not limited to acts relating to misrepresentation of employment opportunities and other benefits, together with citation to various prior determinations from cases previously litigated by the FTC. Because of ED’s decision to continue to treat GCU as a for-profit institution for Title IV purposes, GCU received the FTC’s notice on October 7, 2021. The FTC made clear at that time that receipt of the notice itself did not reflect any assessment as to whether GCU has engaged in deceptive or unfair conduct.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If ED or another regulator determines that statements made by us or on our behalf are in violation of the regulations, we could be subject to sanctions and other liability, which could have a material adverse effect on our business.</w:t>
      </w:r>
    </w:p>
    <w:p>
      <w:pPr>
        <w:spacing w:after="0" w:line="13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Coordinated actions by certain federal agencies</w:t>
      </w:r>
      <w:r>
        <w:rPr>
          <w:rFonts w:ascii="Times New Roman" w:cs="Times New Roman" w:eastAsia="Times New Roman" w:hAnsi="Times New Roman"/>
          <w:sz w:val="18"/>
          <w:szCs w:val="18"/>
          <w:color w:val="auto"/>
        </w:rPr>
        <w:t>. The Transaction was approved by GCU’s Board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its conclusion that it would be in the best interest of GCU’s students, faculty and staff for GCU to operate under the non-profit status that it previously held prior to 2004. Prior to the closing of the Transaction, the IRS, HLC and the State of Arizona approved GCU’s non-profit designation. However, on November 6, 2019, in connection with its approval of the Transaction without conditions, ED informed GCU that GCU does not satisfy ED’s definition of a non-profit entity and, as a result, that ED will continue to treat GCU as a proprietary institution for purposes of its continued participation in Title IV programs. Upon receipt of this determination, GCU and GCE entered into ongoing discussions and negotiations that were then provided by GCU to ED regarding proposed changes to the services agreement between GCU and GCE and providing ED, upon request, with an updated transfer pricing study demonstrating that the revenue sharing arrangement reflected in the services agreement reflected fair market value for the services we provide. Despite the ongoing discussions and negotiations, ED again denied GCU’s non-profit status in January 2021. Thereafter, in order to pursue all available avenues for recourse on this matter, GCU opted to file a lawsuit against the ED, alleging that its 2019 and 2021 decisions overstepped its authority. That litigation currently remains ongoing. While the Company does not believe that ED’s determination, if ultimately upheld by the federal courts, will impact GCU’s ability to meet all regulatory requirements applicable to proprietary institutions, the determination not to accept GCU’s non-profit status by ED or any other federal agency, if upheld, would continue the limits currently in effect on GCU’s ability to identify itself as a non-profit university in its advertising or other materials and could adversely impact the manner in which GCU is viewed by students, prospective students, alumni, donors and other stakeholders.</w:t>
      </w:r>
    </w:p>
    <w:p>
      <w:pPr>
        <w:spacing w:after="0" w:line="196"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Thereafter, in October 2021, at the same time that the FTC issued the notice to the 70 for-profit schools as mentioned above, the FTC issued a public statement indicating that it would coordinate efforts with ED and the VA to investigate for-profit universities in furtherance of the notice. Since the FTC’s statement, ED, the VA and the FTC have initiated multiple actions against GCU, including audits, compliance reviews, civil investigative demands, fines and lawsuits, and the FTC has initiated civil investigative demands and a lawsuit against us, that allege, among other things, misrepresentations made in connection with marketing activities, including statements made related to GCU’s non-profit status.</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These actions, which are in addition to the class action and shareholder derivative action against us and certain of our directors and officers that we are currently defending and which largely also relate back to ED’s original decision to deny recognition of GCU’s non-profit status, appear to be coordinated in the manner described in the 2021 FTC statement. These actions, or any future actions by ED, FTC or any other federal or state government agencies or accrediting bodies with oversight over us or GCU, if ultimately resolved adversely to us or GCU, could result in monetary penalties and liabilities, further impact GCU’s non-profit status, and/or cause reputational harm. See </w:t>
      </w:r>
      <w:r>
        <w:rPr>
          <w:rFonts w:ascii="Times New Roman" w:cs="Times New Roman" w:eastAsia="Times New Roman" w:hAnsi="Times New Roman"/>
          <w:sz w:val="18"/>
          <w:szCs w:val="18"/>
          <w:i w:val="1"/>
          <w:iCs w:val="1"/>
          <w:color w:val="auto"/>
        </w:rPr>
        <w:t>Part I, Item 3. Legal Proceedings</w:t>
      </w:r>
      <w:r>
        <w:rPr>
          <w:rFonts w:ascii="Times New Roman" w:cs="Times New Roman" w:eastAsia="Times New Roman" w:hAnsi="Times New Roman"/>
          <w:sz w:val="18"/>
          <w:szCs w:val="18"/>
          <w:color w:val="auto"/>
        </w:rPr>
        <w:t xml:space="preserve"> for a discussion of certain litigation matters to which we are a party. In addition, given the importance of the non-profit designation to GCU, it is also possible that GCU might request changes to our contract with them to resolve any disputes it has with government agencies over its non-profit status. At this time, we cannot predict what changes those could be or what effect any of those outcomes could have on our business.</w:t>
      </w:r>
    </w:p>
    <w:p>
      <w:pPr>
        <w:spacing w:after="0" w:line="19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Negotiated rulemaking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 periodically issues new regulations and guidance that can have an adverse effect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partner institutions. ED has changed its regulations, and may make other changes in the future, in a manner which could require us to incur additional costs in connection with providing the services that we provide our partners affect their ability to remain eligible to participate in the Title IV programs, impose restrictions on their participation in the Title IV programs, affect the rate at which students enroll in our partners’ programs, or otherwise have a significant impact on our business and results of operations. We cannot predict the timing and content of any new regulations or guidance that ED may seek to impose or whether and to what extent ED under the new administration may issue new regulations and guidance that could adversely impact our partner institutions.</w:t>
      </w:r>
    </w:p>
    <w:p>
      <w:pPr>
        <w:spacing w:after="0" w:line="189" w:lineRule="exact"/>
        <w:rPr>
          <w:sz w:val="20"/>
          <w:szCs w:val="20"/>
          <w:color w:val="auto"/>
        </w:rPr>
      </w:pPr>
    </w:p>
    <w:p>
      <w:pPr>
        <w:ind w:left="60" w:right="559" w:firstLine="648"/>
        <w:spacing w:after="0" w:line="261" w:lineRule="auto"/>
        <w:rPr>
          <w:sz w:val="20"/>
          <w:szCs w:val="20"/>
          <w:color w:val="auto"/>
        </w:rPr>
      </w:pPr>
      <w:r>
        <w:rPr>
          <w:rFonts w:ascii="Times New Roman" w:cs="Times New Roman" w:eastAsia="Times New Roman" w:hAnsi="Times New Roman"/>
          <w:sz w:val="18"/>
          <w:szCs w:val="18"/>
          <w:color w:val="auto"/>
        </w:rPr>
        <w:t>On January 4, 2023, ED announced their intention to issue new regulations in eight different areas of higher education regulations via negotiated rulemaking. The topics include:</w:t>
      </w: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Distance Education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Accreditation and Related Issues</w:t>
      </w:r>
    </w:p>
    <w:p>
      <w:pPr>
        <w:spacing w:after="0" w:line="2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Authorization</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Servicers and Related Agencies</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to Title IV</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TRIO Programs</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Use of Deferments and Forbearances.</w:t>
      </w:r>
    </w:p>
    <w:p>
      <w:pPr>
        <w:spacing w:after="0" w:line="20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ED commenced its first negotiated rulemaking on January 8, 2024 to address five of these topics: State Authorization, Cash Management, Distance Education, Returns to Title IV, and Accreditation. In addition to the session held on January 8–11, 2024, ED will hold negotiation sessions on February 5–8, 2024 and March 4–7, 2024.While we will be watching this closely, we cannot predict what, if any, impact this rulemaking will have on our university partners or on our business.</w:t>
      </w:r>
    </w:p>
    <w:p>
      <w:pPr>
        <w:spacing w:after="0" w:line="18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cannot predict with certainty the ultimate combined impact of the regulatory changes which have occurred in recent years and that may occur as a result of the upcoming negotiated rulemaking, nor can we predict the effect of future legislative or regulatory action by federal, state or other agencies regulating our education programs or other aspects of our operations, how any resulting regulations will be interpreted or whether we and our partner institutions will be able to comply with these requirements in the future. Any such actions by legislative or regulatory bodies that affect our programs and operations could have a material adverse effect on our student population and our partner institutions, including the need to cease offering a number of programs.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Standards that May Restrict Institutional Expansion or Other Changes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Many actions that our university partners may wish to take in connection with expanding their operations or other changes are subject to review or approval by the applicable regulatory agencies. For example, requirements and standards of state post-secondary agencies, accrediting commissions, and ED limit an institution’s ability in certain instances to establish additional teaching locations, implement new educational programs, or increase enrollment in certain programs. Many states require review and approval before institutions can add new locations or programs, and many states limit the number of pre-licensure professional students (such as nursing) colleges may enroll. Similarly, accrediting agencies (institutional and programmatic)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With respect to ED, if an institution participating in the Title IV programs plans to add a new location or educational program, the institution must generally apply to ED to have the additional location or educational program designated as within the scope of the institution’s Title IV eligibility. Institutions that are fully certified to participate in the Title IV programs are not required to obtain ED’s approval of additional programs that lead to a bachelor’s, professional, or graduate degree at the same degree level as programs previously approved by ED, and, similarly, is not required to obtain advance approval for new programs that prepare students for gainful employment in the same or a related recognized occupation as an educational program that has previously been designated by ED as an eligible program at that institution if it meets certain minimum-length requirements. GCU, because it is currently certified to participate in the Title IV programs on a provisional basis, is required to obtain ED approval for new programs, which requirement could impede GCU’s ability to introduce new programs and slow its growth.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There are many factors that affect our business, financial condition, operating results, and cash flows as well as the market price for our securities. The following is a description of important factors that may cause our actual results of operations in future periods to differ materially from those currently expected or discussed in forward-looking statements set forth in this Annual Report. Additional risks and uncertainties not presently known to us or that we may currently deem immaterial also may impair our business operations. Forward-looking statements and such risks, uncertainties and other factors speak only as of the date of this Annual Report, and we expressly disclaim any obligation or undertaking to update or revise any forward-looking statement contained herein, to reflect any change in our expectations with regard thereto, or any other change in events, conditions or circumstances on which any such statement is based, except to the extent otherwise required by law. See “Forward-Looking Statements.” These risk factors should be read in conjunction with other information set forth in this Annual Report, including Item 7, Management’s Discussion and Analysis of Financial Condition and Results of Operations, and Item 8, Consolidated Financial Statements and Supplementary Data, including the related Notes to Consolidated Financial Statements.</w:t>
      </w:r>
    </w:p>
    <w:p>
      <w:pPr>
        <w:spacing w:after="0" w:line="19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currently provide services to 25 university partners across the United States, GCU is, and will for the foreseeable future remain, our most significant university partner. Accordingly, the risk factors set forth below also include risks attributable to GCU’s operations, which could materially affect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risk factors that could adversely affect our business, financial condition, and operating results:</w:t>
      </w:r>
    </w:p>
    <w:p>
      <w:pPr>
        <w:spacing w:after="0" w:line="162" w:lineRule="exact"/>
        <w:rPr>
          <w:sz w:val="20"/>
          <w:szCs w:val="20"/>
          <w:color w:val="auto"/>
        </w:rPr>
      </w:pPr>
    </w:p>
    <w:p>
      <w:pPr>
        <w:ind w:left="720" w:right="11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attributable to our contractual relationship as a service provider to GCU, and the loss of, or a decline in enrollment in, GCU programs could significantly reduce our revenue and impact our overall financial performance.</w:t>
      </w:r>
    </w:p>
    <w:p>
      <w:pPr>
        <w:spacing w:after="0" w:line="17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GCU’s board of trustees and management have fiduciary and other duties that require them to focus on the best interests of GCU and, over time, those interests could diverge from those of GCE.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Officer’s role as President of GCU may adversely affect his ability to run GCE.</w:t>
      </w:r>
    </w:p>
    <w:p>
      <w:pPr>
        <w:spacing w:after="0" w:line="225" w:lineRule="exact"/>
        <w:rPr>
          <w:rFonts w:ascii="Times New Roman" w:cs="Times New Roman" w:eastAsia="Times New Roman" w:hAnsi="Times New Roman"/>
          <w:sz w:val="18"/>
          <w:szCs w:val="18"/>
          <w:color w:val="auto"/>
        </w:rPr>
      </w:pPr>
    </w:p>
    <w:p>
      <w:pPr>
        <w:ind w:left="720" w:right="199" w:hanging="319"/>
        <w:spacing w:after="0" w:line="312" w:lineRule="auto"/>
        <w:tabs>
          <w:tab w:leader="none" w:pos="7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determined to have paid improper incentive compensation to our covered employees, or tuition sharing arrangements are deemed to violate the incentive compensation regulations, our business will be impaired.</w:t>
      </w:r>
    </w:p>
    <w:p>
      <w:pPr>
        <w:spacing w:after="0" w:line="139" w:lineRule="exact"/>
        <w:rPr>
          <w:rFonts w:ascii="Times New Roman" w:cs="Times New Roman" w:eastAsia="Times New Roman" w:hAnsi="Times New Roman"/>
          <w:sz w:val="17"/>
          <w:szCs w:val="17"/>
          <w:color w:val="auto"/>
        </w:rPr>
      </w:pPr>
    </w:p>
    <w:p>
      <w:pPr>
        <w:ind w:left="720" w:right="119" w:hanging="319"/>
        <w:spacing w:after="0" w:line="26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effectiveness of our marketing and advertising programs in recruiting new students to enroll with our university partners. 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179"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established and other emerging companies, which could divert university partners to our competitors, result in pricing pressure and significantly reduce our revenue.</w:t>
      </w:r>
    </w:p>
    <w:p>
      <w:pPr>
        <w:spacing w:after="0" w:line="16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7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The Family Educational Rights and Privacy Act, or FERPA, and failure to do so could harm our reputation and negatively affect our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system disruptions, or security breaches in our online computer networks and phone systems could have a material adverse effect on our ability to attract and retain students.</w:t>
      </w:r>
    </w:p>
    <w:p>
      <w:pPr>
        <w:spacing w:after="0" w:line="16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future acquisitions, which would reduce the anticipated benefits of those transactions.</w:t>
      </w:r>
    </w:p>
    <w:p>
      <w:pPr>
        <w:spacing w:after="0" w:line="16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Rulemaking by ED could materially and adversely affect our business.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published regulations could materially and adversely affect our business.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ED does not recertify a university partner institution to continue participating in the Title IV programs, the students we assist would lose their access to Title IV program funds, or a university partner institution could be recertified but be required to accept significant limitations as a condition of its continued participation in the Title IV programs.</w:t>
      </w:r>
    </w:p>
    <w:p>
      <w:pPr>
        <w:spacing w:after="0" w:line="179" w:lineRule="exact"/>
        <w:rPr>
          <w:rFonts w:ascii="Times New Roman" w:cs="Times New Roman" w:eastAsia="Times New Roman" w:hAnsi="Times New Roman"/>
          <w:sz w:val="18"/>
          <w:szCs w:val="18"/>
          <w:color w:val="auto"/>
        </w:rPr>
      </w:pPr>
    </w:p>
    <w:p>
      <w:pPr>
        <w:jc w:val="both"/>
        <w:ind w:left="720" w:right="19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university partner institution could lose the ability to participate in the Title IV programs if it fails to maintain its institutional accreditation, and our university partners’ student enrollments could decline if a client institution fails to maintain any of its accreditations or approvals.</w:t>
      </w:r>
    </w:p>
    <w:p>
      <w:pPr>
        <w:spacing w:after="0" w:line="17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university partner institution may lose eligibility to participate in the Title IV programs if its student loan default rates are too high.</w:t>
      </w:r>
    </w:p>
    <w:p>
      <w:pPr>
        <w:spacing w:after="0" w:line="16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ED or other regulators that we or our university partner institutions misrepresented the nature of our partner institutions’ educational programs could materially and adversely affect our business.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and thus our revenue and results of operations.</w:t>
      </w:r>
    </w:p>
    <w:p>
      <w:pPr>
        <w:spacing w:after="0" w:line="179"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university partner institutions do not maintain state authorization, they may not operate or participate in the Title IV programs.</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w:t>
      </w:r>
    </w:p>
    <w:p>
      <w:pPr>
        <w:spacing w:after="0" w:line="175"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GCU</w:t>
      </w:r>
    </w:p>
    <w:p>
      <w:pPr>
        <w:spacing w:after="0" w:line="225"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large percentage of our revenue is attributable to our contractual relationship as a service provider to GCU, and the loss of, or a decline in enrollment in, GCU programs could significantly reduce our revenue and impact our overall financial performance.</w:t>
      </w:r>
    </w:p>
    <w:p>
      <w:pPr>
        <w:spacing w:after="0" w:line="175"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We expect the revenue derived from our Master Services Agreement with GCU to account for a large percentage of our revenue for the foreseeable future. Any decline in reputation or changes in policies of GCU that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adversely affect its student enrollment and its overall financial and operating results, including as a result of adverse government actions taken against GCU, could materially impact us. Furthermore, GCU has the right to terminate the Master Services Agreement early after seven (7) years and, upon the termination or expiration of the Master Services Agreement, GCU is not required to continue using us as the provider of the services thereunder. If GCU were to terminate or not renew its relationship with us, or if its programs were to materially underperform for any reason, it could negatively affect our reputation and materially adversely impact our revenue and operating results.</w:t>
      </w:r>
    </w:p>
    <w:p>
      <w:pPr>
        <w:spacing w:after="0" w:line="183"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GCU’s board of trustees and management have fiduciary and other duties that require them to focus on the best interests of GCU and, over time, those interests could diverge from those of GCE.</w:t>
      </w:r>
    </w:p>
    <w:p>
      <w:pPr>
        <w:spacing w:after="0" w:line="159"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GCE believes that its relationship with GCU is and will remain strong. However, GCU has an independent board of trustees that, along with its management, have fiduciary and other duties that require them to focus on the best interests of GCU. Over time, and for various reasons, those interests could diverge from the interests of GCE. Should those interests diverge in a meaningful way, it could lead to changes in the relationship that would be adverse to GCE.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Chief Executive Officer’s role as President of GCU may adversely affect his ability to run GCE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Mr. Brian E. Mueller has served as the Chief Executive Officer of GCE since 2008, the Chairman of the Board of GCE since 2017 and the President of GCU since 2012. In connection with the Transaction, the Board of Directors of GCE and the board of trustees of GCU each independently determined that Mr. Mueller should retain those roles. Accordingly, Mr. Mueller serves as the Chairman of the Board and Chief Executive Officer of GCE and as the President of GCU, although he is prohibited from serving on the board of trustees of GCU. In continuing to retain Mr. Mueller’s services, our Board and the board of trustees of GCU each recognize that Mr. Mueller’s dual role could raise conflict of interest issues. In this regard, at the time of the Transaction, GCU adopted governance provisions that prohibit Mr. Mueller from serving on the board of trustees of GCU. In addition, we and GCU also jointly imposed a structure, through GCU’s governance documents and through express provisions of the Master Services Agreement, that prevent Mr. Mueller from participating in day-to-day management of, or negotiations between GCE and GCU relating to, the Master Services Agreement. While we believe that these safeguards have worked well to date, and that Mr. Mueller’s role with GCE continues to be in the best interests of GCE and is stockholders, we remain alert to conflict issues on an ongoing basis. Any such conflicts, as well as any adverse impact that Mr. Mueller’s dual capacity could have on his ability to devote time, attention, and effort to GCE, could be detrimental to our business.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225" w:lineRule="exact"/>
        <w:rPr>
          <w:sz w:val="20"/>
          <w:szCs w:val="20"/>
          <w:color w:val="auto"/>
        </w:rPr>
      </w:pPr>
    </w:p>
    <w:p>
      <w:pPr>
        <w:ind w:left="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determined to have paid improper incentive compensation to our covered employees, or tuition sharing arrangements are deemed to violate the incentive compensation regulations, our business will be impaired.</w:t>
      </w:r>
    </w:p>
    <w:p>
      <w:pPr>
        <w:spacing w:after="0" w:line="136"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An institution that participates in the Title IV programs may not provide any commission, bonus, or other incentive payment based directly or indirectly on success in securing enrollments or financial aid to any person or entity engaged in any student recruitment, admissions, or financial aid awarding activity. Current regulations provide that higher education institutions agree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regulation, we are prohibited from offering our “covered employees,” who are generally those GCE employees involved with or responsible for recruiting or admissions activities on behalf of our university partners,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 If it were determined that any of our compensation practices violated the incentive compensation law, we could experience an adverse outcome in pending litigation and be subject to substantial monetary liabilities, fines, and other sanctions, any of which could have a material adverse effect on our business,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459"/>
        <w:spacing w:after="0" w:line="284" w:lineRule="auto"/>
        <w:rPr>
          <w:sz w:val="20"/>
          <w:szCs w:val="20"/>
          <w:color w:val="auto"/>
        </w:rPr>
      </w:pPr>
      <w:r>
        <w:rPr>
          <w:rFonts w:ascii="Times New Roman" w:cs="Times New Roman" w:eastAsia="Times New Roman" w:hAnsi="Times New Roman"/>
          <w:sz w:val="18"/>
          <w:szCs w:val="18"/>
          <w:color w:val="auto"/>
        </w:rPr>
        <w:t xml:space="preserve">prospects, financial condition and results of operations and could adversely affect our stock price. </w:t>
      </w:r>
      <w:r>
        <w:rPr>
          <w:rFonts w:ascii="Times New Roman" w:cs="Times New Roman" w:eastAsia="Times New Roman" w:hAnsi="Times New Roman"/>
          <w:sz w:val="18"/>
          <w:szCs w:val="18"/>
          <w:i w:val="1"/>
          <w:iCs w:val="1"/>
          <w:color w:val="auto"/>
        </w:rPr>
        <w:t>See Part 1, Item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for a discussion of certain litigation matters to which we are a party.</w:t>
      </w:r>
    </w:p>
    <w:p>
      <w:pPr>
        <w:spacing w:after="0" w:line="16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addition, the regulation raises a question as to whether companies like ours, as an entity, are prohibited from entering into tuition revenue-sharing arrangements with university partners. On March 17, 2011, ED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to a third-party service provider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190" w:lineRule="exact"/>
        <w:rPr>
          <w:sz w:val="20"/>
          <w:szCs w:val="20"/>
          <w:color w:val="auto"/>
        </w:rPr>
      </w:pPr>
    </w:p>
    <w:p>
      <w:pPr>
        <w:ind w:left="700" w:right="119"/>
        <w:spacing w:after="0" w:line="254" w:lineRule="auto"/>
        <w:rPr>
          <w:sz w:val="20"/>
          <w:szCs w:val="20"/>
          <w:color w:val="auto"/>
        </w:rPr>
      </w:pPr>
      <w:r>
        <w:rPr>
          <w:rFonts w:ascii="Times New Roman" w:cs="Times New Roman" w:eastAsia="Times New Roman" w:hAnsi="Times New Roman"/>
          <w:sz w:val="18"/>
          <w:szCs w:val="18"/>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In fact, on February 15, 2023, ED launched a review of the prohibition on incentive compensation for college recruiters, including the use of the bundled service provider rule for OPMs like us. The Department offered the public an opportunity to comment on this issue (the comment period concluded March 16, 2023) and held a “listening session” on this topic on March 8 and 9, 2023. It is unclear at this point if or when the Department will revise guidance related to this issue.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 in ways that could be detrimental to our business.</w:t>
      </w:r>
    </w:p>
    <w:p>
      <w:pPr>
        <w:spacing w:after="0" w:line="190"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effectiveness of our marketing and advertising programs in recruiting new students to enroll with our university partners.</w:t>
      </w:r>
    </w:p>
    <w:p>
      <w:pPr>
        <w:spacing w:after="0" w:line="159" w:lineRule="exact"/>
        <w:rPr>
          <w:sz w:val="20"/>
          <w:szCs w:val="20"/>
          <w:color w:val="auto"/>
        </w:rPr>
      </w:pPr>
    </w:p>
    <w:p>
      <w:pPr>
        <w:ind w:left="60" w:right="279" w:firstLine="648"/>
        <w:spacing w:after="0" w:line="273" w:lineRule="auto"/>
        <w:rPr>
          <w:sz w:val="20"/>
          <w:szCs w:val="20"/>
          <w:color w:val="auto"/>
        </w:rPr>
      </w:pPr>
      <w:r>
        <w:rPr>
          <w:rFonts w:ascii="Times New Roman" w:cs="Times New Roman" w:eastAsia="Times New Roman" w:hAnsi="Times New Roman"/>
          <w:sz w:val="17"/>
          <w:szCs w:val="17"/>
          <w:color w:val="auto"/>
        </w:rPr>
        <w:t>Building awareness of our university partner institutions, and the programs they offer, is critical to our ability to attract prospective students to those institutions. It is also critical to our success that we convert prospective students to enrolled students in a cost-effective manner and that these enrolled students remain active in the programs of our client institutions. The tightness of the job market has historically had an impact on our ability to successfully recruit new students especially for students considering re-careering into a different field. Historically the percentage of students we recruited that were re-careering was low but with the increase in university partners and off-campus classroom and laboratory sites and the growth in new online licensure programs by GCU, the number of students we recruit that are re-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careering is growing. Therefore, changes in the job market will impact our ability to recruit students. Some of the other factors that could prevent us from successfully recruiting, enrolling, and retaining students in those programs include:</w:t>
      </w:r>
    </w:p>
    <w:p>
      <w:pPr>
        <w:spacing w:after="0" w:line="162" w:lineRule="exact"/>
        <w:rPr>
          <w:sz w:val="20"/>
          <w:szCs w:val="20"/>
          <w:color w:val="auto"/>
        </w:rPr>
      </w:pPr>
    </w:p>
    <w:p>
      <w:pPr>
        <w:ind w:left="1040" w:right="459" w:hanging="315"/>
        <w:spacing w:after="0" w:line="261"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availability of, or higher interest rates and other costs associated with, Title IV loan funds or other sources of financial aid;</w:t>
      </w: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more successful competitors;</w:t>
      </w:r>
    </w:p>
    <w:p>
      <w:pPr>
        <w:spacing w:after="0" w:line="9" w:lineRule="exact"/>
        <w:rPr>
          <w:rFonts w:ascii="Times New Roman" w:cs="Times New Roman" w:eastAsia="Times New Roman" w:hAnsi="Times New Roman"/>
          <w:sz w:val="18"/>
          <w:szCs w:val="18"/>
          <w:color w:val="auto"/>
        </w:rPr>
      </w:pPr>
    </w:p>
    <w:p>
      <w:pPr>
        <w:ind w:left="1040" w:right="9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related to our marketing, including the costs and effectiveness of Internet advertising and broad-based branding campaigns and recruiting efforts;</w:t>
      </w: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problems with our online systems;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client institutions to maintain institutional and specialized accreditations;</w:t>
      </w:r>
    </w:p>
    <w:p>
      <w:pPr>
        <w:spacing w:after="0" w:line="9" w:lineRule="exact"/>
        <w:rPr>
          <w:rFonts w:ascii="Times New Roman" w:cs="Times New Roman" w:eastAsia="Times New Roman" w:hAnsi="Times New Roman"/>
          <w:sz w:val="18"/>
          <w:szCs w:val="18"/>
          <w:color w:val="auto"/>
        </w:rPr>
      </w:pPr>
    </w:p>
    <w:p>
      <w:pPr>
        <w:ind w:left="1040" w:right="53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education agencies that regulate our client institutions which could restrict their initiation of new programs and modification of existing programs;</w:t>
      </w:r>
    </w:p>
    <w:p>
      <w:pPr>
        <w:ind w:left="1040" w:right="21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education agencies that regulate our university partner institutions which restrict the ways schools can compensate their recruitment personnel;</w:t>
      </w:r>
    </w:p>
    <w:p>
      <w:pPr>
        <w:ind w:left="1040" w:right="33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of online education, including in states in which our university partner institutions do not have a physical presence;</w:t>
      </w:r>
    </w:p>
    <w:p>
      <w:pPr>
        <w:ind w:left="1040" w:right="59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may be imposed on graduates of online programs that seek certification or licensure in certain states;</w:t>
      </w: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 dissatisfaction with our services and programs;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or to the reputations of our university partners or other adverse effects as a result of negative publicity in the media, in industry or governmental reports, or otherwise, affecting us or other companies in the post-secondary education sector;</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reductions by competitors that we are unwilling or unable to match;</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acceptance of online education;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economic or other development that affects job prospects in our core disciplines;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perceived or actual economic benefits that students derive from the programs offered by any university partner institution.</w:t>
      </w:r>
    </w:p>
    <w:p>
      <w:pPr>
        <w:spacing w:after="0" w:line="181"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continue to develop awareness of the programs of our university partners, and to provide services to successfully recruit, enroll, and retain students on their behalf, enrollments at our university partners would suffer and our ability to increase revenues and maintain profitability would be significantly impaired.</w:t>
      </w:r>
    </w:p>
    <w:p>
      <w:pPr>
        <w:spacing w:after="0" w:line="17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keep pace with changing market needs and technology could harm our ability to meet the needs of our client institutions.</w:t>
      </w:r>
    </w:p>
    <w:p>
      <w:pPr>
        <w:spacing w:after="0" w:line="15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have invested significant resources to develop and implement features that enhance the online classroom experience, such as delivering course content through streaming video, simulations, and other interactive enhancements as well as technology to meet the back-office support needs of our client institutions’ students.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84"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175" w:lineRule="exact"/>
        <w:rPr>
          <w:sz w:val="20"/>
          <w:szCs w:val="20"/>
          <w:color w:val="auto"/>
        </w:rPr>
      </w:pPr>
    </w:p>
    <w:p>
      <w:pPr>
        <w:ind w:left="60" w:right="199" w:firstLine="648"/>
        <w:spacing w:after="0" w:line="257" w:lineRule="auto"/>
        <w:rPr>
          <w:sz w:val="20"/>
          <w:szCs w:val="20"/>
          <w:color w:val="auto"/>
        </w:rPr>
      </w:pPr>
      <w:r>
        <w:rPr>
          <w:rFonts w:ascii="Times New Roman" w:cs="Times New Roman" w:eastAsia="Times New Roman" w:hAnsi="Times New Roman"/>
          <w:sz w:val="18"/>
          <w:szCs w:val="18"/>
          <w:color w:val="auto"/>
        </w:rPr>
        <w:t>Based on industry analyses, enrollment growth in degree-granting, post-secondary institutions is slowing and the number of high school graduates that are eligible to enroll in degree-granting, post-secondary institutions is expected to continue to decrease over the next few years. In order to maintain current growth rates, we will need to attract a</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larger percentage of students in existing markets to our client institutions and work with university partner institutions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create new academic programs to attract those students. In addition, if job growth in the fields related to our university partners’ core disciplines is weaker than expected, as a result of any regional or national economic downturn or otherwise, fewer students may seek the types of degrees that our clients offer. Our failure to attract new students for our university partners, or the decisions by prospective students to seek degrees in disciplines not offered by our university partners, would have an adverse impact on our future growth.</w:t>
      </w:r>
    </w:p>
    <w:p>
      <w:pPr>
        <w:spacing w:after="0" w:line="179"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established and other emerging companies, which could divert university partners to our competitors, result in pricing pressure and significantly reduce our revenue.</w:t>
      </w:r>
    </w:p>
    <w:p>
      <w:pPr>
        <w:spacing w:after="0" w:line="15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We expect existing competitors and new entrants to the educational services market to revise and improve their business models constantly in response to challenges from competing businesses, including ours.</w:t>
      </w:r>
    </w:p>
    <w:p>
      <w:pPr>
        <w:spacing w:after="0" w:line="162"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Our primary competitors have historically included EmbanetCompass (formerly owned by Pearson), Wiley Education Services, and 2U. There are also several new and existing vendors providing some or all of the services we provide to other segments of the education market, and these vendors may pursue the institutions we target. In addition, colleges and universities may choose to continue using or to develop their own solutions in-house, rather than pay for our solutions.</w:t>
      </w:r>
    </w:p>
    <w:p>
      <w:pPr>
        <w:spacing w:after="0" w:line="18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Increased competition may result in changes in the revenue share percentage we are able to negotiate to receive from a university partner. The competitive landscape may also result in longer and more complex sales cycles with a prospective university partner, which would negatively affect our ability to add additional university partners and thus our ability to grow our business.</w:t>
      </w:r>
    </w:p>
    <w:p>
      <w:pPr>
        <w:spacing w:after="0" w:line="180"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A number of competitive factors could cause us to lose potential university partner opportunities or force us to offer our solutions on less favorable economic terms, including:</w:t>
      </w:r>
    </w:p>
    <w:p>
      <w:pPr>
        <w:spacing w:after="0" w:line="162" w:lineRule="exact"/>
        <w:rPr>
          <w:sz w:val="20"/>
          <w:szCs w:val="20"/>
          <w:color w:val="auto"/>
        </w:rPr>
      </w:pPr>
    </w:p>
    <w:p>
      <w:pPr>
        <w:ind w:left="1040" w:right="239" w:hanging="315"/>
        <w:spacing w:after="0" w:line="261"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service offerings that our potential university partners find to be more compelling than ours;</w:t>
      </w:r>
    </w:p>
    <w:p>
      <w:pPr>
        <w:ind w:left="1040" w:right="239" w:hanging="315"/>
        <w:spacing w:after="0" w:line="250"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adopt more aggressive pricing policies and offer more attractive sales terms, adapt more quickly to new technologies and changes in university partner and student requirements, and devote greater resources to the acquisition of qualified students than we can; and</w:t>
      </w:r>
    </w:p>
    <w:p>
      <w:pPr>
        <w:spacing w:after="0" w:line="1" w:lineRule="exact"/>
        <w:rPr>
          <w:rFonts w:ascii="Times New Roman" w:cs="Times New Roman" w:eastAsia="Times New Roman" w:hAnsi="Times New Roman"/>
          <w:sz w:val="18"/>
          <w:szCs w:val="18"/>
          <w:color w:val="auto"/>
        </w:rPr>
      </w:pPr>
    </w:p>
    <w:p>
      <w:pPr>
        <w:ind w:left="1040" w:right="379" w:hanging="315"/>
        <w:spacing w:after="0" w:line="253"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competitors may establish cooperative relationships among themselves or with third parties to enhance their products and expand their markets, and our industry is likely to see an increasing number of new entrants and increased consolidation. Accordingly, new competitors or alliances among competitors may emerge and rapidly acquire significant market share.</w:t>
      </w:r>
    </w:p>
    <w:p>
      <w:pPr>
        <w:spacing w:after="0" w:line="18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compete successfully against current and future competitors. In addition, competition may intensify as our competitors raise additional capital and as established companies in other market segments or geographic markets expand into our market segments or geographic markets. If we cannot compete successfully against our competitors, our ability to grow our business could be impaired.</w:t>
      </w:r>
    </w:p>
    <w:p>
      <w:pPr>
        <w:spacing w:after="0" w:line="176" w:lineRule="exact"/>
        <w:rPr>
          <w:sz w:val="20"/>
          <w:szCs w:val="20"/>
          <w:color w:val="auto"/>
        </w:rPr>
      </w:pPr>
    </w:p>
    <w:p>
      <w:pPr>
        <w:jc w:val="both"/>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75"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Possession and use of personal information in our operations subjects us to risks and costs that could harm our business. We collect, use, and retain large amounts of personal information regarding our primary university partner’s applicants and students,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in connection with periodic hardware or software upgrades.</w:t>
      </w:r>
    </w:p>
    <w:p>
      <w:pPr>
        <w:spacing w:after="0" w:line="16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data and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Similarly, California passed the California Consumer Privacy Act (CCPA) in 2018 (which went into effect in 2020), and there are similar bills that have been passed or are pending in a number of other states, as well. These state laws represent a trend toward stronger privacy protections and greater data transparency in the U.S. Currently, federal law legislates privacy on an industry-by-industry basis. Without an overarching federal law driving privacy compliance, the risk is high of a patchwork of privacy legislation formed by individual state laws, similar to the states’ approach to breach notification obligations. This could not only increase costs for compliance but also raise the risk of enforcement by individual state Attorneys General. A violation of any laws or regulations relating to the collection or use of personal information, including the Gramm-Leach-Bliley Act’s Safeguards Rule, could result in the imposition of fines against us. Moreover, ED has published extensive requirements for the protection of student data and has indicated such requirements may be strengthened in the future.</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university personnel or students, or our employees or independent contractors could use our online learning platform to store or process regulated personal information without our knowledge. In the event that our systems experience a data security incident, or an individual or entity accesses information without, or in excess of, proper authorization, we could be subject to data security incident notification laws, which may require prompt remediation and notification to individuals. If we are unaware of the data and information stored on our systems, we may be unable to appropriately comply with all legal obligations, and we may be exposed to governmental enforcement or prosecution actions, private litigation, fines and penalties or adverse publicity that could harm our reputation and business. As a result, we may be required to expend significant resources to protect against the threat of these security breaches or to alleviate problems caused by these breaches. A major breach, theft, or loss of personal information regarding our university partner’s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86"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The Family Educational Rights and Privacy Act, or FERPA, and failure to do so could harm our reputation and negatively affect our business.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FERPA generally prohibits an institution of higher education participating in Title IV programs from disclosing personally identifiable information from a student’s education records without the student’s consent. Our university partners and their students disclose to us certain information that originates from or comprises a student education record under FERPA. As an entity that provides services to institutions participating in Title IV programs, we are indirectly subject to FERPA, and we may not transfer or otherwise disclose any personally identifiable information from a student record to another party other than in a manner permitted under the statute. If we violate FERPA, it could result in a material breach of contract with one or more of our university partners and could harm our reputation. Further, in the event that we disclose student information in violation of FERPA, ED could require a university partner to suspend our access to their student information for at least five years, which would significantly and adversely impact our ability to provide our contracted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performance and reliability of the infrastructure of our computer networks and phone systems, including the online programs of our university partners, is critical to our operations, reputation and to our ability to attract and retain students on our university partners’ behalf. Any computer system disruption or failure, or a sudden and significant increase in traffic on the servers that host our online operations, may result in the online courses and programs being unavailable for a period of time. In addition, any significant failure of our computer networks or servers, whether as a result of third-party actions or in connection with planned upgrades and conversions, could disrupt our operations. Individual, sustained, or repeated occurrences could significantly damage the reputation of our technology/services and result in a loss of potential or existing students of our university partner institutions. Additionally, our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operations could have a material adverse effect on our ability to attract students to our university partner’s programs and to retain those students.</w:t>
      </w:r>
    </w:p>
    <w:p>
      <w:pPr>
        <w:spacing w:after="0" w:line="192" w:lineRule="exact"/>
        <w:rPr>
          <w:sz w:val="20"/>
          <w:szCs w:val="20"/>
          <w:color w:val="auto"/>
        </w:rPr>
      </w:pPr>
    </w:p>
    <w:p>
      <w:pPr>
        <w:ind w:left="60" w:right="9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integrating future acquisitions, which would reduce the anticipated benefits of those transactions.</w:t>
      </w:r>
    </w:p>
    <w:p>
      <w:pPr>
        <w:spacing w:after="0" w:line="159"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We intend to continually evaluate potential acquisitions of complementary businesses, products, services and technologies, including those that are significant in size and scope. The risks we may encounter in acquisitions include:</w:t>
      </w:r>
    </w:p>
    <w:p>
      <w:pPr>
        <w:spacing w:after="0" w:line="140" w:lineRule="exact"/>
        <w:rPr>
          <w:sz w:val="20"/>
          <w:szCs w:val="20"/>
          <w:color w:val="auto"/>
        </w:rPr>
      </w:pPr>
    </w:p>
    <w:p>
      <w:pPr>
        <w:ind w:left="1040" w:right="139" w:hanging="315"/>
        <w:spacing w:after="0" w:line="261"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significant debt to finance a future acquisition and our business does not perform as expected, we may have difficulty complying with debt covenants;</w:t>
      </w: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make a future acquisition which is in our best interest due to our existing indebtedness;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our stock to make a future acquisition, it will dilute existing stockholders;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the operations and personnel of any acquired company;</w:t>
      </w:r>
    </w:p>
    <w:p>
      <w:pPr>
        <w:spacing w:after="0" w:line="9" w:lineRule="exact"/>
        <w:rPr>
          <w:rFonts w:ascii="Times New Roman" w:cs="Times New Roman" w:eastAsia="Times New Roman" w:hAnsi="Times New Roman"/>
          <w:sz w:val="18"/>
          <w:szCs w:val="18"/>
          <w:color w:val="auto"/>
        </w:rPr>
      </w:pPr>
    </w:p>
    <w:p>
      <w:pPr>
        <w:ind w:left="1040" w:right="319" w:hanging="315"/>
        <w:spacing w:after="0" w:line="250"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and additional investment involved with integrating new products, services and technologies into our sales and marketing process;</w:t>
      </w: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may be disrupted by transition and integration issues;</w:t>
      </w:r>
    </w:p>
    <w:p>
      <w:pPr>
        <w:spacing w:after="0" w:line="9" w:lineRule="exact"/>
        <w:rPr>
          <w:rFonts w:ascii="Times New Roman" w:cs="Times New Roman" w:eastAsia="Times New Roman" w:hAnsi="Times New Roman"/>
          <w:sz w:val="18"/>
          <w:szCs w:val="18"/>
          <w:color w:val="auto"/>
        </w:rPr>
      </w:pPr>
    </w:p>
    <w:p>
      <w:pPr>
        <w:ind w:left="1040" w:right="319" w:hanging="315"/>
        <w:spacing w:after="0" w:line="250"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complexity of integrating the internal information technology infrastructure of each acquired business with ours may be greater than expected and may require additional capital investments;</w:t>
      </w: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the financial and strategic goals for any acquired businesses;</w:t>
      </w:r>
    </w:p>
    <w:p>
      <w:pPr>
        <w:spacing w:after="0" w:line="9" w:lineRule="exact"/>
        <w:rPr>
          <w:rFonts w:ascii="Times New Roman" w:cs="Times New Roman" w:eastAsia="Times New Roman" w:hAnsi="Times New Roman"/>
          <w:sz w:val="18"/>
          <w:szCs w:val="18"/>
          <w:color w:val="auto"/>
        </w:rPr>
      </w:pPr>
    </w:p>
    <w:p>
      <w:pPr>
        <w:ind w:left="1040" w:right="179" w:hanging="315"/>
        <w:spacing w:after="0" w:line="250"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 maintaining controls, procedures and policies during the transition and integration period following a future acquisition;</w:t>
      </w: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existing clients could be adversely affected;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successor we may be subject to certain liabilities of our acquisition targets.</w:t>
      </w:r>
    </w:p>
    <w:p>
      <w:pPr>
        <w:spacing w:after="0" w:line="20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Our failure to effectively integrate any future acquisition would adversely affect the benefit of such transaction, including potential synergies or sales growth opportunities, in the time frame anticipated.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are held at three financial institutions.</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Approximately 80% of our cash and cash equivalents are held at a single financial institution and are in excess of amounts insured by the Federal Deposit Insurance Corporation (“FDIC”). This financial institution is among the largest in the United States, and we therefore believe that such funds are stable and at very low risk. The remaining approximately 20% of our cash and cash equivalents are held at two regional banks. We believe that both of these regional banks have strong balance sheets with high liquidity and low debt, and that their percentage of total uninsured deposits are similar or better than the nation’s largest banks. We believe that we have mitigated as much risk as possible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by dispersing the operating funds between three banks. However, we may be subject to losses in excess of the FDIC insured limit in the event of a failure of any of these financial institutions and the subsequent lack of intervention by the federal government.</w:t>
      </w:r>
    </w:p>
    <w:p>
      <w:pPr>
        <w:spacing w:after="0" w:line="1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2023, we moved the majority of our operational banking services to one of the aforementioned regional banks; therefore, a larger portion of our cash and cash equivalents may be transferred to the same regional bank’s institutional sweep and depository accounts in the future. We will continually review all three institutions’ financial conditions to ensure that our assets are as safeguarded as possible.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Extensive Regulation of the Higher Education Industry</w:t>
      </w:r>
    </w:p>
    <w:p>
      <w:pPr>
        <w:spacing w:after="0" w:line="225"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175"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To participate in the Title IV programs, a school must be authorized by the appropriate state post-secondary agency or agencies, be accredited by an accrediting commission recognized by ED, and be certified as an eligible institution by ED. In addition, the operations and programs of our university partners, and any future university partners, are regulated by other state education agencies and additional accrediting commissions. As a result of these requirements, we are subject to extensive regulation from state entities, institutional accrediting commissions, specialized accrediting commissions, and ED. These regulatory requirements cover many of our operations, as well as the operations of our university partners. These include regulations related to educational programs, instructional and administrative staff, administrative procedures, marketing, recruiting, financial operations, and financial condition of any university partner. These regulatory requirements also affect our ability to assist university partner institutions with adding new educational programs and changing existing educational programs. The agencies that regulate higher education periodically revise their requirements and modify their interpretations of existing requirements. Regulatory requirements are not always precise and clear, and regulatory agencies may sometimes disagree with the way we have (or any university partner has) interpreted or applied these requirements. Any misinterpretation of regulatory requirements could materially adversely affect us. If we fail, or any university partner institution fails, to comply with any of these regulatory requirements, we or any university partner could suffer financial penalties, limitations on our operations, or other sanctions, each of which could materially adversely affect us. In addition, if we or any university partner are charged with regulatory violations, our reputation could be damaged, which could have a negative impact on our stock price and enrollments at university partner institutions. ED and other regulators have increased the frequency and severity of their enforcement actions against post-secondary schools, including our primary university partners. In some cases, these enforcement actions have resulted in material sanctions, loss of Title IV eligibility, or closure in schools. We cannot predict with certainty how all of these regulatory requirements will be applied, or whether we will be able to comply with all of the applicable requirements in the future.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Rulemaking by ED could materially and adversely affect our business.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Over the past few years, ED has regularly promulgated new regulations and guidance that impact our university partners and our business directly. These and other regulations and guidance documents, including those discussed above under “Business – Regulation,” can increase our operating costs and, in some cases,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third-party service providers, could further negatively impact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published regulations could materially and adversely affect our business.</w:t>
      </w:r>
    </w:p>
    <w:p>
      <w:pPr>
        <w:spacing w:after="0" w:line="229" w:lineRule="exact"/>
        <w:rPr>
          <w:sz w:val="20"/>
          <w:szCs w:val="20"/>
          <w:color w:val="auto"/>
        </w:rPr>
      </w:pPr>
    </w:p>
    <w:p>
      <w:pPr>
        <w:ind w:left="60" w:right="179" w:firstLine="648"/>
        <w:spacing w:after="0" w:line="289" w:lineRule="auto"/>
        <w:rPr>
          <w:sz w:val="20"/>
          <w:szCs w:val="20"/>
          <w:color w:val="auto"/>
        </w:rPr>
      </w:pPr>
      <w:r>
        <w:rPr>
          <w:rFonts w:ascii="Times New Roman" w:cs="Times New Roman" w:eastAsia="Times New Roman" w:hAnsi="Times New Roman"/>
          <w:sz w:val="17"/>
          <w:szCs w:val="17"/>
          <w:color w:val="auto"/>
        </w:rPr>
        <w:t>In addition to other regulations discussed elsewhere (such as the new Gainful Employment regulations), on October 31, 2023, ED published final regulations regarding financial responsibility, administrative capability, certification standards and procedures, and ability to benefit. The regulations have a general effective date of July 1, 2024.</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Financial Responsibility</w:t>
      </w:r>
      <w:r>
        <w:rPr>
          <w:rFonts w:ascii="Times New Roman" w:cs="Times New Roman" w:eastAsia="Times New Roman" w:hAnsi="Times New Roman"/>
          <w:sz w:val="18"/>
          <w:szCs w:val="18"/>
          <w:color w:val="auto"/>
        </w:rPr>
        <w:t>: The final regulations include an expanded list of mandatory and discretionary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triggering events that could result in ED determining that an institution lacks financial responsibility and must submit to ED a letter of credit or other form of acceptable financial protection and accept other conditions on the institution’s Title IV Program eligibility.</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final regulations would, among other things, modify and substantially expand the number of triggers and, as a result, increase the likelihood that ED could impose a financial protection requirement and other conditions on our university partners. The final rules require the institution to notify ED of a triggering event and provide information demonstrating why the event does not warrant the submission of a letter of credit or imposition of other requirements. The final rules state that, if ED requires financial protection as a result of more than one mandatory or discretionary trigger, ED will require separate financial protection for each individual trigger, which could substantially increase the amount of financial protection we and other institutions could be required to provide to ED.</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Examples of mandatory triggering events under the final rules include a lawsuit by a federal or state authority or a qui tam lawsuit in which the Federal government has intervened, where the suit has been pending for 120 days as measured under the regulation; an action where ED seeks to recover the cost of adjudicated claims in favor of borrowers under the Borrower Defense to Repayment regulations and the claims would lower the institution’s composite score below 1.0; certain judgments, awards, or settlements in certain lawsuits, mediations, or administrative or arbitration proceedings; certain withdrawals of owner’s equity including by dividend; gainful employment issues; accreditor requirements to submit a teach-out plan for reasons related to financial concerns; certain actions taken against a publicly-traded company or failure to timely file certain annual or quarterly reports; 90/10 Rule issues; cohort default rate issues; contributions and distributions occurring near the fiscal year end that materially impact the composite score; certain defaults or other adverse events under a financing arrangement; or certain financial exigencies or receiverships.</w:t>
      </w:r>
    </w:p>
    <w:p>
      <w:pPr>
        <w:spacing w:after="0" w:line="19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Examples of discretionary triggering events under the final regulations include certain accrediting agency actions, certain accreditor events, fluctuations in Title IV volume, high annual dropout rates, indicators of significant change in the financial condition of the institution, the formation by ED of a group process to consider borrower defense claims against the institution, the institution’s discontinuation of education programs affecting at least 25 percent of enrolled students receiving Title IV funds, the institution’s closure of locations that enroll more than 25 percent of its students who receive Title IV funds, certain state licensing agency actions, the loss of institutional or program eligibility in another federal educational assistance program, a requirement to disclose in a public filing that the company is under investigation for possible violations of law, or if the institution is cited and faces loss of education assistance funds from another federal agency if it does not comply with agency requirements. The final regulations also establish new rules for evaluating financial responsibility during a change in ownership.</w:t>
      </w:r>
    </w:p>
    <w:p>
      <w:pPr>
        <w:spacing w:after="0" w:line="19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Administrative Capability</w:t>
      </w:r>
      <w:r>
        <w:rPr>
          <w:rFonts w:ascii="Times New Roman" w:cs="Times New Roman" w:eastAsia="Times New Roman" w:hAnsi="Times New Roman"/>
          <w:sz w:val="18"/>
          <w:szCs w:val="18"/>
          <w:color w:val="auto"/>
        </w:rPr>
        <w:t>: ED assesses the administrative capability of each institution that participates in 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IV Programs under a series of separate standards. Failure to satisfy any of the standards may lead ED to find the institution ineligible to participate in Title IV Programs or to place the institution on provisional certification as a condition of its participation. The final rules add more standards related to topics such as the provision of adequate financial aid counseling and career services, ensuring the availability of clinical and externship opportunities, the disbursement of Title IV funds in a timely manner, compliance with high school diploma requirements, preventing substantial misrepresentations, complying with gainful employment requirements, and avoiding significant negative actions with a federal, state, or accrediting agency.</w:t>
      </w:r>
    </w:p>
    <w:p>
      <w:pPr>
        <w:spacing w:after="0" w:line="18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Certification Regulations</w:t>
      </w:r>
      <w:r>
        <w:rPr>
          <w:rFonts w:ascii="Times New Roman" w:cs="Times New Roman" w:eastAsia="Times New Roman" w:hAnsi="Times New Roman"/>
          <w:sz w:val="18"/>
          <w:szCs w:val="18"/>
          <w:color w:val="auto"/>
        </w:rPr>
        <w:t>: The final regulations expand the grounds for placing institutions on provisional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certification, expand the types of conditions ED may impose on provisionally certified institutions, and expand the number of requirements contained in the institution’s program participation agreement with ED (including, among other requirements, an obligation to comply with all state laws related to closure). The final regulations, allow ED to place institutions on provisional certification if, among other reasons, the institution does not meet financial responsibility factors or administrative capability standards, if the institution is required by ED to submit a letter of credit as a result of a mandatory or discretionary triggering event, or if ED deems the institution to be at risk of closure.</w:t>
      </w:r>
    </w:p>
    <w:p>
      <w:pPr>
        <w:spacing w:after="0" w:line="187"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An institution that is provisionally certified receives fewer due process rights than those received by other institutions in the event ED takes certain adverse actions against the institution, is required to obtain prior ED approvals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of new campuses and educational programs and may be subject to heightened scrutiny by ED. Provisional certification makes it easier for ED to revoke or decline to renew our university partners’ Title IV eligibility if ED under the current administration chooses to take such an action against us and other provisionally certified for-profit schools without undergoing a formal administrative appeal process. The regulations also expand the conditions to which institutions must agree as part of their participation in the Title IV programs.</w:t>
      </w:r>
    </w:p>
    <w:p>
      <w:pPr>
        <w:spacing w:after="0" w:line="183"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 final regulations also allow ED to determine whether to certify or impose conditions on an institution based on consideration of factors including, for example, the institution’s withdrawal rate, the amounts the institution spent on recruiting activities, advertising, and other pre-enrollment activities, and the passage rate for licensure exams for programs that are designed to meet the educational requirements for a professional license required for employment in an occupation.</w:t>
      </w:r>
    </w:p>
    <w:p>
      <w:pPr>
        <w:spacing w:after="0" w:line="16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final regulations expand the types of conditions ED can impose on provisionally certified institutions including, for example, restrictions on the addition of new programs or locations, restrictions on the rate of growth or new enrollment of students or of Title IV volume, restrictions on the institution providing a teach-out on behalf of another institution, restrictions on the acquisition of another participating institution (including financial protection requirements), additional reporting requirements, limitations on entering into certain written arrangements with institutions or entities for providing part of an educational program, requirements to submit marketing and recruiting materials to ED for approval (if the institution is alleged or found to have engaged in substantial misrepresentations to students, engaged in aggressive recruiting practices, or violated incentive compensation rules), reporting requirements for institutions that received a government formal inquiry such as a subpoena related to its marketing or recruitment or its federal financial aid, and other potential conditions imposed by ED.</w:t>
      </w:r>
    </w:p>
    <w:p>
      <w:pPr>
        <w:spacing w:after="0" w:line="194"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We are still reviewing the final regulations and cannot predict the ultimate impact of the final regulations on gainful employment and the other topics discussed above, but the final regulations impose a broad range of additional requirements on institutions, which increase the possibility that our university partners could be subject to additional reporting requirements, potential liabilities and sanctions, and potential loss of Title IV eligibility if our efforts, or the efforts of our university partners, to modify operations to comply with the new regulations are unsuccessful, which could have a significant impact on our business and results of operations.</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ED commenced negotiated rulemaking meetings in October 2023 aimed at developing new regulations related to providing student debt relief. The meetings concluded in December 2023 and are expected to lead to the publication of proposed regulations next year and, after a period of public notice and comment, final regulations. The rulemaking process is in its earliest stages. We cannot predict the timing, content, or potential impact of any final regulations that might emerge from this process.</w:t>
      </w:r>
    </w:p>
    <w:p>
      <w:pPr>
        <w:spacing w:after="0" w:line="179"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ED does not recertify a university partner institution to continue participating in the Title IV programs, the students we assist would lose their access to Title IV program funds, or a university partner institution could be recertified but be required to accept significant limitations as a condition of its continued participation in the Title IV programs.</w:t>
      </w:r>
    </w:p>
    <w:p>
      <w:pPr>
        <w:spacing w:after="0" w:line="175"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ED certification to participate in the Title IV programs lasts a maximum of six years, and institutions are thus required to seek recertification from ED on a regular basis in order to continue their participation in the Title IV programs. An institution must also apply for recertification by ED if it undergoes a change in control, as defined by ED regulations, and may be subject to similar review if it expands its operations or educational programs in certain ways.</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As an example, on November 6, 2019, ED informed GCU that it had approved the Transaction and granted to GCU a provisional PPA, permitting GCU to participate in Title IV, HEA programs on a provisional basis for the period through September 30, 2022. This PPA, which was granted on a provisional basis due to the fact that the Transaction constituted a change of control of GCU, was granted without any requirement to post a letter of credit or any growth restrictions. Accordingly, GCU is authorized to participate in Title IV, HEA programs for the stated period. As required, GCU filed a renewal application three months in advance of the scheduled expiration date and continued to participate on a month-to-month extension of the PPA while the Department completed its review of the application. As of June 30, 2023, the University continued to participate in Title IV programs under the terms of the PPA pursuant to the month-to-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month extension. The Department approved and the parties executed a new Provisional Program Participation Agreement on September 29, 2023, which expires June 30, 2026.</w:t>
      </w:r>
    </w:p>
    <w:p>
      <w:pPr>
        <w:spacing w:after="0" w:line="162" w:lineRule="exact"/>
        <w:rPr>
          <w:sz w:val="20"/>
          <w:szCs w:val="20"/>
          <w:color w:val="auto"/>
        </w:rPr>
      </w:pPr>
    </w:p>
    <w:p>
      <w:pPr>
        <w:ind w:left="60" w:right="179" w:firstLine="648"/>
        <w:spacing w:after="0" w:line="289" w:lineRule="auto"/>
        <w:rPr>
          <w:sz w:val="20"/>
          <w:szCs w:val="20"/>
          <w:color w:val="auto"/>
        </w:rPr>
      </w:pPr>
      <w:r>
        <w:rPr>
          <w:rFonts w:ascii="Times New Roman" w:cs="Times New Roman" w:eastAsia="Times New Roman" w:hAnsi="Times New Roman"/>
          <w:sz w:val="17"/>
          <w:szCs w:val="17"/>
          <w:color w:val="auto"/>
        </w:rPr>
        <w:t>For a school that is certified on a provisional basis, ED may revoke the institution’s certification without advance notice or advance opportunity for the institution to challenge that action. To our knowledge, such action is very rare and has only occurred upon a determination that an institution is in substantial violation of material Title IV requirements.</w:t>
      </w:r>
    </w:p>
    <w:p>
      <w:pPr>
        <w:spacing w:after="0" w:line="15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 that ED will recertify any university partner institution or that it will not impose conditions or other restrictions on any university partner institution as a condition of approving any future recertification. If ED does not renew or withdraws certification to participate in the Title IV programs from any university partners, students at that institution would no longer be able to receive Title IV program funds. Alternatively, ED could renew a university partner institution’s certification, but restrict or delay students’ receipt of Title IV funds, limit the number of students to whom it can disburse such funds, or place other restrictions on the institution, or it could delay recertification after any university partners’ program participation agreement expires, in which case our university partner’s certification would continue on a month-to-month basis. Any of these outcomes could have a material adverse effect on our university partners’ enrollments and us.</w:t>
      </w:r>
    </w:p>
    <w:p>
      <w:pPr>
        <w:spacing w:after="0" w:line="184"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university partner institution could lose the ability to participate in the Title IV programs if it fails to maintain its institutional accreditation, and our university partners’ student enrollments could decline if a client institution fails to maintain any of its accreditations or approvals.</w:t>
      </w:r>
    </w:p>
    <w:p>
      <w:pPr>
        <w:spacing w:after="0" w:line="175"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An institution must be accredited by an accrediting commission recognized by ED in order to participate in the Title IV programs. Our primary university partner, GCU, has been regionally accredited by the HLC and its predecessor since 1968, most recently obtaining reaccreditation in 2017 for the ten-year period through 2027, and the HLC approved the Transaction in February 2018. Some of our other university partners are accredited by HLC while the others are accredited by different accrediting bodies that are likely to have standards that are different from those of the HLC. Accrediting bodies review the accredited status of institutions periodically (for example, the HLC reviews institutions every ten years, along with a mid-term report in year four).</w:t>
      </w:r>
    </w:p>
    <w:p>
      <w:pPr>
        <w:spacing w:after="0" w:line="189" w:lineRule="exact"/>
        <w:rPr>
          <w:sz w:val="20"/>
          <w:szCs w:val="20"/>
          <w:color w:val="auto"/>
        </w:rPr>
      </w:pPr>
    </w:p>
    <w:p>
      <w:pPr>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If any client institution fails to satisfy the relevant accrediting standards, it could lose accreditation, which would cause a revocation of its eligibility to participate in the Title IV programs. This could cause a significant decline in student enrollments and could have a material adverse effect on us. In addition, many university partner institutions will have educational programs that are also accredited by specialized accrediting commissions or approved by specialized state agencies. If our university partner institutions fail to satisfy the standards of any of those specialized accrediting commissions or state agencies, the institution could lose the specialized accreditation or approval for the affected programs, which could result in materially reduced student enrollments in those programs and have a material adverse effect on us.</w:t>
      </w:r>
    </w:p>
    <w:p>
      <w:pPr>
        <w:spacing w:after="0" w:line="167"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university partner institution may lose eligibility to participate in the Title IV programs if its student loan default rates are too high.</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year. In addition, an institution may lose its eligibility to participate in some or all of the Title IV programs if the default rate of its students exceeds 40% for any single year. While GCU’s cohort default rates, for example, have historically been significantly below these levels, we cannot assure you that this will continue to be the case. Increases in interest rates or declines in income or job losses for students could contribute to higher default rates on student loans. In addition, while we will conduct appropriate diligence on new university partner institutions, we cannot guarantee that all university partner institutions will have a cohort default rate as low as GCU. Having a university partner exceed the student loan default rate thresholds and losing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default rates to increase, could materially adversely affect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university partner institutions do not meet specific financial responsibility standards established by ED, they may be required to post a letter of credit or accept other limitations in order to continue participating in the Title IV programs, or could lose eligibility to participate in the Title IV programs.</w:t>
      </w:r>
    </w:p>
    <w:p>
      <w:pPr>
        <w:spacing w:after="0" w:line="175"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To participate in the Title IV programs, an institution must either satisfy specific quantitative standards of financial responsibility prescribed by ED or post a letter of credit in favor of ED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As a service provider,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to comply with or accept other limitations on the ability to increase the number of programs offered by our client institutions or the number of students they enroll, any of which sanctions could have an adverse impact on our business. For example, GCU, calculated its composite score with respect to its fiscal years ending June 30, 2023 and 2022. As of June 30, 2023 and 2022, GCU’s composite score per GCU’s audited financial statements was 1.8 and 1.8, respectively, using the proprietary school calculation. If GCU’s future composite scores do not exceed 1.5, ED could impose sanctions. If any such sanctions were imposed on GCU or one of our other partners, it could have a negative impact on our ability to conduct our business. In addition, if its composite score dropped low enough, it could cause GCU to be ineligible for participation in NC-SARA, which would require GCU to become authorized in numerous states in which it operates or has students.</w:t>
      </w:r>
    </w:p>
    <w:p>
      <w:pPr>
        <w:spacing w:after="0" w:line="20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addition, there are a number of other financial responsibility standards that institutions must comply with, some of which were revised on October 31, 2023 and are discussed above. The failure to comply with these standards could also result in the imposition of various sanctions, such as the imposition of letters of credit on GCU or one of our other partners. If any such sanctions were imposed on GCU or one of our other partners, it could have a negative impact on our ability to conduct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If our university partner institutions do not comply with ED’s administrative capability standards, we could suffer harm.</w:t>
      </w:r>
    </w:p>
    <w:p>
      <w:pPr>
        <w:spacing w:after="0" w:line="241"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To continue participating in the Title IV programs, an institution must demonstrate to ED that the institution is capable of adequately administering the Title IV programs under specific standards prescribed by ED. These administrative capability criteria require, among other things, that the institution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As a service provider, we assist our university partners with some facets of these areas. As such, we must be mindful of, and compliant with, the administrative capability requirements. If our university partner institutions fail to satisfy any of these criteria, ED may assess financial penalties against such institutions, restrict the manner in which those institutions receive Title IV funds, require them to post a letter of credit, place them on provisional certification status, or limit or terminate participation in the Title IV programs, any of which could materially adversely affect us. These regulations were also recently revised, as discussed, and there may be additional restrictions or requirements that may create additional hurdles to compliance or otherwise materially adversely affect us. As a third-party servicer, if we are the cause of the administrative deficiency, we may also face monetary sanctions and actions to limit, suspend, or terminate our ability to offer those and other services to institutions of higher education.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finding by ED or other regulators that we or our university partner institutions misrepresented the nature of our partner institutions’ educational programs could materially and adversely affect our business.</w:t>
      </w:r>
    </w:p>
    <w:p>
      <w:pPr>
        <w:spacing w:after="0" w:line="15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HEA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Considering the breadth of the definition of “substantial misrepresentation,” it is possible that despite our efforts to prevent such misrepresentations, our employees or contractors may make statements on behalf of our university partner institutions that could be construed as substantial misrepresentations for which our current and any future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employees and subcontractors conversations with students and prospective students.</w:t>
      </w:r>
    </w:p>
    <w:p>
      <w:pPr>
        <w:spacing w:after="0" w:line="193"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 xml:space="preserve">Despite our best efforts, we or our university partners may face complaints from our university partners’ students and prospective students over statements made by us and our agents throughout the conduct of all our services which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For example, in October 2023, ED imposed a fine of $37 million on GCU (which GCU is appealing) related to alleged misrepresentation by GCU regarding the costs of certain doctorate programs. Similar rules apply under state laws or are incorporated in institutional accreditation standards. The FTC applies similar rules prohibiting any unfair or deceptive marketing practices to the education sector and recently filed a complaint against us and GCU related in part to these matters. See </w:t>
      </w:r>
      <w:r>
        <w:rPr>
          <w:rFonts w:ascii="Times New Roman" w:cs="Times New Roman" w:eastAsia="Times New Roman" w:hAnsi="Times New Roman"/>
          <w:sz w:val="18"/>
          <w:szCs w:val="18"/>
          <w:i w:val="1"/>
          <w:iCs w:val="1"/>
          <w:color w:val="auto"/>
        </w:rPr>
        <w:t>Part I, Item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Proceedings – FTC Complaint</w:t>
      </w:r>
      <w:r>
        <w:rPr>
          <w:rFonts w:ascii="Times New Roman" w:cs="Times New Roman" w:eastAsia="Times New Roman" w:hAnsi="Times New Roman"/>
          <w:sz w:val="18"/>
          <w:szCs w:val="18"/>
          <w:color w:val="auto"/>
        </w:rPr>
        <w:t>. If ED or another regulator determines that statements made by us or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university partner’s behalf are in violation of the regulations, we could be subject to sanctions, legal actions, and other liability, which could have a material adverse effect on our business.</w:t>
      </w:r>
    </w:p>
    <w:p>
      <w:pPr>
        <w:spacing w:after="0" w:line="192"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performing return to Title IV calculations for our university partner institutions, we are subject to sanctions if we fail to correctly calculate and timely return Title IV program funds for students who withdraw before completing their educational program.</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ED in a timely manner, generally within 45 days of the date the school determines that the student has withdrawn. To the extent our services for a university partner include conducting returns to Title IV, as they do with our primary university partner, GCU, we would likely be jointly and severally liable to ED, along with the relevant client, for return of those funds. Further, we could be fined or otherwise sanctioned by ED, which could increase our cost of regulatory compliance and materially adversely affect us. Further, a failure to comply with these regulatory requirements could result in termination of our ability to continue providing these services to other university partner institutions, which would materially affect us.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and thus our revenue and results of operations.</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U.S. Congress must periodically reauthorize the HEA and annually determine the funding level for each Title IV program. In 2008, the HEA was reauthorized through September 30, 2013 by the Higher Education Opportunity Act. Changes to the HEA, including changes in eligibility and funding for Title IV programs, are likely to occur in subsequent reauthorizations, but we cannot predict the scope or substance of any such changes.</w:t>
      </w:r>
    </w:p>
    <w:p>
      <w:pPr>
        <w:spacing w:after="0" w:line="180"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Any action by Congress that significantly reduces Title IV program funding, whether through across-the-board funding reductions, sequestration or otherwise, or materially impacts the eligibility of our client institutions or students to participate in Title IV programs would have a material adverse effect on our client institutions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83"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cannot offer new programs for our university partners or expand university partner operations into certain states if such actions are not timely approved by the applicable regulatory agencies, and our university partners may have to repay Title IV funds disbursed to students enrolled in any such programs, schools, or states if they do not obtain prior approval.</w:t>
      </w:r>
    </w:p>
    <w:p>
      <w:pPr>
        <w:spacing w:after="0" w:line="180" w:lineRule="exact"/>
        <w:rPr>
          <w:sz w:val="20"/>
          <w:szCs w:val="20"/>
          <w:color w:val="auto"/>
        </w:rPr>
      </w:pPr>
    </w:p>
    <w:p>
      <w:pPr>
        <w:jc w:val="both"/>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expansion efforts include developing new educational programs for our university partners. If our university partner institutions are unable to obtain the necessary approvals for such new programs or operations, or if our university partner institutions are unable to obtain such approvals in a timely manner, our ability to consummate the planned actions and the ability of our university partner institutions to provide Title IV funds to any affected students would be impaired, which could have a material adverse effect on our expansion plans.</w:t>
      </w:r>
    </w:p>
    <w:p>
      <w:pPr>
        <w:spacing w:after="0" w:line="179"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university partner institutions do not maintain state authorization, they may not operate or participate in the Title IV programs.</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 school that grants degrees or certificates must be authorized by the relevant education agency of the state in which it is located. State authorization is also required for their students to be eligible to receive funding under the Title IV programs. To maintain their state authorization, our university partner institutions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our client institutions fail to satisfy any of these standards, they could lose state authorization to offer educational programs, which would also cause them to lose eligibility to participate in the Title IV programs and have a material adverse effect on us.</w:t>
      </w:r>
    </w:p>
    <w:p>
      <w:pPr>
        <w:spacing w:after="0" w:line="19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other regulators.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19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State regulatory requirements for online education have historically varied among the states. To address this issue and to meet new ED requirements many schools have applied and have been approved to be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19"/>
        <w:spacing w:after="0" w:line="272" w:lineRule="auto"/>
        <w:rPr>
          <w:sz w:val="20"/>
          <w:szCs w:val="20"/>
          <w:color w:val="auto"/>
        </w:rPr>
      </w:pPr>
      <w:r>
        <w:rPr>
          <w:rFonts w:ascii="Times New Roman" w:cs="Times New Roman" w:eastAsia="Times New Roman" w:hAnsi="Times New Roman"/>
          <w:sz w:val="17"/>
          <w:szCs w:val="17"/>
          <w:color w:val="auto"/>
        </w:rPr>
        <w:t>offered by post-secondary institutions based in another state. SARA is overseen by a national council (NC-SARA) and administered by four regional education compacts. GCU, for example, is a member of SARA in Arizona (AZ-SARA), which is administered by the Western Interstate Commission for Higher Education (referred to as W-SARA). There is</w:t>
      </w:r>
    </w:p>
    <w:p>
      <w:pPr>
        <w:spacing w:after="0" w:line="2" w:lineRule="exact"/>
        <w:rPr>
          <w:sz w:val="20"/>
          <w:szCs w:val="20"/>
          <w:color w:val="auto"/>
        </w:rPr>
      </w:pPr>
    </w:p>
    <w:p>
      <w:pPr>
        <w:ind w:left="60" w:right="159"/>
        <w:spacing w:after="0" w:line="260" w:lineRule="auto"/>
        <w:rPr>
          <w:sz w:val="20"/>
          <w:szCs w:val="20"/>
          <w:color w:val="auto"/>
        </w:rPr>
      </w:pPr>
      <w:r>
        <w:rPr>
          <w:rFonts w:ascii="Times New Roman" w:cs="Times New Roman" w:eastAsia="Times New Roman" w:hAnsi="Times New Roman"/>
          <w:sz w:val="18"/>
          <w:szCs w:val="18"/>
          <w:color w:val="auto"/>
        </w:rPr>
        <w:t>a yearly renewal for participating in NC-SARA and AZ-SARA and institutions must agree to meet certain requirements to participate. All states other than California are members of SARA.</w:t>
      </w:r>
    </w:p>
    <w:p>
      <w:pPr>
        <w:spacing w:after="0" w:line="181"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Any state that does not participate in SARA may impose regulatory requirements on out-of-state post-secondary institutions operating within their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state, or fails to obtain licenses or authorizations when required, it could lose its state license or authorization by that state or be subject to other sanctions, including restrictions on its activities in, and fines and penalties imposed by, that state, as well as fines, penalties, and sanctions imposed by ED. The loss of licensure or authorization in any non-SARA state by a client institution could prohibit us from recruiting prospective students or offering services to current students in that state, which could significantly reduce our university partner’s enrollments.</w:t>
      </w:r>
    </w:p>
    <w:p>
      <w:pPr>
        <w:spacing w:after="0" w:line="194"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 As discussed, ED has started a new negotiated rulemaking addressing state authorization which implicates SARA. While no regulations have been published, any regulation could have a material adverse effect on our business.</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a university partner institution fails to comply with state licensing or authorization requirements for a state in which it operates, or fails to obtain licenses or authorizations when required, it could lose its state licensure or authorization by that state or be subject to other sanctions, including restrictions on its activities in, and fines and penalties imposed by, that state, as well as fines, penalties, and sanctions imposed by ED. The loss of licensure or authorization in a state other than a state in which a university partner institution is physically located could prohibit us from recruiting prospective students or assisting with offering educational services to current students in that state, which could significantly reduce enrollments.</w:t>
      </w:r>
    </w:p>
    <w:p>
      <w:pPr>
        <w:spacing w:after="0" w:line="188"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Furthermore, our university partners must typically maintain a composite score of at least 1.5 to maintain their membership in a State Authorization Reciprocity Agreement, or SARA. Failure to maintain that score, and loss of eligibility for SARA, could result in the loss of the ability to offer online programs in various states unless the university partner is otherwise eligible to do so. This could greatly affect our ability to market our university partners’ online programs.</w:t>
      </w:r>
    </w:p>
    <w:p>
      <w:pPr>
        <w:spacing w:after="0" w:line="179"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w:t>
      </w:r>
    </w:p>
    <w:p>
      <w:pPr>
        <w:spacing w:after="0" w:line="17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Because our university partner institutions operate in a highly regulated industry, they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Similarly, we could be subject to those same reviews. If the result of any such proceeding is unfavorable to our university partners, they may lose or have limitations imposed on their state licensing, accreditation, or Title IV program participation; be required to pay monetary damages (including triple damages in certain whistleblower suits); or be subject to fines, injunctions, or other penalties, any of which could have a material adverse effect on their business, prospects, financial condition, and results of operations. In addition, our largest university partner, GCU, has been subject to additional scrutiny. In October 2021, the FTC issued a public statement indicating that it would coordinate efforts with ED and the VA to investigate for-profit universities, a category that includes GCU due to ED’s 2019 decision that GCU does not satisfy ED’s definition of a non-profit entity and, as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7"/>
          <w:szCs w:val="17"/>
          <w:color w:val="auto"/>
        </w:rPr>
        <w:t xml:space="preserve">result, that ED will continue to treat GCU as a proprietary institution for purposes of its continued participation in Title IV programs. Since the FTC’s statement, ED, the VA and the FTC have initiated multiple actions against GCU, including audits, compliance reviews, civil investigative demands, fines and lawsuits, and the FTC has initiated civil investigative demands and a lawsuit against us, that allege, among other things, misrepresentations made in connection with marketing activities, including statements made related to GCU’s non-profit status. </w:t>
      </w:r>
      <w:r>
        <w:rPr>
          <w:rFonts w:ascii="Times New Roman" w:cs="Times New Roman" w:eastAsia="Times New Roman" w:hAnsi="Times New Roman"/>
          <w:sz w:val="17"/>
          <w:szCs w:val="17"/>
          <w:i w:val="1"/>
          <w:iCs w:val="1"/>
          <w:color w:val="auto"/>
        </w:rPr>
        <w:t>See “– Regulation of Our University Partners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Coordinated action by federal agencies.” </w:t>
      </w:r>
      <w:r>
        <w:rPr>
          <w:rFonts w:ascii="Times New Roman" w:cs="Times New Roman" w:eastAsia="Times New Roman" w:hAnsi="Times New Roman"/>
          <w:sz w:val="17"/>
          <w:szCs w:val="17"/>
          <w:color w:val="auto"/>
        </w:rPr>
        <w:t>These actions, taken as a whole, appear to be coordinated in the manner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described in the 2021 FTC statement. These actions, or any future actions by ED, FTC or any other federal or state government agencies or accrediting bodies with oversight over us or GCU, if ultimately resolved adversely to us or GCU, could result in monetary penalties and liabilities, further impact GCU’s non-profit status, and/or cause reputational harm. In addition, given the importance of the non-profit designation to GCU, it is also possible that GCU might request changes to our contract with them to resolve any disputes it has with government agencies over its non-profit status. At this time, we cannot predict what changes those could be or what effect any of those outcomes could have on our business. Claims and lawsuits, and other regulatory actions, brought or taken against us or our university partners, even if they are without merit, may also result in adverse publicity, negatively affect the market price of our stock, adversely affect student enrollments, and reduce the willingness of third parties to do business with us. Even if we or our university partners adequately address the issues raised by any such proceeding and successfully defend against it, we may have to devote significant financial and management resources to address these issues, which could harm our business. </w:t>
      </w:r>
      <w:r>
        <w:rPr>
          <w:rFonts w:ascii="Times New Roman" w:cs="Times New Roman" w:eastAsia="Times New Roman" w:hAnsi="Times New Roman"/>
          <w:sz w:val="17"/>
          <w:szCs w:val="17"/>
          <w:i w:val="1"/>
          <w:iCs w:val="1"/>
          <w:color w:val="auto"/>
        </w:rPr>
        <w:t>See Part 1, Item 3</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 Litigation </w:t>
      </w:r>
      <w:r>
        <w:rPr>
          <w:rFonts w:ascii="Times New Roman" w:cs="Times New Roman" w:eastAsia="Times New Roman" w:hAnsi="Times New Roman"/>
          <w:sz w:val="18"/>
          <w:szCs w:val="18"/>
          <w:color w:val="auto"/>
        </w:rPr>
        <w:t>for a discussion of certain litigation matters to which we are a party.</w:t>
      </w:r>
    </w:p>
    <w:p>
      <w:pPr>
        <w:spacing w:after="0" w:line="203" w:lineRule="exact"/>
        <w:rPr>
          <w:sz w:val="20"/>
          <w:szCs w:val="20"/>
          <w:color w:val="auto"/>
        </w:rPr>
      </w:pPr>
    </w:p>
    <w:p>
      <w:pPr>
        <w:ind w:left="6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136"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A “Third-party servicer” is any person or entity used by “any eligible institution of higher education to administer, through either manual or automated processing, any aspect of such institution’s student assistance programs.” Third party servicers must comply with a number of requirements. For example, they must conduct and submit to ED compliance audits under 34 C.F.R. § 668.23. In addition, they must comply with the requirements of 34 C.F.R. § 668.25, which requires third-party servicers, in their contracts with institutions, to be contractually obligated to, among other things:</w:t>
      </w:r>
    </w:p>
    <w:p>
      <w:pPr>
        <w:spacing w:after="0" w:line="168" w:lineRule="exact"/>
        <w:rPr>
          <w:sz w:val="20"/>
          <w:szCs w:val="20"/>
          <w:color w:val="auto"/>
        </w:rPr>
      </w:pPr>
    </w:p>
    <w:p>
      <w:pPr>
        <w:ind w:left="1040" w:right="359" w:hanging="315"/>
        <w:spacing w:after="0" w:line="257"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spacing w:after="0" w:line="1" w:lineRule="exact"/>
        <w:rPr>
          <w:rFonts w:ascii="Times New Roman" w:cs="Times New Roman" w:eastAsia="Times New Roman" w:hAnsi="Times New Roman"/>
          <w:sz w:val="18"/>
          <w:szCs w:val="18"/>
          <w:color w:val="auto"/>
        </w:rPr>
      </w:pPr>
    </w:p>
    <w:p>
      <w:pPr>
        <w:ind w:left="1040" w:right="119" w:hanging="315"/>
        <w:spacing w:after="0" w:line="250"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1" w:lineRule="exact"/>
        <w:rPr>
          <w:rFonts w:ascii="Times New Roman" w:cs="Times New Roman" w:eastAsia="Times New Roman" w:hAnsi="Times New Roman"/>
          <w:sz w:val="18"/>
          <w:szCs w:val="18"/>
          <w:color w:val="auto"/>
        </w:rPr>
      </w:pPr>
    </w:p>
    <w:p>
      <w:pPr>
        <w:jc w:val="both"/>
        <w:ind w:left="1040" w:right="279" w:hanging="315"/>
        <w:spacing w:after="0" w:line="253"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8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are also subject to a number of data security and privacy regulations given our role as a third-party servicer and these standards are evolving. To the extent we continue to provide third party servicer functions, we will be subject to these requirements, the compliance with which can materially impact our business model. Additionally, on January 4, 2023, ED announced their intention to issue new regulations in eight different areas of higher education regulations via negotiated rulemaking including those regulations related to third-party services. ED has not put forth any specific proposals at this time, although it has indicated an intent to publish sub-regulatory guidance on this topic some time in 2024. We will monitor this rulemaking as it develops.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5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process of re-authorization of the HEA began in 2014 and is ongoing. Congressional hearings began in 2013 and will continue to be scheduled by the U.S. Senate Committee on Health, Education, Labor and Pensions, the U.S. House of Representatives Committee on Education and the Workforce and other Congressional committees regarding various aspects of the education industry, including accreditation matters, student debt, student recruiting, cost of tuition, distance learning, competency-based learning, student success and outcomes and other matters.</w:t>
      </w:r>
    </w:p>
    <w:p>
      <w:pPr>
        <w:spacing w:after="0" w:line="183"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Criticisms of the overall student lending and post-secondary education sectors may impact general public perceptions of educational institutions, including our university partner institutions and us, in a negative manner. Adverse media coverage regarding educational institutions – whether or not a university partner – or regarding third party services such as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could reduce student demand for educational programs which would adversely impact our revenues and operating profit or result in increased regulatory scrutiny.</w:t>
      </w:r>
    </w:p>
    <w:p>
      <w:pPr>
        <w:spacing w:after="0" w:line="19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increased scrutiny and results-based accountability initiatives in the education sector, as well as ongoing policy differences in Congress regarding spending levels, could lead to significant changes in connection with the reauthorization of the HEA or otherwise. These changes may place additional regulatory burdens on postsecondary schools generally, and specific initiatives may be targeted at or have an impact upon companies like us that provide services to institutions of higher education. The adoption of any laws or regulations that limit our ability to provide our bundled services to our university partners could compromise our ability to drive revenue through their programs or make our platform less attractive to them. Congress could also enact laws or regulations that require us to modify our practices in ways that could increase our costs.</w:t>
      </w:r>
    </w:p>
    <w:p>
      <w:pPr>
        <w:spacing w:after="0" w:line="188"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requirements related to data privacy may create increased costs and operational difficulties for university partner institutions and, potentially, for GCE.</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On December 18, 2020, ED announced that it was finalizing a new Campus Cybersecurity Program framework. This proposed multi-year phased implementation would begin with a self-assessment of the National Institute of Standards and Technology Special Publication 800–171 Rev. 2, Controlled Unclassified Information in Nonfederal Systems (NIST 800–171 Rev. 2) readiness and outreach activities. ED specifically said it was “committed to fully advancing and encouraging all postsecondary institutions implementation of NIST 800-171 controls.” This announcement was addressed both to institutions of higher education and their third-party servicers. On February 9, 2023, ED issued Electronic Announcement GEN 23-09 stating, among other items “The Department will issue guidance on NIST 800-171 compliance in a future Electronic Announcement, but again encourages institutions to begin incorporating the information security controls required under NIST 800-171 into the written information security program required under GLBA as soon as possible.”</w:t>
      </w:r>
    </w:p>
    <w:p>
      <w:pPr>
        <w:spacing w:after="0" w:line="194"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While details related to this announcement are few, it does suggest that ED will be taking a greater role in ensuring universities and their service providers meet NIST standards and are protecting the students and ED data received. Although management is reviewing this letter and the issues it raises, compliance with NIST will likely increase operational cost if required to come into compliance.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General Risks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recruit and retain key personnel.</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success to date has largely depended on, and will continue to depend on, the skills, efforts, and motivation of our executive officers, who generally have significant experience with our business and the education industry, and we may have difficulties in locating and hiring qualified personnel and in retaining such personnel once hired. In addition, other than non-compete agreements of limited duration that we have with certain executive officers, we have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76"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5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HEA, as reauthorized, and the regulations thereunder, will be impaired, perhaps materially. Any such impairment could materially and adversely affect our financial condition, results of operations, and cash flows.</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and the rules and regulations of The Nasdaq Global Select Market. The Sarbanes-Oxley Act requires, among other things, that we maintain effective disclosure controls and procedures and internal control over financial reporting. We are required to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may require us to incur substantial additional professional fees and internal costs to further expand our accounting and finance functions and expend significant management efforts.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8"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Occurrence of natural or man-made catastrophes could materially and adversely affect our business, financial condition, results of operations and prospects.</w:t>
      </w:r>
    </w:p>
    <w:p>
      <w:pPr>
        <w:spacing w:after="0" w:line="159" w:lineRule="exact"/>
        <w:rPr>
          <w:sz w:val="20"/>
          <w:szCs w:val="20"/>
          <w:color w:val="auto"/>
        </w:rPr>
      </w:pPr>
    </w:p>
    <w:p>
      <w:pPr>
        <w:ind w:left="60" w:right="199" w:firstLine="441"/>
        <w:spacing w:after="0" w:line="254" w:lineRule="auto"/>
        <w:rPr>
          <w:sz w:val="20"/>
          <w:szCs w:val="20"/>
          <w:color w:val="auto"/>
        </w:rPr>
      </w:pPr>
      <w:r>
        <w:rPr>
          <w:rFonts w:ascii="Times New Roman" w:cs="Times New Roman" w:eastAsia="Times New Roman" w:hAnsi="Times New Roman"/>
          <w:sz w:val="18"/>
          <w:szCs w:val="18"/>
          <w:color w:val="212529"/>
        </w:rPr>
        <w:t>Natural events, health epidemics (such as the COVID-19 pandemic), acts of God, terrorist attacks and other acts of violence, computer cyber-terrorism or other catastrophes could result in significant worker absenteeism, increased student attrition rates for our university partners, lower asset utilization rates, voluntary or mandatory closure of facilities, our inability to meet dynamic employee health and safety requirements, our inability to meet contractual service levels, our inability to procure essential supplies, travel restrictions on our employees and other disruptions to our business. In addition, these events could adversely affect the economy, financial markets and activity levels of our university partners. Any of these events, their consequences or the costs related to mitigation or remediation could have a material adverse effect on our business, financial condition, results of operations and prospects.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ED, our regional accrediting commission, and state post-secondary, licensure, and certification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84"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15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activity within the trading market for our common stock depends in part on the research and reports that industry or financial analysts publish about us, our business and the education services sector in which we operate. If analysts cease coverage of us or our sector, we could lose visibility in the market for our stock, which in turn could cause our stock price to decline. In addition, if one or more of the analysts covering us were to downgrade their estimates or evaluations of our stock, the price of our stock could decline.</w:t>
      </w:r>
    </w:p>
    <w:p>
      <w:pPr>
        <w:spacing w:after="0" w:line="179" w:lineRule="exact"/>
        <w:rPr>
          <w:sz w:val="20"/>
          <w:szCs w:val="20"/>
          <w:color w:val="auto"/>
        </w:rPr>
      </w:pPr>
    </w:p>
    <w:p>
      <w:pPr>
        <w:ind w:left="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36"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or to repurchase shares of our common stock. In addition, the terms of our prior credit facility limited, and the terms of any future debt agreements are likely to similarly limit, our ability to pay dividends. As a result, capital appreciation, if any, of our common stock will be your sole source of gain for the foreseeable future. Investors seeking cash dividends should not purchase our common stock.</w:t>
      </w:r>
    </w:p>
    <w:p>
      <w:pPr>
        <w:spacing w:after="0" w:line="183"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Like all companies that utilize technology, we are subject to threats of breaches of our technology systems. To mitigate the threat to our business, we take a comprehensive approach to cybersecurity risk management. Our Board and our management actively oversee our risk management program, including the management of cybersecurity risks. We have established policies, standards, processes and practices for assessing, identifying, and managing material risks from cybersecurity threats, including those discussed in our Risk Factors. We have devoted significant financial and personnel resources to implement and maintain security measures to meet regulatory requirements and stakeholder expectations, and we intend to continue to make significant investments to maintain the security of our data and cybersecurity infrastructure. While there can be no guarantee that our policies and procedures will be properly followed in every instance or that those policies and procedures will be effective, we believe that the Company’s sustained investment in people and technologies have contributed to a culture of continuous improvement that has put the Company in a position to protect against potential compromises and we do not believe that risks from prior cybersecurity threats, including as a result of any previous cybersecurity incident, have materially affected our business to date. We can provide no assurance that there will not be incidents in the future or that past or future attacks will not materially affect us, including our business strategy, results of operations, or financial condition.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and Strategy</w:t>
      </w:r>
    </w:p>
    <w:p>
      <w:pPr>
        <w:spacing w:after="0" w:line="229" w:lineRule="exact"/>
        <w:rPr>
          <w:sz w:val="20"/>
          <w:szCs w:val="20"/>
          <w:color w:val="auto"/>
        </w:rPr>
      </w:pPr>
    </w:p>
    <w:p>
      <w:pPr>
        <w:ind w:left="60" w:right="439" w:firstLine="648"/>
        <w:spacing w:after="0" w:line="312" w:lineRule="auto"/>
        <w:rPr>
          <w:sz w:val="20"/>
          <w:szCs w:val="20"/>
          <w:color w:val="auto"/>
        </w:rPr>
      </w:pPr>
      <w:r>
        <w:rPr>
          <w:rFonts w:ascii="Times New Roman" w:cs="Times New Roman" w:eastAsia="Times New Roman" w:hAnsi="Times New Roman"/>
          <w:sz w:val="17"/>
          <w:szCs w:val="17"/>
          <w:color w:val="auto"/>
        </w:rPr>
        <w:t>At a high level, the key objectives for the Company’s cybersecurity program are to implement and sustain effective security controls to stop intrusion attempts and to maintain and continuously improve its ability to respond to</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attacks and incidents. Success in achieving these objectives relies upon using quality technology solutions, cultivating and maintaining a team of skilled professionals, and improving processes continuously. Our cybersecurity program in particular focuses on the following key areas:</w:t>
      </w:r>
    </w:p>
    <w:p>
      <w:pPr>
        <w:spacing w:after="0" w:line="174"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Risk Assessment</w:t>
      </w:r>
      <w:r>
        <w:rPr>
          <w:rFonts w:ascii="Times New Roman" w:cs="Times New Roman" w:eastAsia="Times New Roman" w:hAnsi="Times New Roman"/>
          <w:sz w:val="18"/>
          <w:szCs w:val="18"/>
          <w:color w:val="auto"/>
        </w:rPr>
        <w:t>: At least annually, we conduct a cybersecurity risk assessment that takes into account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internal stakeholders, known information security vulnerabilities, and information from external sources, including reported security incidents that have impacted other companies, industry trends, and evaluations by third parties and consultants. The results of the assessment are used to develop initiatives to enhance our security controls, make recommendations to improve processes, and inform a broader Company-wide risk assessment that are then reported to our Board, Audit Committee and members of management.</w:t>
      </w:r>
    </w:p>
    <w:p>
      <w:pPr>
        <w:spacing w:after="0" w:line="182" w:lineRule="exact"/>
        <w:rPr>
          <w:sz w:val="20"/>
          <w:szCs w:val="20"/>
          <w:color w:val="auto"/>
        </w:rPr>
      </w:pPr>
    </w:p>
    <w:p>
      <w:pPr>
        <w:ind w:left="60" w:right="3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Technical Safeguards</w:t>
      </w:r>
      <w:r>
        <w:rPr>
          <w:rFonts w:ascii="Times New Roman" w:cs="Times New Roman" w:eastAsia="Times New Roman" w:hAnsi="Times New Roman"/>
          <w:sz w:val="18"/>
          <w:szCs w:val="18"/>
          <w:color w:val="auto"/>
        </w:rPr>
        <w:t>: We regularly assess and deploy technical safeguards designed to protect our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from cybersecurity threats. Such safeguards are regularly evaluated and improved based on vulnerability assessments, cybersecurity threat intelligence and incident response experience.</w:t>
      </w:r>
    </w:p>
    <w:p>
      <w:pPr>
        <w:spacing w:after="0" w:line="173" w:lineRule="exact"/>
        <w:rPr>
          <w:sz w:val="20"/>
          <w:szCs w:val="20"/>
          <w:color w:val="auto"/>
        </w:rPr>
      </w:pPr>
    </w:p>
    <w:p>
      <w:pPr>
        <w:jc w:val="both"/>
        <w:ind w:left="60" w:right="2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Incident Response and Recovery Planning</w:t>
      </w:r>
      <w:r>
        <w:rPr>
          <w:rFonts w:ascii="Times New Roman" w:cs="Times New Roman" w:eastAsia="Times New Roman" w:hAnsi="Times New Roman"/>
          <w:sz w:val="18"/>
          <w:szCs w:val="18"/>
          <w:color w:val="auto"/>
        </w:rPr>
        <w:t>: We have established comprehensive incident response and recovery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that guide our response in the event of a cybersecurity incident. We continuously test and evaluate the effectiveness of those plans.</w:t>
      </w:r>
    </w:p>
    <w:p>
      <w:pPr>
        <w:spacing w:after="0" w:line="17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Vendor Risk Management</w:t>
      </w:r>
      <w:r>
        <w:rPr>
          <w:rFonts w:ascii="Times New Roman" w:cs="Times New Roman" w:eastAsia="Times New Roman" w:hAnsi="Times New Roman"/>
          <w:sz w:val="18"/>
          <w:szCs w:val="18"/>
          <w:color w:val="auto"/>
        </w:rPr>
        <w:t>: We have implemented a robust vendor risk management program, which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and mitigate cybersecurity threats associated with our use of third-party service providers. Such providers are subject to security risk assessments at the time of onboarding, contract renewal, and upon detection of an increase in risk profile. We use a variety of inputs in such risk assessments, including information supplied by providers in response to detailed questionnaires and meetings as well as information from third parties. In addition, we require our providers to meet appropriate security requirements, controls and responsibilities and investigate security incidents that have impacted our third-party providers, as appropriate. Contract language, purchasing decisions, and/or technology implementation strategies are frequently adjusted as a result of this process.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Education and Awareness</w:t>
      </w:r>
      <w:r>
        <w:rPr>
          <w:rFonts w:ascii="Times New Roman" w:cs="Times New Roman" w:eastAsia="Times New Roman" w:hAnsi="Times New Roman"/>
          <w:sz w:val="18"/>
          <w:szCs w:val="18"/>
          <w:color w:val="auto"/>
        </w:rPr>
        <w:t>: Our policies require each of our employees to contribute to our data security efforts.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regularly remind employees of the importance of handling and protecting data, including through annual privacy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security training to enhance employee awareness of how to detect and respond to cybersecurity threats. In this regard,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implemented policies and procedures for all employees including: (i) information security/cybersecurity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policies, which are internally available for all employees, (ii) information security/cybersecurity awareness training; (iii)</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clear escalation process which employees can follow in the event an employee notices something suspicious; and (iv)</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ensuring that information security/cybersecurity is part of the employee performance evaluation and/or disciplinary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process.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Governance Disclosure</w:t>
      </w:r>
    </w:p>
    <w:p>
      <w:pPr>
        <w:spacing w:after="0" w:line="227"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Board Oversight</w:t>
      </w:r>
      <w:r>
        <w:rPr>
          <w:rFonts w:ascii="Times New Roman" w:cs="Times New Roman" w:eastAsia="Times New Roman" w:hAnsi="Times New Roman"/>
          <w:sz w:val="18"/>
          <w:szCs w:val="18"/>
          <w:color w:val="auto"/>
        </w:rPr>
        <w:t>: The Board, in coordination with the Audit Committee of the Board, has responsibility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the overall risk strategy for the Company, including cyber security risk. They receive regular reports from management about the prevention, detection, mitigation, and remediation of cybersecurity incidents, including material security risks and information security vulnerabilities. Our Audit Committee directly oversees our cybersecurity program. The Audit Committee receives regular updates from management on cybersecurity risk resulting from risk assessments, progress of risk reduction initiatives, external auditor feedback, control maturity assessments, and relevant internal and industry cybersecurity incidents.</w:t>
      </w:r>
    </w:p>
    <w:p>
      <w:pPr>
        <w:spacing w:after="0" w:line="183"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Management’s Role</w:t>
      </w:r>
      <w:r>
        <w:rPr>
          <w:rFonts w:ascii="Times New Roman" w:cs="Times New Roman" w:eastAsia="Times New Roman" w:hAnsi="Times New Roman"/>
          <w:sz w:val="18"/>
          <w:szCs w:val="18"/>
          <w:color w:val="auto"/>
        </w:rPr>
        <w:t>: The Company employs a dedicated Chief Information Security Officer (“CISO”) who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responsibility for assessing and managing material cybersecurity risks. Our CISO reports to the Audit Committee of the Board quarterly, to provide updates on any new developments and about the effectiveness of the security program. On behalf of the Audit Committee, the CISO administers a robust risk management program carried out by the Governance, Risk, and Compliance (GRC) team, which is integrated as part of the procurement process when making technology purchases, and also makes recommendations on security policies and procedures, security requirements, and risk mitigation strategies. Our CISO is supported by a highly skilled team of information security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professionals, many of whom have advanced certifications and/or graduate degrees relevant to their job requirements. Our team has participated in multiple national and international cyber security exercises, including Cyber Storm, the national training exercise run by the US Department of Homeland Security in conjunction the US Cybersecurity and Infrastructure Security Agency. Our CISO works closely with our Chief Risk Officer to provide risk reporting and ensure security and compliance.</w:t>
      </w:r>
    </w:p>
    <w:p>
      <w:pPr>
        <w:spacing w:after="0" w:line="181"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Chief Information Security Officer</w:t>
      </w:r>
      <w:r>
        <w:rPr>
          <w:rFonts w:ascii="Times New Roman" w:cs="Times New Roman" w:eastAsia="Times New Roman" w:hAnsi="Times New Roman"/>
          <w:sz w:val="18"/>
          <w:szCs w:val="18"/>
          <w:color w:val="auto"/>
        </w:rPr>
        <w:t>: Our CISO has led the Company’s security team for almost seven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overseeing the implementation of multiple new technologies and processes to help protect the organization. Prior to joining the Company, he served as a Subject Mater Expert for Threat Prevention at a cyber security firm, consulted for local government, held other security and technology roles in higher education, and served in the US Navy. He is also a co-author/contributor for the joint book project, Understanding New Security Threats published by Routledge in 2019, and has published articles and made conference keynote and podcast appearances over the years on cybersecurity topics.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more information regarding the risks we face from cybersecurity threats, please see “Risk Factors.”</w:t>
      </w:r>
    </w:p>
    <w:p>
      <w:pPr>
        <w:spacing w:after="0" w:line="22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GCE owns a four story 325,000 square foot administrative building, which includes office space for approximately 2,700 employees, and a parking garage in close proximity to GCU’s ground campus. We constructed this space in 2016 and every aspect of the design was intended to maximize energy efficiency and minimize environmental impact. Lighting load and related electricity usage is a major environmental drain for most office buildings, and this is especially true in Arizona. GCE’s office building is orientated with north/south exposure in order to minimize direct sun, and exterior courtyards were arranged to ensure summer shade thus creating outdoor areas that can be used throughout the year. The design also utilized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 Water usage is another environmental factor for office space that is magnified by the Arizona weather. GCE’s office building utilizes a rooftop rainwater collection system for irrigating the landscaping below, which reduces water consumption. Additional environment-friendly design features include low VOC paints, use of recycled building materials, interior and exterior LED light bulbs, and implementation of an energy-efficient VRF mechanical system. Overall, GCE’s office building is 60% more energy efficient than a standard office building.</w:t>
      </w:r>
    </w:p>
    <w:p>
      <w:pPr>
        <w:spacing w:after="0" w:line="19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addition to its owned facilities, GCE leases 35 off-campus classroom and laboratory sites for use in serving its university partners, four office locations in California, and office space in Indianapolis, Indiana. GCE has commitments to add more off-campus classroom and laboratory sites as of December 31, 2023 that have not yet commenced and plans to add additional off-campus classroom and laboratory sites in Arizona and in other states in the U.S. to accommodate our growth plans in 2024 and beyond. GCE works to maximize energy efficiency and minimize environmental impact in operating its leased facilities just as it does with its owned properties.</w:t>
      </w:r>
    </w:p>
    <w:p>
      <w:pPr>
        <w:spacing w:after="0" w:line="183"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679" w:firstLine="648"/>
        <w:spacing w:after="0" w:line="290" w:lineRule="auto"/>
        <w:rPr>
          <w:sz w:val="20"/>
          <w:szCs w:val="20"/>
          <w:color w:val="auto"/>
        </w:rPr>
      </w:pPr>
      <w:r>
        <w:rPr>
          <w:rFonts w:ascii="Times New Roman" w:cs="Times New Roman" w:eastAsia="Times New Roman" w:hAnsi="Times New Roman"/>
          <w:sz w:val="17"/>
          <w:szCs w:val="17"/>
          <w:color w:val="auto"/>
        </w:rPr>
        <w:t xml:space="preserve">For information regarding our other material pending legal proceedings, see the sections entitled </w:t>
      </w:r>
      <w:r>
        <w:rPr>
          <w:rFonts w:ascii="Times New Roman" w:cs="Times New Roman" w:eastAsia="Times New Roman" w:hAnsi="Times New Roman"/>
          <w:sz w:val="17"/>
          <w:szCs w:val="17"/>
          <w:i w:val="1"/>
          <w:iCs w:val="1"/>
          <w:color w:val="auto"/>
        </w:rPr>
        <w:t>Pending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Litigation Matters </w:t>
      </w:r>
      <w:r>
        <w:rPr>
          <w:rFonts w:ascii="Times New Roman" w:cs="Times New Roman" w:eastAsia="Times New Roman" w:hAnsi="Times New Roman"/>
          <w:sz w:val="17"/>
          <w:szCs w:val="17"/>
          <w:color w:val="auto"/>
        </w:rPr>
        <w:t>within</w:t>
      </w:r>
      <w:r>
        <w:rPr>
          <w:rFonts w:ascii="Times New Roman" w:cs="Times New Roman" w:eastAsia="Times New Roman" w:hAnsi="Times New Roman"/>
          <w:sz w:val="17"/>
          <w:szCs w:val="17"/>
          <w:i w:val="1"/>
          <w:iCs w:val="1"/>
          <w:color w:val="auto"/>
        </w:rPr>
        <w:t xml:space="preserve"> Note 8 Commitments and Contingencies </w:t>
      </w:r>
      <w:r>
        <w:rPr>
          <w:rFonts w:ascii="Times New Roman" w:cs="Times New Roman" w:eastAsia="Times New Roman" w:hAnsi="Times New Roman"/>
          <w:sz w:val="17"/>
          <w:szCs w:val="17"/>
          <w:color w:val="auto"/>
        </w:rPr>
        <w:t>of our notes to consolidated financial statements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included in Part IV, Item 15 of this report, which section is incorporated by reference into this Part I, Item 3.</w:t>
      </w:r>
    </w:p>
    <w:p>
      <w:pPr>
        <w:spacing w:after="0" w:line="153"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approximately 171 registered holders of record of common stock. A substantially greater number of holders of common stock are “street name” or beneficial holders, whose shares are held of record by banks, brokers and other financial institutions.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currently do not anticipate paying cash dividends on our common stock in the foreseeable future.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ind w:left="60" w:right="1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required by Item 201(d) of Regulation S-K is provided under Item 12, Security Ownership of Certain Beneficial Owners and Management and Related Stockholder Matters, “Equity Compensation Plan Information,” which is incorporated herein by reference.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January 2021, July 2021, January 2022, October 2022 and October 2023 our Board of Directors increased the authorization under its existing stock repurchase program by $100.0 million, $970.0 million, $175.0 million, $200.0 million and $200.0 million respectively, reflecting an aggregate authorization for share repurchases since the initiation of the program of $2,045.0 million. The current expiration date on the repurchase authorization by our Board of Directors is March 1, 2025.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Since the initial approval of our share repurchase plan, we have repurchased 22,741,679 shares of common stock at an aggregate cost of $1,779.9 billion, which purchases are recorded at cost in the accompanying December 31, 2023 consolidated balance sheet and statement of stockholders’ equity. At December 31, 2023, there remained $265.1 million available under our current share repurchase authorization. During the fourth quarter and the year ended December 31, 2023, GCE repurchased 134,747 and 1,169,396 shares of common stock, respectively, at an aggregate cost of $16.8 million and $130.8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2023:</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3"/>
        </w:trPr>
        <w:tc>
          <w:tcPr>
            <w:tcW w:w="4260" w:type="dxa"/>
            <w:vAlign w:val="bottom"/>
            <w:gridSpan w:val="2"/>
            <w:vMerge w:val="continue"/>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272,400,000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269,800,000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265,100,000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134,747</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265,100,000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 Withholdings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GCE Stock Performance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cumulative total return of our common stock with the cumulative total returns of the S&amp;P 500 Index and our education services peer group of eight companies that includes: Wiley Education Services, Pearson plc, CHEGG, Inc., Laureate Education, Inc., Strategic Education, Inc., Adtalum Global Education, Inc., 2U, Inc. and Coursera. The graph also includes for the required transition year, our 2020 selected education peer group of seven companies that includes: Wiley Education Services, Pearson plc, CHEGG, Inc., Laureate Education, Inc., Strategic Education, Inc., Adtalum Global Education, Inc., and 2U, Inc. This chart assumes that an investment of $100 was made in our common stock, in the index, and in the peer group on December 31, 2018 and that all dividends paid (if any) were reinvested, and tracks the relative performance of such investments through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694690</wp:posOffset>
            </wp:positionV>
            <wp:extent cx="5537835" cy="4585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7835" cy="458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0" w:type="dxa"/>
            <w:vAlign w:val="bottom"/>
            <w:tcBorders>
              <w:bottom w:val="single" w:sz="8" w:color="CCEEFF"/>
            </w:tcBorders>
          </w:tcPr>
          <w:p>
            <w:pPr>
              <w:spacing w:after="0"/>
              <w:rPr>
                <w:sz w:val="15"/>
                <w:szCs w:val="15"/>
                <w:color w:val="auto"/>
              </w:rPr>
            </w:pPr>
          </w:p>
        </w:tc>
        <w:tc>
          <w:tcPr>
            <w:tcW w:w="41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12/18</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12/19</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12/20</w:t>
            </w: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12/21</w:t>
            </w: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12/22</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12/23</w:t>
            </w:r>
          </w:p>
        </w:tc>
      </w:tr>
      <w:tr>
        <w:trPr>
          <w:trHeight w:val="21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100.00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131.49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155.68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164.08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207.21</w:t>
            </w: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91.41</w:t>
            </w:r>
          </w:p>
        </w:tc>
      </w:tr>
    </w:tbl>
    <w:p>
      <w:pPr>
        <w:spacing w:after="0" w:line="19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stock price performance included in this graph is not necessarily indicative of future stock price performance.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financial condition and results of operations for the years ended December 31, 2023 and 2022 should be read in conjunction with our consolidated financial statements and related notes that appear in Item 8, </w:t>
      </w:r>
      <w:r>
        <w:rPr>
          <w:rFonts w:ascii="Times New Roman" w:cs="Times New Roman" w:eastAsia="Times New Roman" w:hAnsi="Times New Roman"/>
          <w:sz w:val="18"/>
          <w:szCs w:val="18"/>
          <w:i w:val="1"/>
          <w:iCs w:val="1"/>
          <w:color w:val="auto"/>
        </w:rPr>
        <w:t>Consolidated Financial Statements and Supplementary Data</w:t>
      </w:r>
      <w:r>
        <w:rPr>
          <w:rFonts w:ascii="Times New Roman" w:cs="Times New Roman" w:eastAsia="Times New Roman" w:hAnsi="Times New Roman"/>
          <w:sz w:val="18"/>
          <w:szCs w:val="18"/>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and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18"/>
          <w:szCs w:val="18"/>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GCU, a comprehensive regionally accredited university that offers graduate and undergraduate degree programs, emphases and certificates across ten colleges both online, on ground at its campus in Phoenix, Arizona and at six off-campus classroom and laboratory sites.</w:t>
      </w:r>
    </w:p>
    <w:p>
      <w:pPr>
        <w:spacing w:after="0" w:line="183"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January 2019, GCE began providing education services to numerous university partners across the United States, through our wholly owned subsidiary, Orbis Education. In the healthcare field, we work in partnership with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2023, GCE provides education services to 25 university partners across the United States.</w:t>
      </w:r>
    </w:p>
    <w:p>
      <w:pPr>
        <w:spacing w:after="0" w:line="18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seek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88"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involve our more significant judgments and estimates used in the preparation of our consolidated financial statements:</w:t>
      </w:r>
    </w:p>
    <w:p>
      <w:pPr>
        <w:spacing w:after="0" w:line="158" w:lineRule="exact"/>
        <w:rPr>
          <w:sz w:val="20"/>
          <w:szCs w:val="20"/>
          <w:color w:val="auto"/>
        </w:rPr>
      </w:pPr>
    </w:p>
    <w:p>
      <w:pPr>
        <w:ind w:left="60" w:right="19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 GCE generates all of its revenue through services agreements with its university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Agreements”), pursuant to which GCE provides integrated technology and academic services, marketing and communication services, and as applicable, certain back office services to its university partners in return for a percentage of tuition and fee revenue.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GCE’s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GCE considered forming an expectation of the variable consideration to be received over the service life of this one performance obligation. However, since the performance obligation represents a series of distinct services, GCE recognizes the variable consideration that becomes known and billable because these fees relate to the distinct service period in which the fees are earned. GCE meets the criteria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exercises the practical expedient to not disclose the aggregate amount of the transaction price allocated to the single performance obligation that is unsatisfied as of the end of the reporting period. GCE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We recognize the amount of taxes payable or refundable for the current year and deferred tax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liabilities for future tax consequences of events that have been recognized in our consolidated financial statements or tax returns. Deferred tax assets and liabilities are measured using enacted tax rates in effect for the year in which the temporary differences are expected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2023 and 2022, GCE has reserved approximately $13,631 and $15,862, respectively, for uncertain tax positions, including interest and penalties.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right="79" w:firstLine="64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 discussion of the results of operations for fiscal year 2022 vs 2021, see “Item 7. Management’s Discussion </w:t>
      </w:r>
      <w:hyperlink r:id="rId73">
        <w:r>
          <w:rPr>
            <w:rFonts w:ascii="Times New Roman" w:cs="Times New Roman" w:eastAsia="Times New Roman" w:hAnsi="Times New Roman"/>
            <w:sz w:val="18"/>
            <w:szCs w:val="18"/>
            <w:color w:val="auto"/>
          </w:rPr>
          <w:t xml:space="preserve">and Analysis of Financial Condition and Results of Operations” in our </w:t>
        </w:r>
        <w:r>
          <w:rPr>
            <w:rFonts w:ascii="Times New Roman" w:cs="Times New Roman" w:eastAsia="Times New Roman" w:hAnsi="Times New Roman"/>
            <w:sz w:val="18"/>
            <w:szCs w:val="18"/>
            <w:u w:val="single" w:color="auto"/>
            <w:color w:val="0000EE"/>
          </w:rPr>
          <w:t>Annual Report on Form 10-K filed with the SEC for</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the fiscal year ended December 31,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herein by reference.</w:t>
        </w:r>
      </w:hyperlink>
    </w:p>
    <w:p>
      <w:pPr>
        <w:spacing w:after="0" w:line="17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income statement data as a percentage of revenue for each of the periods indicated. Amortization of intangible assets have been excluded from the table below:</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19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9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16.5 %</w:t>
            </w: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spacing w:after="0"/>
              <w:rPr>
                <w:sz w:val="18"/>
                <w:szCs w:val="18"/>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Pr>
          <w:p>
            <w:pPr>
              <w:spacing w:after="0"/>
              <w:rPr>
                <w:sz w:val="18"/>
                <w:szCs w:val="18"/>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2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Our service revenue for the year ended December 31, 2023 was $960.9 million,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$49.6 million, or 5.4%, as compared to service revenue of $911.3 million for the year ended December 31, 2022. The increase year over year in service revenue was primarily due to an increase in GCU enrollments to 117,279 at December 31, 2023, an increase of 8.0% over enrollments at December 31, 2022. Partner enrollments totaled 121,250 at December 31, 2023 as compared to 112,955 at December 31, 2022. University partner enrollments at our off-campus classroom and laboratory sites were 4,481, a decrease of 3.3% over enrollments at December 31, 2022, which includes 510 and 320 GCU students at December 31, 2023 and 2022, respectively. None of our ABSN partners stopped admitting new students due to the clinical faculty challenges that began during the pandemic, however some locations that were scheduled to open were delayed and some existing partners have experienced reduced incoming cohort sizes which has slowed the growth. We believe the growth in the number of ABSN students is also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Fall 2023 semester. We opened six new off-campus classroom and laboratory sites in the year ended December 31, 2022 and five sites in the year ended December 31, 2023 increasing the total number of these sites to 40 at December 31, 2023. Enrollments for GCU ground students were 25,209 at December 31, 2023 up from 24,943 at December 31, 2022. GCU online enrollments were 92,070 at December 31, 2023, up from 83,696 at December 31, 2022, an increase of 10.0% between years</w:t>
      </w:r>
    </w:p>
    <w:p>
      <w:pPr>
        <w:spacing w:after="0" w:line="19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Technology and academic services</w:t>
      </w:r>
      <w:r>
        <w:rPr>
          <w:rFonts w:ascii="Times New Roman" w:cs="Times New Roman" w:eastAsia="Times New Roman" w:hAnsi="Times New Roman"/>
          <w:sz w:val="18"/>
          <w:szCs w:val="18"/>
          <w:color w:val="auto"/>
        </w:rPr>
        <w:t>. Our technology and academic services expenses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were $154.9 million, an increase of $4.4 million, or 2.9%, as compared to technology and academic services expenses of $150.5 million for the year ended December 31, 2022. This increase was primarily due to increases in occupancy and depreciation and other technology and academic costs of $4.2 million and $1.9 million, respectively, partially offset by a decrease in employee compensation and related expenses, including share-based compensation and benefit costs of $1.7 million. These increases in occupancy and depreciation and other technology and academic costs were primarily due to the costs associated with the increased number of off-campus classroom and laboratory sites. The decrease in employee compensation and related expenses is primarily due to decreased faculty reimbursements to our university partners due to the decline in some of our other partners’ enrollments and changes in our agreements with certain university partners whereby we no longer reimburse these partners for their faculty costs. Such decreases were partially offset by increased headcount to support our university partners, and their increased enrollment growth, tenure-based salary adjustments and the increased number of off-campus classroom and laboratory sites year over year. Our technology and academic services expenses as a percentage of service revenue decreased 0.4% to 16.1% for the year ended December 31, 2023, from 16.5% for the year ended December 31, 2022 due primarily to the decreased faculty reimbursements between years. We anticipate that technology and academic services expenses as a percentage of revenue will continue to increase in the future as we open more off-site classroom and laboratory sites although these increases might be offset by lower faculty reimbursements if more partners choose to adjust their contracts.</w:t>
      </w:r>
    </w:p>
    <w:p>
      <w:pPr>
        <w:spacing w:after="0" w:line="19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Counseling services and support</w:t>
      </w:r>
      <w:r>
        <w:rPr>
          <w:rFonts w:ascii="Times New Roman" w:cs="Times New Roman" w:eastAsia="Times New Roman" w:hAnsi="Times New Roman"/>
          <w:sz w:val="18"/>
          <w:szCs w:val="18"/>
          <w:color w:val="auto"/>
        </w:rPr>
        <w:t>. Our counseling services and support expenses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were $302.3 million, an increase of $29.0 million, or 10.6%, as compared to counseling services and support expenses of $273.3 million for the year ended December 31, 2022. This increase was primarily attributable to increases in employee compensation and related expenses including share-based compensation and benefit expenses and increases in other counseling services and support expenses of $25.3 million and $4.1 million, respectively. These increases were partially offset by decreases in depreciation, amortization and occupancy costs of $0.4 million. The increases in employee compensation and related expenses were primarily due to increased headcount to support our university partners, and their planned increases in enrollment, tenure-based salary adjustments and the increased number of off-campus classroom and laboratory sites open year over year. The increase in other counseling services and support expenses is primarily the result of increased travel costs for our university partners. Our counseling services and support expenses as a percentage of service revenue increased 1.5% to 31.5% for the year ended December 31, 2023, from 30.0% for the year ended December 31, 2022 primarily due to increased travel costs and the increase in our employee base and their compensation to meet our university partners’ growth expectations and retain our employees increasing 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 faster rate than revenue growth as our partners’ programs that are growing at a more accelerated rate generally cost more to service. We anticipate that counseling services and support expenses will continue to increase in the future as we continue to invest to meet our partners’ needs but are hopeful that we will see leverage in counseling services and support expenses as a percentage of revenue in 2024.</w:t>
      </w:r>
    </w:p>
    <w:p>
      <w:pPr>
        <w:spacing w:after="0" w:line="17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Marketing and communication</w:t>
      </w:r>
      <w:r>
        <w:rPr>
          <w:rFonts w:ascii="Times New Roman" w:cs="Times New Roman" w:eastAsia="Times New Roman" w:hAnsi="Times New Roman"/>
          <w:sz w:val="18"/>
          <w:szCs w:val="18"/>
          <w:color w:val="auto"/>
        </w:rPr>
        <w:t>. Our marketing and communication expenses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were $202.8 million, an increase of $6.7 million, or 3.4%, as compared to marketing and communication expenses of $196.1 million for the year ended December 31, 2022. This increase was primarily attributable to the increased cost to market our university partners’ programs and due to the marketing of new university partners and new off-campus classroom and laboratory sites which resulted in increased advertising of $6.4 million and increased employee compensation expenses and related expenses including share-based compensation of $0.6 million, partially offset by a decrease in other marketing supplies of $0.3 million. Our marketing and communication expenses as a percentage of service revenue decreased by 0.4% to 21.1% for the year ended December 31, 2023, from 21.5% for the year ended December 31, 2022, primarily due to our ability to leverage marketing and communications costs over an increasing revenue base. Although we will continue to invest heavily in this area, we are hopeful that we will see leverage in marketing and communication costs in 2024.</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for the year ended December 31, 2023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$43.2 million, a decrease of $2.3 million, or 5.0%, as compared to general and administrative expenses of $45.5 million for the year ended December 31, 2022. This decrease was primarily attributable to a decrease in the contribution made in lieu of state income taxes, decreased employee compensation, including share-based compensation and benefit expenses and a decrease in professional fees of $1.5 million, $0.7 million and $0.2 million, respectively, partially offset by an increase in other administrative expenses of $0.1 million. We decreased our contribution made in lieu of state income taxes from $5.0 million in 2022 to $3.5 million in 2023. Our professional fees declined between years primarily due to lower legal costs as we met our insurance retention cap on a litigation matter. Our general and administrative expenses as a percentage of service revenue decreased by 0.5% to 4.5% for the year ended December 31, 2023, from 5.0% for the year ended December 31, 2022. General and administrative expenses as a percentage of revenue could increase in 2024 due to higher expected legal costs.</w:t>
      </w:r>
    </w:p>
    <w:p>
      <w:pPr>
        <w:spacing w:after="0" w:line="192"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for the years ended December 31,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were $8.4 million for both periods. As a result of the Acquisition, certain identifiable intangible assets were created (primarily customer relationships) that will be amortized over their expected lives.</w:t>
      </w:r>
    </w:p>
    <w:p>
      <w:pPr>
        <w:spacing w:after="0" w:line="173"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Investment interest and other</w:t>
      </w:r>
      <w:r>
        <w:rPr>
          <w:rFonts w:ascii="Times New Roman" w:cs="Times New Roman" w:eastAsia="Times New Roman" w:hAnsi="Times New Roman"/>
          <w:sz w:val="18"/>
          <w:szCs w:val="18"/>
          <w:color w:val="auto"/>
        </w:rPr>
        <w:t>. Investment interest and other for the year ended December 31, 2023 was $10.5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$7.9 million, as compared to $2.6 million for the year ended December 31, 2022. Interest rates have increased in 2023 resulting in increased investment interest income.</w:t>
      </w:r>
    </w:p>
    <w:p>
      <w:pPr>
        <w:spacing w:after="0" w:line="17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for the year ended December 31, 2023 was $54.7 million,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$0.7 million, or 1.4%, as compared to income tax expense of $55.4 million for the year ended December 31, 2022. Our effective tax rate was 21.1% during the year ended December 31, 2023 compared to 23.1% during the year ended December 31, 2022. The decrease in our effective tax rate between periods is attributable to other discrete tax items recorded in the respective periods and higher excess tax benefits of $0.9 million compared to excess tax benefits of $0.1 million for the year ended December 31, 2022, partially offset by a lower contribution in lieu of state income taxes of $3.5 million in 2023 compared to $5.0 million in 2022.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awards vest. Our restricted stock vests in March each year so any benefit or expense will primarily impact the first quarter each year.</w:t>
      </w:r>
    </w:p>
    <w:p>
      <w:pPr>
        <w:spacing w:after="0" w:line="192" w:lineRule="exact"/>
        <w:rPr>
          <w:sz w:val="20"/>
          <w:szCs w:val="20"/>
          <w:color w:val="auto"/>
        </w:rPr>
      </w:pPr>
    </w:p>
    <w:p>
      <w:pPr>
        <w:ind w:left="60" w:right="7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Our net income for the year ended December 31, 2023 was $205.0 million, an increase of $20.3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or 11.0% as compared to $184.7 million for the year ended December 31, 2022, due to the factors discussed above.</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service revenue and operating results normally fluctuate as a result of seasonal variations in our business, principally due to changes in our university partners’ enrollment. Our partners’ enrollment varies as a result of new enrollments, graduations, and student attrition. Service revenues in the summer months (May through August) are lower 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9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244,506</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181,704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219" w:firstLine="441"/>
        <w:spacing w:after="0" w:line="258" w:lineRule="auto"/>
        <w:rPr>
          <w:sz w:val="20"/>
          <w:szCs w:val="20"/>
          <w:color w:val="auto"/>
        </w:rPr>
      </w:pPr>
      <w:r>
        <w:rPr>
          <w:rFonts w:ascii="Times New Roman" w:cs="Times New Roman" w:eastAsia="Times New Roman" w:hAnsi="Times New Roman"/>
          <w:sz w:val="18"/>
          <w:szCs w:val="18"/>
          <w:color w:val="auto"/>
        </w:rPr>
        <w:t>Our liquidity position, as measured by cash and cash equivalents and investments increased by $62.8 million between December 31, 2022 and December 31, 2023, which was largely attributable to cash flows from operations exceeding share repurchases, investment purchases, net of proceeds and capital expenditures during the year ended December 31, 2023. Our unrestricted cash and cash equivalents and investments were $244.5 million and $181.7 million at December 31, 2023 and 2022, respectively.</w:t>
      </w:r>
    </w:p>
    <w:p>
      <w:pPr>
        <w:spacing w:after="0" w:line="183" w:lineRule="exact"/>
        <w:rPr>
          <w:sz w:val="20"/>
          <w:szCs w:val="20"/>
          <w:color w:val="auto"/>
        </w:rPr>
      </w:pPr>
    </w:p>
    <w:p>
      <w:pPr>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24 months.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9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243,662</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220,819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increase in cash generated from operating activities between the year ended December 31, 2022 and the year ended December 31, 2023 was primarily due to increased income and changes in working capital balances, primarily accounts receivable and income taxes receivable/payable. Accounts receivable increased between December 31, 2022 and December 31, 2023 by $1.4 million which was lower than the increase between December 31, 2021 and December 31, 2022 of $7.4 million due to the timing of collections on receivables. Income taxes receivable/payable decreased by $0.4 million between December 31, 2022 and December 31, 2023 whereas it increased by $4.8 million between December 31, 2021 and December 31, 2022.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441"/>
        <w:spacing w:after="0" w:line="282" w:lineRule="auto"/>
        <w:rPr>
          <w:sz w:val="20"/>
          <w:szCs w:val="20"/>
          <w:color w:val="auto"/>
        </w:rPr>
      </w:pPr>
      <w:r>
        <w:rPr>
          <w:rFonts w:ascii="Times New Roman" w:cs="Times New Roman" w:eastAsia="Times New Roman" w:hAnsi="Times New Roman"/>
          <w:sz w:val="18"/>
          <w:szCs w:val="18"/>
          <w:color w:val="auto"/>
        </w:rPr>
        <w:t>Investing activities consumed $80.5 million of cash in the year ended December 31, 2023 compared to $97.1 million in the year ended December 31, 2022.</w:t>
      </w:r>
    </w:p>
    <w:p>
      <w:pPr>
        <w:spacing w:after="0" w:line="162" w:lineRule="exact"/>
        <w:rPr>
          <w:sz w:val="20"/>
          <w:szCs w:val="20"/>
          <w:color w:val="auto"/>
        </w:rPr>
      </w:pPr>
    </w:p>
    <w:p>
      <w:pPr>
        <w:ind w:left="60" w:right="199" w:firstLine="441"/>
        <w:spacing w:after="0" w:line="312" w:lineRule="auto"/>
        <w:rPr>
          <w:sz w:val="20"/>
          <w:szCs w:val="20"/>
          <w:color w:val="auto"/>
        </w:rPr>
      </w:pPr>
      <w:r>
        <w:rPr>
          <w:rFonts w:ascii="Times New Roman" w:cs="Times New Roman" w:eastAsia="Times New Roman" w:hAnsi="Times New Roman"/>
          <w:sz w:val="17"/>
          <w:szCs w:val="17"/>
          <w:color w:val="auto"/>
        </w:rPr>
        <w:t>In the year ended December 31, 2023 and 2022 cash used in investing activities consisted of the purchase of available-for-sale securities, net of proceeds from the sale of investments of $35.0 million and $61.5 million, respectively.</w:t>
      </w:r>
    </w:p>
    <w:p>
      <w:pPr>
        <w:spacing w:after="0" w:line="140" w:lineRule="exact"/>
        <w:rPr>
          <w:sz w:val="20"/>
          <w:szCs w:val="20"/>
          <w:color w:val="auto"/>
        </w:rPr>
      </w:pPr>
    </w:p>
    <w:p>
      <w:pPr>
        <w:ind w:left="60" w:right="179" w:firstLine="441"/>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2023 and 2022 cash used in investing activities also included capital expenditures totaling $44.5 million and $35.2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$40.0 million per year for capital expenditures.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6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1000" w:type="dxa"/>
            <w:vAlign w:val="bottom"/>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(137,124)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(604,212)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459" w:firstLine="441"/>
        <w:spacing w:after="0" w:line="282" w:lineRule="auto"/>
        <w:rPr>
          <w:sz w:val="20"/>
          <w:szCs w:val="20"/>
          <w:color w:val="auto"/>
        </w:rPr>
      </w:pPr>
      <w:r>
        <w:rPr>
          <w:rFonts w:ascii="Times New Roman" w:cs="Times New Roman" w:eastAsia="Times New Roman" w:hAnsi="Times New Roman"/>
          <w:sz w:val="18"/>
          <w:szCs w:val="18"/>
          <w:color w:val="auto"/>
        </w:rPr>
        <w:t>Financing activities consumed $137.1 million of cash in the year ended December 31, 2023 compared to $604.2 million in the year ended December 31, 2022.</w:t>
      </w:r>
    </w:p>
    <w:p>
      <w:pPr>
        <w:spacing w:after="0" w:line="162" w:lineRule="exact"/>
        <w:rPr>
          <w:sz w:val="20"/>
          <w:szCs w:val="20"/>
          <w:color w:val="auto"/>
        </w:rPr>
      </w:pPr>
    </w:p>
    <w:p>
      <w:pPr>
        <w:ind w:left="60" w:right="139" w:firstLine="441"/>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and 2022, $130.8 million and $599.6 million, respectively was used to purchase treasury stock in accordance with GCE’s share repurchase program. In 2023 and 2022, $6.3 million and $4.6 million, respectively, of cash was utilized to purchase common shares withheld in lieu of income taxes resulting from the vesting of restricted share awards. A significant amount of the share repurchases in 2022 were from the proceeds received on the repayment of the Secured Note. The Company intends to continue using a portion of its cash flows from operations to repurchase its shares.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January 2021, July 2021, January 2022, October 2022 and October 2023 our Board of Directors increased the authorization under its existing stock repurchase program by $100.0 million, $970.0 million, $175.0 million, $200.0 million and $200.0 million respectively, reflecting an aggregate authorization for share repurchases since the initiation of the program of $2,045.0 million. The current expiration date on the repurchase authorization by our Board of Directors is March 1, 2025. Repurchases occur at the Company’s discretion and the Company may modify, suspend or discontinue the repurchase authorization at any time.</w:t>
      </w:r>
    </w:p>
    <w:p>
      <w:pPr>
        <w:spacing w:after="0" w:line="18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176"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Since 2011, we have repurchased 22.7 million shares of common stock at an aggregate cost of $1,779.9 billion, which includes 1,169,396 shares of common stock at an aggregate cost of $130.8 million during the year ended December 31, 2023.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contractual obligations primarily consist of capital expenditures primarily for new off-campus classroom and laboratory sites opening and continued spend on computer equipment, software licenses, internal software development and furniture and equipment to support our increasing employee headcount. See </w:t>
      </w:r>
      <w:r>
        <w:rPr>
          <w:rFonts w:ascii="Times New Roman" w:cs="Times New Roman" w:eastAsia="Times New Roman" w:hAnsi="Times New Roman"/>
          <w:sz w:val="18"/>
          <w:szCs w:val="18"/>
          <w:i w:val="1"/>
          <w:iCs w:val="1"/>
          <w:color w:val="auto"/>
        </w:rPr>
        <w:t>Note 9 - Leases</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and Supplementary Data. </w:t>
      </w:r>
      <w:r>
        <w:rPr>
          <w:rFonts w:ascii="Times New Roman" w:cs="Times New Roman" w:eastAsia="Times New Roman" w:hAnsi="Times New Roman"/>
          <w:sz w:val="18"/>
          <w:szCs w:val="18"/>
          <w:color w:val="auto"/>
        </w:rPr>
        <w:t>There are no other material contractual obligations or commitments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 (Non-GAAP Financial Measure)</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83"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plus interest expense, less interest income and other gain (loss) recognized on investments, plus income tax expense,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and exit or lease termination costs. We present Adjusted EBITDA, a non-GAAP financial measure,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9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0"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cash requirements for, our working capital requirements;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or the cash required to replace assets that are being depreciated or amortized; and</w:t>
      </w:r>
    </w:p>
    <w:p>
      <w:pPr>
        <w:spacing w:after="0" w:line="9" w:lineRule="exact"/>
        <w:rPr>
          <w:rFonts w:ascii="Times New Roman" w:cs="Times New Roman" w:eastAsia="Times New Roman" w:hAnsi="Times New Roman"/>
          <w:sz w:val="18"/>
          <w:szCs w:val="18"/>
          <w:color w:val="auto"/>
        </w:rPr>
      </w:pPr>
    </w:p>
    <w:p>
      <w:pPr>
        <w:ind w:left="1040" w:right="719" w:hanging="315"/>
        <w:spacing w:after="0" w:line="260"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reported results of earnings or charges resulting from the items for which we make adjustments to our EBITDA, as described above and set forth in the table below.</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consolidated financial statements included elsewhere in this Annual Report on Form 10-K.</w:t>
      </w:r>
    </w:p>
    <w:p>
      <w:pPr>
        <w:spacing w:after="0" w:line="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for the periods indicated:</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investment interest and other</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22,758</w:t>
            </w:r>
          </w:p>
        </w:tc>
        <w:tc>
          <w:tcPr>
            <w:tcW w:w="2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268,677</w:t>
            </w:r>
          </w:p>
        </w:tc>
        <w:tc>
          <w:tcPr>
            <w:tcW w:w="2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4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color w:val="auto"/>
              </w:rPr>
              <w:t>Plus: contributions in lieu of state income taxes</w:t>
            </w:r>
            <w:r>
              <w:rPr>
                <w:rFonts w:ascii="Times New Roman" w:cs="Times New Roman" w:eastAsia="Times New Roman" w:hAnsi="Times New Roman"/>
                <w:sz w:val="24"/>
                <w:szCs w:val="24"/>
                <w:color w:val="auto"/>
                <w:vertAlign w:val="superscript"/>
              </w:rPr>
              <w:t>(a)</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Plus: loss on fixed asset disposal</w:t>
            </w:r>
            <w:r>
              <w:rPr>
                <w:rFonts w:ascii="Times New Roman" w:cs="Times New Roman" w:eastAsia="Times New Roman" w:hAnsi="Times New Roman"/>
                <w:sz w:val="25"/>
                <w:szCs w:val="25"/>
                <w:color w:val="auto"/>
                <w:vertAlign w:val="superscript"/>
              </w:rPr>
              <w:t>(b)</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Plus: share-based compensation</w:t>
            </w:r>
            <w:r>
              <w:rPr>
                <w:rFonts w:ascii="Times New Roman" w:cs="Times New Roman" w:eastAsia="Times New Roman" w:hAnsi="Times New Roman"/>
                <w:sz w:val="25"/>
                <w:szCs w:val="25"/>
                <w:color w:val="auto"/>
                <w:vertAlign w:val="superscript"/>
              </w:rPr>
              <w:t>(c)</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Plus: litigation and regulatory reserves</w:t>
            </w:r>
            <w:r>
              <w:rPr>
                <w:rFonts w:ascii="Times New Roman" w:cs="Times New Roman" w:eastAsia="Times New Roman" w:hAnsi="Times New Roman"/>
                <w:sz w:val="25"/>
                <w:szCs w:val="25"/>
                <w:color w:val="auto"/>
                <w:vertAlign w:val="superscript"/>
              </w:rPr>
              <w:t>(d)</w:t>
            </w:r>
          </w:p>
        </w:tc>
        <w:tc>
          <w:tcPr>
            <w:tcW w:w="1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2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302,302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291,336</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3" w:lineRule="exact"/>
        <w:rPr>
          <w:sz w:val="20"/>
          <w:szCs w:val="20"/>
          <w:color w:val="auto"/>
        </w:rPr>
      </w:pPr>
    </w:p>
    <w:p>
      <w:pPr>
        <w:ind w:left="720" w:right="119" w:hanging="319"/>
        <w:spacing w:after="0" w:line="253"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contributions to various private Arizona school tuition organizations to assist with funding for education. In connection with such contributions made, we received a dollar-for-dollar state income tax credit, which resulted in a reduction in our effective income tax rate to 21.1% and 23.1% for the years ended December 31, 2023 and 2022, respectively. Had these contributions not been made, our effective tax rate would have been 22.1% and 24.7% for 2023 and 2022, respectively. Such contributions are viewed by our management to be made in lieu of payments of state income taxes and are therefore excluded from evaluation of our core operating performance.</w:t>
      </w:r>
    </w:p>
    <w:p>
      <w:pPr>
        <w:spacing w:after="0" w:line="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loss on fixed asset disposals.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primarily regulatory litigation.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60" w:right="539"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Consolidated 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Data.</w:t>
      </w:r>
    </w:p>
    <w:p>
      <w:pPr>
        <w:spacing w:after="0" w:line="156"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7" w:lineRule="exact"/>
        <w:rPr>
          <w:sz w:val="20"/>
          <w:szCs w:val="20"/>
          <w:color w:val="auto"/>
        </w:rPr>
      </w:pPr>
    </w:p>
    <w:p>
      <w:pPr>
        <w:jc w:val="both"/>
        <w:ind w:left="60" w:right="3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 risk</w:t>
      </w:r>
      <w:r>
        <w:rPr>
          <w:rFonts w:ascii="Times New Roman" w:cs="Times New Roman" w:eastAsia="Times New Roman" w:hAnsi="Times New Roman"/>
          <w:sz w:val="18"/>
          <w:szCs w:val="18"/>
          <w:color w:val="auto"/>
        </w:rPr>
        <w:t>. As of December 31, 2023, we have no derivative financial instruments or derivative commodity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We invest cash in excess of current operating requirements in short term certificates of deposit and money market instruments, municipal bond portfolios, or municipal mutual funds at multiple financial institutions.</w:t>
      </w:r>
    </w:p>
    <w:p>
      <w:pPr>
        <w:spacing w:after="0" w:line="17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We manage interest rate risk by investing excess funds in cash equivalents, BBB or higher 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2023, a 10% increase or decrease in interest rates would not have a material impact on our future earnings, fair values, or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84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 and Supplementary Data</w:t>
            </w:r>
          </w:p>
        </w:tc>
        <w:tc>
          <w:tcPr>
            <w:tcW w:w="340" w:type="dxa"/>
            <w:vAlign w:val="bottom"/>
          </w:tcPr>
          <w:p>
            <w:pPr>
              <w:spacing w:after="0"/>
              <w:rPr>
                <w:sz w:val="20"/>
                <w:szCs w:val="20"/>
                <w:color w:val="auto"/>
              </w:rPr>
            </w:pPr>
          </w:p>
        </w:tc>
      </w:tr>
      <w:tr>
        <w:trPr>
          <w:trHeight w:val="364"/>
        </w:trPr>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LLP, Phoenix, Arizona, Auditor Firm: 185)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Income Statements for the years ended December 31, 2023, 2022 and 2021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7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2023, 2022 and 2021</w:t>
            </w:r>
          </w:p>
        </w:tc>
        <w:tc>
          <w:tcPr>
            <w:tcW w:w="7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12"/>
        </w:trPr>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2023, 2022 and 2021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2"/>
        </w:trPr>
        <w:tc>
          <w:tcPr>
            <w:tcW w:w="75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9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2"/>
        </w:trPr>
        <w:tc>
          <w:tcPr>
            <w:tcW w:w="69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66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7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Grand Canyon Education, Inc. and subsidiaries (the Company) as of December 31, 2023 and 2022, the related consolidated statements of income, comprehensive income,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62"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13, 2024 expressed an unqualified opinion on the effectiveness of the Company’s internal control over financial reporting.</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Evaluation of the sufficiency of audit evidence over service revenue</w:t>
      </w:r>
    </w:p>
    <w:p>
      <w:pPr>
        <w:spacing w:after="0" w:line="106" w:lineRule="exact"/>
        <w:rPr>
          <w:sz w:val="20"/>
          <w:szCs w:val="20"/>
          <w:color w:val="auto"/>
        </w:rPr>
      </w:pPr>
    </w:p>
    <w:p>
      <w:pPr>
        <w:ind w:left="700" w:right="79"/>
        <w:spacing w:after="0" w:line="261"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service revenue is recognized from the delivery of support services to institutions in the post-secondary education sector of the United States (University Partners). The transaction price for support services is based on the Company receiving a contracted percentage of the University Partner’s tuition and fee revenue. The tuition and fee information received varies depending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99"/>
        <w:spacing w:after="0" w:line="282" w:lineRule="auto"/>
        <w:rPr>
          <w:sz w:val="20"/>
          <w:szCs w:val="20"/>
          <w:color w:val="auto"/>
        </w:rPr>
      </w:pPr>
      <w:r>
        <w:rPr>
          <w:rFonts w:ascii="Times New Roman" w:cs="Times New Roman" w:eastAsia="Times New Roman" w:hAnsi="Times New Roman"/>
          <w:sz w:val="18"/>
          <w:szCs w:val="18"/>
          <w:color w:val="auto"/>
        </w:rPr>
        <w:t>on the respective University Partner’s reporting processes and the services provided. The Company recorded $961 million of service revenue for the year ended December 31, 2023.</w:t>
      </w:r>
    </w:p>
    <w:p>
      <w:pPr>
        <w:spacing w:after="0" w:line="135" w:lineRule="exact"/>
        <w:rPr>
          <w:sz w:val="20"/>
          <w:szCs w:val="20"/>
          <w:color w:val="auto"/>
        </w:rPr>
      </w:pPr>
    </w:p>
    <w:p>
      <w:pPr>
        <w:ind w:left="700" w:right="159"/>
        <w:spacing w:after="0" w:line="281" w:lineRule="auto"/>
        <w:rPr>
          <w:sz w:val="20"/>
          <w:szCs w:val="20"/>
          <w:color w:val="auto"/>
        </w:rPr>
      </w:pPr>
      <w:r>
        <w:rPr>
          <w:rFonts w:ascii="Times New Roman" w:cs="Times New Roman" w:eastAsia="Times New Roman" w:hAnsi="Times New Roman"/>
          <w:sz w:val="17"/>
          <w:szCs w:val="17"/>
          <w:color w:val="auto"/>
        </w:rPr>
        <w:t>We identified the evaluation of the sufficiency of audit evidence over service revenue as a critical audit matter. This required especially subjective auditor judgment because service revenue recorded by the Company is dependent on the tuition and fee information of the University Partners. This included determining the nature and extent of procedures to be performed and evaluating the evidence obtained over the tuition and fee information.</w:t>
      </w:r>
    </w:p>
    <w:p>
      <w:pPr>
        <w:spacing w:after="0" w:line="124" w:lineRule="exact"/>
        <w:rPr>
          <w:sz w:val="20"/>
          <w:szCs w:val="20"/>
          <w:color w:val="auto"/>
        </w:rPr>
      </w:pPr>
    </w:p>
    <w:p>
      <w:pPr>
        <w:ind w:left="700" w:right="99"/>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tuition and fee information of the University Partners. We evaluated the design and tested the operating effectiveness of certain internal controls related to service revenue. This included controls related to the accurate recording of amounts dependent on University Partners’ tuition and fee revenue information. For a sample of transactions, we compared the amounts recognized as service revenue for consistency with underlying documentation, including contracts with University Partners and student enrollment documentation.</w:t>
      </w:r>
    </w:p>
    <w:p>
      <w:pPr>
        <w:spacing w:after="0" w:line="94" w:lineRule="exact"/>
        <w:rPr>
          <w:sz w:val="20"/>
          <w:szCs w:val="20"/>
          <w:color w:val="auto"/>
        </w:rPr>
      </w:pPr>
    </w:p>
    <w:p>
      <w:pPr>
        <w:ind w:left="700" w:right="699"/>
        <w:spacing w:after="0" w:line="261" w:lineRule="auto"/>
        <w:rPr>
          <w:sz w:val="20"/>
          <w:szCs w:val="20"/>
          <w:color w:val="auto"/>
        </w:rPr>
      </w:pPr>
      <w:r>
        <w:rPr>
          <w:rFonts w:ascii="Times New Roman" w:cs="Times New Roman" w:eastAsia="Times New Roman" w:hAnsi="Times New Roman"/>
          <w:sz w:val="18"/>
          <w:szCs w:val="18"/>
          <w:color w:val="auto"/>
        </w:rPr>
        <w:t>We evaluated the sufficiency of audit evidence obtained by assessing the results of procedures performed, including the nature of such evidence.</w:t>
      </w: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120,409</w:t>
            </w: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77,413</w:t>
            </w: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273,273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49"/>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930,463</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832,749</w:t>
            </w: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13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w:t>
            </w: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68,793</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212,449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195,130</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 outstanding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 and December 31, 2022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53,970 and 53,830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issued and 29,953 and 31,058 shares outstanding at December 31, 2023 and December 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2022,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198"/>
        </w:trPr>
        <w:tc>
          <w:tcPr>
            <w:tcW w:w="6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24,017 and 22,772 shares of common stock at December 31, 2023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December 31, 2022, respectively</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(1,849,693)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(1,711,423)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309,310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2,244,712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2,039,727</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637,619</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930,463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832,749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6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7"/>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960,899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911,306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896,564</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132,078</w:t>
            </w: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249,179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182,872</w:t>
            </w: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673,806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614,374</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282,190</w:t>
            </w: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on Secured Note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Investment interest and other</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331,289</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70,945</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260,344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6.80</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5.73</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29,991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32,131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43,835</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30,147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32,237</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43,958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6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2680" w:type="dxa"/>
            <w:vAlign w:val="bottom"/>
            <w:tcBorders>
              <w:bottom w:val="single" w:sz="8" w:color="auto"/>
            </w:tcBorders>
            <w:gridSpan w:val="6"/>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8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$ 204,985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$ 184,675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$ 260,344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gains (losses) on available-for-sale securities, net of taxes of $151 and</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$168 for the years ended December 31, 2023 and 2022, respectively</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$ 205,461</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$ 184,142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$ 260,344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66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40" w:type="dxa"/>
            <w:vAlign w:val="bottom"/>
            <w:gridSpan w:val="4"/>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660" w:type="dxa"/>
            <w:vAlign w:val="bottom"/>
            <w:gridSpan w:val="5"/>
            <w:vMerge w:val="continue"/>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66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7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88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(303,379)</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$ 282,467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$1,594,708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1,574,329</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260,344</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purchased for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(797,838)</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(797,838)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(1,107,211)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$ 296,670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1,855,052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1,045,047</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0" w:type="dxa"/>
            <w:vAlign w:val="bottom"/>
            <w:vMerge w:val="continue"/>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continue"/>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(533)</w:t>
            </w:r>
          </w:p>
        </w:tc>
        <w:tc>
          <w:tcPr>
            <w:tcW w:w="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184,675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184,142</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purchased for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(599,587)</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(599,587)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8,017</w:t>
            </w:r>
          </w:p>
        </w:tc>
        <w:tc>
          <w:tcPr>
            <w:tcW w:w="0" w:type="dxa"/>
            <w:vAlign w:val="bottom"/>
          </w:tcPr>
          <w:p>
            <w:pPr>
              <w:spacing w:after="0"/>
              <w:rPr>
                <w:sz w:val="1"/>
                <w:szCs w:val="1"/>
                <w:color w:val="auto"/>
              </w:rPr>
            </w:pPr>
          </w:p>
        </w:tc>
      </w:tr>
      <w:tr>
        <w:trPr>
          <w:trHeight w:val="236"/>
        </w:trPr>
        <w:tc>
          <w:tcPr>
            <w:tcW w:w="280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53,830</w:t>
            </w:r>
          </w:p>
        </w:tc>
        <w:tc>
          <w:tcPr>
            <w:tcW w:w="1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2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22,772</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(1,711,423)</w:t>
            </w:r>
          </w:p>
        </w:tc>
        <w:tc>
          <w:tcPr>
            <w:tcW w:w="14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$ 309,310</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$ 2,039,727</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637,619</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Comprehensive income</w:t>
            </w:r>
          </w:p>
        </w:tc>
        <w:tc>
          <w:tcPr>
            <w:tcW w:w="6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476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204,985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205,461</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purchased for</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treasury</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(131,939)</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(131,939)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6,873</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(1,849,693)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$ 322,512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$ 2,244,712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718,014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provided by operating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204,985</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184,675</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260,344</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11,526</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Reversal of credit loss reserve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49"/>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22,758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21,994</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including fixed asset disposals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from university partners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0" w:type="dxa"/>
            <w:vAlign w:val="bottom"/>
          </w:tcPr>
          <w:p>
            <w:pPr>
              <w:spacing w:after="0"/>
              <w:rPr>
                <w:sz w:val="1"/>
                <w:szCs w:val="1"/>
                <w:color w:val="auto"/>
              </w:rPr>
            </w:pPr>
          </w:p>
        </w:tc>
      </w:tr>
      <w:tr>
        <w:trPr>
          <w:trHeight w:val="149"/>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Right-of-use assets and lease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7,392</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4,148</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243,662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220,819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313,119</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(28,875)</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Additions of amortizable content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Funding to GCU</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(190,000)</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 by GCU</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1,159,912</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(98,853)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(56,335)</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or maturity of investments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63,815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110,039</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66,792</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(80,472)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(97,139)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950,979</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financing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Principal payments on notes 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(107,774)</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shares and shares withheld in lieu of income taxes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(137,124)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(604,212)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(803,832)</w:t>
            </w:r>
          </w:p>
        </w:tc>
        <w:tc>
          <w:tcPr>
            <w:tcW w:w="0" w:type="dxa"/>
            <w:vAlign w:val="bottom"/>
          </w:tcPr>
          <w:p>
            <w:pPr>
              <w:spacing w:after="0"/>
              <w:rPr>
                <w:sz w:val="1"/>
                <w:szCs w:val="1"/>
                <w:color w:val="auto"/>
              </w:rPr>
            </w:pPr>
          </w:p>
        </w:tc>
      </w:tr>
      <w:tr>
        <w:trPr>
          <w:trHeight w:val="149"/>
        </w:trPr>
        <w:tc>
          <w:tcPr>
            <w:tcW w:w="606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proceeds from exercise of stock options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(137,124)</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(604,212)</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(908,926)</w:t>
            </w:r>
          </w:p>
        </w:tc>
        <w:tc>
          <w:tcPr>
            <w:tcW w:w="0" w:type="dxa"/>
            <w:vAlign w:val="bottom"/>
          </w:tcPr>
          <w:p>
            <w:pPr>
              <w:spacing w:after="0"/>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cash and cash equivalents and restricted cash</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26,066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(480,532)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355,172</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 beginning of period</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120,409</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600,941</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245,769</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 end of period</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146,475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120,409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600,941</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3,697</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59,026</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48,573</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61,900</w:t>
            </w:r>
          </w:p>
        </w:tc>
        <w:tc>
          <w:tcPr>
            <w:tcW w:w="0" w:type="dxa"/>
            <w:vAlign w:val="bottom"/>
          </w:tcPr>
          <w:p>
            <w:pPr>
              <w:spacing w:after="0"/>
              <w:rPr>
                <w:sz w:val="1"/>
                <w:szCs w:val="1"/>
                <w:color w:val="auto"/>
              </w:rPr>
            </w:pPr>
          </w:p>
        </w:tc>
      </w:tr>
      <w:tr>
        <w:trPr>
          <w:trHeight w:val="148"/>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1,536</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ROU Asset and Liability recognition</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19,735</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15,067</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Excise tax on treasury stock repurchases</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ten colleges both online, on ground at its campus in Phoenix, Arizona and at six off-site classroom and laboratory sites.</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January 2019, GCE began providing education services to numerous university partners across the United States, through our wholly owned subsidiary, Orbis Education.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2023, GCE provides education services to 25 university partners across the Unites States.</w:t>
      </w:r>
    </w:p>
    <w:p>
      <w:pPr>
        <w:spacing w:after="0" w:line="19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GCE was formed in Delaware in November 2003 as a limited liability company, under the name Significant Education, LLC, for the purchase of acquiring the assets of the University from a non-profit foundation on February 2, 2004. On August 24, 2005, the Company converted from a limited liability company to a corporation and changed its name to Significant Education, Inc. On May 9, 2008, the Company changed its name to Grand Canyon Education, Inc. On July 1, 2018, the Company sold the university to GCU (the “Transaction”). The Company’s wholly owned subsidiaries were historically used to facilitate expansion of the university campus prior to the Transaction.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Intercompany transactions have been eliminated in consolidation.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including the collection of accounts receivables and reserves associated with uncertain tax positions. Actual results could differ from those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considered investments in corporate bonds, commercial paper, municipal securities, asset backed securities, municipal bonds, and collateralized mortgage obligations as available-for-sale securities based on the Company’s intent for the respective securities. Available-for-sale securities 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carried at fair value, determined using Level 1 and Level 2 of the hierarchy of valuation inputs, with the use of quoted market prices and inputs other than quoted prices that are observable for the assets. Unrealized investment gains and losses, net of tax, are reported as a separate component of other comprehensive income. Unrealized losses considered to be other-than temporary are recognized currently in earnings. Amortization of premiums, accretion of discounts, interest and dividend income and realized gains and losses are included in interest and other income.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Arrangements with GCU</w:t>
      </w:r>
    </w:p>
    <w:p>
      <w:pPr>
        <w:spacing w:after="0" w:line="229" w:lineRule="exact"/>
        <w:rPr>
          <w:sz w:val="20"/>
          <w:szCs w:val="20"/>
          <w:color w:val="auto"/>
        </w:rPr>
      </w:pPr>
    </w:p>
    <w:p>
      <w:pPr>
        <w:ind w:left="60" w:right="99" w:firstLine="441"/>
        <w:spacing w:after="0" w:line="254" w:lineRule="auto"/>
        <w:rPr>
          <w:sz w:val="20"/>
          <w:szCs w:val="20"/>
          <w:color w:val="auto"/>
        </w:rPr>
      </w:pPr>
      <w:r>
        <w:rPr>
          <w:rFonts w:ascii="Times New Roman" w:cs="Times New Roman" w:eastAsia="Times New Roman" w:hAnsi="Times New Roman"/>
          <w:sz w:val="18"/>
          <w:szCs w:val="18"/>
          <w:color w:val="auto"/>
        </w:rPr>
        <w:t>On July 1, 2018, the Company consummated an Asset Purchase Agreement (the “Asset Purchase Agreement”) with GCU. In conjunction with the Asset Purchase Agreement, we received a secured note from GCU as consideration for the transferred assets in the initial principal amount of $870,097 (the “Secured Note”) which was repaid by GCU in the fourth quarter of 2021. In connection therewith, the Company and GCU entered into a long-term master services agreement (the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Internally Developed Technology</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Content Development</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87"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60" w:right="459"/>
        <w:spacing w:after="0" w:line="273" w:lineRule="auto"/>
        <w:rPr>
          <w:sz w:val="20"/>
          <w:szCs w:val="20"/>
          <w:color w:val="auto"/>
        </w:rPr>
      </w:pPr>
      <w:r>
        <w:rPr>
          <w:rFonts w:ascii="Times New Roman" w:cs="Times New Roman" w:eastAsia="Times New Roman" w:hAnsi="Times New Roman"/>
          <w:sz w:val="17"/>
          <w:szCs w:val="17"/>
          <w:color w:val="auto"/>
        </w:rPr>
        <w:t>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December 31, 2023 and 2022, $746 and $910, respectively, net of amortization, of deferred content assets are included in other assets in the Company’s consolidated balance sheets and amortization is included in technical and academic services where the costs originated.</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Amortizable Intangible Assets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 Following this assessment, the Company determined that it is more likely than not that its fair value exceeds its carrying amount.</w:t>
      </w:r>
    </w:p>
    <w:p>
      <w:pPr>
        <w:spacing w:after="0" w:line="19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December 31, 2023. Recoverability of assets to be held and used is measured by a comparison of the carrying amount of an asset to undiscounted future net cash flows expected to be generated by the assets. If such intangible assets are not recoverable,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a potential impairment loss is recognized to the extent the carrying amounts of the assets exceeds the fair value of the assets.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accounts payable, accrued compensation and benefits and accrued liabilities approximate their fair value based on the liquidity or the short-term maturities of these instruments.</w:t>
      </w:r>
    </w:p>
    <w:p>
      <w:pPr>
        <w:spacing w:after="0" w:line="1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of fair value measurements for each level is described below, with Level 1 having the highest priority.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inputs are quoted prices (unadjusted) in active markets for identical assets or liabilities.</w:t>
      </w:r>
    </w:p>
    <w:p>
      <w:pPr>
        <w:spacing w:after="0" w:line="225" w:lineRule="exact"/>
        <w:rPr>
          <w:sz w:val="20"/>
          <w:szCs w:val="20"/>
          <w:color w:val="auto"/>
        </w:rPr>
      </w:pPr>
    </w:p>
    <w:p>
      <w:pPr>
        <w:ind w:left="700" w:right="139"/>
        <w:spacing w:after="0" w:line="266" w:lineRule="auto"/>
        <w:rPr>
          <w:sz w:val="20"/>
          <w:szCs w:val="20"/>
          <w:color w:val="auto"/>
        </w:rPr>
      </w:pPr>
      <w:r>
        <w:rPr>
          <w:rFonts w:ascii="Times New Roman" w:cs="Times New Roman" w:eastAsia="Times New Roman" w:hAnsi="Times New Roman"/>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25"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Investments are comprised of corporate bonds, commercial paper, municipal securities, asset backed securities, municipal bonds, and collateralized mortgage obligations.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payable or refundable for the current year and deferred tax assets and liabilities for future tax consequences of events that have been recognized in the Company’s consolidated financial statements or tax returns. Deferred tax assets and liabilities are measured using enacted tax rates in effect for the year in which the temporary differences are expected to be realized.</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applies a more-likely-than-not threshold for financial statement recognition and measurement of an uncertain tax position taken or expected to be taken in a tax return. The Company recognizes interest and penalties related to uncertain tax positions in income tax expense. As of December 31, 2023 and 2022, the Company has reserved approximately $13,631 and $15,862, respectively, for uncertain tax positions, including interest and penalties, which is classified within accrued liabilities on the accompanying consolidated balance sheet.</w:t>
      </w:r>
    </w:p>
    <w:p>
      <w:pPr>
        <w:spacing w:after="0" w:line="183"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Company accrues for a contingent obligation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459" w:firstLine="648"/>
        <w:spacing w:after="0" w:line="261" w:lineRule="auto"/>
        <w:rPr>
          <w:sz w:val="20"/>
          <w:szCs w:val="20"/>
          <w:color w:val="auto"/>
        </w:rPr>
      </w:pPr>
      <w:r>
        <w:rPr>
          <w:rFonts w:ascii="Times New Roman" w:cs="Times New Roman" w:eastAsia="Times New Roman" w:hAnsi="Times New Roman"/>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spacing w:after="0" w:line="180"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200" w:lineRule="exact"/>
        <w:rPr>
          <w:sz w:val="20"/>
          <w:szCs w:val="20"/>
          <w:color w:val="auto"/>
        </w:rPr>
      </w:pPr>
    </w:p>
    <w:p>
      <w:pPr>
        <w:spacing w:after="0" w:line="22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December 31, 2023 given historical collection experience. The Company will continue to review and revise its allowance methodology based on its collection experience with its partners.</w:t>
      </w:r>
    </w:p>
    <w:p>
      <w:pPr>
        <w:spacing w:after="0" w:line="18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For our partners with unbilled revenue, revenue recognition occurs in advance of billings. Billings for some university partners do not occur until after the service period has commenced and final enrollment information is available. Our unbilled revenue of $188 and $5,560 as of December 31, 2023 and 2022, respectively, are included in accounts receivable in our consolidated balance sheets. Deferred revenue represents the excess of amounts received as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records its accounts receivable and previously had recorded its Secured Note receivable at the net amount expected to be collected. Our accounts receivable are derived through education services provided to university partners. Our Secured Note receivable was derived through the sale of university-related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In the first quarter of 2020, the Company adopted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using a modified retrospective approach. This model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 In the fourth quarter of 2021, the Secured Note receivable was paid off in full and the credit loss reserve of $5,000 was reversed. The Company will continue to actively monitor other factors on expected credit losses.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Academic Services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these services, primarily at the Company’s Phoenix, Arizona and Indianapolis, Indiana locations.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Counseling Services and Support</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rent, and occupancy costs attributable to the provision of these services, primarily at the Company’s Phoenix, Arizona and Indianapolis, Indiana locations.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Marketing and Communication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occupancy costs attributable to the provision of these services, primarily at the Company’s Phoenix, Arizona and Indianapolis, Indiana locations. Advertising costs are expensed as incurred.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Insurance/Self-Insurance</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uses a combination of insurance and self-insurance for a number of risks, including claims related to employee healthcare,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believes the credit risk related to cash equivalents and investments is limited due to its adherence to an investment policy that required investments to have a minimum BBB rating, depending on the type of security, by one major rating agency at the time of purchase. All of the Company’s cash equivalents and investments as of December 31, 2023 and 2022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December 31, 2023 and December 31, 2022, the Company had $145,474 and $119,639, respectively, in excess of the FDIC insured limit. The Company is also subject to credit risk for its accounts receivable balance. The Company has not experienced any losses on accounts receivables since July 1, 2018, the date the Company transitioned to an education service company. To manage accounts receivable risk, the Company maintains an allowance for doubtful accounts, if needed. Our dependence on our most significant university partner, with 87.8% and 85.8% of total service revenue for the years ended December 31, 2023 and 2022, respectively, subjects us to the risk that declines in our customer’s operations would result in a sustained reduction in service revenue for the Company.</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In November 20233, the FASB issued ASU No. 2023-07, “Segment Reporting (Topic 280): Improvements to Reportable Segment Disclosure,” effective for fiscal years beginning after December 15, 2023, with early adoption permitted. The ASU adds disclosure requirements for segment expense information. The ASU clarifies that single reportable segment entities are subject to Topic 280 in its entirety. The Company does not expect the adoption of this guidance to have a material impact on the Company’s financial condition, results of operations or statements of cash flows.</w:t>
      </w:r>
    </w:p>
    <w:p>
      <w:pPr>
        <w:spacing w:after="0" w:line="16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does not expect the adoption of this guidance to have a material impact on the Company’s financial condition, results of operations or statements of cash flows.</w:t>
      </w:r>
    </w:p>
    <w:p>
      <w:pPr>
        <w:spacing w:after="0" w:line="187"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Company has determined that no other recent accounting pronouncements apply to its operations or could otherwise have a material impact on its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229"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investments of $98,031 and $61,295, respectively, classified as available-for sale securities.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2023, the Company had available-for-sale investments comprised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4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79,020</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Agency bonds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39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and 2022, the net unrealized gains and losses were $476 and $533, respectively, net of taxes. Available-for-sale securities are carried at fair value on the consolidated balance sheets. The Company estimates the lifetime expected credit losses for all available-for-sale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Available-for-sale securities maturing as of December 31:</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 maturing as of December 31:</w:t>
            </w:r>
          </w:p>
        </w:tc>
        <w:tc>
          <w:tcPr>
            <w:tcW w:w="2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5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9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960" w:type="dxa"/>
            <w:vAlign w:val="bottom"/>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2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Allowance for Credit Losses</w:t>
      </w:r>
    </w:p>
    <w:p>
      <w:pPr>
        <w:spacing w:after="0" w:line="3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94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4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4"/>
                <w:szCs w:val="14"/>
                <w:b w:val="1"/>
                <w:bCs w:val="1"/>
                <w:color w:val="auto"/>
                <w:w w:val="94"/>
              </w:rPr>
              <w:t>Period</w:t>
            </w:r>
            <w:r>
              <w:rPr>
                <w:rFonts w:ascii="Times New Roman" w:cs="Times New Roman" w:eastAsia="Times New Roman" w:hAnsi="Times New Roman"/>
                <w:sz w:val="20"/>
                <w:szCs w:val="20"/>
                <w:b w:val="1"/>
                <w:bCs w:val="1"/>
                <w:color w:val="auto"/>
                <w:w w:val="94"/>
                <w:vertAlign w:val="superscript"/>
              </w:rPr>
              <w:t>(1)</w:t>
            </w:r>
          </w:p>
        </w:tc>
        <w:tc>
          <w:tcPr>
            <w:tcW w:w="8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4"/>
                <w:szCs w:val="14"/>
                <w:b w:val="1"/>
                <w:bCs w:val="1"/>
                <w:color w:val="auto"/>
                <w:w w:val="97"/>
              </w:rPr>
              <w:t>Expense</w:t>
            </w:r>
            <w:r>
              <w:rPr>
                <w:rFonts w:ascii="Times New Roman" w:cs="Times New Roman" w:eastAsia="Times New Roman" w:hAnsi="Times New Roman"/>
                <w:sz w:val="20"/>
                <w:szCs w:val="20"/>
                <w:b w:val="1"/>
                <w:bCs w:val="1"/>
                <w:color w:val="auto"/>
                <w:w w:val="97"/>
                <w:vertAlign w:val="superscript"/>
              </w:rPr>
              <w:t>(2)</w:t>
            </w:r>
          </w:p>
        </w:tc>
        <w:tc>
          <w:tcPr>
            <w:tcW w:w="74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b w:val="1"/>
                <w:bCs w:val="1"/>
                <w:color w:val="auto"/>
                <w:w w:val="94"/>
              </w:rPr>
              <w:t>Transfers</w:t>
            </w:r>
            <w:r>
              <w:rPr>
                <w:rFonts w:ascii="Times New Roman" w:cs="Times New Roman" w:eastAsia="Times New Roman" w:hAnsi="Times New Roman"/>
                <w:sz w:val="20"/>
                <w:szCs w:val="20"/>
                <w:b w:val="1"/>
                <w:bCs w:val="1"/>
                <w:color w:val="auto"/>
                <w:w w:val="94"/>
                <w:vertAlign w:val="superscript"/>
              </w:rPr>
              <w:t>(3)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9" w:lineRule="exact"/>
        <w:rPr>
          <w:sz w:val="20"/>
          <w:szCs w:val="20"/>
          <w:color w:val="auto"/>
        </w:rPr>
      </w:pPr>
    </w:p>
    <w:p>
      <w:pPr>
        <w:ind w:left="480" w:right="359" w:hanging="430"/>
        <w:spacing w:after="0" w:line="261"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cumulative effect of the adoption of ASU No. 2016-13 on the Secured Note receivable, which was recorded during the year ended December 31, 2020.</w:t>
      </w:r>
    </w:p>
    <w:p>
      <w:pPr>
        <w:ind w:left="480" w:right="319" w:hanging="430"/>
        <w:spacing w:after="0" w:line="250"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2021, the Secured Note receivable was paid off in full and the credit loss reserve of $5,000 was reversed.</w:t>
      </w:r>
    </w:p>
    <w:p>
      <w:pPr>
        <w:ind w:left="480" w:hanging="43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represent accounts written off, net of recoveries.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51,399</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119,316</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58,904</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w:t>
            </w: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296,529</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(170,415)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(149,025)</w:t>
            </w: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147,504</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and equipment totaled $23,106, $22,115 and $21,441 for the years ended December 31, 2023, 2022, and 2021,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Identified intangible assets of $210,280 consisted primarily of university partner relationships that were valued at $210,000, which arose in connection with the 2019 Acquisition.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Amortizable intangible assets consist of the following as of:</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5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80" w:type="dxa"/>
            <w:vAlign w:val="bottom"/>
          </w:tcPr>
          <w:p>
            <w:pPr>
              <w:spacing w:after="0"/>
              <w:rPr>
                <w:sz w:val="10"/>
                <w:szCs w:val="10"/>
                <w:color w:val="auto"/>
              </w:rPr>
            </w:pPr>
          </w:p>
        </w:tc>
        <w:tc>
          <w:tcPr>
            <w:tcW w:w="10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University partner relationships</w:t>
            </w:r>
          </w:p>
        </w:tc>
        <w:tc>
          <w:tcPr>
            <w:tcW w:w="1420" w:type="dxa"/>
            <w:vAlign w:val="bottom"/>
            <w:tcBorders>
              <w:top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7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Amortization expense for university partner relationships and trade names for the years ending December 31:</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126,286</w:t>
            </w:r>
          </w:p>
        </w:tc>
      </w:tr>
      <w:tr>
        <w:trPr>
          <w:trHeight w:val="209"/>
        </w:trPr>
        <w:tc>
          <w:tcPr>
            <w:tcW w:w="7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168,381</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for off-campus classroom and laboratory site locations, office space, office equipment, and optical fiber communication lines. These leases have terms that range from five months to 10 years and five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$13,496, $10,666 and $9,723 for the years ended December 31, 2023, 2022 and 2021, respectively.</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$23,758 of non-cancelable operating lease commitments for five off-campus classroom and laboratory sites and $192 for optical fiber communication lines that had not yet commenced. The Company’s weighted-average remaining lease term relating to its operating leases is 8.02 years, with a weighted-average discount rate of 3.88%. The cash paid for operating lease liabilities was $11,391 for the year ended December 31, 2023. As of December 31, 2023, the Company had no financing leases.</w:t>
      </w:r>
    </w:p>
    <w:p>
      <w:pPr>
        <w:spacing w:after="0" w:line="183"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Future payment obligations with respect to the Company’s operating leases, which were existing at December 31, 2023, by year and in the aggregate, are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14,598</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r>
      <w:tr>
        <w:trPr>
          <w:trHeight w:val="216"/>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45,261</w:t>
            </w: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116,677</w:t>
            </w:r>
          </w:p>
        </w:tc>
      </w:tr>
      <w:tr>
        <w:trPr>
          <w:trHeight w:val="210"/>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99,281</w:t>
            </w: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pending litigation matters, the Company’s ultimate legal and financial responsibility, if any, cannot be estimated with certainty and, in most cases, any potential losses related to those matters are not considered probable.</w:t>
      </w:r>
    </w:p>
    <w:p>
      <w:pPr>
        <w:spacing w:after="0" w:line="16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Pending Litigation Matters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Shareholder Litigation. </w:t>
      </w:r>
      <w:r>
        <w:rPr>
          <w:rFonts w:ascii="Times New Roman" w:cs="Times New Roman" w:eastAsia="Times New Roman" w:hAnsi="Times New Roman"/>
          <w:sz w:val="18"/>
          <w:szCs w:val="18"/>
          <w:color w:val="auto"/>
        </w:rPr>
        <w:t>On May 12, 2020, a securities class action complaint was filed in the U.S.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District of Delaware by the City of Hialeah Employees’ Retirement System naming the Company, Brian E. Mueller and Daniel E. Bachus as defendants for allegedly making false and materially misleading statements regarding the circumstances surrounding the Company’s sale of Grand Canyon University (the “University”) to a non-profit entity on July 1, 2018 and the subsequent decision of the U.S. Department of Education to continue to treat the University as a for-profit institution for education regulatory purposes (collectively, the “Conversion”). The complaint asserted a putative class period stemming from January 5, 2018, the date when the Company announced that it had applied to the University’s accreditor for approval of the Conversion, to January 27, 2020, the date prior to the publication of a short-seller report focused on the Conversion. A substantially similar complaint was filed in the same court by Grant Walsh on June 12, 2020 making similar allegations against the Company, Mr. Mueller and Mr. Bachus. Both complaints alleged violations of Sections 10(b) and 20(a) of the Securities Exchange Act of 1934, as amended, and Rule 10b-5 promulgated thereunder and sought unspecified monetary relief, interest, and attorneys’ fees.</w:t>
      </w:r>
    </w:p>
    <w:p>
      <w:pPr>
        <w:spacing w:after="0" w:line="192"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On August 13, 2020, the two cases were consolidated and the Fire and Police Association of Colorado, the Oakland County Employees’ Retirement System and the Oakland County Voluntary Employees’ Beneficiary Association Trust were appointed as lead plaintiffs. Thereafter, the plaintiffs filed a consolidated amended complaint on October 20, 2020 and the Company filed a motion to dismiss on December 21, 2020. On August 23, 2021, the Court granted the Company’s motion to dismiss in its entirety but permitted plaintiffs to file a further amended complaint to correct deficiencies in the initial complaint. The plaintiffs filed further amended complaints on September 28, 2021 and January 21, 2022, and the Company filed a further motion to dismiss on March 15, 2022. On March 28, 2023, the Company’s motion to dismiss was denied. On January 5, 2024, plaintiffs moved for class certification and the briefing on plaintiffs’ motion is ongoing.</w:t>
      </w:r>
    </w:p>
    <w:p>
      <w:pPr>
        <w:spacing w:after="0" w:line="18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22, 2023, the Company was named as a nominal defendant and certain of the Company’s current and former directors and officers were named as defendants in a shareholder derivative lawsuit filed in the Delaware Court of Chancery related to, among other things, the allegations in the aforementioned securities class action. The complaint asserts claims for breach of fiduciary duty, unjust enrichment, aiding and abetting breach of fiduciary duty, and corporate waste against all defendants. There is no pending deadline for Defendants to answer or move to dismiss the complaint. The Company intends to defend itself in these legal proceedings vigorously. The outcome of these legal proceedings is uncertain at this point. At present, the Company cannot reasonably estimate a range of loss for these actions based on the information available to the Company. Accordingly, the Company has not accrued any liability associated with these actions.</w:t>
      </w:r>
    </w:p>
    <w:p>
      <w:pPr>
        <w:spacing w:after="0" w:line="186"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FTC Complaint. </w:t>
      </w:r>
      <w:r>
        <w:rPr>
          <w:rFonts w:ascii="Times New Roman" w:cs="Times New Roman" w:eastAsia="Times New Roman" w:hAnsi="Times New Roman"/>
          <w:sz w:val="18"/>
          <w:szCs w:val="18"/>
          <w:color w:val="auto"/>
        </w:rPr>
        <w:t>On December 27, 2023, a complaint was filed in the U.S. District Court for the District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Arizona by the Federal Trade Commission (“FTC”) naming GCU, GCE, and Brian E. Mueller, our Chief Executive Officer, as defendants for allegedly (i) violating Section 5(a) of the FTC Act by making false and deceptive statements regarding GCU’s status as a non-profit university and the cost to complete certain of GCU’s doctoral programs, and (ii) violating the FTC’s Telemarketing Sales Rule by making the alleged false and deceptive statements in connection with the telemarketing of education services, and making telemarketing sales calls to persons who have opted out of receiving telemarketing sales calls from GCU or GCE or who are otherwise listed on the national “do not call” registry. The complaint followed upon the previously disclosed civil investigative demands that that the FTC issued to the Company in May 2022 and January 2023 seeking information regarding our marketing services and related services that we provide to GCU. The complaint seeks a permanent injunction against the defendants to prevent further violations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FTC Act and the Telemarketing Sales Rule, monetary civil penalties, and other relief. The Company intends to defend itself vigorously in this legal proceeding.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spacing w:after="0" w:line="178" w:lineRule="exact"/>
        <w:rPr>
          <w:sz w:val="20"/>
          <w:szCs w:val="20"/>
          <w:color w:val="auto"/>
        </w:rPr>
      </w:pPr>
    </w:p>
    <w:p>
      <w:pPr>
        <w:ind w:left="60" w:right="59" w:firstLine="648"/>
        <w:spacing w:after="0" w:line="269" w:lineRule="auto"/>
        <w:rPr>
          <w:sz w:val="20"/>
          <w:szCs w:val="20"/>
          <w:color w:val="auto"/>
        </w:rPr>
      </w:pPr>
      <w:r>
        <w:rPr>
          <w:rFonts w:ascii="Times New Roman" w:cs="Times New Roman" w:eastAsia="Times New Roman" w:hAnsi="Times New Roman"/>
          <w:sz w:val="17"/>
          <w:szCs w:val="17"/>
          <w:i w:val="1"/>
          <w:iCs w:val="1"/>
          <w:color w:val="auto"/>
        </w:rPr>
        <w:t>False Claims Act Matter</w:t>
      </w:r>
      <w:r>
        <w:rPr>
          <w:rFonts w:ascii="Times New Roman" w:cs="Times New Roman" w:eastAsia="Times New Roman" w:hAnsi="Times New Roman"/>
          <w:sz w:val="17"/>
          <w:szCs w:val="17"/>
          <w:color w:val="auto"/>
        </w:rPr>
        <w:t>. In May 2020, we were served with a</w:t>
      </w:r>
      <w:r>
        <w:rPr>
          <w:rFonts w:ascii="Times New Roman" w:cs="Times New Roman" w:eastAsia="Times New Roman" w:hAnsi="Times New Roman"/>
          <w:sz w:val="17"/>
          <w:szCs w:val="17"/>
          <w:i w:val="1"/>
          <w:iCs w:val="1"/>
          <w:color w:val="auto"/>
        </w:rPr>
        <w:t xml:space="preserve"> qui tam </w:t>
      </w:r>
      <w:r>
        <w:rPr>
          <w:rFonts w:ascii="Times New Roman" w:cs="Times New Roman" w:eastAsia="Times New Roman" w:hAnsi="Times New Roman"/>
          <w:sz w:val="17"/>
          <w:szCs w:val="17"/>
          <w:color w:val="auto"/>
        </w:rPr>
        <w:t>lawsuit that had been filed against us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2019 in the U.S. District Court for the District of Massachusetts by a former employee on behalf of the federal government. All proceedings in the lawsuit had been under seal until February 2020, when the U.S. government decided to not intervene in the lawsuit, and the complaint was then unsealed by the court. The suit, </w:t>
      </w:r>
      <w:r>
        <w:rPr>
          <w:rFonts w:ascii="Times New Roman" w:cs="Times New Roman" w:eastAsia="Times New Roman" w:hAnsi="Times New Roman"/>
          <w:sz w:val="17"/>
          <w:szCs w:val="17"/>
          <w:i w:val="1"/>
          <w:iCs w:val="1"/>
          <w:color w:val="auto"/>
        </w:rPr>
        <w:t>United States ex rel Mackillop v. Grand Canyon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Education, Inc.</w:t>
      </w:r>
      <w:r>
        <w:rPr>
          <w:rFonts w:ascii="Times New Roman" w:cs="Times New Roman" w:eastAsia="Times New Roman" w:hAnsi="Times New Roman"/>
          <w:sz w:val="17"/>
          <w:szCs w:val="17"/>
          <w:color w:val="auto"/>
        </w:rPr>
        <w:t>, alleges that we violated the False Claims Act by improperly compensating certain of our enrollment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counselors in violation of the Title IV law governing compensation of such employees (the “incentive compensation rule”), and as a result, improperly received Title IV program funds. In response to a second amended complaint filed in September 2020, we filed a motion to dismiss and a motion to transfer the matter to the U.S. District Court for the District of Arizona. In December 2020, the court granted our motion to dismiss as to one of three counts and granted the motion to transfer but only upon conclusion of pretrial proceedings. In September 2021, we filed a motion for summary judgment which the Massachusetts court denied in September 2022. Subsequently, the matter was transferred to the Arizona court, and we filed a motion for reconsideration of the summary judgment ruling in September 2023; that motion remains pending. Subject to the ruling on our motion for reconsideration, the matter is scheduled to go to trial in late April 2024.</w:t>
      </w:r>
    </w:p>
    <w:p>
      <w:pPr>
        <w:spacing w:after="0" w:line="178"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compensation practices at issue in the complaint, which were developed with the guidance of outside regulatory counsel specifically to comply with Title IV and its regulations and relevant case law interpreting the incentive compensation rule, do not violate applicable law. The Company intends to defend itself vigorously in this legal proceeding.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Reserves, Non-Income Tax Related</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exposure to various non-income tax related matters that arise in the ordinary course of business. At both December 31, 2023 and 2022, the Company has no reserve for tax matters where its ultimate exposure is considered probable and the potential loss can be reasonably estimated.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02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stock options and restricted stock</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32,237</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9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Diluted weighted average shares outstanding excludes the incremental effect of unvested restricted stock and shares that would be issued upon the assumed exercise of stock options in accordance with the treasury stock method. For each of the years ended December 31, 2023, 2022 and 2021, approximately 52, 58, and 79, respectively, of the Company’s restricted stock awards outstanding were excluded from the calculation of diluted earnings per share as their inclusion would have been anti-dilutive. These restricted stock awards could be dilutive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Equity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 had 10,000 shares of authorized but unissued and undesignated preferred stock. The Company’s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January 2021, July 2021, January 2022, October 2022 and October 2023 the Board of Directors increased the authorization under its existing stock repurchase program by $100,000, $970,000, $175,000, $200,000 and $200,000, respectively, reflecting an aggregate authorization for share repurchases since the initiation of our program of $2,045,000. The expiration date on the repurchase authorization is March 1, 2025.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repurchased 1,170 shares of common stock at an aggregate cost of $130,793. As of December 31, 2023, there remained $265,053 available under its current share repurchase authorization. Shares repurchased in lieu of taxes are not included in the repurchase plan totals as they were approved in conjunction with the restricted share awards.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Company will realize the benefits of these deductible differences. The Company has no valuation allowance at December 31, 2023 and 2022.</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8"/>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06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50,194</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59,450</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10"/>
        </w:trPr>
        <w:tc>
          <w:tcPr>
            <w:tcW w:w="50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65,272</w:t>
            </w: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09"/>
        </w:trPr>
        <w:tc>
          <w:tcPr>
            <w:tcW w:w="50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w:t>
            </w: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recorded as an increase of paid-in capital</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70,945</w:t>
            </w:r>
          </w:p>
        </w:tc>
      </w:tr>
      <w:tr>
        <w:trPr>
          <w:trHeight w:val="20"/>
        </w:trPr>
        <w:tc>
          <w:tcPr>
            <w:tcW w:w="5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income tax computed at the U.S. statutory rate to the effective income tax rate is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82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credits, net of federal effect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included in Deferred income taxes, non-current on the consolidated balance sheets are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980" w:type="dxa"/>
            <w:vAlign w:val="bottom"/>
            <w:gridSpan w:val="3"/>
          </w:tcPr>
          <w:p>
            <w:pPr>
              <w:ind w:left="17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Pr>
          <w:p>
            <w:pPr>
              <w:spacing w:after="0"/>
              <w:rPr>
                <w:sz w:val="13"/>
                <w:szCs w:val="13"/>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74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compensation</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taxes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7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17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40" w:type="dxa"/>
            <w:vAlign w:val="bottom"/>
            <w:vMerge w:val="restart"/>
          </w:tcPr>
          <w:p>
            <w:pPr>
              <w:jc w:val="right"/>
              <w:ind w:right="756"/>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net deferred tax liability on the accompanying consolidated balance sheet is comprised of the following:</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20" w:type="dxa"/>
            <w:vAlign w:val="bottom"/>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current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(31,867)</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(31,367)</w:t>
            </w:r>
          </w:p>
        </w:tc>
      </w:tr>
      <w:tr>
        <w:trPr>
          <w:trHeight w:val="209"/>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59" w:firstLine="648"/>
        <w:spacing w:after="0" w:line="277" w:lineRule="auto"/>
        <w:rPr>
          <w:sz w:val="20"/>
          <w:szCs w:val="20"/>
          <w:color w:val="auto"/>
        </w:rPr>
      </w:pPr>
      <w:r>
        <w:rPr>
          <w:rFonts w:ascii="Times New Roman" w:cs="Times New Roman" w:eastAsia="Times New Roman" w:hAnsi="Times New Roman"/>
          <w:sz w:val="17"/>
          <w:szCs w:val="17"/>
          <w:color w:val="auto"/>
        </w:rPr>
        <w:t>The Company recognizes the impact of a tax position in its financial statements if that position is more-likely-than-not to be sustained on audit, based on the technical merits of the position. The Company discloses all unrecognized tax benefits, which includes the reserves recorded for uncertain tax positions on filed tax returns and the unrecognized portion of affirmative claims. The Company recognizes interest and penalties related to uncertain tax positions in income tax expense. Unrecognized tax benefits as of December 31, 2023 and 2022 were $13,631 and $15,862, respectively.</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reconciliation of the beginning and ending balance of unrecognized tax benefits at December 31, is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7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$ 15,862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$ 14,108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taken during the current year</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Decreases</w:t>
            </w:r>
          </w:p>
        </w:tc>
        <w:tc>
          <w:tcPr>
            <w:tcW w:w="7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positions taken during a prior year</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Decreases for settlements during the period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lapses of applicable statute of limitations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09"/>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7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$ 13,631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$ 15,862</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unrecognized tax benefit recorded of $13,631 and $15,862, respectively, if reversed, would impact the effective tax rate. At December 31, 2023 and 2022, the Company had accrued $0 and $93, respectively, in interest and $0 and $112, respectively, in penalties. It is reasonably possible that the amount of the unrecognized tax benefit will change during the next 12 months, however management does not expect the potential change to have a material effect on the results of operations or financial position.</w:t>
      </w:r>
    </w:p>
    <w:p>
      <w:pPr>
        <w:spacing w:after="0" w:line="183"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Company’s uncertain tax positions were related to tax years that remained subject to examination by tax authorities. As of December 31, 2023, the earliest tax year still subject to examination for federal and state purposes is 2020 and 2019,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Share-Based Compensation Plans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Incentive Plans</w:t>
      </w:r>
    </w:p>
    <w:p>
      <w:pPr>
        <w:spacing w:after="0" w:line="227"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makes equity incentive grants pursuant to our 2017 Equity Incentive Plan (the “2017 Plan”) under which a maximum of 3,000 shares may be granted. As of December 31, 2023, 1,081 shares were available for grants under the 2017 Plan.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During fiscal years 2023, 2022, and 2021, the Company granted 136, 189, and 180 shares of common stock, respectively, with a service vesting condition to certain of its executives, officers, and employees. The restricted shares have voting rights and vest evenly at 20% over each of the next five years. Upon vesting, shares will be held in lieu of taxes equivalent to the statutory tax withholding required to be paid when the restricted stock vests. During the years ended December 31, 2023, 2022 and 2021, the Company withheld 56, 52, and 56 shares of common stock in lieu of taxes at a cost of $6,331, $4,625, and $5,994, on the restricted stock vesting dates, respectively. During 2023, 2022 and 2021, following the annual stockholders meeting, the Company granted 4, 4 and 4 shares of common stock to the non-employee members of the Company’s Board of Directors. The restricted shares granted to these directors have voting rights and vest on the earlier of (a) the one year anniversary of the date of grant or (b) immediately prior to the following year’s annual stockholders’ meeting. Included in the 2021 amount is an initial award of shares that was granted to a newly appointed non-employee director pursuant to the Company’s compensation program. The 2021 newly appointed non-employee director also received an annual grant of restricted shares. The initial award of shares that were granted in 2021 to the newly appointed non-employee director have voting rights and vest on the one year anniversary of the date of grant.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activity related to restricted stock granted under the Company’s Incentive Plan is as follows: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line="20" w:lineRule="exact"/>
              <w:rPr>
                <w:sz w:val="1"/>
                <w:szCs w:val="1"/>
                <w:color w:val="auto"/>
              </w:rPr>
            </w:pPr>
          </w:p>
        </w:tc>
      </w:tr>
      <w:tr>
        <w:trPr>
          <w:trHeight w:val="196"/>
        </w:trPr>
        <w:tc>
          <w:tcPr>
            <w:tcW w:w="5220" w:type="dxa"/>
            <w:vAlign w:val="bottom"/>
            <w:gridSpan w:val="2"/>
            <w:vMerge w:val="continue"/>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2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0" w:type="dxa"/>
            <w:vAlign w:val="bottom"/>
          </w:tcPr>
          <w:p>
            <w:pPr>
              <w:spacing w:after="0" w:line="20" w:lineRule="exact"/>
              <w:rPr>
                <w:sz w:val="1"/>
                <w:szCs w:val="1"/>
                <w:color w:val="auto"/>
              </w:rPr>
            </w:pPr>
          </w:p>
        </w:tc>
      </w:tr>
      <w:tr>
        <w:trPr>
          <w:trHeight w:val="196"/>
        </w:trPr>
        <w:tc>
          <w:tcPr>
            <w:tcW w:w="5220" w:type="dxa"/>
            <w:vAlign w:val="bottom"/>
            <w:gridSpan w:val="2"/>
            <w:vMerge w:val="continue"/>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2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approximately $30,329 of total unrecognized share-based compensation cost related to unvested restricted stock awards. These costs are expected to be recognized over a weighted average period of 2.05 years.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No options were granted in 2023, 2022 and 2021. Prior to 2012, the Company granted time vested options to purchase shares of common stock with an exercise price equal to the fair market value on the date of grant to employees.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These time vested options vested ratably over a period of five years and expire ten years from the date of grant. A summary of the activity related to stock options granted under the Company’s Incentive Plan is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Summary of Stock Options Outstanding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Share-based Compensation Expense Assumptions – Restricted Stock Awards</w:t>
      </w:r>
    </w:p>
    <w:p>
      <w:pPr>
        <w:spacing w:after="0" w:line="227"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 The restricted shares have voting rights.</w:t>
      </w:r>
    </w:p>
    <w:p>
      <w:pPr>
        <w:spacing w:after="0" w:line="183"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table below outlines share-based compensation expense for the fiscal years ended December 31, 2023, 2022 and 2021 related to restricted stock and stock options granted:</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r>
      <w:tr>
        <w:trPr>
          <w:trHeight w:val="174"/>
        </w:trPr>
        <w:tc>
          <w:tcPr>
            <w:tcW w:w="20" w:type="dxa"/>
            <w:vAlign w:val="bottom"/>
          </w:tcPr>
          <w:p>
            <w:pPr>
              <w:spacing w:after="0"/>
              <w:rPr>
                <w:sz w:val="15"/>
                <w:szCs w:val="15"/>
                <w:color w:val="auto"/>
              </w:rPr>
            </w:pPr>
          </w:p>
        </w:tc>
        <w:tc>
          <w:tcPr>
            <w:tcW w:w="458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8"/>
                <w:szCs w:val="18"/>
                <w:b w:val="1"/>
                <w:bCs w:val="1"/>
                <w:color w:val="auto"/>
              </w:rPr>
              <w:t>Share-based compensation expense included in operating</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effect of share-based compensation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09"/>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Share-based compensation expense, net of tax</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The Company plans to make a matching contribution to the Plan of approximately $2,951 for the year ended December 31, 2023. The Company made discretionary matching contributions to the Plan of $2,744 and $2,345 for the years ended December 31, 2022 and 2021,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Related party transactions include transactions between the Company and certain of its affiliates. The following transactions were in the normal course of operations and were measured at the exchange amount, which is the amount of consideration established and agreed to by the parties.</w:t>
      </w:r>
    </w:p>
    <w:p>
      <w:pPr>
        <w:spacing w:after="0" w:line="176"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As of and for the years ended December 31, 2023, 2022 and 2021, related party transactions consisted of the following: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Affiliates</w:t>
      </w:r>
    </w:p>
    <w:p>
      <w:pPr>
        <w:spacing w:after="0" w:line="22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GCE Community Fund (“GCECF”) </w:t>
      </w:r>
      <w:r>
        <w:rPr>
          <w:rFonts w:ascii="Times New Roman" w:cs="Times New Roman" w:eastAsia="Times New Roman" w:hAnsi="Times New Roman"/>
          <w:sz w:val="18"/>
          <w:szCs w:val="18"/>
          <w:color w:val="auto"/>
        </w:rPr>
        <w:t>- GCECF was initially formed in 2014. GCECF makes grants for charitable,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educational, literary, religious or scientific purposes within the meaning of Section 501(c ) (3) of the Internal Revenue Code (the “Code”), including for such purposes as the making of distributions to organizations that qualify as exempt organizations under Section 501 (c ) (3) of the Code. The Company’s Chief Executive Officer serves as the president of GCECF and GCECF’s board of directors is comprised entirely of Company executives. The Company is not the primary beneficiary of GCECF, and accordingly, the Company does not consolidate GCECF’s activities with its financial results. The Company made voluntary charitable contributions of $1,650 and $1,150 for each of the years ended December 31, 2023 and 2022, respectively, of which no amounts were owed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7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2023.</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Attached as exhibits to this Annual Report on Form 10-K are certifications of our Chief Executive Officer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225" w:lineRule="exact"/>
        <w:rPr>
          <w:sz w:val="20"/>
          <w:szCs w:val="20"/>
          <w:color w:val="auto"/>
        </w:rPr>
      </w:pPr>
    </w:p>
    <w:p>
      <w:pPr>
        <w:ind w:left="1160" w:right="139" w:hanging="327"/>
        <w:spacing w:after="0" w:line="261" w:lineRule="auto"/>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ind w:left="1160" w:right="299" w:hanging="327"/>
        <w:spacing w:after="0" w:line="250" w:lineRule="auto"/>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8"/>
          <w:szCs w:val="18"/>
          <w:color w:val="auto"/>
        </w:rPr>
      </w:pPr>
    </w:p>
    <w:p>
      <w:pPr>
        <w:ind w:left="1160" w:right="219" w:hanging="327"/>
        <w:spacing w:after="0" w:line="260" w:lineRule="auto"/>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8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77" w:lineRule="auto"/>
        <w:rPr>
          <w:sz w:val="20"/>
          <w:szCs w:val="20"/>
          <w:color w:val="auto"/>
        </w:rPr>
      </w:pPr>
      <w:r>
        <w:rPr>
          <w:rFonts w:ascii="Times New Roman" w:cs="Times New Roman" w:eastAsia="Times New Roman" w:hAnsi="Times New Roman"/>
          <w:sz w:val="17"/>
          <w:szCs w:val="17"/>
          <w:color w:val="auto"/>
        </w:rPr>
        <w:t>Management performed an assessment of the effectiveness of our internal control over financial reporting as of December 31, 2023, utilizing the criteria described in the “Internal Control-Integrated Framework (2013)” issued by the Committee of Sponsoring Organizations of the Treadway Commission. The objective of this assessment was to determine whether our internal control over financial reporting was effective as of December 31, 2023. Based on its assessment, management believes that, as of December 31, 2023, the Company’s internal control over financial reporting is effective.</w:t>
      </w:r>
    </w:p>
    <w:p>
      <w:pPr>
        <w:spacing w:after="0" w:line="168"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2023 has been audited by KPMG LLP, an independent registered public accounting firm, as stated in their audit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Grand Canyon Education, Inc.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60"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stockholders’ equity, and cash flows for each of the years in the three-year period ended December 31, 2023, and the related notes (collectively, the consolidated financial statements), and our report dated February 13, 2024 expressed an unqualified opinion on those consolidated financial statements.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7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439" w:firstLine="648"/>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quarter ended December 31, 2023 that materially affected, or are reasonably likely to materially affect, our internal control over financial reporting.</w:t>
      </w:r>
    </w:p>
    <w:p>
      <w:pPr>
        <w:spacing w:after="0" w:line="136"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We have a policy governing transactions in our securities by directors, officers, employees and others which permits these individuals to enter into trading plans complying with Rule 10b5-1 under the Securities Exchange Act of 1934, as amended.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189" w:lineRule="exact"/>
        <w:rPr>
          <w:sz w:val="20"/>
          <w:szCs w:val="20"/>
          <w:color w:val="auto"/>
        </w:rPr>
      </w:pPr>
    </w:p>
    <w:p>
      <w:pPr>
        <w:jc w:val="both"/>
        <w:ind w:left="60" w:right="239" w:firstLine="441"/>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Dilek Marsh, our Chief Technology Officer, adopted a trading arrangement for the sale of shares of our Common Stock in amounts and prices determined in accordance with such plan, as more fully described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5546090" cy="728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54609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satisfy the affirmative defense conditions of Rule 10b5-1(c).</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intended to satisfy the affirmative defense conditions of Rule 10b5-1(c).</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ind w:left="60" w:right="79" w:firstLine="441"/>
        <w:spacing w:after="0" w:line="255" w:lineRule="auto"/>
        <w:rPr>
          <w:sz w:val="20"/>
          <w:szCs w:val="20"/>
          <w:color w:val="auto"/>
        </w:rPr>
      </w:pPr>
      <w:r>
        <w:rPr>
          <w:rFonts w:ascii="Times New Roman" w:cs="Times New Roman" w:eastAsia="Times New Roman" w:hAnsi="Times New Roman"/>
          <w:sz w:val="18"/>
          <w:szCs w:val="18"/>
          <w:color w:val="auto"/>
        </w:rPr>
        <w:t>On October 25, 2023, the Board of Directors adopted the Recovery of Erroneously-Awarded Incentive Compensation Policy (the “Revised Clawback Policy”) in order to comply with Section 10D of the Exchange Act and the continued listing standards recently adopted by the NASDAQ Stock Exchange. Effective October 25, 2023, the Revised Clawback Policy provides for the mandatory recovery of erroneously awarded incentive-based compensation from current and former executive officers of the Company in the event that the Company is required to prepare an accounting restatement, and amends and restates, in its entirety, the Company’s Incentive Compensation Clawback Policy that was adopted effective as of January 26, 2017.</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2024 Annual Meeting of Stockholders within 120 days after the end of fiscal year ended December 31, 2023.</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www.gce.com/ Investor Relations/Corporate Governance.</w:t>
      </w:r>
    </w:p>
    <w:p>
      <w:pPr>
        <w:spacing w:after="0" w:line="183"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The charters of our Audit Committee, Compensation Committee, and Nominating and Corporate Governance Committee are also available in the Corporate Governance section of our website located at www.gce.com/Investor Relations/Corporate Governance.</w:t>
      </w:r>
    </w:p>
    <w:p>
      <w:pPr>
        <w:spacing w:after="0" w:line="172"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2024 Annual Meeting of Stockholders within 120 days after the end of fiscal year ended December 31, 2023.</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2024 Annual Meeting of Stockholders within 120 days after the end of fiscal year ended December 31, 2023.</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2024 Annual Meeting of Stockholders within 120 days after the end of fiscal year ended December 31, 2023.</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2024 Annual Meeting of Stockholders within 120 days after the end of fiscal year ended December 31, 2023.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Consolidated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The following documents are filed as part of this Annual Report on Form 10-K:</w:t>
      </w:r>
    </w:p>
    <w:p>
      <w:pPr>
        <w:spacing w:after="0" w:line="229" w:lineRule="exact"/>
        <w:rPr>
          <w:sz w:val="20"/>
          <w:szCs w:val="20"/>
          <w:color w:val="auto"/>
        </w:rPr>
      </w:pPr>
    </w:p>
    <w:p>
      <w:pPr>
        <w:ind w:left="1140" w:hanging="415"/>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filed as part of this report</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54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20" w:type="dxa"/>
            <w:vAlign w:val="bottom"/>
            <w:tcBorders>
              <w:bottom w:val="single" w:sz="8" w:color="0000EE"/>
            </w:tcBorders>
          </w:tcPr>
          <w:p>
            <w:pPr>
              <w:spacing w:after="0"/>
              <w:rPr>
                <w:sz w:val="14"/>
                <w:szCs w:val="14"/>
                <w:color w:val="auto"/>
              </w:rPr>
            </w:pPr>
          </w:p>
        </w:tc>
        <w:tc>
          <w:tcPr>
            <w:tcW w:w="420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4160" w:type="dxa"/>
            <w:vAlign w:val="bottom"/>
            <w:tcBorders>
              <w:top w:val="single" w:sz="8" w:color="auto"/>
            </w:tcBorders>
            <w:gridSpan w:val="6"/>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8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8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Income Statements for the years ended December 31, 2023, 2022 and 2021</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2023, 2022 and 2021</w:t>
            </w:r>
          </w:p>
        </w:tc>
        <w:tc>
          <w:tcPr>
            <w:tcW w:w="7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8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2023, 2022 and 2021</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75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9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69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6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3"/>
        </w:trPr>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w:t>
            </w:r>
          </w:p>
        </w:tc>
        <w:tc>
          <w:tcPr>
            <w:tcW w:w="76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Consolidated Financial Statement Schedules:</w:t>
            </w:r>
          </w:p>
        </w:tc>
        <w:tc>
          <w:tcPr>
            <w:tcW w:w="3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Schedules are omitted because they are not required, or because the information required is included in the Consolidated Financial Statements and Notes thereto.</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390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Exhibits</w:t>
            </w:r>
          </w:p>
        </w:tc>
      </w:tr>
      <w:tr>
        <w:trPr>
          <w:trHeight w:val="378"/>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3920" w:type="dxa"/>
            <w:vAlign w:val="bottom"/>
            <w:gridSpan w:val="14"/>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Asset Purchase Agreement, dated July 1, 2018, by</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and between Grand Canyon Education, Inc. and</w:t>
              </w:r>
            </w:hyperlink>
          </w:p>
        </w:tc>
        <w:tc>
          <w:tcPr>
            <w:tcW w:w="160" w:type="dxa"/>
            <w:vAlign w:val="bottom"/>
            <w:tcBorders>
              <w:top w:val="single" w:sz="8" w:color="0000EE"/>
            </w:tcBorders>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4"/>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Grand Canyon University (formerly known as</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Gazelle University)#</w:t>
              </w:r>
            </w:hyperlink>
          </w:p>
        </w:tc>
        <w:tc>
          <w:tcPr>
            <w:tcW w:w="1800" w:type="dxa"/>
            <w:vAlign w:val="bottom"/>
            <w:tcBorders>
              <w:top w:val="single" w:sz="8" w:color="0000EE"/>
            </w:tcBorders>
            <w:gridSpan w:val="3"/>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37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Agreement and Plan of Merger, dated December 17,</w:t>
              </w:r>
            </w:hyperlink>
          </w:p>
        </w:tc>
        <w:tc>
          <w:tcPr>
            <w:tcW w:w="14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2018, by and among Grand Canyon Education, Inc.,</w:t>
              </w:r>
            </w:hyperlink>
          </w:p>
        </w:tc>
        <w:tc>
          <w:tcPr>
            <w:tcW w:w="16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4"/>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GCE Cosmos Merger Sub, LLC and Orbis Education</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Services, LLC#</w:t>
              </w:r>
            </w:hyperlink>
          </w:p>
        </w:tc>
        <w:tc>
          <w:tcPr>
            <w:tcW w:w="2700" w:type="dxa"/>
            <w:vAlign w:val="bottom"/>
            <w:tcBorders>
              <w:top w:val="single" w:sz="8" w:color="0000EE"/>
            </w:tcBorders>
            <w:gridSpan w:val="10"/>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37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Amended and Restated Certificate of Incorporation</w:t>
              </w:r>
            </w:hyperlink>
          </w:p>
        </w:tc>
        <w:tc>
          <w:tcPr>
            <w:tcW w:w="220" w:type="dxa"/>
            <w:vAlign w:val="bottom"/>
            <w:gridSpan w:val="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(as amended)</w:t>
              </w:r>
            </w:hyperlink>
          </w:p>
        </w:tc>
        <w:tc>
          <w:tcPr>
            <w:tcW w:w="2940" w:type="dxa"/>
            <w:vAlign w:val="bottom"/>
            <w:gridSpan w:val="12"/>
          </w:tcPr>
          <w:p>
            <w:pPr>
              <w:spacing w:after="0"/>
              <w:rPr>
                <w:sz w:val="17"/>
                <w:szCs w:val="17"/>
                <w:color w:val="auto"/>
              </w:rPr>
            </w:pPr>
          </w:p>
        </w:tc>
      </w:tr>
      <w:tr>
        <w:trPr>
          <w:trHeight w:val="6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3920" w:type="dxa"/>
            <w:vAlign w:val="bottom"/>
            <w:gridSpan w:val="14"/>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Third Amended and Restated Bylaws</w:t>
              </w:r>
            </w:hyperlink>
          </w:p>
        </w:tc>
      </w:tr>
      <w:tr>
        <w:trPr>
          <w:trHeight w:val="84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Specimen of Stock Certificate</w:t>
              </w:r>
            </w:hyperlink>
          </w:p>
        </w:tc>
        <w:tc>
          <w:tcPr>
            <w:tcW w:w="520" w:type="dxa"/>
            <w:vAlign w:val="bottom"/>
            <w:tcBorders>
              <w:top w:val="single" w:sz="8" w:color="0000EE"/>
            </w:tcBorders>
          </w:tcPr>
          <w:p>
            <w:pPr>
              <w:spacing w:after="0"/>
              <w:rPr>
                <w:sz w:val="24"/>
                <w:szCs w:val="24"/>
                <w:color w:val="auto"/>
              </w:rPr>
            </w:pPr>
          </w:p>
        </w:tc>
        <w:tc>
          <w:tcPr>
            <w:tcW w:w="1220" w:type="dxa"/>
            <w:vAlign w:val="bottom"/>
            <w:gridSpan w:val="8"/>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4771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3"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2.1 to GCE’s Quarterly Report on Form 10-Q filed with the SEC on November 8, 2018.</w:t>
      </w:r>
    </w:p>
    <w:p>
      <w:pPr>
        <w:spacing w:after="0" w:line="392" w:lineRule="exact"/>
        <w:rPr>
          <w:sz w:val="20"/>
          <w:szCs w:val="20"/>
          <w:color w:val="auto"/>
        </w:rPr>
      </w:pPr>
    </w:p>
    <w:p>
      <w:pPr>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2.2 to GCE’s Annual Report on Form 10-K filed with the SEC on February 20, 2019.</w:t>
      </w:r>
    </w:p>
    <w:p>
      <w:pPr>
        <w:spacing w:after="0" w:line="392" w:lineRule="exact"/>
        <w:rPr>
          <w:sz w:val="20"/>
          <w:szCs w:val="20"/>
          <w:color w:val="auto"/>
        </w:rPr>
      </w:pPr>
    </w:p>
    <w:p>
      <w:pPr>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3.1 to GCE’s Annual Report on Form 10-K filed with the SEC on February 20, 2019.</w:t>
      </w:r>
    </w:p>
    <w:p>
      <w:pPr>
        <w:spacing w:after="0" w:line="176"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3.1 to GCE’s Current Report on Form 8-K filed with the SEC on October 29, 2014.</w:t>
      </w:r>
    </w:p>
    <w:p>
      <w:pPr>
        <w:spacing w:after="0" w:line="176" w:lineRule="exact"/>
        <w:rPr>
          <w:sz w:val="20"/>
          <w:szCs w:val="20"/>
          <w:color w:val="auto"/>
        </w:rPr>
      </w:pPr>
    </w:p>
    <w:p>
      <w:pPr>
        <w:ind w:right="239"/>
        <w:spacing w:after="0" w:line="261" w:lineRule="auto"/>
        <w:rPr>
          <w:sz w:val="20"/>
          <w:szCs w:val="20"/>
          <w:color w:val="auto"/>
        </w:rPr>
      </w:pPr>
      <w:r>
        <w:rPr>
          <w:rFonts w:ascii="Times New Roman" w:cs="Times New Roman" w:eastAsia="Times New Roman" w:hAnsi="Times New Roman"/>
          <w:sz w:val="18"/>
          <w:szCs w:val="18"/>
          <w:color w:val="auto"/>
        </w:rPr>
        <w:t>Incorporated by reference to Exhibit 4.1 to Amendment No. 2 to GCE’s Registration Statement on Form S-1 filed with the SEC on September 29, 2008.</w:t>
      </w:r>
    </w:p>
    <w:p>
      <w:pPr>
        <w:spacing w:after="0" w:line="166" w:lineRule="exact"/>
        <w:rPr>
          <w:sz w:val="20"/>
          <w:szCs w:val="20"/>
          <w:color w:val="auto"/>
        </w:rPr>
      </w:pPr>
    </w:p>
    <w:p>
      <w:pPr>
        <w:sectPr>
          <w:pgSz w:w="11900" w:h="16838" w:orient="portrait"/>
          <w:cols w:equalWidth="0" w:num="2">
            <w:col w:w="4860" w:space="200"/>
            <w:col w:w="395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2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Description of Common Stock</w:t>
              </w:r>
            </w:hyperlink>
          </w:p>
        </w:tc>
        <w:tc>
          <w:tcPr>
            <w:tcW w:w="1640" w:type="dxa"/>
            <w:vAlign w:val="bottom"/>
            <w:gridSpan w:val="5"/>
          </w:tcPr>
          <w:p>
            <w:pPr>
              <w:spacing w:after="0"/>
              <w:rPr>
                <w:sz w:val="18"/>
                <w:szCs w:val="18"/>
                <w:color w:val="auto"/>
              </w:rPr>
            </w:pPr>
          </w:p>
        </w:tc>
      </w:tr>
      <w:tr>
        <w:trPr>
          <w:trHeight w:val="84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0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2008 Equity Incentive Plan, as amended†</w:t>
              </w:r>
            </w:hyperlink>
          </w:p>
        </w:tc>
        <w:tc>
          <w:tcPr>
            <w:tcW w:w="860" w:type="dxa"/>
            <w:vAlign w:val="bottom"/>
            <w:gridSpan w:val="3"/>
          </w:tcPr>
          <w:p>
            <w:pPr>
              <w:spacing w:after="0"/>
              <w:rPr>
                <w:sz w:val="24"/>
                <w:szCs w:val="24"/>
                <w:color w:val="auto"/>
              </w:rPr>
            </w:pPr>
          </w:p>
        </w:tc>
      </w:tr>
      <w:tr>
        <w:trPr>
          <w:trHeight w:val="84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0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2017 Equity Incentive Plan, as amended†</w:t>
              </w:r>
            </w:hyperlink>
          </w:p>
        </w:tc>
        <w:tc>
          <w:tcPr>
            <w:tcW w:w="860" w:type="dxa"/>
            <w:vAlign w:val="bottom"/>
            <w:gridSpan w:val="3"/>
          </w:tcPr>
          <w:p>
            <w:pPr>
              <w:spacing w:after="0"/>
              <w:rPr>
                <w:sz w:val="24"/>
                <w:szCs w:val="24"/>
                <w:color w:val="auto"/>
              </w:rPr>
            </w:pPr>
          </w:p>
        </w:tc>
      </w:tr>
      <w:tr>
        <w:trPr>
          <w:trHeight w:val="84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860" w:type="dxa"/>
            <w:vAlign w:val="bottom"/>
            <w:gridSpan w:val="6"/>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Form of Restricted Stock Agreement under the 2017</w:t>
              </w:r>
            </w:hyperlink>
          </w:p>
        </w:tc>
      </w:tr>
      <w:tr>
        <w:trPr>
          <w:trHeight w:val="196"/>
        </w:trPr>
        <w:tc>
          <w:tcPr>
            <w:tcW w:w="88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Equity Incentive Plan, as amended†</w:t>
              </w:r>
            </w:hyperlink>
          </w:p>
        </w:tc>
        <w:tc>
          <w:tcPr>
            <w:tcW w:w="118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r>
      <w:tr>
        <w:trPr>
          <w:trHeight w:val="62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Third Amended and Restated Executive Employment</w:t>
              </w:r>
            </w:hyperlink>
          </w:p>
        </w:tc>
      </w:tr>
      <w:tr>
        <w:trPr>
          <w:trHeight w:val="196"/>
        </w:trPr>
        <w:tc>
          <w:tcPr>
            <w:tcW w:w="880" w:type="dxa"/>
            <w:vAlign w:val="bottom"/>
          </w:tcPr>
          <w:p>
            <w:pPr>
              <w:spacing w:after="0"/>
              <w:rPr>
                <w:sz w:val="17"/>
                <w:szCs w:val="17"/>
                <w:color w:val="auto"/>
              </w:rPr>
            </w:pPr>
          </w:p>
        </w:tc>
        <w:tc>
          <w:tcPr>
            <w:tcW w:w="3860" w:type="dxa"/>
            <w:vAlign w:val="bottom"/>
            <w:gridSpan w:val="6"/>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Agreement, dated May 1, 2023, by and between</w:t>
              </w:r>
            </w:hyperlink>
          </w:p>
        </w:tc>
      </w:tr>
      <w:tr>
        <w:trPr>
          <w:trHeight w:val="20"/>
        </w:trPr>
        <w:tc>
          <w:tcPr>
            <w:tcW w:w="88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8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Grand Canyon Education, Inc. and Brian E. Mueller†</w:t>
              </w:r>
            </w:hyperlink>
          </w:p>
        </w:tc>
      </w:tr>
    </w:tbl>
    <w:p>
      <w:pPr>
        <w:spacing w:after="0" w:line="20" w:lineRule="exact"/>
        <w:rPr>
          <w:sz w:val="20"/>
          <w:szCs w:val="20"/>
          <w:color w:val="auto"/>
        </w:rPr>
      </w:pPr>
      <w:r>
        <w:rPr>
          <w:sz w:val="20"/>
          <w:szCs w:val="20"/>
          <w:color w:val="auto"/>
        </w:rPr>
        <w:br w:type="column"/>
      </w:r>
    </w:p>
    <w:p>
      <w:pPr>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4.2 to GCE’s Annual Report on Form 10-K filed with the SEC on February 20, 2020.</w:t>
      </w:r>
    </w:p>
    <w:p>
      <w:pPr>
        <w:spacing w:after="0" w:line="176" w:lineRule="exact"/>
        <w:rPr>
          <w:sz w:val="20"/>
          <w:szCs w:val="20"/>
          <w:color w:val="auto"/>
        </w:rPr>
      </w:pP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GCE’s Quarterly Report on Form 10-Q filed with the SEC on November 14, 2011.</w:t>
      </w:r>
    </w:p>
    <w:p>
      <w:pPr>
        <w:spacing w:after="0" w:line="176" w:lineRule="exact"/>
        <w:rPr>
          <w:sz w:val="20"/>
          <w:szCs w:val="20"/>
          <w:color w:val="auto"/>
        </w:rPr>
      </w:pP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GCE’s Current Report on Form 8-K filed with the SEC on June 14, 2017.</w:t>
      </w:r>
    </w:p>
    <w:p>
      <w:pPr>
        <w:spacing w:after="0" w:line="176" w:lineRule="exact"/>
        <w:rPr>
          <w:sz w:val="20"/>
          <w:szCs w:val="20"/>
          <w:color w:val="auto"/>
        </w:rPr>
      </w:pPr>
    </w:p>
    <w:p>
      <w:pPr>
        <w:jc w:val="both"/>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10.3 to GCE’s Annual Report on Form 10-K filed with the SEC on February 21, 2018.</w:t>
      </w:r>
    </w:p>
    <w:p>
      <w:pPr>
        <w:spacing w:after="0" w:line="176" w:lineRule="exact"/>
        <w:rPr>
          <w:sz w:val="20"/>
          <w:szCs w:val="20"/>
          <w:color w:val="auto"/>
        </w:rPr>
      </w:pPr>
    </w:p>
    <w:p>
      <w:pPr>
        <w:ind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the Company’s Quarterly Report on Form 10-Q filed with the SEC on May 2, 2023.</w:t>
      </w:r>
    </w:p>
    <w:p>
      <w:pPr>
        <w:spacing w:after="0" w:line="200" w:lineRule="exact"/>
        <w:rPr>
          <w:sz w:val="20"/>
          <w:szCs w:val="20"/>
          <w:color w:val="auto"/>
        </w:rPr>
      </w:pPr>
    </w:p>
    <w:p>
      <w:pPr>
        <w:sectPr>
          <w:pgSz w:w="11900" w:h="16838" w:orient="portrait"/>
          <w:cols w:equalWidth="0" w:num="2">
            <w:col w:w="4800" w:space="260"/>
            <w:col w:w="3959"/>
          </w:cols>
          <w:pgMar w:left="1440" w:top="513"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tabs>
          <w:tab w:leader="none" w:pos="25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30429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940" w:right="40" w:hanging="890"/>
        <w:spacing w:after="0" w:line="254"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24">
        <w:r>
          <w:rPr>
            <w:rFonts w:ascii="Times New Roman" w:cs="Times New Roman" w:eastAsia="Times New Roman" w:hAnsi="Times New Roman"/>
            <w:sz w:val="18"/>
            <w:szCs w:val="18"/>
            <w:u w:val="single" w:color="auto"/>
            <w:color w:val="0000EE"/>
          </w:rPr>
          <w:t>Third Amended and Restated Executive Employment</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Agreement, dated May 1, 2023, by and between</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Grand Canyon Education, Inc. and W. Stan Meyer†</w:t>
        </w:r>
      </w:hyperlink>
    </w:p>
    <w:p>
      <w:pPr>
        <w:spacing w:after="0" w:line="187" w:lineRule="exact"/>
        <w:rPr>
          <w:rFonts w:ascii="Times New Roman" w:cs="Times New Roman" w:eastAsia="Times New Roman" w:hAnsi="Times New Roman"/>
          <w:sz w:val="18"/>
          <w:szCs w:val="18"/>
          <w:u w:val="single" w:color="auto"/>
          <w:color w:val="0000EE"/>
        </w:rPr>
      </w:pPr>
    </w:p>
    <w:p>
      <w:pPr>
        <w:ind w:left="940"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25">
        <w:r>
          <w:rPr>
            <w:rFonts w:ascii="Times New Roman" w:cs="Times New Roman" w:eastAsia="Times New Roman" w:hAnsi="Times New Roman"/>
            <w:sz w:val="18"/>
            <w:szCs w:val="18"/>
            <w:u w:val="single" w:color="auto"/>
            <w:color w:val="0000EE"/>
          </w:rPr>
          <w:t>Third Amended and Restated Executive Employment</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Agreement, dated May 1, 2023, by and between</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Grand Canyon Education, Inc. and Daniel E. Bachus†</w:t>
        </w:r>
      </w:hyperlink>
    </w:p>
    <w:p>
      <w:pPr>
        <w:spacing w:after="0" w:line="176" w:lineRule="exact"/>
        <w:rPr>
          <w:rFonts w:ascii="Times New Roman" w:cs="Times New Roman" w:eastAsia="Times New Roman" w:hAnsi="Times New Roman"/>
          <w:sz w:val="18"/>
          <w:szCs w:val="18"/>
          <w:u w:val="single" w:color="auto"/>
          <w:color w:val="0000EE"/>
        </w:rPr>
      </w:pPr>
    </w:p>
    <w:p>
      <w:pPr>
        <w:ind w:left="940" w:right="100" w:hanging="890"/>
        <w:spacing w:after="0" w:line="26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26">
        <w:r>
          <w:rPr>
            <w:rFonts w:ascii="Times New Roman" w:cs="Times New Roman" w:eastAsia="Times New Roman" w:hAnsi="Times New Roman"/>
            <w:sz w:val="18"/>
            <w:szCs w:val="18"/>
            <w:u w:val="single" w:color="auto"/>
            <w:color w:val="0000EE"/>
          </w:rPr>
          <w:t>Second Amended and Restated Executive</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Employment Agreement, dated May 1, 2023, by and</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between Grand Canyon Education, Inc. and Dilek</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Marsh†</w:t>
        </w:r>
      </w:hyperlink>
    </w:p>
    <w:p>
      <w:pPr>
        <w:spacing w:after="0" w:line="180" w:lineRule="exact"/>
        <w:rPr>
          <w:rFonts w:ascii="Times New Roman" w:cs="Times New Roman" w:eastAsia="Times New Roman" w:hAnsi="Times New Roman"/>
          <w:sz w:val="18"/>
          <w:szCs w:val="18"/>
          <w:u w:val="single" w:color="auto"/>
          <w:color w:val="0000EE"/>
        </w:rPr>
      </w:pPr>
    </w:p>
    <w:p>
      <w:pPr>
        <w:ind w:left="940" w:right="40"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27">
        <w:r>
          <w:rPr>
            <w:rFonts w:ascii="Times New Roman" w:cs="Times New Roman" w:eastAsia="Times New Roman" w:hAnsi="Times New Roman"/>
            <w:sz w:val="18"/>
            <w:szCs w:val="18"/>
            <w:u w:val="single" w:color="auto"/>
            <w:color w:val="0000EE"/>
          </w:rPr>
          <w:t>Third Amended and Restated Executive Employment</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Agreement, dated May 1, 2023, by and between</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Grand Canyon Education, Inc. and Daniel J. Briggs†</w:t>
        </w:r>
      </w:hyperlink>
    </w:p>
    <w:p>
      <w:pPr>
        <w:spacing w:after="0" w:line="176" w:lineRule="exact"/>
        <w:rPr>
          <w:rFonts w:ascii="Times New Roman" w:cs="Times New Roman" w:eastAsia="Times New Roman" w:hAnsi="Times New Roman"/>
          <w:sz w:val="18"/>
          <w:szCs w:val="18"/>
          <w:u w:val="single" w:color="auto"/>
          <w:color w:val="0000EE"/>
        </w:rPr>
      </w:pPr>
    </w:p>
    <w:p>
      <w:pPr>
        <w:ind w:left="60"/>
        <w:spacing w:after="0"/>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28">
        <w:r>
          <w:rPr>
            <w:rFonts w:ascii="Times New Roman" w:cs="Times New Roman" w:eastAsia="Times New Roman" w:hAnsi="Times New Roman"/>
            <w:sz w:val="18"/>
            <w:szCs w:val="18"/>
            <w:u w:val="single" w:color="auto"/>
            <w:color w:val="0000EE"/>
          </w:rPr>
          <w:t>Form of Director and Officer Indemnity Agreement</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74" w:lineRule="exact"/>
        <w:rPr>
          <w:rFonts w:ascii="Times New Roman" w:cs="Times New Roman" w:eastAsia="Times New Roman" w:hAnsi="Times New Roman"/>
          <w:sz w:val="18"/>
          <w:szCs w:val="18"/>
          <w:u w:val="single" w:color="auto"/>
          <w:color w:val="0000EE"/>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7620</wp:posOffset>
            </wp:positionV>
            <wp:extent cx="24771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EE"/>
        </w:rPr>
      </w:pPr>
    </w:p>
    <w:p>
      <w:pPr>
        <w:ind w:right="439"/>
        <w:spacing w:after="0" w:line="254" w:lineRule="auto"/>
        <w:rPr>
          <w:sz w:val="20"/>
          <w:szCs w:val="20"/>
          <w:color w:val="auto"/>
        </w:rPr>
      </w:pPr>
      <w:r>
        <w:rPr>
          <w:rFonts w:ascii="Times New Roman" w:cs="Times New Roman" w:eastAsia="Times New Roman" w:hAnsi="Times New Roman"/>
          <w:sz w:val="18"/>
          <w:szCs w:val="18"/>
          <w:color w:val="auto"/>
        </w:rPr>
        <w:t>Incorporated by reference to Exhibit 10.2 to the Company’s Quarterly Report on Form 10-Q filed with the SEC on May 2, 2023.</w:t>
      </w:r>
    </w:p>
    <w:p>
      <w:pPr>
        <w:spacing w:after="0" w:line="187" w:lineRule="exact"/>
        <w:rPr>
          <w:rFonts w:ascii="Times New Roman" w:cs="Times New Roman" w:eastAsia="Times New Roman" w:hAnsi="Times New Roman"/>
          <w:sz w:val="18"/>
          <w:szCs w:val="18"/>
          <w:u w:val="single" w:color="auto"/>
          <w:color w:val="0000EE"/>
        </w:rPr>
      </w:pPr>
    </w:p>
    <w:p>
      <w:pPr>
        <w:ind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10.3 to the Company’s Quarterly Report on Form 10-Q filed with the SEC on May 2, 2023.</w:t>
      </w:r>
    </w:p>
    <w:p>
      <w:pPr>
        <w:spacing w:after="0" w:line="176" w:lineRule="exact"/>
        <w:rPr>
          <w:rFonts w:ascii="Times New Roman" w:cs="Times New Roman" w:eastAsia="Times New Roman" w:hAnsi="Times New Roman"/>
          <w:sz w:val="18"/>
          <w:szCs w:val="18"/>
          <w:u w:val="single" w:color="auto"/>
          <w:color w:val="0000EE"/>
        </w:rPr>
      </w:pPr>
    </w:p>
    <w:p>
      <w:pPr>
        <w:ind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10.4 to the Company’s Quarterly Report on Form 10-Q filed with the SEC on May 2, 2023.</w:t>
      </w:r>
    </w:p>
    <w:p>
      <w:pPr>
        <w:spacing w:after="0" w:line="392" w:lineRule="exact"/>
        <w:rPr>
          <w:rFonts w:ascii="Times New Roman" w:cs="Times New Roman" w:eastAsia="Times New Roman" w:hAnsi="Times New Roman"/>
          <w:sz w:val="18"/>
          <w:szCs w:val="18"/>
          <w:u w:val="single" w:color="auto"/>
          <w:color w:val="0000EE"/>
        </w:rPr>
      </w:pPr>
    </w:p>
    <w:p>
      <w:pPr>
        <w:ind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10.5 to the Company’s Quarterly Report on Form 10-Q filed with the SEC on May 2, 2023.</w:t>
      </w:r>
    </w:p>
    <w:p>
      <w:pPr>
        <w:spacing w:after="0" w:line="176" w:lineRule="exact"/>
        <w:rPr>
          <w:rFonts w:ascii="Times New Roman" w:cs="Times New Roman" w:eastAsia="Times New Roman" w:hAnsi="Times New Roman"/>
          <w:sz w:val="18"/>
          <w:szCs w:val="18"/>
          <w:u w:val="single" w:color="auto"/>
          <w:color w:val="0000EE"/>
        </w:rPr>
      </w:pPr>
    </w:p>
    <w:p>
      <w:pPr>
        <w:ind w:right="239"/>
        <w:spacing w:after="0" w:line="261" w:lineRule="auto"/>
        <w:rPr>
          <w:sz w:val="20"/>
          <w:szCs w:val="20"/>
          <w:color w:val="auto"/>
        </w:rPr>
      </w:pPr>
      <w:r>
        <w:rPr>
          <w:rFonts w:ascii="Times New Roman" w:cs="Times New Roman" w:eastAsia="Times New Roman" w:hAnsi="Times New Roman"/>
          <w:sz w:val="18"/>
          <w:szCs w:val="18"/>
          <w:color w:val="auto"/>
        </w:rPr>
        <w:t>Incorporated by reference to Exhibit 10.21 to Amendment No. 2 to GCE’s Registration Statement on Form S-1 filed with the SEC on September 29, 2008.</w:t>
      </w:r>
    </w:p>
    <w:p>
      <w:pPr>
        <w:spacing w:after="0" w:line="18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40" w:space="220"/>
            <w:col w:w="3959"/>
          </w:cols>
          <w:pgMar w:left="1440" w:top="513" w:right="1440" w:bottom="1440" w:gutter="0" w:footer="0" w:header="0"/>
          <w:type w:val="continuous"/>
        </w:sectPr>
      </w:pPr>
    </w:p>
    <w:p>
      <w:pPr>
        <w:ind w:left="940" w:right="20"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30">
        <w:r>
          <w:rPr>
            <w:rFonts w:ascii="Times New Roman" w:cs="Times New Roman" w:eastAsia="Times New Roman" w:hAnsi="Times New Roman"/>
            <w:sz w:val="18"/>
            <w:szCs w:val="18"/>
            <w:u w:val="single" w:color="auto"/>
            <w:color w:val="0000EE"/>
          </w:rPr>
          <w:t>Credit Agreement dated July 1, 2018, by and between</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Grand Canyon Education, Inc. and Grand Canyon</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University (formerly known as Gazelle University).</w:t>
        </w:r>
      </w:hyperlink>
    </w:p>
    <w:p>
      <w:pPr>
        <w:spacing w:after="0" w:line="176" w:lineRule="exact"/>
        <w:rPr>
          <w:rFonts w:ascii="Times New Roman" w:cs="Times New Roman" w:eastAsia="Times New Roman" w:hAnsi="Times New Roman"/>
          <w:sz w:val="18"/>
          <w:szCs w:val="18"/>
          <w:u w:val="single" w:color="auto"/>
          <w:color w:val="0000EE"/>
        </w:rPr>
      </w:pPr>
    </w:p>
    <w:p>
      <w:pPr>
        <w:ind w:left="940" w:right="220" w:hanging="890"/>
        <w:spacing w:after="0" w:line="26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31">
        <w:r>
          <w:rPr>
            <w:rFonts w:ascii="Times New Roman" w:cs="Times New Roman" w:eastAsia="Times New Roman" w:hAnsi="Times New Roman"/>
            <w:sz w:val="18"/>
            <w:szCs w:val="18"/>
            <w:u w:val="single" w:color="auto"/>
            <w:color w:val="0000EE"/>
          </w:rPr>
          <w:t>Master Services Agreement, dated July 1, 2018, by</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and between Grand Canyon Education, Inc. and</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Grand Canyon University (formerly known as</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Gazelle University).##</w:t>
        </w:r>
      </w:hyperlink>
    </w:p>
    <w:p>
      <w:pPr>
        <w:spacing w:after="0" w:line="180" w:lineRule="exact"/>
        <w:rPr>
          <w:rFonts w:ascii="Times New Roman" w:cs="Times New Roman" w:eastAsia="Times New Roman" w:hAnsi="Times New Roman"/>
          <w:sz w:val="18"/>
          <w:szCs w:val="18"/>
          <w:u w:val="single" w:color="auto"/>
          <w:color w:val="0000EE"/>
        </w:rPr>
      </w:pPr>
    </w:p>
    <w:p>
      <w:pPr>
        <w:ind w:left="940" w:hanging="890"/>
        <w:spacing w:after="0" w:line="26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32">
        <w:r>
          <w:rPr>
            <w:rFonts w:ascii="Times New Roman" w:cs="Times New Roman" w:eastAsia="Times New Roman" w:hAnsi="Times New Roman"/>
            <w:sz w:val="18"/>
            <w:szCs w:val="18"/>
            <w:u w:val="single" w:color="auto"/>
            <w:color w:val="0000EE"/>
          </w:rPr>
          <w:t>Amended and Restated Credit Agreement, dated</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January 22, 2019, by and among Grand Canyon</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Education, Inc., Bank of America, N.A., and the other</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parties named therein.</w:t>
        </w:r>
      </w:hyperlink>
    </w:p>
    <w:p>
      <w:pPr>
        <w:spacing w:after="0" w:line="180" w:lineRule="exact"/>
        <w:rPr>
          <w:rFonts w:ascii="Times New Roman" w:cs="Times New Roman" w:eastAsia="Times New Roman" w:hAnsi="Times New Roman"/>
          <w:sz w:val="18"/>
          <w:szCs w:val="18"/>
          <w:u w:val="single" w:color="auto"/>
          <w:color w:val="0000EE"/>
        </w:rPr>
      </w:pPr>
    </w:p>
    <w:p>
      <w:pPr>
        <w:ind w:left="940" w:right="220" w:hanging="890"/>
        <w:spacing w:after="0" w:line="26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33">
        <w:r>
          <w:rPr>
            <w:rFonts w:ascii="Times New Roman" w:cs="Times New Roman" w:eastAsia="Times New Roman" w:hAnsi="Times New Roman"/>
            <w:sz w:val="18"/>
            <w:szCs w:val="18"/>
            <w:u w:val="single" w:color="auto"/>
            <w:color w:val="0000EE"/>
          </w:rPr>
          <w:t>Amended and Restated Security and Pledge</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Agreement, dated January 22, 2019, by and among</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Grand Canyon Education, Inc., Bank of America,</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N.A., and the other parties named therein.</w:t>
        </w:r>
      </w:hyperlink>
    </w:p>
    <w:p>
      <w:pPr>
        <w:spacing w:after="0" w:line="180" w:lineRule="exact"/>
        <w:rPr>
          <w:rFonts w:ascii="Times New Roman" w:cs="Times New Roman" w:eastAsia="Times New Roman" w:hAnsi="Times New Roman"/>
          <w:sz w:val="18"/>
          <w:szCs w:val="18"/>
          <w:u w:val="single" w:color="auto"/>
          <w:color w:val="0000EE"/>
        </w:rPr>
      </w:pPr>
    </w:p>
    <w:p>
      <w:pPr>
        <w:ind w:left="940" w:hanging="890"/>
        <w:spacing w:after="0" w:line="258"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34">
        <w:r>
          <w:rPr>
            <w:rFonts w:ascii="Times New Roman" w:cs="Times New Roman" w:eastAsia="Times New Roman" w:hAnsi="Times New Roman"/>
            <w:sz w:val="18"/>
            <w:szCs w:val="18"/>
            <w:u w:val="single" w:color="auto"/>
            <w:color w:val="0000EE"/>
          </w:rPr>
          <w:t>First Amendment, dated January 31, 2019 to</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Amended and Restated Credit Agreement, dated</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January 22, 2019 by and among Grand Canyon</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Education, Inc., Bank of America, N.A., and the other</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parties named therein.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10.7 to GCE’s Quarterly Report on Form 10-Q filed with the SEC on November 8, 2018.</w:t>
      </w:r>
    </w:p>
    <w:p>
      <w:pPr>
        <w:spacing w:after="0" w:line="176" w:lineRule="exact"/>
        <w:rPr>
          <w:rFonts w:ascii="Times New Roman" w:cs="Times New Roman" w:eastAsia="Times New Roman" w:hAnsi="Times New Roman"/>
          <w:sz w:val="18"/>
          <w:szCs w:val="18"/>
          <w:u w:val="single" w:color="auto"/>
          <w:color w:val="0000EE"/>
        </w:rPr>
      </w:pPr>
    </w:p>
    <w:p>
      <w:pPr>
        <w:ind w:right="1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10.8 to GCE’s Quarterly Report on Form 10-Q/A filed with the SEC on April 23, 2019.</w:t>
      </w:r>
    </w:p>
    <w:p>
      <w:pPr>
        <w:spacing w:after="0" w:line="392" w:lineRule="exact"/>
        <w:rPr>
          <w:rFonts w:ascii="Times New Roman" w:cs="Times New Roman" w:eastAsia="Times New Roman" w:hAnsi="Times New Roman"/>
          <w:sz w:val="18"/>
          <w:szCs w:val="18"/>
          <w:u w:val="single" w:color="auto"/>
          <w:color w:val="0000EE"/>
        </w:rPr>
      </w:pPr>
    </w:p>
    <w:p>
      <w:pPr>
        <w:jc w:val="both"/>
        <w:ind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10.14 to GCE’s Annual Report on Form 10-K filed with the SEC on February 20, 2019.</w:t>
      </w:r>
    </w:p>
    <w:p>
      <w:pPr>
        <w:spacing w:after="0" w:line="392" w:lineRule="exact"/>
        <w:rPr>
          <w:rFonts w:ascii="Times New Roman" w:cs="Times New Roman" w:eastAsia="Times New Roman" w:hAnsi="Times New Roman"/>
          <w:sz w:val="18"/>
          <w:szCs w:val="18"/>
          <w:u w:val="single" w:color="auto"/>
          <w:color w:val="0000EE"/>
        </w:rPr>
      </w:pPr>
    </w:p>
    <w:p>
      <w:pPr>
        <w:jc w:val="both"/>
        <w:ind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10.15 to GCE’s Annual Report on Form 10-K filed with the SEC on February 20, 2019.</w:t>
      </w:r>
    </w:p>
    <w:p>
      <w:pPr>
        <w:spacing w:after="0" w:line="392" w:lineRule="exact"/>
        <w:rPr>
          <w:rFonts w:ascii="Times New Roman" w:cs="Times New Roman" w:eastAsia="Times New Roman" w:hAnsi="Times New Roman"/>
          <w:sz w:val="18"/>
          <w:szCs w:val="18"/>
          <w:u w:val="single" w:color="auto"/>
          <w:color w:val="0000EE"/>
        </w:rPr>
      </w:pPr>
    </w:p>
    <w:p>
      <w:pPr>
        <w:jc w:val="both"/>
        <w:ind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10.16 to GCE’s Annual Report on Form 10-K filed with the SEC on February 20, 2019.</w:t>
      </w:r>
    </w:p>
    <w:p>
      <w:pPr>
        <w:spacing w:after="0" w:line="624"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40" w:space="220"/>
            <w:col w:w="3959"/>
          </w:cols>
          <w:pgMar w:left="1440" w:top="513" w:right="1440"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EE"/>
        </w:rPr>
      </w:pPr>
    </w:p>
    <w:p>
      <w:pPr>
        <w:spacing w:after="0" w:line="215"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tabs>
          <w:tab w:leader="none" w:pos="25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30429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940" w:hanging="890"/>
        <w:spacing w:after="0" w:line="25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37">
        <w:r>
          <w:rPr>
            <w:rFonts w:ascii="Times New Roman" w:cs="Times New Roman" w:eastAsia="Times New Roman" w:hAnsi="Times New Roman"/>
            <w:sz w:val="18"/>
            <w:szCs w:val="18"/>
            <w:u w:val="single" w:color="auto"/>
            <w:color w:val="0000EE"/>
          </w:rPr>
          <w:t>First Incremental Facility Amendment, dated</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February 1, 2019 to Amended and Restated Credit</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Agreement, dated January 22, 2019 by and among</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Grand Canyon Education, Inc., Bank of America,</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N.A., and the other parties named therein.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74" w:lineRule="exact"/>
        <w:rPr>
          <w:rFonts w:ascii="Times New Roman" w:cs="Times New Roman" w:eastAsia="Times New Roman" w:hAnsi="Times New Roman"/>
          <w:sz w:val="18"/>
          <w:szCs w:val="18"/>
          <w:u w:val="single" w:color="auto"/>
          <w:color w:val="0000EE"/>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7620</wp:posOffset>
            </wp:positionV>
            <wp:extent cx="24771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EE"/>
        </w:rPr>
      </w:pPr>
    </w:p>
    <w:p>
      <w:pPr>
        <w:ind w:right="199"/>
        <w:spacing w:after="0" w:line="254" w:lineRule="auto"/>
        <w:rPr>
          <w:sz w:val="20"/>
          <w:szCs w:val="20"/>
          <w:color w:val="auto"/>
        </w:rPr>
      </w:pPr>
      <w:r>
        <w:rPr>
          <w:rFonts w:ascii="Times New Roman" w:cs="Times New Roman" w:eastAsia="Times New Roman" w:hAnsi="Times New Roman"/>
          <w:sz w:val="18"/>
          <w:szCs w:val="18"/>
          <w:color w:val="auto"/>
        </w:rPr>
        <w:t>Incorporated by reference to Exhibit 10.17 to GCE’s Quarterly Report on Form 10-Q filed with the SEC on February 20, 2019.</w:t>
      </w:r>
    </w:p>
    <w:p>
      <w:pPr>
        <w:spacing w:after="0" w:line="618"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580" w:space="480"/>
            <w:col w:w="3959"/>
          </w:cols>
          <w:pgMar w:left="1440" w:top="513" w:right="1440" w:bottom="1440" w:gutter="0" w:footer="0" w:header="0"/>
          <w:type w:val="continuous"/>
        </w:sectPr>
      </w:pPr>
    </w:p>
    <w:p>
      <w:pPr>
        <w:ind w:left="940" w:hanging="890"/>
        <w:spacing w:after="0" w:line="258"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39">
        <w:r>
          <w:rPr>
            <w:rFonts w:ascii="Times New Roman" w:cs="Times New Roman" w:eastAsia="Times New Roman" w:hAnsi="Times New Roman"/>
            <w:sz w:val="18"/>
            <w:szCs w:val="18"/>
            <w:u w:val="single" w:color="auto"/>
            <w:color w:val="0000EE"/>
          </w:rPr>
          <w:t>Second Amendment, dated October 31, 2019 to</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Amended and Restated Credit Agreement, dated</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January 22, 2019 by and among Grand Canyon</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Education, Inc., Bank of America N.A., and the other</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parties named therein.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10.18 to GCE’s Annual Report on Form 10-K filed with the SEC on November 6, 2019.</w:t>
      </w:r>
    </w:p>
    <w:p>
      <w:pPr>
        <w:spacing w:after="0" w:line="60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00" w:space="260"/>
            <w:col w:w="3959"/>
          </w:cols>
          <w:pgMar w:left="1440" w:top="513" w:right="1440" w:bottom="1440" w:gutter="0" w:footer="0" w:header="0"/>
          <w:type w:val="continuous"/>
        </w:sectPr>
      </w:pPr>
    </w:p>
    <w:p>
      <w:pPr>
        <w:jc w:val="both"/>
        <w:ind w:left="940"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40">
        <w:r>
          <w:rPr>
            <w:rFonts w:ascii="Times New Roman" w:cs="Times New Roman" w:eastAsia="Times New Roman" w:hAnsi="Times New Roman"/>
            <w:sz w:val="18"/>
            <w:szCs w:val="18"/>
            <w:u w:val="single" w:color="auto"/>
            <w:color w:val="0000EE"/>
          </w:rPr>
          <w:t>Modification of Credit Agreement, Dated October 29,</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2021, by and between Grand Canyon Education, Inc.</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and Grand Canyon University.</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GCE’s Quarterly Report on Form 10-Q filed with the SEC on November 2, 2021.</w:t>
      </w:r>
    </w:p>
    <w:p>
      <w:pPr>
        <w:spacing w:after="0" w:line="163"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40" w:space="220"/>
            <w:col w:w="395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21.0</w:t>
            </w:r>
          </w:p>
        </w:tc>
        <w:tc>
          <w:tcPr>
            <w:tcW w:w="3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Subsidiaries of Grand Canyon Education, Inc.</w:t>
            </w:r>
          </w:p>
        </w:tc>
        <w:tc>
          <w:tcPr>
            <w:tcW w:w="680" w:type="dxa"/>
            <w:vAlign w:val="bottom"/>
            <w:gridSpan w:val="12"/>
          </w:tcPr>
          <w:p>
            <w:pPr>
              <w:spacing w:after="0"/>
              <w:rPr>
                <w:sz w:val="17"/>
                <w:szCs w:val="17"/>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23.1</w:t>
            </w:r>
          </w:p>
        </w:tc>
        <w:tc>
          <w:tcPr>
            <w:tcW w:w="35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w:t>
            </w:r>
          </w:p>
        </w:tc>
        <w:tc>
          <w:tcPr>
            <w:tcW w:w="500" w:type="dxa"/>
            <w:vAlign w:val="bottom"/>
            <w:gridSpan w:val="10"/>
          </w:tcPr>
          <w:p>
            <w:pPr>
              <w:spacing w:after="0"/>
              <w:rPr>
                <w:sz w:val="24"/>
                <w:szCs w:val="2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tcPr>
          <w:p>
            <w:pPr>
              <w:spacing w:after="0"/>
              <w:rPr>
                <w:sz w:val="17"/>
                <w:szCs w:val="17"/>
                <w:color w:val="auto"/>
              </w:rPr>
            </w:pPr>
          </w:p>
        </w:tc>
        <w:tc>
          <w:tcPr>
            <w:tcW w:w="4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w:t>
            </w:r>
          </w:p>
        </w:tc>
        <w:tc>
          <w:tcPr>
            <w:tcW w:w="4020" w:type="dxa"/>
            <w:vAlign w:val="bottom"/>
          </w:tcPr>
          <w:p>
            <w:pPr>
              <w:spacing w:after="0"/>
              <w:rPr>
                <w:sz w:val="17"/>
                <w:szCs w:val="17"/>
                <w:color w:val="auto"/>
              </w:rPr>
            </w:pPr>
          </w:p>
        </w:tc>
      </w:tr>
      <w:tr>
        <w:trPr>
          <w:trHeight w:val="412"/>
        </w:trPr>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24.1</w:t>
            </w:r>
          </w:p>
        </w:tc>
        <w:tc>
          <w:tcPr>
            <w:tcW w:w="17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Power of Attorney</w:t>
            </w:r>
          </w:p>
        </w:tc>
        <w:tc>
          <w:tcPr>
            <w:tcW w:w="2260" w:type="dxa"/>
            <w:vAlign w:val="bottom"/>
            <w:gridSpan w:val="15"/>
          </w:tcPr>
          <w:p>
            <w:pPr>
              <w:spacing w:after="0"/>
              <w:rPr>
                <w:sz w:val="24"/>
                <w:szCs w:val="2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 (on signature page)</w:t>
            </w:r>
          </w:p>
        </w:tc>
      </w:tr>
      <w:tr>
        <w:trPr>
          <w:trHeight w:val="20"/>
        </w:trPr>
        <w:tc>
          <w:tcPr>
            <w:tcW w:w="9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12"/>
        </w:trPr>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31.1</w:t>
            </w:r>
          </w:p>
        </w:tc>
        <w:tc>
          <w:tcPr>
            <w:tcW w:w="38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w:t>
            </w:r>
          </w:p>
        </w:tc>
        <w:tc>
          <w:tcPr>
            <w:tcW w:w="180" w:type="dxa"/>
            <w:vAlign w:val="bottom"/>
            <w:gridSpan w:val="2"/>
          </w:tcPr>
          <w:p>
            <w:pPr>
              <w:spacing w:after="0"/>
              <w:rPr>
                <w:sz w:val="24"/>
                <w:szCs w:val="2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tcPr>
          <w:p>
            <w:pPr>
              <w:spacing w:after="0"/>
              <w:rPr>
                <w:sz w:val="17"/>
                <w:szCs w:val="17"/>
                <w:color w:val="auto"/>
              </w:rPr>
            </w:pPr>
          </w:p>
        </w:tc>
        <w:tc>
          <w:tcPr>
            <w:tcW w:w="4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to Rule 13a-14(a) and 15d-14(a) as Adopted Pursuant</w:t>
            </w:r>
          </w:p>
        </w:tc>
        <w:tc>
          <w:tcPr>
            <w:tcW w:w="4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Sarbanes-Oxley Act of 2002</w:t>
            </w:r>
          </w:p>
        </w:tc>
        <w:tc>
          <w:tcPr>
            <w:tcW w:w="22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412"/>
        </w:trPr>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31.2</w:t>
            </w:r>
          </w:p>
        </w:tc>
        <w:tc>
          <w:tcPr>
            <w:tcW w:w="3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w:t>
            </w:r>
          </w:p>
        </w:tc>
        <w:tc>
          <w:tcPr>
            <w:tcW w:w="220" w:type="dxa"/>
            <w:vAlign w:val="bottom"/>
            <w:gridSpan w:val="4"/>
          </w:tcPr>
          <w:p>
            <w:pPr>
              <w:spacing w:after="0"/>
              <w:rPr>
                <w:sz w:val="24"/>
                <w:szCs w:val="2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tcPr>
          <w:p>
            <w:pPr>
              <w:spacing w:after="0"/>
              <w:rPr>
                <w:sz w:val="17"/>
                <w:szCs w:val="17"/>
                <w:color w:val="auto"/>
              </w:rPr>
            </w:pPr>
          </w:p>
        </w:tc>
        <w:tc>
          <w:tcPr>
            <w:tcW w:w="4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to Rule 13a-14(a) and 15d-14(a) as Adopted Pursuant</w:t>
            </w:r>
          </w:p>
        </w:tc>
        <w:tc>
          <w:tcPr>
            <w:tcW w:w="4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Sarbanes-Oxley Act of 2002</w:t>
            </w:r>
          </w:p>
        </w:tc>
        <w:tc>
          <w:tcPr>
            <w:tcW w:w="22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412"/>
        </w:trPr>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32.1</w:t>
            </w:r>
          </w:p>
        </w:tc>
        <w:tc>
          <w:tcPr>
            <w:tcW w:w="40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w:t>
            </w: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to 18 U.S.C. Section 1350, as Adopted Pursuant to</w:t>
            </w:r>
          </w:p>
        </w:tc>
        <w:tc>
          <w:tcPr>
            <w:tcW w:w="140" w:type="dxa"/>
            <w:vAlign w:val="bottom"/>
            <w:tcBorders>
              <w:top w:val="single" w:sz="8" w:color="0000EE"/>
            </w:tcBorders>
            <w:gridSpan w:val="3"/>
          </w:tcPr>
          <w:p>
            <w:pPr>
              <w:spacing w:after="0"/>
              <w:rPr>
                <w:sz w:val="17"/>
                <w:szCs w:val="17"/>
                <w:color w:val="auto"/>
              </w:rPr>
            </w:pPr>
          </w:p>
        </w:tc>
        <w:tc>
          <w:tcPr>
            <w:tcW w:w="200" w:type="dxa"/>
            <w:vAlign w:val="bottom"/>
            <w:gridSpan w:val="3"/>
          </w:tcPr>
          <w:p>
            <w:pPr>
              <w:spacing w:after="0"/>
              <w:rPr>
                <w:sz w:val="17"/>
                <w:szCs w:val="17"/>
                <w:color w:val="auto"/>
              </w:rPr>
            </w:pPr>
          </w:p>
        </w:tc>
        <w:tc>
          <w:tcPr>
            <w:tcW w:w="4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6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380" w:type="dxa"/>
            <w:vAlign w:val="bottom"/>
            <w:gridSpan w:val="8"/>
          </w:tcPr>
          <w:p>
            <w:pPr>
              <w:spacing w:after="0"/>
              <w:rPr>
                <w:sz w:val="17"/>
                <w:szCs w:val="17"/>
                <w:color w:val="auto"/>
              </w:rPr>
            </w:pPr>
          </w:p>
        </w:tc>
        <w:tc>
          <w:tcPr>
            <w:tcW w:w="4020" w:type="dxa"/>
            <w:vAlign w:val="bottom"/>
          </w:tcPr>
          <w:p>
            <w:pPr>
              <w:spacing w:after="0"/>
              <w:rPr>
                <w:sz w:val="17"/>
                <w:szCs w:val="17"/>
                <w:color w:val="auto"/>
              </w:rPr>
            </w:pPr>
          </w:p>
        </w:tc>
      </w:tr>
      <w:tr>
        <w:trPr>
          <w:trHeight w:val="412"/>
        </w:trPr>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32.2</w:t>
            </w:r>
          </w:p>
        </w:tc>
        <w:tc>
          <w:tcPr>
            <w:tcW w:w="37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w:t>
            </w:r>
          </w:p>
        </w:tc>
        <w:tc>
          <w:tcPr>
            <w:tcW w:w="240" w:type="dxa"/>
            <w:vAlign w:val="bottom"/>
            <w:gridSpan w:val="5"/>
          </w:tcPr>
          <w:p>
            <w:pPr>
              <w:spacing w:after="0"/>
              <w:rPr>
                <w:sz w:val="24"/>
                <w:szCs w:val="2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0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to 18 U.S.C. Section 1350, as Adopted Pursuant to</w:t>
            </w:r>
          </w:p>
        </w:tc>
        <w:tc>
          <w:tcPr>
            <w:tcW w:w="340" w:type="dxa"/>
            <w:vAlign w:val="bottom"/>
            <w:gridSpan w:val="6"/>
          </w:tcPr>
          <w:p>
            <w:pPr>
              <w:spacing w:after="0"/>
              <w:rPr>
                <w:sz w:val="17"/>
                <w:szCs w:val="17"/>
                <w:color w:val="auto"/>
              </w:rPr>
            </w:pPr>
          </w:p>
        </w:tc>
        <w:tc>
          <w:tcPr>
            <w:tcW w:w="4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00" w:type="dxa"/>
            <w:vAlign w:val="bottom"/>
            <w:gridSpan w:val="9"/>
          </w:tcPr>
          <w:p>
            <w:pPr>
              <w:spacing w:after="0"/>
              <w:rPr>
                <w:sz w:val="17"/>
                <w:szCs w:val="17"/>
                <w:color w:val="auto"/>
              </w:rPr>
            </w:pPr>
          </w:p>
        </w:tc>
        <w:tc>
          <w:tcPr>
            <w:tcW w:w="4020" w:type="dxa"/>
            <w:vAlign w:val="bottom"/>
          </w:tcPr>
          <w:p>
            <w:pPr>
              <w:spacing w:after="0"/>
              <w:rPr>
                <w:sz w:val="17"/>
                <w:szCs w:val="17"/>
                <w:color w:val="auto"/>
              </w:rPr>
            </w:pPr>
          </w:p>
        </w:tc>
      </w:tr>
      <w:tr>
        <w:trPr>
          <w:trHeight w:val="412"/>
        </w:trPr>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97.1</w:t>
            </w:r>
          </w:p>
        </w:tc>
        <w:tc>
          <w:tcPr>
            <w:tcW w:w="40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Grand Canyon Education, Inc. Recovery of</w:t>
            </w: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0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11"/>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Erroneously-Awarded Incentive Compensation</w:t>
            </w:r>
          </w:p>
        </w:tc>
        <w:tc>
          <w:tcPr>
            <w:tcW w:w="4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Policy, as adopted October 25, 2023.</w:t>
            </w:r>
          </w:p>
        </w:tc>
        <w:tc>
          <w:tcPr>
            <w:tcW w:w="720" w:type="dxa"/>
            <w:vAlign w:val="bottom"/>
            <w:tcBorders>
              <w:top w:val="single" w:sz="8" w:color="0000EE"/>
            </w:tcBorders>
            <w:gridSpan w:val="3"/>
          </w:tcPr>
          <w:p>
            <w:pPr>
              <w:spacing w:after="0"/>
              <w:rPr>
                <w:sz w:val="17"/>
                <w:szCs w:val="17"/>
                <w:color w:val="auto"/>
              </w:rPr>
            </w:pPr>
          </w:p>
        </w:tc>
        <w:tc>
          <w:tcPr>
            <w:tcW w:w="620" w:type="dxa"/>
            <w:vAlign w:val="bottom"/>
            <w:gridSpan w:val="11"/>
          </w:tcPr>
          <w:p>
            <w:pPr>
              <w:spacing w:after="0"/>
              <w:rPr>
                <w:sz w:val="17"/>
                <w:szCs w:val="17"/>
                <w:color w:val="auto"/>
              </w:rPr>
            </w:pPr>
          </w:p>
        </w:tc>
        <w:tc>
          <w:tcPr>
            <w:tcW w:w="4020" w:type="dxa"/>
            <w:vAlign w:val="bottom"/>
          </w:tcPr>
          <w:p>
            <w:pPr>
              <w:spacing w:after="0"/>
              <w:rPr>
                <w:sz w:val="17"/>
                <w:szCs w:val="17"/>
                <w:color w:val="auto"/>
              </w:rPr>
            </w:pPr>
          </w:p>
        </w:tc>
      </w:tr>
      <w:tr>
        <w:trPr>
          <w:trHeight w:val="884"/>
        </w:trPr>
        <w:tc>
          <w:tcPr>
            <w:tcW w:w="900" w:type="dxa"/>
            <w:vAlign w:val="bottom"/>
          </w:tcPr>
          <w:p>
            <w:pPr>
              <w:spacing w:after="0"/>
              <w:rPr>
                <w:sz w:val="24"/>
                <w:szCs w:val="24"/>
                <w:color w:val="auto"/>
              </w:rPr>
            </w:pPr>
          </w:p>
        </w:tc>
        <w:tc>
          <w:tcPr>
            <w:tcW w:w="3660" w:type="dxa"/>
            <w:vAlign w:val="bottom"/>
            <w:gridSpan w:val="11"/>
          </w:tcPr>
          <w:p>
            <w:pPr>
              <w:ind w:left="3480"/>
              <w:spacing w:after="0"/>
              <w:rPr>
                <w:sz w:val="20"/>
                <w:szCs w:val="20"/>
                <w:color w:val="auto"/>
              </w:rPr>
            </w:pPr>
            <w:r>
              <w:rPr>
                <w:rFonts w:ascii="Times New Roman" w:cs="Times New Roman" w:eastAsia="Times New Roman" w:hAnsi="Times New Roman"/>
                <w:sz w:val="18"/>
                <w:szCs w:val="18"/>
                <w:color w:val="auto"/>
                <w:w w:val="88"/>
              </w:rPr>
              <w:t>99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561"/>
        </w:trPr>
        <w:tc>
          <w:tcPr>
            <w:tcW w:w="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39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5"/>
                <w:szCs w:val="15"/>
                <w:color w:val="auto"/>
              </w:rPr>
            </w:pPr>
          </w:p>
        </w:tc>
        <w:tc>
          <w:tcPr>
            <w:tcW w:w="3900" w:type="dxa"/>
            <w:vAlign w:val="bottom"/>
          </w:tcPr>
          <w:p>
            <w:pPr>
              <w:jc w:val="right"/>
              <w:ind w:right="1359"/>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191"/>
        </w:trPr>
        <w:tc>
          <w:tcPr>
            <w:tcW w:w="20" w:type="dxa"/>
            <w:vAlign w:val="bottom"/>
          </w:tcPr>
          <w:p>
            <w:pPr>
              <w:spacing w:after="0"/>
              <w:rPr>
                <w:sz w:val="16"/>
                <w:szCs w:val="16"/>
                <w:color w:val="auto"/>
              </w:rPr>
            </w:pPr>
          </w:p>
        </w:tc>
        <w:tc>
          <w:tcPr>
            <w:tcW w:w="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6"/>
                <w:szCs w:val="16"/>
                <w:color w:val="auto"/>
              </w:rPr>
            </w:pPr>
          </w:p>
        </w:tc>
        <w:tc>
          <w:tcPr>
            <w:tcW w:w="3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following financial statements from GCE’s</w:t>
            </w:r>
          </w:p>
        </w:tc>
        <w:tc>
          <w:tcPr>
            <w:tcW w:w="200" w:type="dxa"/>
            <w:vAlign w:val="bottom"/>
          </w:tcPr>
          <w:p>
            <w:pPr>
              <w:spacing w:after="0"/>
              <w:rPr>
                <w:sz w:val="16"/>
                <w:szCs w:val="16"/>
                <w:color w:val="auto"/>
              </w:rPr>
            </w:pPr>
          </w:p>
        </w:tc>
        <w:tc>
          <w:tcPr>
            <w:tcW w:w="3900" w:type="dxa"/>
            <w:vAlign w:val="bottom"/>
            <w:tcBorders>
              <w:top w:val="single" w:sz="8" w:color="auto"/>
            </w:tcBorders>
          </w:tcPr>
          <w:p>
            <w:pPr>
              <w:jc w:val="right"/>
              <w:ind w:right="2739"/>
              <w:spacing w:after="0" w:line="191" w:lineRule="exact"/>
              <w:rPr>
                <w:sz w:val="20"/>
                <w:szCs w:val="20"/>
                <w:color w:val="auto"/>
              </w:rPr>
            </w:pPr>
            <w:r>
              <w:rPr>
                <w:rFonts w:ascii="Times New Roman" w:cs="Times New Roman" w:eastAsia="Times New Roman" w:hAnsi="Times New Roman"/>
                <w:sz w:val="18"/>
                <w:szCs w:val="18"/>
                <w:color w:val="auto"/>
                <w:w w:val="97"/>
              </w:rPr>
              <w:t>Filed herewith.</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December 31, 2023, formatted in Inline XBRL: (i)</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Consolidated Income Statements, (ii)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Statements of Comprehensive Income, (iii)</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Consolidated Balance Sheets, (iv)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Statements of Stockholders’ Equity, (v)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Statements of Cash Flows, and (vi)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Financial Statements tagged as blocks of text and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including detailed tags.</w:t>
            </w: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1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cover page from GCE’s Annual Report on Form</w:t>
            </w:r>
          </w:p>
        </w:tc>
        <w:tc>
          <w:tcPr>
            <w:tcW w:w="4100" w:type="dxa"/>
            <w:vAlign w:val="bottom"/>
            <w:gridSpan w:val="2"/>
          </w:tcPr>
          <w:p>
            <w:pPr>
              <w:jc w:val="right"/>
              <w:ind w:right="2739"/>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10-K for the year ended December 31, 2023,</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formatted in Inline XBRL (included as Exhibit 101).</w:t>
            </w: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360" w:hanging="310"/>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25" w:lineRule="exact"/>
        <w:rPr>
          <w:sz w:val="20"/>
          <w:szCs w:val="20"/>
          <w:color w:val="auto"/>
        </w:rPr>
      </w:pPr>
    </w:p>
    <w:p>
      <w:pPr>
        <w:ind w:left="380" w:right="159" w:hanging="330"/>
        <w:spacing w:after="0" w:line="266" w:lineRule="auto"/>
        <w:tabs>
          <w:tab w:leader="none" w:pos="37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601(b)(2) of Regulation S-K. GCE will furnish supplementally a copy of any omitted schedule or similar attachment to the Securities and Exchange Commission upon request.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Certain portions of this document have been redacted pursuant to Regulation S-K, Item 601(b)(10)(iv).</w:t>
      </w:r>
    </w:p>
    <w:p>
      <w:pPr>
        <w:spacing w:after="0" w:line="225" w:lineRule="exact"/>
        <w:rPr>
          <w:sz w:val="20"/>
          <w:szCs w:val="20"/>
          <w:color w:val="auto"/>
        </w:rPr>
      </w:pPr>
    </w:p>
    <w:p>
      <w:pPr>
        <w:ind w:left="380" w:right="159" w:hanging="330"/>
        <w:spacing w:after="0" w:line="289" w:lineRule="auto"/>
        <w:tabs>
          <w:tab w:leader="none" w:pos="36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GCE,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Brian E. Mueller</w:t>
      </w:r>
    </w:p>
    <w:p>
      <w:pPr>
        <w:spacing w:after="0" w:line="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-127635</wp:posOffset>
            </wp:positionV>
            <wp:extent cx="26485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Dated: February 13, 2024</w:t>
      </w:r>
    </w:p>
    <w:p>
      <w:pPr>
        <w:spacing w:after="0" w:line="20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Brian E. Mueller, Daniel E. Bachus, and Sarah S. Collins,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substitute or substitutes, may lawfully do or cause to be done by virtue hereof.</w:t>
      </w:r>
    </w:p>
    <w:p>
      <w:pPr>
        <w:spacing w:after="0" w:line="18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5"/>
                <w:szCs w:val="15"/>
                <w:color w:val="auto"/>
              </w:rPr>
            </w:pPr>
          </w:p>
        </w:tc>
        <w:tc>
          <w:tcPr>
            <w:tcW w:w="25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5"/>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E. Mueller</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13, 2024</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E. Bachus</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13, 2024</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Lori Browning</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SVP, Controller –Chief Accounting Officer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13, 2024</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Lori Browning</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Sara Ward</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13, 2024</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Sara Ward</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A. Henry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13, 2024</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Graham Keegan</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13, 2024</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Lisa Graham Keegan</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Chevy Humphrey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13, 2024</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Chevy Humphrey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tbl>
      <w:tblPr>
        <w:tblLayout w:type="fixed"/>
        <w:tblInd w:w="4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tcPr>
          <w:p>
            <w:pPr>
              <w:ind w:left="1660"/>
              <w:spacing w:after="0"/>
              <w:rPr>
                <w:sz w:val="20"/>
                <w:szCs w:val="20"/>
                <w:color w:val="auto"/>
              </w:rPr>
            </w:pPr>
            <w:r>
              <w:rPr>
                <w:rFonts w:ascii="Times New Roman" w:cs="Times New Roman" w:eastAsia="Times New Roman" w:hAnsi="Times New Roman"/>
                <w:sz w:val="20"/>
                <w:szCs w:val="20"/>
                <w:b w:val="1"/>
                <w:bCs w:val="1"/>
                <w:color w:val="auto"/>
                <w:w w:val="96"/>
              </w:rPr>
              <w:t>Exhibit 21.0</w:t>
            </w:r>
          </w:p>
        </w:tc>
      </w:tr>
      <w:tr>
        <w:trPr>
          <w:trHeight w:val="439"/>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Subsidiaries of Registrant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Jurisdiction of Incorporation</w:t>
            </w: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416"/>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Orbis Education Services,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Orbis Education Management Company,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Orbis Education II,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3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GC Education,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Tierra Vista Inversiones,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Nueva Ventura,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Casa de Amistad,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Amigos de Torrejon,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Piedras Bonitas Inversiones,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La Sonrisa de Siena,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Nuevo Comienzo,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El Vecino de Amigos,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Rentwise Properties,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Mid-State Rental Properties,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58"/>
        </w:trPr>
        <w:tc>
          <w:tcPr>
            <w:tcW w:w="20" w:type="dxa"/>
            <w:vAlign w:val="bottom"/>
          </w:tcPr>
          <w:p>
            <w:pPr>
              <w:spacing w:after="0"/>
              <w:rPr>
                <w:sz w:val="22"/>
                <w:szCs w:val="22"/>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REG 5160,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771"/>
        </w:trPr>
        <w:tc>
          <w:tcPr>
            <w:tcW w:w="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7F7F7F"/>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66" w:lineRule="exact"/>
        <w:rPr>
          <w:sz w:val="20"/>
          <w:szCs w:val="20"/>
          <w:color w:val="auto"/>
        </w:rPr>
      </w:pPr>
    </w:p>
    <w:p>
      <w:pPr>
        <w:ind w:left="80"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(Nos. 333-155973, 333-165019, 333-179611, and 333-218740) on Form S-8 of our reports dated February 13, 2024, with respect to the consolidated financial statements of Grand Canyon Education, Inc. and subsidiaries and the effectiveness of internal control over financial reporting.</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348615</wp:posOffset>
            </wp:positionV>
            <wp:extent cx="575183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ectPr>
          <w:pgSz w:w="11900" w:h="16838" w:orient="portrait"/>
          <w:cols w:equalWidth="0" w:num="1">
            <w:col w:w="9120"/>
          </w:cols>
          <w:pgMar w:left="1440" w:top="121" w:right="1339" w:bottom="1440" w:gutter="0" w:footer="0" w:header="0"/>
        </w:sectPr>
      </w:pPr>
    </w:p>
    <w:bookmarkStart w:id="103" w:name="page104"/>
    <w:bookmarkEnd w:id="10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E. Mueller, certify that:</w:t>
      </w:r>
    </w:p>
    <w:p>
      <w:pPr>
        <w:spacing w:after="0" w:line="225" w:lineRule="exact"/>
        <w:rPr>
          <w:sz w:val="20"/>
          <w:szCs w:val="20"/>
          <w:color w:val="auto"/>
        </w:rPr>
      </w:pPr>
    </w:p>
    <w:p>
      <w:pPr>
        <w:ind w:left="60" w:right="599" w:firstLine="431"/>
        <w:spacing w:after="0" w:line="282" w:lineRule="auto"/>
        <w:tabs>
          <w:tab w:leader="none" w:pos="6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Grand Canyon Education, Inc.;</w:t>
      </w:r>
    </w:p>
    <w:p>
      <w:pPr>
        <w:spacing w:after="0" w:line="161" w:lineRule="exact"/>
        <w:rPr>
          <w:rFonts w:ascii="Times New Roman" w:cs="Times New Roman" w:eastAsia="Times New Roman" w:hAnsi="Times New Roman"/>
          <w:sz w:val="18"/>
          <w:szCs w:val="18"/>
          <w:color w:val="auto"/>
        </w:rPr>
      </w:pPr>
    </w:p>
    <w:p>
      <w:pPr>
        <w:ind w:left="60" w:right="79" w:firstLine="431"/>
        <w:spacing w:after="0" w:line="266" w:lineRule="auto"/>
        <w:tabs>
          <w:tab w:leader="none" w:pos="6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119" w:firstLine="431"/>
        <w:spacing w:after="0" w:line="266" w:lineRule="auto"/>
        <w:tabs>
          <w:tab w:leader="none" w:pos="6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0" w:right="359" w:firstLine="431"/>
        <w:spacing w:after="0" w:line="266" w:lineRule="auto"/>
        <w:tabs>
          <w:tab w:leader="none" w:pos="6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0" w:right="79" w:firstLine="872"/>
        <w:spacing w:after="0" w:line="261" w:lineRule="auto"/>
        <w:tabs>
          <w:tab w:leader="none" w:pos="11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60" w:right="599" w:firstLine="872"/>
        <w:spacing w:after="0" w:line="261" w:lineRule="auto"/>
        <w:tabs>
          <w:tab w:leader="none" w:pos="113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0" w:right="99" w:firstLine="872"/>
        <w:spacing w:after="0" w:line="266" w:lineRule="auto"/>
        <w:tabs>
          <w:tab w:leader="none" w:pos="11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0" w:right="139" w:firstLine="872"/>
        <w:spacing w:after="0" w:line="261" w:lineRule="auto"/>
        <w:tabs>
          <w:tab w:leader="none" w:pos="113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99" w:firstLine="431"/>
        <w:spacing w:after="0" w:line="266" w:lineRule="auto"/>
        <w:tabs>
          <w:tab w:leader="none" w:pos="6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0" w:right="119" w:firstLine="872"/>
        <w:spacing w:after="0" w:line="266" w:lineRule="auto"/>
        <w:tabs>
          <w:tab w:leader="none" w:pos="11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0" w:right="319" w:firstLine="872"/>
        <w:spacing w:after="0" w:line="282" w:lineRule="auto"/>
        <w:tabs>
          <w:tab w:leader="none" w:pos="113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13, 2024</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E. Mueller</w:t>
            </w:r>
          </w:p>
        </w:tc>
      </w:tr>
      <w:tr>
        <w:trPr>
          <w:trHeight w:val="191"/>
        </w:trPr>
        <w:tc>
          <w:tcPr>
            <w:tcW w:w="406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E. Mueller</w:t>
            </w:r>
          </w:p>
        </w:tc>
      </w:tr>
      <w:tr>
        <w:trPr>
          <w:trHeight w:val="216"/>
        </w:trPr>
        <w:tc>
          <w:tcPr>
            <w:tcW w:w="4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4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4" w:name="page105"/>
    <w:bookmarkEnd w:id="10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Daniel E. Bachus, certify that:</w:t>
      </w:r>
    </w:p>
    <w:p>
      <w:pPr>
        <w:spacing w:after="0" w:line="225" w:lineRule="exact"/>
        <w:rPr>
          <w:sz w:val="20"/>
          <w:szCs w:val="20"/>
          <w:color w:val="auto"/>
        </w:rPr>
      </w:pPr>
    </w:p>
    <w:p>
      <w:pPr>
        <w:ind w:left="60" w:right="599" w:firstLine="431"/>
        <w:spacing w:after="0" w:line="282" w:lineRule="auto"/>
        <w:tabs>
          <w:tab w:leader="none" w:pos="6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Grand Canyon Education, Inc.;</w:t>
      </w:r>
    </w:p>
    <w:p>
      <w:pPr>
        <w:spacing w:after="0" w:line="161" w:lineRule="exact"/>
        <w:rPr>
          <w:rFonts w:ascii="Times New Roman" w:cs="Times New Roman" w:eastAsia="Times New Roman" w:hAnsi="Times New Roman"/>
          <w:sz w:val="18"/>
          <w:szCs w:val="18"/>
          <w:color w:val="auto"/>
        </w:rPr>
      </w:pPr>
    </w:p>
    <w:p>
      <w:pPr>
        <w:ind w:left="60" w:right="79" w:firstLine="431"/>
        <w:spacing w:after="0" w:line="266" w:lineRule="auto"/>
        <w:tabs>
          <w:tab w:leader="none" w:pos="6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119" w:firstLine="431"/>
        <w:spacing w:after="0" w:line="266" w:lineRule="auto"/>
        <w:tabs>
          <w:tab w:leader="none" w:pos="6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0" w:right="359" w:firstLine="431"/>
        <w:spacing w:after="0" w:line="266" w:lineRule="auto"/>
        <w:tabs>
          <w:tab w:leader="none" w:pos="6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0" w:right="79" w:firstLine="872"/>
        <w:spacing w:after="0" w:line="261" w:lineRule="auto"/>
        <w:tabs>
          <w:tab w:leader="none" w:pos="112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60" w:right="599" w:firstLine="872"/>
        <w:spacing w:after="0" w:line="261" w:lineRule="auto"/>
        <w:tabs>
          <w:tab w:leader="none" w:pos="11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0" w:right="99" w:firstLine="872"/>
        <w:spacing w:after="0" w:line="266" w:lineRule="auto"/>
        <w:tabs>
          <w:tab w:leader="none" w:pos="112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0" w:right="139" w:firstLine="872"/>
        <w:spacing w:after="0" w:line="261" w:lineRule="auto"/>
        <w:tabs>
          <w:tab w:leader="none" w:pos="11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99" w:firstLine="431"/>
        <w:spacing w:after="0" w:line="266" w:lineRule="auto"/>
        <w:tabs>
          <w:tab w:leader="none" w:pos="6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0" w:right="119" w:firstLine="872"/>
        <w:spacing w:after="0" w:line="266" w:lineRule="auto"/>
        <w:tabs>
          <w:tab w:leader="none" w:pos="112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0" w:right="319" w:firstLine="872"/>
        <w:spacing w:after="0" w:line="282" w:lineRule="auto"/>
        <w:tabs>
          <w:tab w:leader="none" w:pos="11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13, 2024</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E. Bachus</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E. Bachus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5" w:name="page106"/>
    <w:bookmarkEnd w:id="10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60" w:right="139"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Grand Canyon Education, Inc. (the “Company”) for the year ending December 31, 2023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83" w:lineRule="exact"/>
        <w:rPr>
          <w:sz w:val="20"/>
          <w:szCs w:val="20"/>
          <w:color w:val="auto"/>
        </w:rPr>
      </w:pPr>
    </w:p>
    <w:p>
      <w:pPr>
        <w:ind w:left="480" w:right="319" w:hanging="430"/>
        <w:spacing w:after="0" w:line="282" w:lineRule="auto"/>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 and</w:t>
      </w:r>
    </w:p>
    <w:p>
      <w:pPr>
        <w:spacing w:after="0" w:line="161" w:lineRule="exact"/>
        <w:rPr>
          <w:rFonts w:ascii="Times New Roman" w:cs="Times New Roman" w:eastAsia="Times New Roman" w:hAnsi="Times New Roman"/>
          <w:sz w:val="18"/>
          <w:szCs w:val="18"/>
          <w:color w:val="auto"/>
        </w:rPr>
      </w:pPr>
    </w:p>
    <w:p>
      <w:pPr>
        <w:ind w:left="480" w:right="119" w:hanging="430"/>
        <w:spacing w:after="0" w:line="282" w:lineRule="auto"/>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Brian E. Mueller</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28289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6" w:name="page107"/>
    <w:bookmarkEnd w:id="10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60" w:right="139"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Grand Canyon Education, Inc. (the “Company”) for the year ending December 31, 2023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83" w:lineRule="exact"/>
        <w:rPr>
          <w:sz w:val="20"/>
          <w:szCs w:val="20"/>
          <w:color w:val="auto"/>
        </w:rPr>
      </w:pPr>
    </w:p>
    <w:p>
      <w:pPr>
        <w:ind w:left="480" w:right="319" w:hanging="430"/>
        <w:spacing w:after="0" w:line="282"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 and</w:t>
      </w:r>
    </w:p>
    <w:p>
      <w:pPr>
        <w:spacing w:after="0" w:line="161" w:lineRule="exact"/>
        <w:rPr>
          <w:rFonts w:ascii="Times New Roman" w:cs="Times New Roman" w:eastAsia="Times New Roman" w:hAnsi="Times New Roman"/>
          <w:sz w:val="18"/>
          <w:szCs w:val="18"/>
          <w:color w:val="auto"/>
        </w:rPr>
      </w:pPr>
    </w:p>
    <w:p>
      <w:pPr>
        <w:ind w:left="480" w:right="119" w:hanging="430"/>
        <w:spacing w:after="0" w:line="282"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Daniel E. Bachus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28289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7" w:name="page108"/>
    <w:bookmarkEnd w:id="107"/>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RECOVERY OF ERROUNEOUSLY-AWARDED INCENTIVE COMPENSATION POLICY</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(Adopted October 25, 2023)</w:t>
      </w:r>
    </w:p>
    <w:p>
      <w:pPr>
        <w:spacing w:after="0" w:line="229" w:lineRule="exact"/>
        <w:rPr>
          <w:sz w:val="20"/>
          <w:szCs w:val="20"/>
          <w:color w:val="auto"/>
        </w:rPr>
      </w:pPr>
    </w:p>
    <w:p>
      <w:pPr>
        <w:ind w:left="860" w:hanging="651"/>
        <w:spacing w:after="0"/>
        <w:tabs>
          <w:tab w:leader="none" w:pos="8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1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Grand Canyon Education,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adopting this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to provide for the Company’s criteria and process of recovering certain Incentive Compensation (as defined below) erroneously awarded to or earned or received by Affected Officers (as defined below) under certain circumstances. This Policy is adopted effective as of the date set forth above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As of the Effective Date, this Policy is the successor to and restates the Company’s Incentive Compensation Clawback Policy that was adopted effective January 26, 2017.</w:t>
      </w:r>
    </w:p>
    <w:p>
      <w:pPr>
        <w:spacing w:after="0" w:line="190"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This Policy is administered by the Compensation Committee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of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The Committee shall have full and final authority to make any and all determinations required under this Policy. Any determination by the Committee with respect to this Policy shall be final, conclusive and binding on all parties. The Board may amend or terminate this Policy at any time.</w:t>
      </w:r>
    </w:p>
    <w:p>
      <w:pPr>
        <w:spacing w:after="0" w:line="19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This Policy is intended to comply with Section 10D of the Securities and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Rule 10D-1 thereunder, and the applicable rules of any national securities exchange on which the Company’s securities are listed (the “</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and will be interpreted and administered consistent with that intent.</w:t>
      </w:r>
    </w:p>
    <w:p>
      <w:pPr>
        <w:spacing w:after="0" w:line="183" w:lineRule="exact"/>
        <w:rPr>
          <w:sz w:val="20"/>
          <w:szCs w:val="20"/>
          <w:color w:val="auto"/>
        </w:rPr>
      </w:pPr>
    </w:p>
    <w:p>
      <w:pPr>
        <w:ind w:left="860" w:hanging="651"/>
        <w:spacing w:after="0"/>
        <w:tabs>
          <w:tab w:leader="none" w:pos="86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p>
    <w:p>
      <w:pPr>
        <w:spacing w:after="0" w:line="220" w:lineRule="exact"/>
        <w:rPr>
          <w:sz w:val="20"/>
          <w:szCs w:val="20"/>
          <w:color w:val="auto"/>
        </w:rPr>
      </w:pPr>
    </w:p>
    <w:p>
      <w:pPr>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This Policy shall apply to all Incentive Compensation received by an Affected Officer on or after the Effective Date to the extent permitted or required by applicable law or the rules of the Exchange.</w:t>
      </w:r>
    </w:p>
    <w:p>
      <w:pPr>
        <w:spacing w:after="0" w:line="142" w:lineRule="exact"/>
        <w:rPr>
          <w:sz w:val="20"/>
          <w:szCs w:val="20"/>
          <w:color w:val="auto"/>
        </w:rPr>
      </w:pPr>
    </w:p>
    <w:p>
      <w:pPr>
        <w:ind w:left="860" w:hanging="651"/>
        <w:spacing w:after="0"/>
        <w:tabs>
          <w:tab w:leader="none" w:pos="8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19"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purposes of this Policy, the following terms shall have the meanings set forth below:</w:t>
      </w:r>
    </w:p>
    <w:p>
      <w:pPr>
        <w:spacing w:after="0" w:line="225" w:lineRule="exact"/>
        <w:rPr>
          <w:sz w:val="20"/>
          <w:szCs w:val="20"/>
          <w:color w:val="auto"/>
        </w:rPr>
      </w:pPr>
    </w:p>
    <w:p>
      <w:pPr>
        <w:jc w:val="both"/>
        <w:ind w:left="200" w:right="23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Officer</w:t>
      </w:r>
      <w:r>
        <w:rPr>
          <w:rFonts w:ascii="Times New Roman" w:cs="Times New Roman" w:eastAsia="Times New Roman" w:hAnsi="Times New Roman"/>
          <w:sz w:val="20"/>
          <w:szCs w:val="20"/>
          <w:color w:val="auto"/>
        </w:rPr>
        <w:t>” means any current or former “officer” as defined in Exchange Act Rule 16a-1, and any other senior executives as determined by the Committee.</w:t>
      </w:r>
    </w:p>
    <w:p>
      <w:pPr>
        <w:spacing w:after="0" w:line="165"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Company shall maintain documentation of the determination of such reasonable estimate and provide such documentation to the Exchange as required by such Exchange.</w:t>
      </w:r>
    </w:p>
    <w:p>
      <w:pPr>
        <w:spacing w:after="0" w:line="188"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that is determined and presented in accordance with the accounting principles used in preparing the Company’s financial statements,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456565</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108" w:name="page109"/>
    <w:bookmarkEnd w:id="108"/>
    <w:p>
      <w:pPr>
        <w:jc w:val="both"/>
        <w:ind w:left="200" w:right="219"/>
        <w:spacing w:after="0" w:line="260" w:lineRule="auto"/>
        <w:rPr>
          <w:sz w:val="20"/>
          <w:szCs w:val="20"/>
          <w:color w:val="auto"/>
        </w:rPr>
      </w:pPr>
      <w:r>
        <w:rPr>
          <w:rFonts w:ascii="Times New Roman" w:cs="Times New Roman" w:eastAsia="Times New Roman" w:hAnsi="Times New Roman"/>
          <w:sz w:val="20"/>
          <w:szCs w:val="20"/>
          <w:color w:val="auto"/>
        </w:rPr>
        <w:t>measures that are derived wholly or in part from such measures, whether or not such measure is presented within the financial statements or included in a filing with the Securities and Exchange Commission. Stock price and total shareholder return are Financial Reporting Measures.</w:t>
      </w:r>
    </w:p>
    <w:p>
      <w:pPr>
        <w:spacing w:after="0" w:line="16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awarded, earned or vested based in whole or in part on the attainment of a Financial Reporting Measure, and any equity incentive awards, subject to performance-based vesting conditions. For purposes of clarity, (i)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 and (ii) equity incentive awards subject to performance-based vesting conditions, whether based on attainment of a Financial Reporting Measure or not, will be considered Incentive Compensation.</w:t>
      </w:r>
    </w:p>
    <w:p>
      <w:pPr>
        <w:spacing w:after="0" w:line="190"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spacing w:after="0" w:line="17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RECOVERY</w:t>
      </w:r>
    </w:p>
    <w:p>
      <w:pPr>
        <w:spacing w:after="0" w:line="233"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If the Company is required to prepare a Restatement, the Company shall seek to recover and claw back reasonably promptly all Erroneously Awarded Compensation that is received by an Affected Officer:</w:t>
      </w:r>
    </w:p>
    <w:p>
      <w:pPr>
        <w:spacing w:after="0" w:line="173" w:lineRule="exact"/>
        <w:rPr>
          <w:sz w:val="20"/>
          <w:szCs w:val="20"/>
          <w:color w:val="auto"/>
        </w:rPr>
      </w:pPr>
    </w:p>
    <w:p>
      <w:pPr>
        <w:ind w:left="1500" w:hanging="643"/>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Effective Date;</w:t>
      </w:r>
    </w:p>
    <w:p>
      <w:pPr>
        <w:spacing w:after="0" w:line="215"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beginning service as an Affected Officer;</w:t>
      </w:r>
    </w:p>
    <w:p>
      <w:pPr>
        <w:spacing w:after="0" w:line="215" w:lineRule="exact"/>
        <w:rPr>
          <w:rFonts w:ascii="Times New Roman" w:cs="Times New Roman" w:eastAsia="Times New Roman" w:hAnsi="Times New Roman"/>
          <w:sz w:val="20"/>
          <w:szCs w:val="20"/>
          <w:color w:val="auto"/>
        </w:rPr>
      </w:pPr>
    </w:p>
    <w:p>
      <w:pPr>
        <w:ind w:left="1500" w:right="239" w:hanging="643"/>
        <w:spacing w:after="0" w:line="269" w:lineRule="auto"/>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served as an Affected Officer at any time during the performance period for that Incentive Compensation;</w:t>
      </w:r>
    </w:p>
    <w:p>
      <w:pPr>
        <w:spacing w:after="0" w:line="172"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Company has a class of securities listed on the Exchange; and</w:t>
      </w:r>
    </w:p>
    <w:p>
      <w:pPr>
        <w:spacing w:after="0" w:line="215" w:lineRule="exact"/>
        <w:rPr>
          <w:rFonts w:ascii="Times New Roman" w:cs="Times New Roman" w:eastAsia="Times New Roman" w:hAnsi="Times New Roman"/>
          <w:sz w:val="20"/>
          <w:szCs w:val="20"/>
          <w:color w:val="auto"/>
        </w:rPr>
      </w:pPr>
    </w:p>
    <w:p>
      <w:pPr>
        <w:jc w:val="both"/>
        <w:ind w:left="1500" w:right="219" w:hanging="643"/>
        <w:spacing w:after="0" w:line="253" w:lineRule="auto"/>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For purposes of this Policy:</w:t>
      </w:r>
    </w:p>
    <w:p>
      <w:pPr>
        <w:spacing w:after="0" w:line="216" w:lineRule="exact"/>
        <w:rPr>
          <w:sz w:val="20"/>
          <w:szCs w:val="20"/>
          <w:color w:val="auto"/>
        </w:rPr>
      </w:pPr>
    </w:p>
    <w:p>
      <w:pPr>
        <w:jc w:val="both"/>
        <w:ind w:left="1500" w:right="219" w:hanging="643"/>
        <w:spacing w:after="0" w:line="258" w:lineRule="auto"/>
        <w:tabs>
          <w:tab w:leader="none" w:pos="1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r>
    </w:p>
    <w:p>
      <w:pPr>
        <w:spacing w:after="0" w:line="172" w:lineRule="exact"/>
        <w:rPr>
          <w:rFonts w:ascii="Times New Roman" w:cs="Times New Roman" w:eastAsia="Times New Roman" w:hAnsi="Times New Roman"/>
          <w:sz w:val="20"/>
          <w:szCs w:val="20"/>
          <w:color w:val="auto"/>
        </w:rPr>
      </w:pPr>
    </w:p>
    <w:p>
      <w:pPr>
        <w:jc w:val="both"/>
        <w:ind w:left="1500" w:right="219" w:hanging="643"/>
        <w:spacing w:after="0" w:line="261" w:lineRule="auto"/>
        <w:tabs>
          <w:tab w:leader="none" w:pos="1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Company is required to prepare a Restatement is the earlier of (x) the date the Board, the Committee or any officer of the Company authorized to take such action concludes, or reasonably should have concluded, that the Company is required to prepare</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9" w:name="page110"/>
    <w:bookmarkEnd w:id="109"/>
    <w:p>
      <w:pPr>
        <w:ind w:left="1500" w:right="239"/>
        <w:spacing w:after="0" w:line="268" w:lineRule="auto"/>
        <w:rPr>
          <w:sz w:val="20"/>
          <w:szCs w:val="20"/>
          <w:color w:val="auto"/>
        </w:rPr>
      </w:pPr>
      <w:r>
        <w:rPr>
          <w:rFonts w:ascii="Times New Roman" w:cs="Times New Roman" w:eastAsia="Times New Roman" w:hAnsi="Times New Roman"/>
          <w:sz w:val="20"/>
          <w:szCs w:val="20"/>
          <w:color w:val="auto"/>
        </w:rPr>
        <w:t>the Restatement, or (y) the date a court, regulator, or other legally authorized body directs the Company to prepare the Restatement.</w:t>
      </w:r>
    </w:p>
    <w:p>
      <w:pPr>
        <w:spacing w:after="0" w:line="174"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spacing w:after="0" w:line="174" w:lineRule="exact"/>
        <w:rPr>
          <w:sz w:val="20"/>
          <w:szCs w:val="20"/>
          <w:color w:val="auto"/>
        </w:rPr>
      </w:pPr>
    </w:p>
    <w:p>
      <w:pPr>
        <w:ind w:left="860" w:hanging="651"/>
        <w:spacing w:after="0"/>
        <w:tabs>
          <w:tab w:leader="none" w:pos="86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SOURCES OF RECOUPMENT</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To the extent permitted by applicable law, the Committee may, in its discretion, seek recoupment of</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Erroneously Awarded Compensation from the Affected Officer(s) from any of the following sources:</w:t>
      </w:r>
    </w:p>
    <w:p>
      <w:pPr>
        <w:spacing w:after="0" w:line="6"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40" w:val="left"/>
          <w:tab w:leader="none" w:pos="160" w:val="left"/>
          <w:tab w:leader="none" w:pos="160" w:val="left"/>
          <w:tab w:leader="none" w:pos="140" w:val="left"/>
          <w:tab w:leader="none" w:pos="160" w:val="left"/>
          <w:tab w:leader="none" w:pos="160" w:val="left"/>
        </w:tabs>
        <w:rPr>
          <w:sz w:val="20"/>
          <w:szCs w:val="20"/>
          <w:color w:val="auto"/>
        </w:rPr>
      </w:pPr>
      <w:r>
        <w:rPr>
          <w:rFonts w:ascii="Times New Roman" w:cs="Times New Roman" w:eastAsia="Times New Roman" w:hAnsi="Times New Roman"/>
          <w:sz w:val="20"/>
          <w:szCs w:val="20"/>
          <w:color w:val="auto"/>
        </w:rPr>
        <w:t>(i)</w:t>
        <w:tab/>
        <w:t>prior</w:t>
        <w:tab/>
        <w:t>Incentive</w:t>
        <w:tab/>
        <w:t>Compensation</w:t>
        <w:tab/>
        <w:t>payments;</w:t>
        <w:tab/>
        <w:t>(ii)</w:t>
        <w:tab/>
        <w:t>future</w:t>
        <w:tab/>
        <w:t>payments</w:t>
        <w:tab/>
        <w:t>of</w:t>
        <w:tab/>
        <w:t>Incentive</w:t>
      </w:r>
      <w:r>
        <w:rPr>
          <w:sz w:val="20"/>
          <w:szCs w:val="20"/>
          <w:color w:val="auto"/>
        </w:rPr>
        <w:tab/>
      </w:r>
      <w:r>
        <w:rPr>
          <w:rFonts w:ascii="Times New Roman" w:cs="Times New Roman" w:eastAsia="Times New Roman" w:hAnsi="Times New Roman"/>
          <w:sz w:val="19"/>
          <w:szCs w:val="19"/>
          <w:color w:val="auto"/>
        </w:rPr>
        <w:t>Compensation;</w:t>
      </w:r>
    </w:p>
    <w:p>
      <w:pPr>
        <w:spacing w:after="0" w:line="6" w:lineRule="exact"/>
        <w:rPr>
          <w:sz w:val="20"/>
          <w:szCs w:val="20"/>
          <w:color w:val="auto"/>
        </w:rPr>
      </w:pPr>
    </w:p>
    <w:p>
      <w:pPr>
        <w:jc w:val="both"/>
        <w:ind w:left="200" w:right="239" w:firstLine="9"/>
        <w:spacing w:after="0" w:line="249" w:lineRule="auto"/>
        <w:tabs>
          <w:tab w:leader="none" w:pos="55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cancellation of outstanding Incentive Compensation; and (iv) direct repayment. To the extent permitted by applicable law, the Company may offset such amount against any compensation or other amounts owed by the Company to the Affected Officer.</w:t>
      </w:r>
    </w:p>
    <w:p>
      <w:pPr>
        <w:spacing w:after="0" w:line="180"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20"/>
          <w:szCs w:val="20"/>
          <w:color w:val="auto"/>
        </w:rPr>
        <w:t>To the extent that an Affected Officer fails to repay all Erroneously Awarded Compensation to the Company when due, the Company shall, or shall cause one or more of its subsidiaries to, take all actions reasonable and appropriate to recover such Erroneously Awarded Compensation from the Affected Officer; provided that the Affected Officer shall be required to reimburse the Company and its subsidiaries for any and all expenses reasonably incurred (including legal fees) by the Company or any of its subsidiaries in recovering such Erroneously Awarded Compensation.</w:t>
      </w:r>
    </w:p>
    <w:p>
      <w:pPr>
        <w:spacing w:after="0" w:line="186" w:lineRule="exact"/>
        <w:rPr>
          <w:sz w:val="20"/>
          <w:szCs w:val="20"/>
          <w:color w:val="auto"/>
        </w:rPr>
      </w:pPr>
    </w:p>
    <w:p>
      <w:pPr>
        <w:ind w:left="860" w:hanging="651"/>
        <w:spacing w:after="0"/>
        <w:tabs>
          <w:tab w:leader="none" w:pos="86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LIMITED EXCEPTIONS TO RECOVERY</w:t>
      </w:r>
    </w:p>
    <w:p>
      <w:pPr>
        <w:spacing w:after="0" w:line="22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spacing w:after="0" w:line="172" w:lineRule="exact"/>
        <w:rPr>
          <w:sz w:val="20"/>
          <w:szCs w:val="20"/>
          <w:color w:val="auto"/>
        </w:rPr>
      </w:pPr>
    </w:p>
    <w:p>
      <w:pPr>
        <w:jc w:val="both"/>
        <w:ind w:left="1500" w:right="219" w:hanging="643"/>
        <w:spacing w:after="0" w:line="254" w:lineRule="auto"/>
        <w:tabs>
          <w:tab w:leader="none" w:pos="15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p>
    <w:p>
      <w:pPr>
        <w:spacing w:after="0" w:line="187" w:lineRule="exact"/>
        <w:rPr>
          <w:rFonts w:ascii="Times New Roman" w:cs="Times New Roman" w:eastAsia="Times New Roman" w:hAnsi="Times New Roman"/>
          <w:sz w:val="20"/>
          <w:szCs w:val="20"/>
          <w:color w:val="auto"/>
        </w:rPr>
      </w:pPr>
    </w:p>
    <w:p>
      <w:pPr>
        <w:jc w:val="both"/>
        <w:ind w:left="1500" w:right="239" w:hanging="643"/>
        <w:spacing w:after="0" w:line="261" w:lineRule="auto"/>
        <w:tabs>
          <w:tab w:leader="none" w:pos="15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the law was adopted prior to November 28, 2022, and the Company provides an opinion of home country counsel to that effect to the Exchange that is acceptable to the Exchange; or</w:t>
      </w:r>
    </w:p>
    <w:p>
      <w:pPr>
        <w:spacing w:after="0" w:line="167" w:lineRule="exact"/>
        <w:rPr>
          <w:rFonts w:ascii="Times New Roman" w:cs="Times New Roman" w:eastAsia="Times New Roman" w:hAnsi="Times New Roman"/>
          <w:sz w:val="20"/>
          <w:szCs w:val="20"/>
          <w:color w:val="auto"/>
        </w:rPr>
      </w:pPr>
    </w:p>
    <w:p>
      <w:pPr>
        <w:jc w:val="both"/>
        <w:ind w:left="1500" w:right="239" w:hanging="643"/>
        <w:spacing w:after="0" w:line="261" w:lineRule="auto"/>
        <w:tabs>
          <w:tab w:leader="none" w:pos="15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requirements of the Internal Revenue Code of 1986, as amended.</w:t>
      </w:r>
    </w:p>
    <w:p>
      <w:pPr>
        <w:spacing w:after="0" w:line="163"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 AND INSURANCE</w:t>
      </w:r>
    </w:p>
    <w:p>
      <w:pPr>
        <w:spacing w:after="0" w:line="23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0E0E0E"/>
        </w:rPr>
        <w:t>Neither the Company nor any of its subsidiaries is permitted to indemnify or reimburse any Affected Officer against the recovery of Erroneously Awarded Compensation. In addition, the Company and its subsidiaries are prohibited from paying the premiums on an insurance policy that would cover an Affected Officer’s potential clawback obligations, or entering into any agreement that exempts any</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0" w:name="page111"/>
    <w:bookmarkEnd w:id="110"/>
    <w:p>
      <w:pPr>
        <w:jc w:val="both"/>
        <w:ind w:left="200" w:right="219"/>
        <w:spacing w:after="0" w:line="260" w:lineRule="auto"/>
        <w:rPr>
          <w:sz w:val="20"/>
          <w:szCs w:val="20"/>
          <w:color w:val="auto"/>
        </w:rPr>
      </w:pPr>
      <w:r>
        <w:rPr>
          <w:rFonts w:ascii="Times New Roman" w:cs="Times New Roman" w:eastAsia="Times New Roman" w:hAnsi="Times New Roman"/>
          <w:sz w:val="20"/>
          <w:szCs w:val="20"/>
          <w:color w:val="0E0E0E"/>
        </w:rPr>
        <w:t>Incentive Compensation from this Policy or that waives the Company or any of its subsidiary’s rights to recover Erroneously Awarded Compensation in accordance with this Policy, and this Policy shall supersede any such agreement.</w:t>
      </w:r>
    </w:p>
    <w:p>
      <w:pPr>
        <w:spacing w:after="0" w:line="166" w:lineRule="exact"/>
        <w:rPr>
          <w:sz w:val="20"/>
          <w:szCs w:val="20"/>
          <w:color w:val="auto"/>
        </w:rPr>
      </w:pPr>
    </w:p>
    <w:p>
      <w:pPr>
        <w:ind w:left="860" w:hanging="651"/>
        <w:spacing w:after="0"/>
        <w:tabs>
          <w:tab w:leader="none" w:pos="8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23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If any provision of this Policy or the application of any such provision to any Affected Officer shall be adjudicated to be invalid, illegal or unenforceable in any respect, such invalidity, illegality or </w:t>
      </w:r>
      <w:r>
        <w:rPr>
          <w:rFonts w:ascii="Times New Roman" w:cs="Times New Roman" w:eastAsia="Times New Roman" w:hAnsi="Times New Roman"/>
          <w:sz w:val="20"/>
          <w:szCs w:val="20"/>
          <w:color w:val="0E0E0E"/>
        </w:rPr>
        <w:t xml:space="preserve">unenforceability </w:t>
      </w:r>
      <w:r>
        <w:rPr>
          <w:rFonts w:ascii="Times New Roman" w:cs="Times New Roman" w:eastAsia="Times New Roman" w:hAnsi="Times New Roman"/>
          <w:sz w:val="20"/>
          <w:szCs w:val="20"/>
          <w:color w:val="000000"/>
        </w:rPr>
        <w:t>shall not affect any other provisions of this Policy, and the invalid, illegal or unenforceable</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000000"/>
        </w:rPr>
        <w:t>provisions shall be deemed amended to the minimum extent necessary to render any such provision or application enforceable.</w:t>
      </w:r>
    </w:p>
    <w:p>
      <w:pPr>
        <w:spacing w:after="0" w:line="174" w:lineRule="exact"/>
        <w:rPr>
          <w:sz w:val="20"/>
          <w:szCs w:val="20"/>
          <w:color w:val="auto"/>
        </w:rPr>
      </w:pPr>
    </w:p>
    <w:p>
      <w:pPr>
        <w:ind w:left="860" w:hanging="651"/>
        <w:spacing w:after="0"/>
        <w:tabs>
          <w:tab w:leader="none" w:pos="8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IMPAIRMENT OF OTHER REMEDIES</w:t>
      </w:r>
    </w:p>
    <w:p>
      <w:pPr>
        <w:spacing w:after="0" w:line="220"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0"/>
          <w:szCs w:val="20"/>
          <w:color w:val="auto"/>
        </w:rPr>
        <w:t>This Policy does not preclude the Company from taking any other action to enforce an Affected Officer’s obligations to the Company or limit any other remedies that the Company may have available to it and any other actions that the Company may take, including termination of employment, institution of civil proceedings, or reporting of any misconduct to appropriate government authorities. The Company will comply with the disclosure, documentation and records requirements related to this Policy under Section 10D of the Exchange Act, applicable listing rules of the Exchange and applicable Securities and Exchange Commission filings. This Policy is in addition to the requirements of Section 304 of the Sarbanes-Oxley Act of 2002 that are applicable to the Company’s Chief Executive Officer and Chief Financial Officer. Any right of recoupment under this Policy is in addition to, and not in lieu of, any other remedies or rights of recoupment that may be available to the Company and any of its subsidiaries under applicable law, regulation or rule or pursuant to the terms of any similar policy in any employment agreement, offer letter, compensation plan, equity award agreement, or similar agreement and any other legal remedies available to the Company or any of its subsidiaries. The Committee may require that any employment agreement, offer letter, compensation plan, equity award agreement, or any other agreement entered into on or after the Effective Date shall, as a condition to the grant of any benefit thereunder, require an Affected Officer to agree to abide by the terms of this Policy.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o"/>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endash "/>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lowerRoman"/>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lvl w:ilvl="1">
      <w:lvlJc w:val="left"/>
      <w:lvlText w:val="%2)"/>
      <w:numFmt w:val="lowerLetter"/>
      <w:start w:val="1"/>
    </w:lvl>
  </w:abstractNum>
  <w:abstractNum w:abstractNumId="47">
    <w:nsid w:val="23F9C13C"/>
    <w:multiLevelType w:val="hybridMultilevel"/>
    <w:lvl w:ilvl="0">
      <w:lvlJc w:val="left"/>
      <w:lvlText w:val="%1."/>
      <w:numFmt w:val="decimal"/>
      <w:start w:val="1"/>
    </w:lvl>
    <w:lvl w:ilvl="1">
      <w:lvlJc w:val="left"/>
      <w:lvlText w:val="%2)"/>
      <w:numFmt w:val="lowerLetter"/>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2"/>
    </w:lvl>
  </w:abstractNum>
  <w:abstractNum w:abstractNumId="52">
    <w:nsid w:val="180115BE"/>
    <w:multiLevelType w:val="hybridMultilevel"/>
    <w:lvl w:ilvl="0">
      <w:lvlJc w:val="left"/>
      <w:lvlText w:val="%1."/>
      <w:numFmt w:val="decimal"/>
      <w:start w:val="3"/>
    </w:lvl>
  </w:abstractNum>
  <w:abstractNum w:abstractNumId="53">
    <w:nsid w:val="235BA861"/>
    <w:multiLevelType w:val="hybridMultilevel"/>
    <w:lvl w:ilvl="0">
      <w:lvlJc w:val="left"/>
      <w:lvlText w:val="(%1)"/>
      <w:numFmt w:val="lowerRoman"/>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5"/>
    </w:lvl>
  </w:abstractNum>
  <w:abstractNum w:abstractNumId="56">
    <w:nsid w:val="15B5AF5C"/>
    <w:multiLevelType w:val="hybridMultilevel"/>
    <w:lvl w:ilvl="0">
      <w:lvlJc w:val="left"/>
      <w:lvlText w:val="(%1)"/>
      <w:numFmt w:val="lowerRoman"/>
      <w:start w:val="3"/>
    </w:lvl>
  </w:abstractNum>
  <w:abstractNum w:abstractNumId="57">
    <w:nsid w:val="741226BB"/>
    <w:multiLevelType w:val="hybridMultilevel"/>
    <w:lvl w:ilvl="0">
      <w:lvlJc w:val="left"/>
      <w:lvlText w:val="%1."/>
      <w:numFmt w:val="decimal"/>
      <w:start w:val="6"/>
    </w:lvl>
  </w:abstractNum>
  <w:abstractNum w:abstractNumId="58">
    <w:nsid w:val="D34B6A8"/>
    <w:multiLevelType w:val="hybridMultilevel"/>
    <w:lvl w:ilvl="0">
      <w:lvlJc w:val="left"/>
      <w:lvlText w:val="%1"/>
      <w:numFmt w:val="decimal"/>
      <w:start w:val="1"/>
    </w:lvl>
    <w:lvl w:ilvl="1">
      <w:lvlJc w:val="left"/>
      <w:lvlText w:val="(%2)"/>
      <w:numFmt w:val="lowerRoman"/>
      <w:start w:val="1"/>
    </w:lvl>
  </w:abstractNum>
  <w:abstractNum w:abstractNumId="59">
    <w:nsid w:val="10233C99"/>
    <w:multiLevelType w:val="hybridMultilevel"/>
    <w:lvl w:ilvl="0">
      <w:lvlJc w:val="left"/>
      <w:lvlText w:val="%1."/>
      <w:numFmt w:val="decimal"/>
      <w:start w:val="7"/>
    </w:lvl>
    <w:lvl w:ilvl="1">
      <w:lvlJc w:val="left"/>
      <w:lvlText w:val="%2"/>
      <w:numFmt w:val="lowerRoman"/>
      <w:start w:val="1"/>
    </w:lvl>
  </w:abstractNum>
  <w:abstractNum w:abstractNumId="60">
    <w:nsid w:val="3F6AB60F"/>
    <w:multiLevelType w:val="hybridMultilevel"/>
    <w:lvl w:ilvl="0">
      <w:lvlJc w:val="left"/>
      <w:lvlText w:val="%1."/>
      <w:numFmt w:val="decimal"/>
      <w:start w:val="8"/>
    </w:lvl>
  </w:abstractNum>
  <w:abstractNum w:abstractNumId="61">
    <w:nsid w:val="61574095"/>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6"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9"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8"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73" Type="http://schemas.openxmlformats.org/officeDocument/2006/relationships/hyperlink" Target="https://www.sec.gov/ix?doc=/Archives/edgar/data/1434588/000155837023001452/lope-20221231x10k.htm" TargetMode="External"/><Relationship Id="rId111" Type="http://schemas.openxmlformats.org/officeDocument/2006/relationships/hyperlink" Target="http://www.sec.gov/Archives/edgar/data/1434588/000119312518322557/d617676dex21.htm" TargetMode="External"/><Relationship Id="rId112" Type="http://schemas.openxmlformats.org/officeDocument/2006/relationships/hyperlink" Target="http://www.sec.gov/Archives/edgar/data/1434588/000155837019000782/lope-20181231ex22ef9e938.htm" TargetMode="External"/><Relationship Id="rId113" Type="http://schemas.openxmlformats.org/officeDocument/2006/relationships/hyperlink" Target="http://www.sec.gov/Archives/edgar/data/1434588/000155837019000782/lope-20181231ex31395dfc9.htm" TargetMode="External"/><Relationship Id="rId114" Type="http://schemas.openxmlformats.org/officeDocument/2006/relationships/hyperlink" Target="http://www.sec.gov/Archives/edgar/data/1434588/000119312514387149/d812440dex31.htm" TargetMode="External"/><Relationship Id="rId115" Type="http://schemas.openxmlformats.org/officeDocument/2006/relationships/hyperlink" Target="http://www.sec.gov/Archives/edgar/data/1434588/000095015308001671/p75463a2exv4w1.htm" TargetMode="External"/><Relationship Id="rId117" Type="http://schemas.openxmlformats.org/officeDocument/2006/relationships/hyperlink" Target="https://www.sec.gov/Archives/edgar/data/1434588/000155837020001013/ex-4d2.htm" TargetMode="External"/><Relationship Id="rId118" Type="http://schemas.openxmlformats.org/officeDocument/2006/relationships/hyperlink" Target="http://www.sec.gov/Archives/edgar/data/1434588/000095012311098382/c21597exv10w1.htm" TargetMode="External"/><Relationship Id="rId119" Type="http://schemas.openxmlformats.org/officeDocument/2006/relationships/hyperlink" Target="http://www.sec.gov/Archives/edgar/data/1434588/000119312517203503/d405521dex101.htm" TargetMode="External"/><Relationship Id="rId120" Type="http://schemas.openxmlformats.org/officeDocument/2006/relationships/hyperlink" Target="http://www.sec.gov/Archives/edgar/data/1434588/000119312518051923/d508256dex103.htm" TargetMode="External"/><Relationship Id="rId121" Type="http://schemas.openxmlformats.org/officeDocument/2006/relationships/hyperlink" Target="https://www.sec.gov/Archives/edgar/data/1434588/000155837023007660/lope-20230331xex10d1.htm" TargetMode="External"/><Relationship Id="rId124" Type="http://schemas.openxmlformats.org/officeDocument/2006/relationships/hyperlink" Target="https://www.sec.gov/Archives/edgar/data/1434588/000155837023007660/lope-20230331xex10d2.htm" TargetMode="External"/><Relationship Id="rId125" Type="http://schemas.openxmlformats.org/officeDocument/2006/relationships/hyperlink" Target="https://www.sec.gov/Archives/edgar/data/1434588/000155837023007660/lope-20230331xex10d3.htm" TargetMode="External"/><Relationship Id="rId126" Type="http://schemas.openxmlformats.org/officeDocument/2006/relationships/hyperlink" Target="https://www.sec.gov/Archives/edgar/data/1434588/000155837023007660/lope-20230331xex10d4.htm" TargetMode="External"/><Relationship Id="rId127" Type="http://schemas.openxmlformats.org/officeDocument/2006/relationships/hyperlink" Target="https://www.sec.gov/Archives/edgar/data/1434588/000155837023007660/lope-20230331xex10d5.htm" TargetMode="External"/><Relationship Id="rId128" Type="http://schemas.openxmlformats.org/officeDocument/2006/relationships/hyperlink" Target="http://www.sec.gov/Archives/edgar/data/1434588/000095015308001671/p75463a2exv10w21.htm" TargetMode="External"/><Relationship Id="rId130" Type="http://schemas.openxmlformats.org/officeDocument/2006/relationships/hyperlink" Target="http://www.sec.gov/Archives/edgar/data/1434588/000119312518322557/d617676dex107.htm" TargetMode="External"/><Relationship Id="rId131" Type="http://schemas.openxmlformats.org/officeDocument/2006/relationships/hyperlink" Target="http://www.sec.gov/Archives/edgar/data/1434588/000110465919023090/a19-8606_1ex10d8.htm" TargetMode="External"/><Relationship Id="rId132" Type="http://schemas.openxmlformats.org/officeDocument/2006/relationships/hyperlink" Target="http://www.sec.gov/Archives/edgar/data/1434588/000155837019000782/lope-20181231ex10149afd4.htm" TargetMode="External"/><Relationship Id="rId133" Type="http://schemas.openxmlformats.org/officeDocument/2006/relationships/hyperlink" Target="http://www.sec.gov/Archives/edgar/data/1434588/000155837019000782/lope-20181231ex1015066a4.htm" TargetMode="External"/><Relationship Id="rId134" Type="http://schemas.openxmlformats.org/officeDocument/2006/relationships/hyperlink" Target="http://www.sec.gov/Archives/edgar/data/1434588/000155837019000782/lope-20181231ex1016fa2d5.htm" TargetMode="External"/><Relationship Id="rId137" Type="http://schemas.openxmlformats.org/officeDocument/2006/relationships/hyperlink" Target="http://www.sec.gov/Archives/edgar/data/1434588/000155837019000782/lope-20181231ex101704b54.htm" TargetMode="External"/><Relationship Id="rId139" Type="http://schemas.openxmlformats.org/officeDocument/2006/relationships/hyperlink" Target="http://www.sec.gov/Archives/edgar/data/1434588/000155837019010167/ex-10d18.htm" TargetMode="External"/><Relationship Id="rId140" Type="http://schemas.openxmlformats.org/officeDocument/2006/relationships/hyperlink" Target="https://www.sec.gov/Archives/edgar/data/1434588/000155837021014215/lope-2021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2024-02-13T15:34:54Z</dcterms:created>
  <dcterms:modified xsi:type="dcterms:W3CDTF">2024-02-13T15:34:54Z</dcterms:modified>
</cp:coreProperties>
</file>