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71"/>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171"/>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171"/>
        <w:spacing w:after="0"/>
        <w:rPr>
          <w:sz w:val="20"/>
          <w:szCs w:val="20"/>
          <w:color w:val="auto"/>
        </w:rPr>
      </w:pPr>
      <w:r>
        <w:rPr>
          <w:rFonts w:ascii="Arial" w:cs="Arial" w:eastAsia="Arial" w:hAnsi="Arial"/>
          <w:sz w:val="22"/>
          <w:szCs w:val="22"/>
          <w:color w:val="auto"/>
        </w:rPr>
        <w:t>Exchange Act of 1934 (Amendment No. )</w:t>
      </w:r>
    </w:p>
    <w:p>
      <w:pPr>
        <w:spacing w:after="0" w:line="61"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4"/>
          <w:szCs w:val="24"/>
          <w:color w:val="auto"/>
        </w:rPr>
      </w:pPr>
    </w:p>
    <w:p>
      <w:pPr>
        <w:ind w:left="8"/>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8"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sz w:val="24"/>
          <w:szCs w:val="24"/>
          <w:color w:val="auto"/>
        </w:rPr>
      </w:pPr>
    </w:p>
    <w:p>
      <w:pPr>
        <w:ind w:left="248" w:hanging="248"/>
        <w:spacing w:after="0"/>
        <w:tabs>
          <w:tab w:leader="none" w:pos="248"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0" w:lineRule="exact"/>
        <w:rPr>
          <w:sz w:val="24"/>
          <w:szCs w:val="24"/>
          <w:color w:val="auto"/>
        </w:rPr>
      </w:pPr>
    </w:p>
    <w:p>
      <w:pPr>
        <w:jc w:val="center"/>
        <w:ind w:right="171"/>
        <w:spacing w:after="0"/>
        <w:rPr>
          <w:sz w:val="20"/>
          <w:szCs w:val="20"/>
          <w:color w:val="auto"/>
        </w:rPr>
      </w:pPr>
      <w:r>
        <w:rPr>
          <w:rFonts w:ascii="Arial" w:cs="Arial" w:eastAsia="Arial" w:hAnsi="Arial"/>
          <w:sz w:val="22"/>
          <w:szCs w:val="22"/>
          <w:color w:val="auto"/>
        </w:rPr>
        <w:t>Grand Canyon Education, Inc.</w:t>
      </w:r>
    </w:p>
    <w:p>
      <w:pPr>
        <w:spacing w:after="0" w:line="24"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40" w:lineRule="exact"/>
        <w:rPr>
          <w:sz w:val="24"/>
          <w:szCs w:val="24"/>
          <w:color w:val="auto"/>
        </w:rPr>
      </w:pPr>
    </w:p>
    <w:p>
      <w:pPr>
        <w:ind w:left="2268"/>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7"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248" w:hanging="248"/>
        <w:spacing w:after="0"/>
        <w:tabs>
          <w:tab w:leader="none" w:pos="24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4"/>
          <w:szCs w:val="24"/>
          <w:color w:val="auto"/>
        </w:rPr>
      </w:pPr>
    </w:p>
    <w:p>
      <w:pPr>
        <w:ind w:left="248" w:hanging="248"/>
        <w:spacing w:after="0"/>
        <w:tabs>
          <w:tab w:leader="none" w:pos="248"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right="259" w:hanging="379"/>
        <w:spacing w:after="0" w:line="277" w:lineRule="auto"/>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188" w:hanging="188"/>
        <w:spacing w:after="0"/>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188" w:right="419" w:hanging="188"/>
        <w:spacing w:after="0" w:line="264" w:lineRule="auto"/>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8" w:hanging="379"/>
        <w:spacing w:after="0"/>
        <w:tabs>
          <w:tab w:leader="none" w:pos="568"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wp:posOffset>
            </wp:positionH>
            <wp:positionV relativeFrom="paragraph">
              <wp:posOffset>-5113020</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-4546600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-3843655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-3277870</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-2711450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-1459230</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-893445</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-327660</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238125</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225" w:right="1440" w:bottom="883" w:gutter="0" w:footer="0" w:header="0"/>
        </w:sectPr>
      </w:pPr>
    </w:p>
    <w:bookmarkStart w:id="1" w:name="page2"/>
    <w:bookmarkEnd w:id="1"/>
    <w:p>
      <w:pPr>
        <w:jc w:val="right"/>
        <w:ind w:right="1360"/>
        <w:spacing w:after="0"/>
        <w:rPr>
          <w:sz w:val="20"/>
          <w:szCs w:val="20"/>
          <w:color w:val="auto"/>
        </w:rPr>
      </w:pPr>
      <w:r>
        <w:rPr>
          <w:rFonts w:ascii="Arial" w:cs="Arial" w:eastAsia="Arial" w:hAnsi="Arial"/>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-231775</wp:posOffset>
            </wp:positionV>
            <wp:extent cx="1959610" cy="739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9610" cy="73977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1761490</wp:posOffset>
            </wp:positionV>
            <wp:extent cx="617474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auto"/>
        </w:rPr>
        <w:t>Stockholder Meeting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42545</wp:posOffset>
            </wp:positionV>
            <wp:extent cx="617474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25"/>
          <w:szCs w:val="25"/>
          <w:b w:val="1"/>
          <w:bCs w:val="1"/>
          <w:color w:val="auto"/>
        </w:rPr>
        <w:t>Grand Canyon Education, Inc. Stockholder Meeting to be Held on May 17, 2011</w:t>
      </w:r>
    </w:p>
    <w:p>
      <w:pPr>
        <w:spacing w:after="0" w:line="196" w:lineRule="exact"/>
        <w:rPr>
          <w:sz w:val="20"/>
          <w:szCs w:val="20"/>
          <w:color w:val="auto"/>
        </w:rPr>
      </w:pPr>
    </w:p>
    <w:p>
      <w:pPr>
        <w:ind w:left="340" w:right="1500"/>
        <w:spacing w:after="0" w:line="239" w:lineRule="auto"/>
        <w:rPr>
          <w:sz w:val="20"/>
          <w:szCs w:val="20"/>
          <w:color w:val="auto"/>
        </w:rPr>
      </w:pPr>
      <w:r>
        <w:rPr>
          <w:rFonts w:ascii="Arial" w:cs="Arial" w:eastAsia="Arial" w:hAnsi="Arial"/>
          <w:sz w:val="18"/>
          <w:szCs w:val="18"/>
          <w:color w:val="auto"/>
        </w:rPr>
        <w:t>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w:t>
      </w:r>
    </w:p>
    <w:p>
      <w:pPr>
        <w:spacing w:after="0" w:line="139" w:lineRule="exact"/>
        <w:rPr>
          <w:sz w:val="20"/>
          <w:szCs w:val="20"/>
          <w:color w:val="auto"/>
        </w:rPr>
      </w:pPr>
    </w:p>
    <w:p>
      <w:pPr>
        <w:ind w:left="340" w:right="1420"/>
        <w:spacing w:after="0" w:line="253"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w:t>
      </w:r>
    </w:p>
    <w:p>
      <w:pPr>
        <w:spacing w:after="0" w:line="111" w:lineRule="exact"/>
        <w:rPr>
          <w:sz w:val="20"/>
          <w:szCs w:val="20"/>
          <w:color w:val="auto"/>
        </w:rPr>
      </w:pPr>
    </w:p>
    <w:p>
      <w:pPr>
        <w:jc w:val="center"/>
        <w:ind w:right="1040"/>
        <w:spacing w:after="0"/>
        <w:rPr>
          <w:sz w:val="20"/>
          <w:szCs w:val="20"/>
          <w:color w:val="auto"/>
        </w:rPr>
      </w:pPr>
      <w:r>
        <w:rPr>
          <w:rFonts w:ascii="Arial" w:cs="Arial" w:eastAsia="Arial" w:hAnsi="Arial"/>
          <w:sz w:val="29"/>
          <w:szCs w:val="29"/>
          <w:b w:val="1"/>
          <w:bCs w:val="1"/>
          <w:color w:val="auto"/>
        </w:rPr>
        <w:t>www.envisionreports.com/LOPE</w:t>
      </w:r>
    </w:p>
    <w:p>
      <w:pPr>
        <w:spacing w:after="0" w:line="210" w:lineRule="exact"/>
        <w:rPr>
          <w:sz w:val="20"/>
          <w:szCs w:val="20"/>
          <w:color w:val="auto"/>
        </w:rPr>
      </w:pPr>
    </w:p>
    <w:p>
      <w:pPr>
        <w:ind w:left="1080"/>
        <w:spacing w:after="0"/>
        <w:rPr>
          <w:sz w:val="20"/>
          <w:szCs w:val="20"/>
          <w:color w:val="auto"/>
        </w:rPr>
      </w:pPr>
      <w:r>
        <w:rPr>
          <w:rFonts w:ascii="Arial" w:cs="Arial" w:eastAsia="Arial" w:hAnsi="Arial"/>
          <w:sz w:val="23"/>
          <w:szCs w:val="23"/>
          <w:b w:val="1"/>
          <w:bCs w:val="1"/>
          <w:color w:val="auto"/>
        </w:rPr>
        <w:t>Easy Online Access — A Convenient Way to View Proxy Materials and Vote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When you go online to view materials, you can also vote your shares.</w:t>
      </w:r>
    </w:p>
    <w:p>
      <w:pPr>
        <w:ind w:left="1080"/>
        <w:spacing w:after="0" w:line="234" w:lineRule="auto"/>
        <w:rPr>
          <w:sz w:val="20"/>
          <w:szCs w:val="20"/>
          <w:color w:val="auto"/>
        </w:rPr>
      </w:pPr>
      <w:r>
        <w:rPr>
          <w:rFonts w:ascii="Arial" w:cs="Arial" w:eastAsia="Arial" w:hAnsi="Arial"/>
          <w:sz w:val="18"/>
          <w:szCs w:val="18"/>
          <w:b w:val="1"/>
          <w:bCs w:val="1"/>
          <w:color w:val="auto"/>
        </w:rPr>
        <w:t>Step 1</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www.envisionreports.com/LOPE </w:t>
      </w:r>
      <w:r>
        <w:rPr>
          <w:rFonts w:ascii="Arial" w:cs="Arial" w:eastAsia="Arial" w:hAnsi="Arial"/>
          <w:sz w:val="18"/>
          <w:szCs w:val="18"/>
          <w:color w:val="auto"/>
        </w:rPr>
        <w:t>to view the materials.</w:t>
      </w:r>
    </w:p>
    <w:p>
      <w:pPr>
        <w:ind w:left="1080"/>
        <w:spacing w:after="0" w:line="235" w:lineRule="auto"/>
        <w:rPr>
          <w:sz w:val="20"/>
          <w:szCs w:val="20"/>
          <w:color w:val="auto"/>
        </w:rPr>
      </w:pPr>
      <w:r>
        <w:rPr>
          <w:rFonts w:ascii="Arial" w:cs="Arial" w:eastAsia="Arial" w:hAnsi="Arial"/>
          <w:sz w:val="18"/>
          <w:szCs w:val="18"/>
          <w:b w:val="1"/>
          <w:bCs w:val="1"/>
          <w:color w:val="auto"/>
        </w:rPr>
        <w:t>Step 2</w:t>
      </w:r>
      <w:r>
        <w:rPr>
          <w:rFonts w:ascii="Arial" w:cs="Arial" w:eastAsia="Arial" w:hAnsi="Arial"/>
          <w:sz w:val="18"/>
          <w:szCs w:val="18"/>
          <w:color w:val="auto"/>
        </w:rPr>
        <w:t>: Click on</w:t>
      </w:r>
      <w:r>
        <w:rPr>
          <w:rFonts w:ascii="Arial" w:cs="Arial" w:eastAsia="Arial" w:hAnsi="Arial"/>
          <w:sz w:val="18"/>
          <w:szCs w:val="18"/>
          <w:b w:val="1"/>
          <w:bCs w:val="1"/>
          <w:color w:val="auto"/>
        </w:rPr>
        <w:t xml:space="preserve"> Cast Your Vote or Request Materials.</w:t>
      </w:r>
    </w:p>
    <w:p>
      <w:pPr>
        <w:ind w:left="1080"/>
        <w:spacing w:after="0" w:line="235" w:lineRule="auto"/>
        <w:rPr>
          <w:sz w:val="20"/>
          <w:szCs w:val="20"/>
          <w:color w:val="auto"/>
        </w:rPr>
      </w:pPr>
      <w:r>
        <w:rPr>
          <w:rFonts w:ascii="Arial" w:cs="Arial" w:eastAsia="Arial" w:hAnsi="Arial"/>
          <w:sz w:val="18"/>
          <w:szCs w:val="18"/>
          <w:b w:val="1"/>
          <w:bCs w:val="1"/>
          <w:color w:val="auto"/>
        </w:rPr>
        <w:t>Step 3</w:t>
      </w:r>
      <w:r>
        <w:rPr>
          <w:rFonts w:ascii="Arial" w:cs="Arial" w:eastAsia="Arial" w:hAnsi="Arial"/>
          <w:sz w:val="18"/>
          <w:szCs w:val="18"/>
          <w:color w:val="auto"/>
        </w:rPr>
        <w:t>: Follow the instructions on the screen to log in.</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Step 4</w:t>
      </w:r>
      <w:r>
        <w:rPr>
          <w:rFonts w:ascii="Arial" w:cs="Arial" w:eastAsia="Arial" w:hAnsi="Arial"/>
          <w:sz w:val="18"/>
          <w:szCs w:val="18"/>
          <w:color w:val="auto"/>
        </w:rPr>
        <w:t>: Make your selection as instructed on each screen to select delivery preferences and vote.</w:t>
      </w:r>
    </w:p>
    <w:p>
      <w:pPr>
        <w:spacing w:after="0" w:line="140" w:lineRule="exact"/>
        <w:rPr>
          <w:sz w:val="20"/>
          <w:szCs w:val="20"/>
          <w:color w:val="auto"/>
        </w:rPr>
      </w:pPr>
    </w:p>
    <w:p>
      <w:pPr>
        <w:ind w:left="340" w:right="1680"/>
        <w:spacing w:after="0" w:line="261" w:lineRule="auto"/>
        <w:rPr>
          <w:sz w:val="20"/>
          <w:szCs w:val="20"/>
          <w:color w:val="auto"/>
        </w:rPr>
      </w:pPr>
      <w:r>
        <w:rPr>
          <w:rFonts w:ascii="Arial" w:cs="Arial" w:eastAsia="Arial" w:hAnsi="Arial"/>
          <w:sz w:val="22"/>
          <w:szCs w:val="22"/>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331470</wp:posOffset>
            </wp:positionV>
            <wp:extent cx="61747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80" w:right="1760"/>
        <w:spacing w:after="0"/>
        <w:rPr>
          <w:sz w:val="20"/>
          <w:szCs w:val="20"/>
          <w:color w:val="auto"/>
        </w:rPr>
      </w:pPr>
      <w:r>
        <w:rPr>
          <w:rFonts w:ascii="Arial" w:cs="Arial" w:eastAsia="Arial" w:hAnsi="Arial"/>
          <w:sz w:val="22"/>
          <w:szCs w:val="22"/>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May 7, 2011 to facilitate timely delivery.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480"/>
        </w:trPr>
        <w:tc>
          <w:tcPr>
            <w:tcW w:w="1000" w:type="dxa"/>
            <w:vAlign w:val="bottom"/>
          </w:tcPr>
          <w:p>
            <w:pPr>
              <w:ind w:left="340"/>
              <w:spacing w:after="0"/>
              <w:rPr>
                <w:sz w:val="20"/>
                <w:szCs w:val="20"/>
                <w:color w:val="auto"/>
              </w:rPr>
            </w:pPr>
            <w:r>
              <w:rPr>
                <w:rFonts w:ascii="Arial" w:cs="Arial" w:eastAsia="Arial" w:hAnsi="Arial"/>
                <w:sz w:val="36"/>
                <w:szCs w:val="36"/>
                <w:b w:val="1"/>
                <w:bCs w:val="1"/>
                <w:color w:val="auto"/>
              </w:rPr>
              <w:t>n</w:t>
            </w:r>
          </w:p>
        </w:tc>
        <w:tc>
          <w:tcPr>
            <w:tcW w:w="10420" w:type="dxa"/>
            <w:vAlign w:val="bottom"/>
          </w:tcPr>
          <w:p>
            <w:pPr>
              <w:jc w:val="right"/>
              <w:ind w:right="1243"/>
              <w:spacing w:after="0"/>
              <w:rPr>
                <w:sz w:val="20"/>
                <w:szCs w:val="20"/>
                <w:color w:val="auto"/>
              </w:rPr>
            </w:pPr>
            <w:r>
              <w:rPr>
                <w:rFonts w:ascii="Arial" w:cs="Arial" w:eastAsia="Arial" w:hAnsi="Arial"/>
                <w:sz w:val="36"/>
                <w:szCs w:val="36"/>
                <w:b w:val="1"/>
                <w:bCs w:val="1"/>
                <w:color w:val="auto"/>
              </w:rPr>
              <w:t>+</w:t>
            </w:r>
          </w:p>
        </w:tc>
      </w:tr>
      <w:tr>
        <w:trPr>
          <w:trHeight w:val="302"/>
        </w:trPr>
        <w:tc>
          <w:tcPr>
            <w:tcW w:w="1000" w:type="dxa"/>
            <w:vAlign w:val="bottom"/>
          </w:tcPr>
          <w:p>
            <w:pPr>
              <w:spacing w:after="0"/>
              <w:rPr>
                <w:sz w:val="24"/>
                <w:szCs w:val="24"/>
                <w:color w:val="auto"/>
              </w:rPr>
            </w:pPr>
          </w:p>
        </w:tc>
        <w:tc>
          <w:tcPr>
            <w:tcW w:w="10420" w:type="dxa"/>
            <w:vAlign w:val="bottom"/>
          </w:tcPr>
          <w:p>
            <w:pPr>
              <w:jc w:val="right"/>
              <w:ind w:right="9423"/>
              <w:spacing w:after="0"/>
              <w:rPr>
                <w:sz w:val="20"/>
                <w:szCs w:val="20"/>
                <w:color w:val="auto"/>
              </w:rPr>
            </w:pPr>
            <w:r>
              <w:rPr>
                <w:rFonts w:ascii="Arial" w:cs="Arial" w:eastAsia="Arial" w:hAnsi="Arial"/>
                <w:sz w:val="11"/>
                <w:szCs w:val="11"/>
                <w:color w:val="auto"/>
              </w:rPr>
              <w:t>01B2ND</w:t>
            </w:r>
          </w:p>
        </w:tc>
      </w:tr>
      <w:tr>
        <w:trPr>
          <w:trHeight w:val="978"/>
        </w:trPr>
        <w:tc>
          <w:tcPr>
            <w:tcW w:w="100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05"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612140</wp:posOffset>
            </wp:positionV>
            <wp:extent cx="617474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26035"/>
                    </a:xfrm>
                    <a:prstGeom prst="rect">
                      <a:avLst/>
                    </a:prstGeom>
                    <a:noFill/>
                  </pic:spPr>
                </pic:pic>
              </a:graphicData>
            </a:graphic>
          </wp:anchor>
        </w:drawing>
        <w:t>Stockholder Meeting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617474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31" w:lineRule="exact"/>
        <w:rPr>
          <w:sz w:val="20"/>
          <w:szCs w:val="20"/>
          <w:color w:val="auto"/>
        </w:rPr>
      </w:pPr>
    </w:p>
    <w:p>
      <w:pPr>
        <w:jc w:val="both"/>
        <w:ind w:right="299"/>
        <w:spacing w:after="0" w:line="285" w:lineRule="auto"/>
        <w:rPr>
          <w:sz w:val="20"/>
          <w:szCs w:val="20"/>
          <w:color w:val="auto"/>
        </w:rPr>
      </w:pPr>
      <w:r>
        <w:rPr>
          <w:rFonts w:ascii="Arial" w:cs="Arial" w:eastAsia="Arial" w:hAnsi="Arial"/>
          <w:sz w:val="21"/>
          <w:szCs w:val="21"/>
          <w:b w:val="1"/>
          <w:bCs w:val="1"/>
          <w:color w:val="auto"/>
        </w:rPr>
        <w:t>Grand Canyon Education, Inc’s. Annual Meeting of Shareholders will be held on May 17, 2011 at McKinley Hall, 3300 W. Camelback Road, Phoenix, Arizona 85017 at 10:00 a.m Pacific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4 and 6 and </w:t>
      </w:r>
      <w:r>
        <w:rPr>
          <w:rFonts w:ascii="Arial" w:cs="Arial" w:eastAsia="Arial" w:hAnsi="Arial"/>
          <w:sz w:val="18"/>
          <w:szCs w:val="18"/>
          <w:b w:val="1"/>
          <w:bCs w:val="1"/>
          <w:u w:val="single" w:color="auto"/>
          <w:color w:val="auto"/>
        </w:rPr>
        <w:t>3 YRS</w:t>
      </w:r>
      <w:r>
        <w:rPr>
          <w:rFonts w:ascii="Arial" w:cs="Arial" w:eastAsia="Arial" w:hAnsi="Arial"/>
          <w:sz w:val="18"/>
          <w:szCs w:val="18"/>
          <w:b w:val="1"/>
          <w:bCs w:val="1"/>
          <w:color w:val="auto"/>
        </w:rPr>
        <w:t xml:space="preserve"> for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50" w:lineRule="exact"/>
        <w:rPr>
          <w:sz w:val="20"/>
          <w:szCs w:val="20"/>
          <w:color w:val="auto"/>
        </w:rPr>
      </w:pPr>
    </w:p>
    <w:p>
      <w:pPr>
        <w:ind w:left="740" w:right="179" w:hanging="370"/>
        <w:spacing w:after="0" w:line="24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 Brent D. Richardson, Brian E. Mueller, Christopher C. Richardson, Chad N. Heath, D. Mark Dorman, David J. Johnson, Jack A. Henry, Gerald J. Colangelo.</w:t>
      </w:r>
    </w:p>
    <w:p>
      <w:pPr>
        <w:spacing w:after="0" w:line="48" w:lineRule="exact"/>
        <w:rPr>
          <w:rFonts w:ascii="Arial" w:cs="Arial" w:eastAsia="Arial" w:hAnsi="Arial"/>
          <w:sz w:val="18"/>
          <w:szCs w:val="18"/>
          <w:color w:val="auto"/>
        </w:rPr>
      </w:pPr>
    </w:p>
    <w:p>
      <w:pPr>
        <w:ind w:left="740" w:hanging="37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Annual Cash Incentive Plan in accordance with Section 162(m) of the Internal Revenue Code.</w:t>
      </w:r>
    </w:p>
    <w:p>
      <w:pPr>
        <w:spacing w:after="0" w:line="63" w:lineRule="exact"/>
        <w:rPr>
          <w:rFonts w:ascii="Arial" w:cs="Arial" w:eastAsia="Arial" w:hAnsi="Arial"/>
          <w:sz w:val="18"/>
          <w:szCs w:val="18"/>
          <w:color w:val="auto"/>
        </w:rPr>
      </w:pPr>
    </w:p>
    <w:p>
      <w:pPr>
        <w:ind w:left="740" w:hanging="37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Section 162(m) limits of our 2008 Equity Incentive Plan.</w:t>
      </w:r>
    </w:p>
    <w:p>
      <w:pPr>
        <w:spacing w:after="0" w:line="63" w:lineRule="exact"/>
        <w:rPr>
          <w:rFonts w:ascii="Arial" w:cs="Arial" w:eastAsia="Arial" w:hAnsi="Arial"/>
          <w:sz w:val="18"/>
          <w:szCs w:val="18"/>
          <w:color w:val="auto"/>
        </w:rPr>
      </w:pPr>
    </w:p>
    <w:p>
      <w:pPr>
        <w:ind w:left="740" w:hanging="37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63" w:lineRule="exact"/>
        <w:rPr>
          <w:rFonts w:ascii="Arial" w:cs="Arial" w:eastAsia="Arial" w:hAnsi="Arial"/>
          <w:sz w:val="18"/>
          <w:szCs w:val="18"/>
          <w:color w:val="auto"/>
        </w:rPr>
      </w:pPr>
    </w:p>
    <w:p>
      <w:pPr>
        <w:ind w:left="740" w:right="1199" w:hanging="370"/>
        <w:spacing w:after="0" w:line="24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recommend, on an advisory basis, the frequency of the advisory vote on named executive officer compensation.</w:t>
      </w:r>
    </w:p>
    <w:p>
      <w:pPr>
        <w:spacing w:after="0" w:line="48" w:lineRule="exact"/>
        <w:rPr>
          <w:rFonts w:ascii="Arial" w:cs="Arial" w:eastAsia="Arial" w:hAnsi="Arial"/>
          <w:sz w:val="18"/>
          <w:szCs w:val="18"/>
          <w:color w:val="auto"/>
        </w:rPr>
      </w:pPr>
    </w:p>
    <w:p>
      <w:pPr>
        <w:ind w:left="740" w:right="599" w:hanging="370"/>
        <w:spacing w:after="0" w:line="24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2011.</w:t>
      </w:r>
    </w:p>
    <w:p>
      <w:pPr>
        <w:spacing w:after="0" w:line="134" w:lineRule="exact"/>
        <w:rPr>
          <w:sz w:val="20"/>
          <w:szCs w:val="20"/>
          <w:color w:val="auto"/>
        </w:rPr>
      </w:pPr>
    </w:p>
    <w:p>
      <w:pPr>
        <w:jc w:val="both"/>
        <w:ind w:right="199"/>
        <w:spacing w:after="0" w:line="253"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vote online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1708785</wp:posOffset>
            </wp:positionV>
            <wp:extent cx="61747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40" w:right="1219"/>
        <w:spacing w:after="0" w:line="261" w:lineRule="auto"/>
        <w:rPr>
          <w:sz w:val="20"/>
          <w:szCs w:val="20"/>
          <w:color w:val="auto"/>
        </w:rPr>
      </w:pPr>
      <w:r>
        <w:rPr>
          <w:rFonts w:ascii="Arial" w:cs="Arial" w:eastAsia="Arial" w:hAnsi="Arial"/>
          <w:sz w:val="22"/>
          <w:szCs w:val="22"/>
          <w:b w:val="1"/>
          <w:bCs w:val="1"/>
          <w:color w:val="auto"/>
        </w:rPr>
        <w:t>Here’s how to order a copy of the proxy materials and select a future delivery preference:</w:t>
      </w:r>
    </w:p>
    <w:p>
      <w:pPr>
        <w:spacing w:after="0" w:line="108" w:lineRule="exact"/>
        <w:rPr>
          <w:sz w:val="20"/>
          <w:szCs w:val="20"/>
          <w:color w:val="auto"/>
        </w:rPr>
      </w:pPr>
    </w:p>
    <w:p>
      <w:pPr>
        <w:ind w:left="740" w:right="279"/>
        <w:spacing w:after="0" w:line="271" w:lineRule="auto"/>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below.</w:t>
      </w:r>
    </w:p>
    <w:p>
      <w:pPr>
        <w:spacing w:after="0" w:line="140" w:lineRule="exact"/>
        <w:rPr>
          <w:sz w:val="20"/>
          <w:szCs w:val="20"/>
          <w:color w:val="auto"/>
        </w:rPr>
      </w:pPr>
    </w:p>
    <w:p>
      <w:pPr>
        <w:ind w:left="740" w:right="419"/>
        <w:spacing w:after="0" w:line="253" w:lineRule="auto"/>
        <w:rPr>
          <w:sz w:val="20"/>
          <w:szCs w:val="20"/>
          <w:color w:val="auto"/>
        </w:rPr>
      </w:pPr>
      <w:r>
        <w:rPr>
          <w:rFonts w:ascii="Arial" w:cs="Arial" w:eastAsia="Arial" w:hAnsi="Arial"/>
          <w:sz w:val="18"/>
          <w:szCs w:val="18"/>
          <w:b w:val="1"/>
          <w:bCs w:val="1"/>
          <w:color w:val="auto"/>
        </w:rPr>
        <w:t>Email copies</w:t>
      </w:r>
      <w:r>
        <w:rPr>
          <w:rFonts w:ascii="Arial" w:cs="Arial" w:eastAsia="Arial" w:hAnsi="Arial"/>
          <w:sz w:val="18"/>
          <w:szCs w:val="18"/>
          <w:color w:val="auto"/>
        </w:rPr>
        <w:t>: Current and future email delivery requests must be submitted via the Internet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below. If you request an email copy of current materials you will receive an email with a link to the materials.</w:t>
      </w:r>
    </w:p>
    <w:p>
      <w:pPr>
        <w:spacing w:after="0" w:line="115" w:lineRule="exact"/>
        <w:rPr>
          <w:sz w:val="20"/>
          <w:szCs w:val="20"/>
          <w:color w:val="auto"/>
        </w:rPr>
      </w:pPr>
    </w:p>
    <w:p>
      <w:pPr>
        <w:ind w:left="740" w:right="179"/>
        <w:spacing w:after="0" w:line="271" w:lineRule="auto"/>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w:t>
      </w:r>
    </w:p>
    <w:p>
      <w:pPr>
        <w:spacing w:after="0" w:line="113" w:lineRule="exact"/>
        <w:rPr>
          <w:sz w:val="20"/>
          <w:szCs w:val="20"/>
          <w:color w:val="auto"/>
        </w:rPr>
      </w:pPr>
    </w:p>
    <w:p>
      <w:pPr>
        <w:ind w:left="1140" w:right="179" w:hanging="378"/>
        <w:spacing w:after="0" w:line="25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www.envisionreports.com/LOPE</w:t>
      </w:r>
      <w:r>
        <w:rPr>
          <w:rFonts w:ascii="Arial" w:cs="Arial" w:eastAsia="Arial" w:hAnsi="Arial"/>
          <w:sz w:val="18"/>
          <w:szCs w:val="18"/>
          <w:color w:val="auto"/>
        </w:rPr>
        <w:t>. Click Cast Your Vote or Request Materials.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to log in and order a copy of the current meeting materials and submit your preference for email or paper delivery of future meeting materials.</w:t>
      </w:r>
    </w:p>
    <w:p>
      <w:pPr>
        <w:spacing w:after="0" w:line="115" w:lineRule="exact"/>
        <w:rPr>
          <w:rFonts w:ascii="Arial" w:cs="Arial" w:eastAsia="Arial" w:hAnsi="Arial"/>
          <w:sz w:val="18"/>
          <w:szCs w:val="18"/>
          <w:color w:val="auto"/>
        </w:rPr>
      </w:pPr>
    </w:p>
    <w:p>
      <w:pPr>
        <w:ind w:left="1140" w:right="159" w:hanging="378"/>
        <w:spacing w:after="0" w:line="25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Call us free of charge at 1-866-641-4276 and follow the instructions to log in and order a paper</w:t>
      </w:r>
      <w:r>
        <w:rPr>
          <w:rFonts w:ascii="Arial" w:cs="Arial" w:eastAsia="Arial" w:hAnsi="Arial"/>
          <w:sz w:val="18"/>
          <w:szCs w:val="18"/>
          <w:b w:val="1"/>
          <w:bCs w:val="1"/>
          <w:color w:val="auto"/>
        </w:rPr>
        <w:t xml:space="preserve"> </w:t>
      </w:r>
      <w:r>
        <w:rPr>
          <w:rFonts w:ascii="Arial" w:cs="Arial" w:eastAsia="Arial" w:hAnsi="Arial"/>
          <w:sz w:val="18"/>
          <w:szCs w:val="18"/>
          <w:color w:val="auto"/>
        </w:rPr>
        <w:t>copy of the materials by mail for the current meeting. You can also submit a preference to receive a paper copy for future meetings.</w:t>
      </w:r>
    </w:p>
    <w:p>
      <w:pPr>
        <w:spacing w:after="0" w:line="115" w:lineRule="exact"/>
        <w:rPr>
          <w:rFonts w:ascii="Arial" w:cs="Arial" w:eastAsia="Arial" w:hAnsi="Arial"/>
          <w:sz w:val="18"/>
          <w:szCs w:val="18"/>
          <w:color w:val="auto"/>
        </w:rPr>
      </w:pPr>
    </w:p>
    <w:p>
      <w:pPr>
        <w:ind w:left="1140" w:right="259" w:hanging="378"/>
        <w:spacing w:after="0" w:line="24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 Send email to investorvote@computershare.com with “Proxy Materials Grand Canyon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 in the subject line. Include in 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120" w:lineRule="exact"/>
        <w:rPr>
          <w:sz w:val="20"/>
          <w:szCs w:val="20"/>
          <w:color w:val="auto"/>
        </w:rPr>
      </w:pPr>
    </w:p>
    <w:p>
      <w:pPr>
        <w:ind w:left="1140" w:right="259"/>
        <w:spacing w:after="0" w:line="271" w:lineRule="auto"/>
        <w:rPr>
          <w:sz w:val="20"/>
          <w:szCs w:val="20"/>
          <w:color w:val="auto"/>
        </w:rPr>
      </w:pPr>
      <w:r>
        <w:rPr>
          <w:rFonts w:ascii="Arial" w:cs="Arial" w:eastAsia="Arial" w:hAnsi="Arial"/>
          <w:sz w:val="18"/>
          <w:szCs w:val="18"/>
          <w:color w:val="auto"/>
        </w:rPr>
        <w:t xml:space="preserve">To facilitate timely delivery, all requests for a paper copy of the proxy materials must be received by </w:t>
      </w:r>
      <w:r>
        <w:rPr>
          <w:rFonts w:ascii="Arial" w:cs="Arial" w:eastAsia="Arial" w:hAnsi="Arial"/>
          <w:sz w:val="18"/>
          <w:szCs w:val="18"/>
          <w:b w:val="1"/>
          <w:bCs w:val="1"/>
          <w:color w:val="auto"/>
        </w:rPr>
        <w:t>May 7,</w:t>
      </w:r>
      <w:r>
        <w:rPr>
          <w:rFonts w:ascii="Arial" w:cs="Arial" w:eastAsia="Arial" w:hAnsi="Arial"/>
          <w:sz w:val="18"/>
          <w:szCs w:val="18"/>
          <w:color w:val="auto"/>
        </w:rPr>
        <w:t xml:space="preserve"> </w:t>
      </w:r>
      <w:r>
        <w:rPr>
          <w:rFonts w:ascii="Arial" w:cs="Arial" w:eastAsia="Arial" w:hAnsi="Arial"/>
          <w:sz w:val="18"/>
          <w:szCs w:val="18"/>
          <w:b w:val="1"/>
          <w:bCs w:val="1"/>
          <w:color w:val="auto"/>
        </w:rPr>
        <w:t>2011.</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01B2ND</w:t>
      </w:r>
    </w:p>
    <w:sectPr>
      <w:pgSz w:w="11900" w:h="16838" w:orient="portrait"/>
      <w:cols w:equalWidth="0" w:num="1">
        <w:col w:w="9879"/>
      </w:cols>
      <w:pgMar w:left="580" w:top="11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ð"/>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2019-12-11T05:12:11Z</dcterms:created>
  <dcterms:modified xsi:type="dcterms:W3CDTF">2019-12-11T05:12:11Z</dcterms:modified>
</cp:coreProperties>
</file>