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800"/>
        <w:spacing w:after="0"/>
        <w:tabs>
          <w:tab w:leader="none" w:pos="6680" w:val="left"/>
          <w:tab w:leader="none" w:pos="7560" w:val="left"/>
        </w:tabs>
        <w:rPr>
          <w:sz w:val="20"/>
          <w:szCs w:val="20"/>
          <w:color w:val="auto"/>
        </w:rPr>
      </w:pPr>
      <w:r>
        <w:rPr>
          <w:rFonts w:ascii="Arial" w:cs="Arial" w:eastAsia="Arial" w:hAnsi="Arial"/>
          <w:sz w:val="18"/>
          <w:szCs w:val="18"/>
          <w:b w:val="1"/>
          <w:bCs w:val="1"/>
          <w:color w:val="auto"/>
        </w:rPr>
        <w:t>For the transition period from [</w:t>
      </w:r>
      <w:r>
        <w:rPr>
          <w:sz w:val="20"/>
          <w:szCs w:val="20"/>
          <w:color w:val="auto"/>
        </w:rPr>
        <w:tab/>
      </w:r>
      <w:r>
        <w:rPr>
          <w:rFonts w:ascii="Arial" w:cs="Arial" w:eastAsia="Arial" w:hAnsi="Arial"/>
          <w:sz w:val="18"/>
          <w:szCs w:val="18"/>
          <w:b w:val="1"/>
          <w:bCs w:val="1"/>
          <w:color w:val="auto"/>
        </w:rPr>
        <w:t>] to [</w:t>
      </w:r>
      <w:r>
        <w:rPr>
          <w:sz w:val="20"/>
          <w:szCs w:val="20"/>
          <w:color w:val="auto"/>
        </w:rPr>
        <w:tab/>
      </w:r>
      <w:r>
        <w:rPr>
          <w:rFonts w:ascii="Arial" w:cs="Arial" w:eastAsia="Arial" w:hAnsi="Arial"/>
          <w:sz w:val="18"/>
          <w:szCs w:val="18"/>
          <w:b w:val="1"/>
          <w:bCs w:val="1"/>
          <w:color w:val="auto"/>
        </w:rPr>
        <w:t>]</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GRAND CANYON EDUCATION,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2020" w:type="dxa"/>
        <w:tblCellMar>
          <w:top w:w="0" w:type="dxa"/>
          <w:left w:w="0" w:type="dxa"/>
          <w:bottom w:w="0" w:type="dxa"/>
          <w:right w:w="0" w:type="dxa"/>
        </w:tblCellMar>
      </w:tblPr>
      <w:tr>
        <w:trPr>
          <w:trHeight w:val="218"/>
        </w:trPr>
        <w:tc>
          <w:tcPr>
            <w:tcW w:w="3920" w:type="dxa"/>
            <w:vAlign w:val="bottom"/>
          </w:tcPr>
          <w:p>
            <w:pPr>
              <w:jc w:val="center"/>
              <w:ind w:right="2106"/>
              <w:spacing w:after="0"/>
              <w:rPr>
                <w:sz w:val="20"/>
                <w:szCs w:val="20"/>
                <w:color w:val="auto"/>
              </w:rPr>
            </w:pPr>
            <w:r>
              <w:rPr>
                <w:rFonts w:ascii="Arial" w:cs="Arial" w:eastAsia="Arial" w:hAnsi="Arial"/>
                <w:sz w:val="18"/>
                <w:szCs w:val="18"/>
                <w:b w:val="1"/>
                <w:bCs w:val="1"/>
                <w:color w:val="auto"/>
                <w:w w:val="94"/>
              </w:rPr>
              <w:t>DELAWARE</w:t>
            </w:r>
          </w:p>
        </w:tc>
        <w:tc>
          <w:tcPr>
            <w:tcW w:w="3240" w:type="dxa"/>
            <w:vAlign w:val="bottom"/>
          </w:tcPr>
          <w:p>
            <w:pPr>
              <w:jc w:val="center"/>
              <w:ind w:left="2106"/>
              <w:spacing w:after="0"/>
              <w:rPr>
                <w:sz w:val="20"/>
                <w:szCs w:val="20"/>
                <w:color w:val="auto"/>
              </w:rPr>
            </w:pPr>
            <w:r>
              <w:rPr>
                <w:rFonts w:ascii="Arial" w:cs="Arial" w:eastAsia="Arial" w:hAnsi="Arial"/>
                <w:sz w:val="18"/>
                <w:szCs w:val="18"/>
                <w:b w:val="1"/>
                <w:bCs w:val="1"/>
                <w:color w:val="auto"/>
                <w:w w:val="89"/>
              </w:rPr>
              <w:t>20-3356009</w:t>
            </w:r>
          </w:p>
        </w:tc>
      </w:tr>
      <w:tr>
        <w:trPr>
          <w:trHeight w:val="149"/>
        </w:trPr>
        <w:tc>
          <w:tcPr>
            <w:tcW w:w="3920" w:type="dxa"/>
            <w:vAlign w:val="bottom"/>
          </w:tcPr>
          <w:p>
            <w:pPr>
              <w:jc w:val="center"/>
              <w:ind w:right="210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240" w:type="dxa"/>
            <w:vAlign w:val="bottom"/>
          </w:tcPr>
          <w:p>
            <w:pPr>
              <w:jc w:val="center"/>
              <w:ind w:left="210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20" w:type="dxa"/>
            <w:vAlign w:val="bottom"/>
          </w:tcPr>
          <w:p>
            <w:pPr>
              <w:jc w:val="center"/>
              <w:ind w:right="2086"/>
              <w:spacing w:after="0"/>
              <w:rPr>
                <w:sz w:val="20"/>
                <w:szCs w:val="20"/>
                <w:color w:val="auto"/>
              </w:rPr>
            </w:pPr>
            <w:r>
              <w:rPr>
                <w:rFonts w:ascii="Arial" w:cs="Arial" w:eastAsia="Arial" w:hAnsi="Arial"/>
                <w:sz w:val="14"/>
                <w:szCs w:val="14"/>
                <w:b w:val="1"/>
                <w:bCs w:val="1"/>
                <w:color w:val="auto"/>
                <w:w w:val="88"/>
              </w:rPr>
              <w:t>incorporation or organization)</w:t>
            </w:r>
          </w:p>
        </w:tc>
        <w:tc>
          <w:tcPr>
            <w:tcW w:w="3240" w:type="dxa"/>
            <w:vAlign w:val="bottom"/>
          </w:tcPr>
          <w:p>
            <w:pPr>
              <w:jc w:val="center"/>
              <w:ind w:left="210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3300 W. CAMELBACK ROAD, PHOENIX, ARIZONA 85017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(602) 639-7500</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3"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2240" w:type="dxa"/>
            <w:vAlign w:val="bottom"/>
            <w:gridSpan w:val="2"/>
          </w:tcPr>
          <w:p>
            <w:pPr>
              <w:jc w:val="center"/>
              <w:ind w:right="932"/>
              <w:spacing w:after="0"/>
              <w:rPr>
                <w:sz w:val="20"/>
                <w:szCs w:val="20"/>
                <w:color w:val="auto"/>
              </w:rPr>
            </w:pPr>
            <w:r>
              <w:rPr>
                <w:rFonts w:ascii="Arial" w:cs="Arial" w:eastAsia="Arial" w:hAnsi="Arial"/>
                <w:sz w:val="14"/>
                <w:szCs w:val="14"/>
                <w:b w:val="1"/>
                <w:bCs w:val="1"/>
                <w:color w:val="auto"/>
                <w:w w:val="88"/>
              </w:rPr>
              <w:t>(Title of Each Class)</w:t>
            </w:r>
          </w:p>
        </w:tc>
        <w:tc>
          <w:tcPr>
            <w:tcW w:w="2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8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8"/>
              </w:rPr>
              <w:t>(Name of Each Exchange on Which Registered)</w:t>
            </w:r>
          </w:p>
        </w:tc>
        <w:tc>
          <w:tcPr>
            <w:tcW w:w="0" w:type="dxa"/>
            <w:vAlign w:val="bottom"/>
          </w:tcPr>
          <w:p>
            <w:pPr>
              <w:spacing w:after="0"/>
              <w:rPr>
                <w:sz w:val="1"/>
                <w:szCs w:val="1"/>
                <w:color w:val="auto"/>
              </w:rPr>
            </w:pPr>
          </w:p>
        </w:tc>
      </w:tr>
      <w:tr>
        <w:trPr>
          <w:trHeight w:val="195"/>
        </w:trPr>
        <w:tc>
          <w:tcPr>
            <w:tcW w:w="1820" w:type="dxa"/>
            <w:vAlign w:val="bottom"/>
          </w:tcPr>
          <w:p>
            <w:pPr>
              <w:ind w:left="1280"/>
              <w:spacing w:after="0" w:line="195" w:lineRule="exact"/>
              <w:rPr>
                <w:sz w:val="20"/>
                <w:szCs w:val="20"/>
                <w:color w:val="auto"/>
              </w:rPr>
            </w:pPr>
            <w:r>
              <w:rPr>
                <w:rFonts w:ascii="Arial" w:cs="Arial" w:eastAsia="Arial" w:hAnsi="Arial"/>
                <w:sz w:val="18"/>
                <w:szCs w:val="18"/>
                <w:b w:val="1"/>
                <w:bCs w:val="1"/>
                <w:color w:val="auto"/>
                <w:w w:val="98"/>
              </w:rPr>
              <w:t>Grand</w:t>
            </w:r>
          </w:p>
        </w:tc>
        <w:tc>
          <w:tcPr>
            <w:tcW w:w="1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76"/>
              </w:rPr>
              <w:t>Canyon Education,</w:t>
            </w:r>
          </w:p>
        </w:tc>
        <w:tc>
          <w:tcPr>
            <w:tcW w:w="1000" w:type="dxa"/>
            <w:vAlign w:val="bottom"/>
          </w:tcPr>
          <w:p>
            <w:pPr>
              <w:ind w:left="240"/>
              <w:spacing w:after="0" w:line="195" w:lineRule="exact"/>
              <w:rPr>
                <w:sz w:val="20"/>
                <w:szCs w:val="20"/>
                <w:color w:val="auto"/>
              </w:rPr>
            </w:pPr>
            <w:r>
              <w:rPr>
                <w:rFonts w:ascii="Arial" w:cs="Arial" w:eastAsia="Arial" w:hAnsi="Arial"/>
                <w:sz w:val="18"/>
                <w:szCs w:val="18"/>
                <w:b w:val="1"/>
                <w:bCs w:val="1"/>
                <w:color w:val="auto"/>
              </w:rPr>
              <w:t>Inc.</w:t>
            </w:r>
          </w:p>
        </w:tc>
        <w:tc>
          <w:tcPr>
            <w:tcW w:w="2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tcBorders>
              <w:top w:val="single" w:sz="8" w:color="auto"/>
            </w:tcBorders>
            <w:gridSpan w:val="3"/>
          </w:tcPr>
          <w:p>
            <w:pPr>
              <w:jc w:val="right"/>
              <w:ind w:right="232"/>
              <w:spacing w:after="0" w:line="195" w:lineRule="exact"/>
              <w:rPr>
                <w:sz w:val="20"/>
                <w:szCs w:val="20"/>
                <w:color w:val="auto"/>
              </w:rPr>
            </w:pPr>
            <w:r>
              <w:rPr>
                <w:rFonts w:ascii="Arial" w:cs="Arial" w:eastAsia="Arial" w:hAnsi="Arial"/>
                <w:sz w:val="18"/>
                <w:szCs w:val="18"/>
                <w:b w:val="1"/>
                <w:bCs w:val="1"/>
                <w:color w:val="auto"/>
              </w:rPr>
              <w:t>The NASDAQ Global Market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60" w:type="dxa"/>
            <w:vAlign w:val="bottom"/>
            <w:gridSpan w:val="3"/>
          </w:tcPr>
          <w:p>
            <w:pPr>
              <w:jc w:val="center"/>
              <w:ind w:left="712"/>
              <w:spacing w:after="0"/>
              <w:rPr>
                <w:sz w:val="20"/>
                <w:szCs w:val="20"/>
                <w:color w:val="auto"/>
              </w:rPr>
            </w:pPr>
            <w:r>
              <w:rPr>
                <w:rFonts w:ascii="Arial" w:cs="Arial" w:eastAsia="Arial" w:hAnsi="Arial"/>
                <w:sz w:val="18"/>
                <w:szCs w:val="18"/>
                <w:b w:val="1"/>
                <w:bCs w:val="1"/>
                <w:color w:val="auto"/>
                <w:w w:val="87"/>
              </w:rPr>
              <w:t>Common stock, $.01 par value</w:t>
            </w:r>
          </w:p>
        </w:tc>
        <w:tc>
          <w:tcPr>
            <w:tcW w:w="2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1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360" w:type="dxa"/>
            <w:vAlign w:val="bottom"/>
            <w:gridSpan w:val="4"/>
          </w:tcPr>
          <w:p>
            <w:pPr>
              <w:jc w:val="center"/>
              <w:ind w:right="882"/>
              <w:spacing w:after="0"/>
              <w:rPr>
                <w:sz w:val="20"/>
                <w:szCs w:val="20"/>
                <w:color w:val="auto"/>
              </w:rPr>
            </w:pPr>
            <w:r>
              <w:rPr>
                <w:rFonts w:ascii="Arial" w:cs="Arial" w:eastAsia="Arial" w:hAnsi="Arial"/>
                <w:sz w:val="18"/>
                <w:szCs w:val="18"/>
                <w:b w:val="1"/>
                <w:bCs w:val="1"/>
                <w:color w:val="auto"/>
                <w:w w:val="86"/>
              </w:rPr>
              <w:t>Securities registered pursuant to Section 12(g) of the Act:</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360" w:type="dxa"/>
            <w:vAlign w:val="bottom"/>
            <w:gridSpan w:val="3"/>
          </w:tcPr>
          <w:p>
            <w:pPr>
              <w:jc w:val="center"/>
              <w:ind w:right="1902"/>
              <w:spacing w:after="0"/>
              <w:rPr>
                <w:sz w:val="20"/>
                <w:szCs w:val="20"/>
                <w:color w:val="auto"/>
              </w:rPr>
            </w:pPr>
            <w:r>
              <w:rPr>
                <w:rFonts w:ascii="Arial" w:cs="Arial" w:eastAsia="Arial" w:hAnsi="Arial"/>
                <w:sz w:val="18"/>
                <w:szCs w:val="18"/>
                <w:b w:val="1"/>
                <w:bCs w:val="1"/>
                <w:color w:val="auto"/>
                <w:w w:val="84"/>
              </w:rPr>
              <w:t>None</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60" w:type="dxa"/>
            <w:vAlign w:val="bottom"/>
            <w:gridSpan w:val="3"/>
          </w:tcPr>
          <w:p>
            <w:pPr>
              <w:jc w:val="center"/>
              <w:ind w:right="1902"/>
              <w:spacing w:after="0"/>
              <w:rPr>
                <w:sz w:val="20"/>
                <w:szCs w:val="20"/>
                <w:color w:val="auto"/>
              </w:rPr>
            </w:pPr>
            <w:r>
              <w:rPr>
                <w:rFonts w:ascii="Arial" w:cs="Arial" w:eastAsia="Arial" w:hAnsi="Arial"/>
                <w:sz w:val="18"/>
                <w:szCs w:val="18"/>
                <w:b w:val="1"/>
                <w:bCs w:val="1"/>
                <w:i w:val="1"/>
                <w:iCs w:val="1"/>
                <w:color w:val="auto"/>
                <w:w w:val="84"/>
              </w:rPr>
              <w:t>(Title of class)</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06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980" w:type="dxa"/>
            <w:vAlign w:val="bottom"/>
            <w:gridSpan w:val="2"/>
          </w:tcPr>
          <w:p>
            <w:pPr>
              <w:spacing w:after="0"/>
              <w:rPr>
                <w:sz w:val="24"/>
                <w:szCs w:val="24"/>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40" w:type="dxa"/>
            <w:vAlign w:val="bottom"/>
            <w:gridSpan w:val="2"/>
            <w:vMerge w:val="restart"/>
          </w:tcPr>
          <w:p>
            <w:pPr>
              <w:jc w:val="right"/>
              <w:ind w:right="16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390"/>
        </w:trPr>
        <w:tc>
          <w:tcPr>
            <w:tcW w:w="842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6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20" w:type="dxa"/>
            <w:vAlign w:val="bottom"/>
            <w:gridSpan w:val="6"/>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4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36"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0" w:gutter="0" w:footer="0" w:header="0"/>
          <w:type w:val="continuous"/>
        </w:sectPr>
      </w:pPr>
    </w:p>
    <w:p>
      <w:pPr>
        <w:ind w:left="460"/>
        <w:spacing w:after="0" w:line="184" w:lineRule="exact"/>
        <w:tabs>
          <w:tab w:leader="none" w:pos="93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ectPr>
          <w:pgSz w:w="11900" w:h="16838" w:orient="portrait"/>
          <w:cols w:equalWidth="0" w:num="2">
            <w:col w:w="9840" w:space="180"/>
            <w:col w:w="1400"/>
          </w:cols>
          <w:pgMar w:left="240" w:top="230" w:right="239" w:bottom="0" w:gutter="0" w:footer="0" w:header="0"/>
          <w:type w:val="continuous"/>
        </w:sectPr>
      </w:pPr>
    </w:p>
    <w:bookmarkStart w:id="1" w:name="page2"/>
    <w:bookmarkEnd w:id="1"/>
    <w:p>
      <w:pPr>
        <w:ind w:left="460"/>
        <w:spacing w:after="0"/>
        <w:rPr>
          <w:sz w:val="20"/>
          <w:szCs w:val="20"/>
          <w:color w:val="auto"/>
        </w:rPr>
      </w:pPr>
      <w:r>
        <w:rPr>
          <w:rFonts w:ascii="Arial" w:cs="Arial" w:eastAsia="Arial" w:hAnsi="Arial"/>
          <w:sz w:val="18"/>
          <w:szCs w:val="18"/>
          <w:color w:val="auto"/>
        </w:rPr>
        <w:t>The total number of shares of common stock outstanding as of February 11, 2013 was 44,657,860.</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June 29, 2012, the last business day of the registrant’s most recently completed second fiscal quarter, the registrant’s common stock was listed on the NASDAQ Global Market. As of June 29, 2012, the aggregate market value of the registrant’s common stock held by non-affiliates was approximately $913.9 million.</w:t>
      </w:r>
    </w:p>
    <w:p>
      <w:pPr>
        <w:spacing w:after="0" w:line="13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Certain portions of the registrant’s Definitive Proxy Statement for its 2013 Annual Meeting of Stockholders (which is expected to be filed with the Commission within 120 days after the end of the registrant’s 2012 fiscal year)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920" w:type="dxa"/>
            <w:vAlign w:val="bottom"/>
            <w:gridSpan w:val="11"/>
          </w:tcPr>
          <w:p>
            <w:pPr>
              <w:jc w:val="center"/>
              <w:ind w:right="3660"/>
              <w:spacing w:after="0"/>
              <w:rPr>
                <w:sz w:val="20"/>
                <w:szCs w:val="20"/>
                <w:color w:val="auto"/>
              </w:rPr>
            </w:pPr>
            <w:r>
              <w:rPr>
                <w:rFonts w:ascii="Arial" w:cs="Arial" w:eastAsia="Arial" w:hAnsi="Arial"/>
                <w:sz w:val="18"/>
                <w:szCs w:val="18"/>
                <w:color w:val="auto"/>
                <w:w w:val="95"/>
              </w:rPr>
              <w:t>GRAND CANYON EDUCATION, INC.</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20" w:type="dxa"/>
            <w:vAlign w:val="bottom"/>
            <w:gridSpan w:val="9"/>
          </w:tcPr>
          <w:p>
            <w:pPr>
              <w:jc w:val="center"/>
              <w:ind w:right="4660"/>
              <w:spacing w:after="0"/>
              <w:rPr>
                <w:sz w:val="20"/>
                <w:szCs w:val="20"/>
                <w:color w:val="auto"/>
              </w:rPr>
            </w:pPr>
            <w:r>
              <w:rPr>
                <w:rFonts w:ascii="Arial" w:cs="Arial" w:eastAsia="Arial" w:hAnsi="Arial"/>
                <w:sz w:val="18"/>
                <w:szCs w:val="18"/>
                <w:color w:val="auto"/>
                <w:w w:val="93"/>
              </w:rPr>
              <w:t>FORM 10-K</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80" w:type="dxa"/>
            <w:vAlign w:val="bottom"/>
            <w:gridSpan w:val="7"/>
          </w:tcPr>
          <w:p>
            <w:pPr>
              <w:jc w:val="center"/>
              <w:ind w:right="5000"/>
              <w:spacing w:after="0"/>
              <w:rPr>
                <w:sz w:val="20"/>
                <w:szCs w:val="20"/>
                <w:color w:val="auto"/>
              </w:rPr>
            </w:pPr>
            <w:r>
              <w:rPr>
                <w:rFonts w:ascii="Arial" w:cs="Arial" w:eastAsia="Arial" w:hAnsi="Arial"/>
                <w:sz w:val="18"/>
                <w:szCs w:val="18"/>
                <w:color w:val="auto"/>
                <w:w w:val="98"/>
              </w:rPr>
              <w:t>INDEX</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80" w:type="dxa"/>
            <w:vAlign w:val="bottom"/>
            <w:vMerge w:val="restart"/>
          </w:tcPr>
          <w:p>
            <w:pPr>
              <w:spacing w:after="0"/>
              <w:rPr>
                <w:rFonts w:ascii="Arial" w:cs="Arial" w:eastAsia="Arial" w:hAnsi="Arial"/>
                <w:sz w:val="18"/>
                <w:szCs w:val="18"/>
                <w:b w:val="1"/>
                <w:bCs w:val="1"/>
                <w:color w:val="0000EE"/>
                <w:w w:val="94"/>
              </w:rPr>
            </w:pPr>
            <w:hyperlink w:anchor="page6">
              <w:r>
                <w:rPr>
                  <w:rFonts w:ascii="Arial" w:cs="Arial" w:eastAsia="Arial" w:hAnsi="Arial"/>
                  <w:sz w:val="18"/>
                  <w:szCs w:val="18"/>
                  <w:b w:val="1"/>
                  <w:bCs w:val="1"/>
                  <w:color w:val="0000EE"/>
                  <w:w w:val="94"/>
                </w:rPr>
                <w:t>PART I</w:t>
              </w:r>
            </w:hyperlink>
          </w:p>
        </w:tc>
        <w:tc>
          <w:tcPr>
            <w:tcW w:w="10420" w:type="dxa"/>
            <w:vAlign w:val="bottom"/>
            <w:gridSpan w:val="25"/>
            <w:vMerge w:val="restart"/>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580" w:type="dxa"/>
            <w:vAlign w:val="bottom"/>
            <w:tcBorders>
              <w:bottom w:val="single" w:sz="8" w:color="0000EE"/>
            </w:tcBorders>
            <w:vMerge w:val="continue"/>
          </w:tcPr>
          <w:p>
            <w:pPr>
              <w:spacing w:after="0"/>
              <w:rPr>
                <w:sz w:val="13"/>
                <w:szCs w:val="13"/>
                <w:color w:val="auto"/>
              </w:rPr>
            </w:pPr>
          </w:p>
        </w:tc>
        <w:tc>
          <w:tcPr>
            <w:tcW w:w="10420" w:type="dxa"/>
            <w:vAlign w:val="bottom"/>
            <w:gridSpan w:val="25"/>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38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Special Note Regarding Forward-Looking Statements</w:t>
              </w:r>
            </w:hyperlink>
          </w:p>
        </w:tc>
        <w:tc>
          <w:tcPr>
            <w:tcW w:w="720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00" w:type="dxa"/>
            <w:vAlign w:val="bottom"/>
            <w:gridSpan w:val="2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 Business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00" w:type="dxa"/>
            <w:vAlign w:val="bottom"/>
            <w:gridSpan w:val="2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1A. Risk Factors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52">
              <w:r>
                <w:rPr>
                  <w:rFonts w:ascii="Arial" w:cs="Arial" w:eastAsia="Arial" w:hAnsi="Arial"/>
                  <w:sz w:val="18"/>
                  <w:szCs w:val="18"/>
                  <w:color w:val="0000EE"/>
                  <w:w w:val="87"/>
                </w:rPr>
                <w:t>Item 1B. Unresolved Staff Comments</w:t>
              </w:r>
            </w:hyperlink>
          </w:p>
        </w:tc>
        <w:tc>
          <w:tcPr>
            <w:tcW w:w="768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00" w:type="dxa"/>
            <w:vAlign w:val="bottom"/>
            <w:gridSpan w:val="2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2. Properties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52">
              <w:r>
                <w:rPr>
                  <w:rFonts w:ascii="Arial" w:cs="Arial" w:eastAsia="Arial" w:hAnsi="Arial"/>
                  <w:sz w:val="18"/>
                  <w:szCs w:val="18"/>
                  <w:color w:val="0000EE"/>
                  <w:w w:val="85"/>
                </w:rPr>
                <w:t>Item 3. Legal Proceedings</w:t>
              </w:r>
            </w:hyperlink>
          </w:p>
        </w:tc>
        <w:tc>
          <w:tcPr>
            <w:tcW w:w="8500" w:type="dxa"/>
            <w:vAlign w:val="bottom"/>
            <w:gridSpan w:val="1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00" w:type="dxa"/>
            <w:vAlign w:val="bottom"/>
            <w:gridSpan w:val="2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4. Mine Safety Disclosures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700" w:type="dxa"/>
            <w:vAlign w:val="bottom"/>
            <w:gridSpan w:val="3"/>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w:t>
              </w:r>
            </w:hyperlink>
          </w:p>
        </w:tc>
        <w:tc>
          <w:tcPr>
            <w:tcW w:w="2220" w:type="dxa"/>
            <w:vAlign w:val="bottom"/>
            <w:tcBorders>
              <w:top w:val="single" w:sz="8" w:color="0000EE"/>
            </w:tcBorders>
            <w:gridSpan w:val="7"/>
          </w:tcPr>
          <w:p>
            <w:pPr>
              <w:spacing w:after="0"/>
              <w:rPr>
                <w:sz w:val="24"/>
                <w:szCs w:val="24"/>
                <w:color w:val="auto"/>
              </w:rPr>
            </w:pPr>
          </w:p>
        </w:tc>
        <w:tc>
          <w:tcPr>
            <w:tcW w:w="8080" w:type="dxa"/>
            <w:vAlign w:val="bottom"/>
            <w:gridSpan w:val="16"/>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420" w:type="dxa"/>
            <w:vAlign w:val="bottom"/>
            <w:tcBorders>
              <w:bottom w:val="single" w:sz="8" w:color="0000EE"/>
            </w:tcBorders>
            <w:gridSpan w:val="22"/>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Item 5. Market for Registrant’s Common Equity, Related Stockholder Matters and Issuer Purchases of Equity Securities</w:t>
              </w:r>
            </w:hyperlink>
          </w:p>
        </w:tc>
        <w:tc>
          <w:tcPr>
            <w:tcW w:w="18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56">
              <w:r>
                <w:rPr>
                  <w:rFonts w:ascii="Arial" w:cs="Arial" w:eastAsia="Arial" w:hAnsi="Arial"/>
                  <w:sz w:val="18"/>
                  <w:szCs w:val="18"/>
                  <w:color w:val="0000EE"/>
                  <w:w w:val="86"/>
                </w:rPr>
                <w:t>Item 6. Selected Consolidated Financial and Other Data</w:t>
              </w:r>
            </w:hyperlink>
          </w:p>
        </w:tc>
        <w:tc>
          <w:tcPr>
            <w:tcW w:w="642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59">
              <w:r>
                <w:rPr>
                  <w:rFonts w:ascii="Arial" w:cs="Arial" w:eastAsia="Arial" w:hAnsi="Arial"/>
                  <w:sz w:val="18"/>
                  <w:szCs w:val="18"/>
                  <w:color w:val="0000EE"/>
                  <w:w w:val="88"/>
                </w:rPr>
                <w:t>Item 7. Management’s Discussion and Analysis of Financial Condition and Results of Operations</w:t>
              </w:r>
            </w:hyperlink>
          </w:p>
        </w:tc>
        <w:tc>
          <w:tcPr>
            <w:tcW w:w="350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8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Item 7A. Quantitative and Qualitative Disclosures About Market Risk</w:t>
              </w:r>
            </w:hyperlink>
          </w:p>
        </w:tc>
        <w:tc>
          <w:tcPr>
            <w:tcW w:w="542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2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70">
              <w:r>
                <w:rPr>
                  <w:rFonts w:ascii="Arial" w:cs="Arial" w:eastAsia="Arial" w:hAnsi="Arial"/>
                  <w:sz w:val="18"/>
                  <w:szCs w:val="18"/>
                  <w:color w:val="0000EE"/>
                  <w:w w:val="86"/>
                </w:rPr>
                <w:t>Item 8. Consolidated Financial Statements and Supplementary Data</w:t>
              </w:r>
            </w:hyperlink>
          </w:p>
        </w:tc>
        <w:tc>
          <w:tcPr>
            <w:tcW w:w="558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00" w:type="dxa"/>
            <w:vAlign w:val="bottom"/>
            <w:gridSpan w:val="23"/>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Item 9. Changes in and Disagreements With Accountants on Accounting and Financial Disclosure</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6"/>
              </w:rPr>
            </w:pPr>
            <w:hyperlink w:anchor="page97">
              <w:r>
                <w:rPr>
                  <w:rFonts w:ascii="Arial" w:cs="Arial" w:eastAsia="Arial" w:hAnsi="Arial"/>
                  <w:sz w:val="18"/>
                  <w:szCs w:val="18"/>
                  <w:color w:val="0000EE"/>
                  <w:w w:val="86"/>
                </w:rPr>
                <w:t>Item 9A. Controls and Procedures</w:t>
              </w:r>
            </w:hyperlink>
          </w:p>
        </w:tc>
        <w:tc>
          <w:tcPr>
            <w:tcW w:w="4480" w:type="dxa"/>
            <w:vAlign w:val="bottom"/>
            <w:tcBorders>
              <w:top w:val="single" w:sz="8" w:color="0000EE"/>
            </w:tcBorders>
            <w:gridSpan w:val="11"/>
          </w:tcPr>
          <w:p>
            <w:pPr>
              <w:spacing w:after="0"/>
              <w:rPr>
                <w:sz w:val="24"/>
                <w:szCs w:val="24"/>
                <w:color w:val="auto"/>
              </w:rPr>
            </w:pPr>
          </w:p>
        </w:tc>
        <w:tc>
          <w:tcPr>
            <w:tcW w:w="346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99">
              <w:r>
                <w:rPr>
                  <w:rFonts w:ascii="Arial" w:cs="Arial" w:eastAsia="Arial" w:hAnsi="Arial"/>
                  <w:sz w:val="18"/>
                  <w:szCs w:val="18"/>
                  <w:color w:val="0000EE"/>
                  <w:w w:val="88"/>
                </w:rPr>
                <w:t>Item 9B. Other Information</w:t>
              </w:r>
            </w:hyperlink>
          </w:p>
        </w:tc>
        <w:tc>
          <w:tcPr>
            <w:tcW w:w="8400" w:type="dxa"/>
            <w:vAlign w:val="bottom"/>
            <w:gridSpan w:val="1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304"/>
        </w:trPr>
        <w:tc>
          <w:tcPr>
            <w:tcW w:w="700" w:type="dxa"/>
            <w:vAlign w:val="bottom"/>
            <w:tcBorders>
              <w:bottom w:val="single" w:sz="8" w:color="0000EE"/>
            </w:tcBorders>
            <w:gridSpan w:val="3"/>
          </w:tcPr>
          <w:p>
            <w:pPr>
              <w:spacing w:after="0"/>
              <w:rPr>
                <w:rFonts w:ascii="Arial" w:cs="Arial" w:eastAsia="Arial" w:hAnsi="Arial"/>
                <w:sz w:val="18"/>
                <w:szCs w:val="18"/>
                <w:b w:val="1"/>
                <w:bCs w:val="1"/>
                <w:color w:val="0000EE"/>
                <w:w w:val="95"/>
              </w:rPr>
            </w:pPr>
            <w:hyperlink w:anchor="page100">
              <w:r>
                <w:rPr>
                  <w:rFonts w:ascii="Arial" w:cs="Arial" w:eastAsia="Arial" w:hAnsi="Arial"/>
                  <w:sz w:val="18"/>
                  <w:szCs w:val="18"/>
                  <w:b w:val="1"/>
                  <w:bCs w:val="1"/>
                  <w:color w:val="0000EE"/>
                  <w:w w:val="95"/>
                </w:rPr>
                <w:t>PART III</w:t>
              </w:r>
            </w:hyperlink>
          </w:p>
        </w:tc>
        <w:tc>
          <w:tcPr>
            <w:tcW w:w="10300" w:type="dxa"/>
            <w:vAlign w:val="bottom"/>
            <w:gridSpan w:val="23"/>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8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100">
              <w:r>
                <w:rPr>
                  <w:rFonts w:ascii="Arial" w:cs="Arial" w:eastAsia="Arial" w:hAnsi="Arial"/>
                  <w:sz w:val="18"/>
                  <w:szCs w:val="18"/>
                  <w:color w:val="0000EE"/>
                  <w:w w:val="87"/>
                </w:rPr>
                <w:t>Item 10. Directors, Executive Officers and Corporate Governance</w:t>
              </w:r>
            </w:hyperlink>
          </w:p>
        </w:tc>
        <w:tc>
          <w:tcPr>
            <w:tcW w:w="5720" w:type="dxa"/>
            <w:vAlign w:val="bottom"/>
            <w:gridSpan w:val="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100">
              <w:r>
                <w:rPr>
                  <w:rFonts w:ascii="Arial" w:cs="Arial" w:eastAsia="Arial" w:hAnsi="Arial"/>
                  <w:sz w:val="18"/>
                  <w:szCs w:val="18"/>
                  <w:color w:val="0000EE"/>
                  <w:w w:val="86"/>
                </w:rPr>
                <w:t>Item 11. Executive Compensation</w:t>
              </w:r>
            </w:hyperlink>
          </w:p>
        </w:tc>
        <w:tc>
          <w:tcPr>
            <w:tcW w:w="7960" w:type="dxa"/>
            <w:vAlign w:val="bottom"/>
            <w:gridSpan w:val="1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00" w:type="dxa"/>
            <w:vAlign w:val="bottom"/>
            <w:gridSpan w:val="23"/>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12. Security Ownership of Certain Beneficial Owners and Management and Related Stockholder Matters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740" w:type="dxa"/>
            <w:vAlign w:val="bottom"/>
            <w:tcBorders>
              <w:top w:val="single" w:sz="8" w:color="0000EE"/>
            </w:tcBorders>
            <w:gridSpan w:val="21"/>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13. Certain Relationships and Related Transactions, and Director Independence</w:t>
              </w:r>
            </w:hyperlink>
          </w:p>
        </w:tc>
        <w:tc>
          <w:tcPr>
            <w:tcW w:w="256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900" w:type="dxa"/>
            <w:vAlign w:val="bottom"/>
            <w:tcBorders>
              <w:top w:val="single" w:sz="8" w:color="0000EE"/>
            </w:tcBorders>
            <w:gridSpan w:val="18"/>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Item 14. Principal Accounting Fees and Services</w:t>
              </w:r>
            </w:hyperlink>
          </w:p>
        </w:tc>
        <w:tc>
          <w:tcPr>
            <w:tcW w:w="440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gridSpan w:val="3"/>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3000" w:type="dxa"/>
            <w:vAlign w:val="bottom"/>
            <w:gridSpan w:val="11"/>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92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0" w:type="dxa"/>
            <w:vAlign w:val="bottom"/>
            <w:gridSpan w:val="26"/>
          </w:tcPr>
          <w:p>
            <w:pPr>
              <w:spacing w:after="0"/>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PART IV</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0" w:type="dxa"/>
            <w:vAlign w:val="bottom"/>
            <w:gridSpan w:val="13"/>
          </w:tcPr>
          <w:p>
            <w:pPr>
              <w:spacing w:after="0" w:line="20" w:lineRule="exact"/>
              <w:rPr>
                <w:sz w:val="1"/>
                <w:szCs w:val="1"/>
                <w:color w:val="auto"/>
              </w:rPr>
            </w:pPr>
          </w:p>
        </w:tc>
        <w:tc>
          <w:tcPr>
            <w:tcW w:w="592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00" w:type="dxa"/>
            <w:vAlign w:val="bottom"/>
            <w:gridSpan w:val="23"/>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Item 15. Exhibits, Consolidated Financial Statement Schedules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0"/>
        </w:trPr>
        <w:tc>
          <w:tcPr>
            <w:tcW w:w="700" w:type="dxa"/>
            <w:vAlign w:val="bottom"/>
            <w:tcBorders>
              <w:right w:val="single" w:sz="8" w:color="0000EE"/>
            </w:tcBorders>
            <w:gridSpan w:val="3"/>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4000" w:type="dxa"/>
            <w:vAlign w:val="bottom"/>
            <w:gridSpan w:val="13"/>
            <w:shd w:val="clear" w:color="auto" w:fill="0000EE"/>
          </w:tcPr>
          <w:p>
            <w:pPr>
              <w:spacing w:after="0" w:line="20" w:lineRule="exact"/>
              <w:rPr>
                <w:sz w:val="1"/>
                <w:szCs w:val="1"/>
                <w:color w:val="auto"/>
              </w:rPr>
            </w:pPr>
          </w:p>
        </w:tc>
        <w:tc>
          <w:tcPr>
            <w:tcW w:w="5920" w:type="dxa"/>
            <w:vAlign w:val="bottom"/>
            <w:gridSpan w:val="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0" w:type="dxa"/>
            <w:vAlign w:val="bottom"/>
            <w:gridSpan w:val="26"/>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SIGNATURES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343"/>
        </w:trPr>
        <w:tc>
          <w:tcPr>
            <w:tcW w:w="10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Exhibit Index</w:t>
            </w:r>
          </w:p>
        </w:tc>
        <w:tc>
          <w:tcPr>
            <w:tcW w:w="9920" w:type="dxa"/>
            <w:vAlign w:val="bottom"/>
            <w:gridSpan w:val="22"/>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0" w:type="dxa"/>
            <w:vAlign w:val="bottom"/>
            <w:gridSpan w:val="21"/>
          </w:tcPr>
          <w:p>
            <w:pPr>
              <w:jc w:val="center"/>
              <w:ind w:left="4752"/>
              <w:spacing w:after="0"/>
              <w:rPr>
                <w:sz w:val="20"/>
                <w:szCs w:val="20"/>
                <w:color w:val="auto"/>
              </w:rPr>
            </w:pPr>
            <w:r>
              <w:rPr>
                <w:rFonts w:ascii="Arial" w:cs="Arial" w:eastAsia="Arial" w:hAnsi="Arial"/>
                <w:sz w:val="18"/>
                <w:szCs w:val="18"/>
                <w:color w:val="auto"/>
                <w:w w:val="79"/>
              </w:rPr>
              <w:t>2</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100" w:firstLine="456"/>
        <w:spacing w:after="0" w:line="252" w:lineRule="auto"/>
        <w:rPr>
          <w:sz w:val="20"/>
          <w:szCs w:val="20"/>
          <w:color w:val="auto"/>
        </w:rPr>
      </w:pPr>
      <w:r>
        <w:rPr>
          <w:rFonts w:ascii="Arial" w:cs="Arial" w:eastAsia="Arial" w:hAnsi="Arial"/>
          <w:sz w:val="18"/>
          <w:szCs w:val="18"/>
          <w:color w:val="auto"/>
        </w:rPr>
        <w:t xml:space="preserve">This Annual Report on Form 10-K, including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contains certain “forward-looking statements,” which include information relating to future events, future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62" w:lineRule="exact"/>
        <w:rPr>
          <w:sz w:val="20"/>
          <w:szCs w:val="20"/>
          <w:color w:val="auto"/>
        </w:rPr>
      </w:pPr>
    </w:p>
    <w:p>
      <w:pPr>
        <w:ind w:left="1480" w:hanging="446"/>
        <w:spacing w:after="0" w:line="332"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4" w:lineRule="exact"/>
        <w:rPr>
          <w:rFonts w:ascii="Arial" w:cs="Arial" w:eastAsia="Arial" w:hAnsi="Arial"/>
          <w:sz w:val="16"/>
          <w:szCs w:val="16"/>
          <w:color w:val="auto"/>
        </w:rPr>
      </w:pPr>
    </w:p>
    <w:p>
      <w:pPr>
        <w:ind w:left="1480" w:right="540" w:hanging="446"/>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the ongoing program review being conducted by the Department of Education of our compliance with Title IV program requirements, and possible fines, repayments, or other administrative sanctions resulting therefrom;</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90" w:lineRule="exact"/>
        <w:rPr>
          <w:rFonts w:ascii="Arial" w:cs="Arial" w:eastAsia="Arial" w:hAnsi="Arial"/>
          <w:sz w:val="18"/>
          <w:szCs w:val="18"/>
          <w:color w:val="auto"/>
        </w:rPr>
      </w:pPr>
    </w:p>
    <w:p>
      <w:pPr>
        <w:ind w:left="1480" w:hanging="446"/>
        <w:spacing w:after="0" w:line="332"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w:t>
      </w:r>
    </w:p>
    <w:p>
      <w:pPr>
        <w:spacing w:after="0" w:line="90" w:lineRule="exact"/>
        <w:rPr>
          <w:rFonts w:ascii="Arial" w:cs="Arial" w:eastAsia="Arial" w:hAnsi="Arial"/>
          <w:sz w:val="18"/>
          <w:szCs w:val="18"/>
          <w:color w:val="auto"/>
        </w:rPr>
      </w:pPr>
    </w:p>
    <w:p>
      <w:pPr>
        <w:ind w:left="1480" w:right="60" w:hanging="446"/>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risks and challenges associated with potential acquisitions of, or investments in, new businesses, acquisitions of new properties, or the expansion of our campus to new locations;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90" w:lineRule="exact"/>
        <w:rPr>
          <w:rFonts w:ascii="Arial" w:cs="Arial" w:eastAsia="Arial" w:hAnsi="Arial"/>
          <w:sz w:val="18"/>
          <w:szCs w:val="18"/>
          <w:color w:val="auto"/>
        </w:rPr>
      </w:pPr>
    </w:p>
    <w:p>
      <w:pPr>
        <w:ind w:left="1480" w:right="300" w:hanging="446"/>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competition, including competition for qualified executives and other personnel;</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90" w:lineRule="exact"/>
        <w:rPr>
          <w:rFonts w:ascii="Arial" w:cs="Arial" w:eastAsia="Arial" w:hAnsi="Arial"/>
          <w:sz w:val="18"/>
          <w:szCs w:val="18"/>
          <w:color w:val="auto"/>
        </w:rPr>
      </w:pPr>
    </w:p>
    <w:p>
      <w:pPr>
        <w:ind w:left="1480" w:right="180" w:hanging="446"/>
        <w:spacing w:after="0" w:line="332"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extent to which obligations under our loan agreement, including the need to comply with restrictive and financial covenants and to pay principal and interest payments, limits our ability to conduct our operations or seek new business opportunities;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job prospects in our core disciplines; and</w:t>
      </w:r>
    </w:p>
    <w:p>
      <w:pPr>
        <w:spacing w:after="0" w:line="90" w:lineRule="exact"/>
        <w:rPr>
          <w:rFonts w:ascii="Arial" w:cs="Arial" w:eastAsia="Arial" w:hAnsi="Arial"/>
          <w:sz w:val="18"/>
          <w:szCs w:val="18"/>
          <w:color w:val="auto"/>
        </w:rPr>
      </w:pPr>
    </w:p>
    <w:p>
      <w:pPr>
        <w:ind w:left="1480" w:right="200" w:hanging="446"/>
        <w:spacing w:after="0" w:line="268"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under the headings “Risk Factors,” “Management’s Discussion and Analysis of Financial Condition and Results of Operations,” “Business,” and “Regulation.”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are a regionally accredited provider of postsecondary education services focused on offering graduate and undergraduate degree programs in our core disciplines of education, healthcare, business, and liberal arts. We offer programs online, on ground at our approximately 115 acre traditional campus in Phoenix, Arizona, and onsite at facilities we lease and at facilities owned by third party employers. We are committed to providing an academically rigorous educational experience with a focus on professionally relevant programs that meet the objectives of our students. We utilize an integrated, innovative approach to marketing, recruiting, and retaining students, which has enabled us to increase enrollment to approximately 52,300 students at December 31, 2012. At December 31, 2012, 85.5% of our students were enrolled in our online programs, and, of our online and professional studies students, 41.9% were pursuing masters or doctoral degrees. At December 31, 2012, our ground enrollment was approximately 7,600.</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As a principal part of our business, we focus on educating working adults, whom we define as students age 25 or older who are pursuing a degree while employed. As of December 31, 2012, approximately 90.5% of our online and professional studies students were age 25 or older. We believe that working adults are attracted to the convenience and flexibility of our online programs because they can study and interact with faculty and classmates during times that suit their schedules. We also believe that working adults, particularly those who have some college experience, represent an attractive student population because they are better able to finance their education, more readily recognize the benefits of a postsecondary degree, and have higher persistence and completion rates than students generally.</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2012, we continued to increase the number of students in attendance at our expanding traditional ground campus. We believe our strong campus presence in Arizona is a key branding tool that is attractive to many students. We are able to provide traditional ground students an opportunity to earn an education at a private, Christian-oriented university at rates equivalent to those of a state funded university. We plan to increase enrollment growth for our traditional campus over the next few years, and seek to have 12,000 traditional ground students in attendance at the beginning of our 2015-2016 academic year. In November 2012, we accepted an invitation to become a member of the Division I Western Athletic Conference beginning with the 2013-2014 academic year, and in 2013 we will begin a four-year process to reclassify our NCAA membership from Division II to Division I. During the reclassification process we will be considered a Division I university and play full conference schedules but will be ineligible to compete for national championships which, for example, precludes us from playing in the end-of-year NCAA basketball tournament during that period of time.</w:t>
      </w:r>
    </w:p>
    <w:p>
      <w:pPr>
        <w:spacing w:after="0" w:line="118"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experienced significant growth in enrollment, net revenue, and operating income over the last several years. Our enrollment at December 31, 2012 was approximately 52,300, representing an increase of approximately 19.1% over our enrollment at December 31, 2011. Our net revenue and operating income for the year ended December 31, 2012 were $511.3 million and $114.1 million, respectively, representing increases of 19.8% and 38.8%, respectively, over the year ended December 31, 2011. Our net revenue and operating income for the year ended December 31, 2011 were $426.7 million and $82.2 million, respectively, representing increases of 10.7% and 41.2%, respectively, over the year ended December 31, 2010. We seek to achieve continued growth in a manner that reinforces our reputation for providing academically rigorous, professionally-relevant educational programs that advance the educations and careers of our students.</w:t>
      </w:r>
    </w:p>
    <w:p>
      <w:pPr>
        <w:spacing w:after="0" w:line="14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We have been regionally accredited by the Higher Learning Commission of the North Central Association of Colleges and Schools and its predecessor since 1968, and we were reaccredited in 2007 for the maximum term of ten years. We are regulated by the Department of Education as a result of our participation in the federal student financial aid programs authorized by Title IV of the Higher Education Act (hereafter, Title IV), and, at the state level, we are licensed to operate and offer our programs by the Arizona State Board for Private Postsecondary Education and the Arizona Department of Education for Institutional Recommendation Programs. In addition, we have specialized accreditations for certain programs from the Association of Collegiate Business Schools and Programs, the Commission on Collegiate Nursing Education, and the Commission on Accreditation of Athletic Training Education. In addition, we are a candidate for accreditation by the National Council for Accreditation of Teacher Education (NCATE). We believe that our institution-wide state authorization and regional accreditation, together with these specialized accreditations, reflect the quality of our programs, enhance their marketability, and improve the employability of our graduates.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 non-denominational Christian university.</w:t>
      </w:r>
    </w:p>
    <w:p>
      <w:pPr>
        <w:spacing w:after="0" w:line="14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late 2003, the school’s Board of Trustees initiated a process to evaluate alternatives as a result of the school’s poor financial condition and, in February 2004, a group of investors acquired the assets of the school and converted the school into a for-profit institution.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Academic Quality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 of the key elements that we focus on to promote a high level of academic quality include:</w:t>
      </w:r>
    </w:p>
    <w:p>
      <w:pPr>
        <w:spacing w:after="0" w:line="90" w:lineRule="exact"/>
        <w:rPr>
          <w:sz w:val="20"/>
          <w:szCs w:val="20"/>
          <w:color w:val="auto"/>
        </w:rPr>
      </w:pPr>
    </w:p>
    <w:p>
      <w:pPr>
        <w:ind w:left="1480" w:right="80" w:hanging="567"/>
        <w:spacing w:after="0" w:line="254"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Academically rigorous, professionally relevant curricula. </w:t>
      </w:r>
      <w:r>
        <w:rPr>
          <w:rFonts w:ascii="Arial" w:cs="Arial" w:eastAsia="Arial" w:hAnsi="Arial"/>
          <w:sz w:val="18"/>
          <w:szCs w:val="18"/>
          <w:color w:val="auto"/>
        </w:rPr>
        <w:t>We create academically rigorous curricula that are designed to enable all students</w:t>
      </w:r>
      <w:r>
        <w:rPr>
          <w:rFonts w:ascii="Arial" w:cs="Arial" w:eastAsia="Arial" w:hAnsi="Arial"/>
          <w:sz w:val="18"/>
          <w:szCs w:val="18"/>
          <w:i w:val="1"/>
          <w:iCs w:val="1"/>
          <w:color w:val="auto"/>
        </w:rPr>
        <w:t xml:space="preserve"> </w:t>
      </w:r>
      <w:r>
        <w:rPr>
          <w:rFonts w:ascii="Arial" w:cs="Arial" w:eastAsia="Arial" w:hAnsi="Arial"/>
          <w:sz w:val="18"/>
          <w:szCs w:val="18"/>
          <w:color w:val="auto"/>
        </w:rPr>
        <w:t>to gain the foundational knowledge, professional competencies, and demonstrable skills required to be successful in their chosen fields. Our curriculum is designed and delivered by faculty and industry-specific subject-matter experts that are committed to high quality, rigorous education and professional preparedness. We design our curricula to address specific objectives that pre-career and working-adult students need and are seeking. Through this combination, we believe that we produce graduates that can compete with integrity and become leaders in their chosen fields.</w:t>
      </w:r>
    </w:p>
    <w:p>
      <w:pPr>
        <w:spacing w:after="0" w:line="63" w:lineRule="exact"/>
        <w:rPr>
          <w:rFonts w:ascii="Arial" w:cs="Arial" w:eastAsia="Arial" w:hAnsi="Arial"/>
          <w:sz w:val="18"/>
          <w:szCs w:val="18"/>
          <w:color w:val="auto"/>
        </w:rPr>
      </w:pPr>
    </w:p>
    <w:p>
      <w:pPr>
        <w:ind w:left="1480" w:right="40" w:hanging="567"/>
        <w:spacing w:after="0" w:line="291"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Qualified faculty. </w:t>
      </w:r>
      <w:r>
        <w:rPr>
          <w:rFonts w:ascii="Arial" w:cs="Arial" w:eastAsia="Arial" w:hAnsi="Arial"/>
          <w:sz w:val="16"/>
          <w:szCs w:val="16"/>
          <w:color w:val="auto"/>
        </w:rPr>
        <w:t>We demonstrate our commitment to high quality education by hiring qualified faculty with relevant practical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our current faculty members hold at least a master’s degree in their respective fields and approximately 30% of our faculty members hold doctoral degrees. Faculty members are able to integrate pertinent and useful experiences from their professional careers into the courses they teach. We invest in the professional development of our faculty members by providing training in traditional and online teaching techniques, hosting events and discussion forums that foster sharing of best practices, and continually assessing teaching effectiveness through assessment, peer reviews, and student evaluations.</w:t>
      </w:r>
    </w:p>
    <w:p>
      <w:pPr>
        <w:spacing w:after="0" w:line="39" w:lineRule="exact"/>
        <w:rPr>
          <w:rFonts w:ascii="Arial" w:cs="Arial" w:eastAsia="Arial" w:hAnsi="Arial"/>
          <w:sz w:val="16"/>
          <w:szCs w:val="16"/>
          <w:color w:val="auto"/>
        </w:rPr>
      </w:pPr>
    </w:p>
    <w:p>
      <w:pPr>
        <w:ind w:left="1480" w:hanging="567"/>
        <w:spacing w:after="0" w:line="298"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Centralized program design and curriculum development. </w:t>
      </w:r>
      <w:r>
        <w:rPr>
          <w:rFonts w:ascii="Arial" w:cs="Arial" w:eastAsia="Arial" w:hAnsi="Arial"/>
          <w:sz w:val="16"/>
          <w:szCs w:val="16"/>
          <w:color w:val="auto"/>
        </w:rPr>
        <w:t>We employ a highly collaborative curriculum development process to ensure a</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learning experience with frequent faculty-student interaction in our courses. We thereafter continuously review our programs in an effort to ensure that they remain consistent, up-to-date, relevant, and effective in producing the desired learning outcomes. We also regularly review student surveys to identify opportunities for course modifications and upgrades.</w:t>
      </w:r>
    </w:p>
    <w:p>
      <w:pPr>
        <w:spacing w:after="0" w:line="31" w:lineRule="exact"/>
        <w:rPr>
          <w:rFonts w:ascii="Arial" w:cs="Arial" w:eastAsia="Arial" w:hAnsi="Arial"/>
          <w:sz w:val="16"/>
          <w:szCs w:val="16"/>
          <w:color w:val="auto"/>
        </w:rPr>
      </w:pPr>
    </w:p>
    <w:p>
      <w:pPr>
        <w:ind w:left="1480" w:right="100" w:hanging="567"/>
        <w:spacing w:after="0" w:line="291"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Effective student services. </w:t>
      </w:r>
      <w:r>
        <w:rPr>
          <w:rFonts w:ascii="Arial" w:cs="Arial" w:eastAsia="Arial" w:hAnsi="Arial"/>
          <w:sz w:val="16"/>
          <w:szCs w:val="16"/>
          <w:color w:val="auto"/>
        </w:rPr>
        <w:t>We establish teams comprised of enrollment, academic and finance personnel that act as the primary support</w:t>
      </w:r>
      <w:r>
        <w:rPr>
          <w:rFonts w:ascii="Arial" w:cs="Arial" w:eastAsia="Arial" w:hAnsi="Arial"/>
          <w:sz w:val="16"/>
          <w:szCs w:val="16"/>
          <w:i w:val="1"/>
          <w:iCs w:val="1"/>
          <w:color w:val="auto"/>
        </w:rPr>
        <w:t xml:space="preserve"> </w:t>
      </w:r>
      <w:r>
        <w:rPr>
          <w:rFonts w:ascii="Arial" w:cs="Arial" w:eastAsia="Arial" w:hAnsi="Arial"/>
          <w:sz w:val="16"/>
          <w:szCs w:val="16"/>
          <w:color w:val="auto"/>
        </w:rPr>
        <w:t>contact point for each of our students, beginning at the application stage and continuing through graduation. In recent years, we have also concentrated on improving the technology used to support student learning, including delivering a new online learning platform and further improving student services through the implementation of online interfaces. As a result, many of our support services, including academic, administrative, library, and career services, are accessible online, generally allowing users to access these services at a time and in a manner that is convenient to them.</w:t>
      </w:r>
    </w:p>
    <w:p>
      <w:pPr>
        <w:spacing w:after="0" w:line="39" w:lineRule="exact"/>
        <w:rPr>
          <w:rFonts w:ascii="Arial" w:cs="Arial" w:eastAsia="Arial" w:hAnsi="Arial"/>
          <w:sz w:val="16"/>
          <w:szCs w:val="16"/>
          <w:color w:val="auto"/>
        </w:rPr>
      </w:pPr>
    </w:p>
    <w:p>
      <w:pPr>
        <w:ind w:left="1480" w:hanging="567"/>
        <w:spacing w:after="0" w:line="290" w:lineRule="auto"/>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Continual academic oversight. </w:t>
      </w:r>
      <w:r>
        <w:rPr>
          <w:rFonts w:ascii="Arial" w:cs="Arial" w:eastAsia="Arial" w:hAnsi="Arial"/>
          <w:sz w:val="16"/>
          <w:szCs w:val="16"/>
          <w:color w:val="auto"/>
        </w:rPr>
        <w:t>We have centralized the assessment functions for all of our programs through our Office of Assessment,</w:t>
      </w:r>
      <w:r>
        <w:rPr>
          <w:rFonts w:ascii="Arial" w:cs="Arial" w:eastAsia="Arial" w:hAnsi="Arial"/>
          <w:sz w:val="16"/>
          <w:szCs w:val="16"/>
          <w:i w:val="1"/>
          <w:iCs w:val="1"/>
          <w:color w:val="auto"/>
        </w:rPr>
        <w:t xml:space="preserve"> </w:t>
      </w:r>
      <w:r>
        <w:rPr>
          <w:rFonts w:ascii="Arial" w:cs="Arial" w:eastAsia="Arial" w:hAnsi="Arial"/>
          <w:sz w:val="16"/>
          <w:szCs w:val="16"/>
          <w:color w:val="auto"/>
        </w:rPr>
        <w:t>which continuously evaluates the desired learning outcomes for each of our programs. We continuously assess outcomes data to determine whether our students graduate with the knowledge, competencies, and skills that are necessary to succeed in the workplace. The Office of Assessment also initiates and manages periodic examinations of our curricula by internal and external reviewers to evaluate and verify program quality and workplace applicability. Based on these processes and student feedback, we determine whether to modify or discontinue programs that do not meet our standards or market needs, or to create new programs. The Office of Assessment also oversees assessment of mission-based competencies.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offer the following features in an effort to enrich the academic experience of current and prospective students:</w:t>
      </w:r>
    </w:p>
    <w:p>
      <w:pPr>
        <w:spacing w:after="0" w:line="90" w:lineRule="exact"/>
        <w:rPr>
          <w:sz w:val="20"/>
          <w:szCs w:val="20"/>
          <w:color w:val="auto"/>
        </w:rPr>
      </w:pPr>
    </w:p>
    <w:p>
      <w:pPr>
        <w:ind w:left="1480" w:hanging="567"/>
        <w:spacing w:after="0" w:line="291" w:lineRule="auto"/>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Flexibility in program delivery. </w:t>
      </w:r>
      <w:r>
        <w:rPr>
          <w:rFonts w:ascii="Arial" w:cs="Arial" w:eastAsia="Arial" w:hAnsi="Arial"/>
          <w:sz w:val="16"/>
          <w:szCs w:val="16"/>
          <w:color w:val="auto"/>
        </w:rPr>
        <w:t>We seek to meet market demands by providing students with the flexibility to take courses exclusively online</w:t>
      </w:r>
      <w:r>
        <w:rPr>
          <w:rFonts w:ascii="Arial" w:cs="Arial" w:eastAsia="Arial" w:hAnsi="Arial"/>
          <w:sz w:val="16"/>
          <w:szCs w:val="16"/>
          <w:i w:val="1"/>
          <w:iCs w:val="1"/>
          <w:color w:val="auto"/>
        </w:rPr>
        <w:t xml:space="preserve"> </w:t>
      </w:r>
      <w:r>
        <w:rPr>
          <w:rFonts w:ascii="Arial" w:cs="Arial" w:eastAsia="Arial" w:hAnsi="Arial"/>
          <w:sz w:val="16"/>
          <w:szCs w:val="16"/>
          <w:color w:val="auto"/>
        </w:rPr>
        <w:t>or to combine online coursework with various campus and onsite options. For example, based on market demand, particularly in connection with our nursing programs, we have established satellite locations at multiple hospitals that allow nursing students to take clinical courses onsite while completing other course work online. We have established similar onsite arrangements with other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39" w:lineRule="exact"/>
        <w:rPr>
          <w:rFonts w:ascii="Arial" w:cs="Arial" w:eastAsia="Arial" w:hAnsi="Arial"/>
          <w:sz w:val="16"/>
          <w:szCs w:val="16"/>
          <w:color w:val="auto"/>
        </w:rPr>
      </w:pPr>
    </w:p>
    <w:p>
      <w:pPr>
        <w:ind w:left="1480" w:right="120" w:hanging="567"/>
        <w:spacing w:after="0" w:line="255"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Small class size. </w:t>
      </w:r>
      <w:r>
        <w:rPr>
          <w:rFonts w:ascii="Arial" w:cs="Arial" w:eastAsia="Arial" w:hAnsi="Arial"/>
          <w:sz w:val="18"/>
          <w:szCs w:val="18"/>
          <w:color w:val="auto"/>
        </w:rPr>
        <w:t>At December 31, 2012, 95% of our online and professional studies classes had 25 or fewer students. These class sizes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each student with the 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Accreditation and Program Approvals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believe that the quality of our academic programs is evidenced by our college- and program-specific accreditations and approvals. Grand Canyon University has been continuously accredited by the Higher Learning Commission and its predecessor since 1968, most recently obtaining reaccreditation in 2007 for the ten-year period through 2017. We are licensed in Arizona by the Arizona State Board for Private Postsecondary Education. In addition, we have obtained the following specialized accreditations and approvals for our core program offerings: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980" w:type="dxa"/>
            <w:vAlign w:val="bottom"/>
          </w:tcPr>
          <w:p>
            <w:pPr>
              <w:jc w:val="center"/>
              <w:ind w:right="1192"/>
              <w:spacing w:after="0"/>
              <w:rPr>
                <w:sz w:val="20"/>
                <w:szCs w:val="20"/>
                <w:color w:val="auto"/>
              </w:rPr>
            </w:pPr>
            <w:r>
              <w:rPr>
                <w:rFonts w:ascii="Arial" w:cs="Arial" w:eastAsia="Arial" w:hAnsi="Arial"/>
                <w:sz w:val="14"/>
                <w:szCs w:val="14"/>
                <w:b w:val="1"/>
                <w:bCs w:val="1"/>
                <w:color w:val="auto"/>
                <w:w w:val="86"/>
              </w:rPr>
              <w:t>Specialized Accreditations and Program</w:t>
            </w:r>
          </w:p>
        </w:tc>
      </w:tr>
      <w:tr>
        <w:trPr>
          <w:trHeight w:val="168"/>
        </w:trPr>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College</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tcPr>
          <w:p>
            <w:pPr>
              <w:jc w:val="center"/>
              <w:ind w:right="1192"/>
              <w:spacing w:after="0"/>
              <w:rPr>
                <w:sz w:val="20"/>
                <w:szCs w:val="20"/>
                <w:color w:val="auto"/>
              </w:rPr>
            </w:pPr>
            <w:r>
              <w:rPr>
                <w:rFonts w:ascii="Arial" w:cs="Arial" w:eastAsia="Arial" w:hAnsi="Arial"/>
                <w:sz w:val="14"/>
                <w:szCs w:val="14"/>
                <w:b w:val="1"/>
                <w:bCs w:val="1"/>
                <w:color w:val="auto"/>
                <w:w w:val="87"/>
              </w:rPr>
              <w:t>Approvals</w:t>
            </w:r>
          </w:p>
        </w:tc>
      </w:tr>
      <w:tr>
        <w:trPr>
          <w:trHeight w:val="302"/>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College of Nursing and Health Care Professions</w:t>
            </w:r>
          </w:p>
        </w:tc>
        <w:tc>
          <w:tcPr>
            <w:tcW w:w="5260" w:type="dxa"/>
            <w:vAlign w:val="bottom"/>
            <w:gridSpan w:val="3"/>
          </w:tcPr>
          <w:p>
            <w:pPr>
              <w:spacing w:after="0"/>
              <w:rPr>
                <w:sz w:val="20"/>
                <w:szCs w:val="20"/>
                <w:color w:val="auto"/>
              </w:rPr>
            </w:pPr>
            <w:r>
              <w:rPr>
                <w:rFonts w:ascii="Arial" w:cs="Arial" w:eastAsia="Arial" w:hAnsi="Arial"/>
                <w:sz w:val="18"/>
                <w:szCs w:val="18"/>
                <w:color w:val="auto"/>
              </w:rPr>
              <w:t>• The Commission on Collegiate Nursing Education accredits our</w:t>
            </w:r>
          </w:p>
        </w:tc>
      </w:tr>
      <w:tr>
        <w:trPr>
          <w:trHeight w:val="216"/>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97"/>
              </w:rPr>
              <w:t>Bachelor of Science in Nursing and Master of Science in Nursing</w:t>
            </w:r>
          </w:p>
        </w:tc>
      </w:tr>
      <w:tr>
        <w:trPr>
          <w:trHeight w:val="222"/>
        </w:trPr>
        <w:tc>
          <w:tcPr>
            <w:tcW w:w="4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degree programs.</w:t>
            </w:r>
          </w:p>
        </w:tc>
      </w:tr>
      <w:tr>
        <w:trPr>
          <w:trHeight w:val="318"/>
        </w:trPr>
        <w:tc>
          <w:tcPr>
            <w:tcW w:w="4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w w:val="88"/>
              </w:rPr>
              <w:t>• The Arizona State Board of Nursing approves our Bachelor of Science in</w:t>
            </w:r>
          </w:p>
        </w:tc>
      </w:tr>
      <w:tr>
        <w:trPr>
          <w:trHeight w:val="222"/>
        </w:trPr>
        <w:tc>
          <w:tcPr>
            <w:tcW w:w="4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Nursing and Master of Science in Nursing degree programs.</w:t>
            </w:r>
          </w:p>
        </w:tc>
      </w:tr>
      <w:tr>
        <w:trPr>
          <w:trHeight w:val="331"/>
        </w:trPr>
        <w:tc>
          <w:tcPr>
            <w:tcW w:w="4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rPr>
              <w:t>• The Commission on Accreditation of Athletic Training Education</w:t>
            </w:r>
          </w:p>
        </w:tc>
      </w:tr>
      <w:tr>
        <w:trPr>
          <w:trHeight w:val="222"/>
        </w:trPr>
        <w:tc>
          <w:tcPr>
            <w:tcW w:w="4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accredits our Athletic Training Program.</w:t>
            </w:r>
          </w:p>
        </w:tc>
      </w:tr>
      <w:tr>
        <w:trPr>
          <w:trHeight w:val="318"/>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College of Education</w:t>
            </w:r>
          </w:p>
        </w:tc>
        <w:tc>
          <w:tcPr>
            <w:tcW w:w="5260" w:type="dxa"/>
            <w:vAlign w:val="bottom"/>
            <w:gridSpan w:val="3"/>
          </w:tcPr>
          <w:p>
            <w:pPr>
              <w:spacing w:after="0"/>
              <w:rPr>
                <w:sz w:val="20"/>
                <w:szCs w:val="20"/>
                <w:color w:val="auto"/>
              </w:rPr>
            </w:pPr>
            <w:r>
              <w:rPr>
                <w:rFonts w:ascii="Arial" w:cs="Arial" w:eastAsia="Arial" w:hAnsi="Arial"/>
                <w:sz w:val="18"/>
                <w:szCs w:val="18"/>
                <w:color w:val="auto"/>
              </w:rPr>
              <w:t>• The Arizona State Board of Education approves our College of</w:t>
            </w:r>
          </w:p>
        </w:tc>
      </w:tr>
      <w:tr>
        <w:trPr>
          <w:trHeight w:val="216"/>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92"/>
              </w:rPr>
              <w:t>Education to offer Institutional Recommendations for the certification</w:t>
            </w:r>
          </w:p>
        </w:tc>
      </w:tr>
      <w:tr>
        <w:trPr>
          <w:trHeight w:val="216"/>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89"/>
              </w:rPr>
              <w:t>of elementary, secondary, and special education teachers (B.S./M.Ed.)</w:t>
            </w:r>
          </w:p>
        </w:tc>
      </w:tr>
      <w:tr>
        <w:trPr>
          <w:trHeight w:val="222"/>
        </w:trPr>
        <w:tc>
          <w:tcPr>
            <w:tcW w:w="4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and school principals (M.Ed.).</w:t>
            </w:r>
          </w:p>
        </w:tc>
      </w:tr>
      <w:tr>
        <w:trPr>
          <w:trHeight w:val="318"/>
        </w:trPr>
        <w:tc>
          <w:tcPr>
            <w:tcW w:w="4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260" w:type="dxa"/>
            <w:vAlign w:val="bottom"/>
            <w:gridSpan w:val="3"/>
          </w:tcPr>
          <w:p>
            <w:pPr>
              <w:spacing w:after="0"/>
              <w:rPr>
                <w:sz w:val="20"/>
                <w:szCs w:val="20"/>
                <w:color w:val="auto"/>
              </w:rPr>
            </w:pPr>
            <w:r>
              <w:rPr>
                <w:rFonts w:ascii="Arial" w:cs="Arial" w:eastAsia="Arial" w:hAnsi="Arial"/>
                <w:sz w:val="18"/>
                <w:szCs w:val="18"/>
                <w:color w:val="auto"/>
                <w:w w:val="89"/>
              </w:rPr>
              <w:t>• Our College of Education is a candidate for accreditation by the National</w:t>
            </w:r>
          </w:p>
        </w:tc>
      </w:tr>
      <w:tr>
        <w:trPr>
          <w:trHeight w:val="216"/>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Council for Accreditation of Teacher Education (NCATE),</w:t>
            </w:r>
          </w:p>
        </w:tc>
      </w:tr>
      <w:tr>
        <w:trPr>
          <w:trHeight w:val="184"/>
        </w:trPr>
        <w:tc>
          <w:tcPr>
            <w:tcW w:w="4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40" w:type="dxa"/>
            <w:vAlign w:val="bottom"/>
            <w:gridSpan w:val="2"/>
          </w:tcPr>
          <w:p>
            <w:pPr>
              <w:spacing w:after="0" w:line="184" w:lineRule="exact"/>
              <w:rPr>
                <w:sz w:val="20"/>
                <w:szCs w:val="20"/>
                <w:color w:val="auto"/>
              </w:rPr>
            </w:pPr>
            <w:r>
              <w:rPr>
                <w:rFonts w:ascii="Arial" w:cs="Arial" w:eastAsia="Arial" w:hAnsi="Arial"/>
                <w:sz w:val="18"/>
                <w:szCs w:val="18"/>
                <w:color w:val="auto"/>
                <w:w w:val="89"/>
              </w:rPr>
              <w:t>www.ncate.org. Candidacy status means that the College of Education</w:t>
            </w:r>
          </w:p>
        </w:tc>
      </w:tr>
      <w:tr>
        <w:trPr>
          <w:trHeight w:val="20"/>
        </w:trPr>
        <w:tc>
          <w:tcPr>
            <w:tcW w:w="4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r>
      <w:tr>
        <w:trPr>
          <w:trHeight w:val="228"/>
        </w:trPr>
        <w:tc>
          <w:tcPr>
            <w:tcW w:w="4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96"/>
              </w:rPr>
              <w:t>has met preconditions for accreditation but is not accredited. This</w:t>
            </w:r>
          </w:p>
        </w:tc>
      </w:tr>
      <w:tr>
        <w:trPr>
          <w:trHeight w:val="216"/>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87"/>
              </w:rPr>
              <w:t>candidacy covers the initial teacher preparation programs and advanced</w:t>
            </w:r>
          </w:p>
        </w:tc>
      </w:tr>
      <w:tr>
        <w:trPr>
          <w:trHeight w:val="216"/>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88"/>
              </w:rPr>
              <w:t>educator preparation programs that we offer at our ground campus and</w:t>
            </w:r>
          </w:p>
        </w:tc>
      </w:tr>
      <w:tr>
        <w:trPr>
          <w:trHeight w:val="222"/>
        </w:trPr>
        <w:tc>
          <w:tcPr>
            <w:tcW w:w="4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online.</w:t>
            </w:r>
          </w:p>
        </w:tc>
      </w:tr>
      <w:tr>
        <w:trPr>
          <w:trHeight w:val="318"/>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Ken Blanchard College of Business</w:t>
            </w:r>
          </w:p>
        </w:tc>
        <w:tc>
          <w:tcPr>
            <w:tcW w:w="5260" w:type="dxa"/>
            <w:vAlign w:val="bottom"/>
            <w:gridSpan w:val="3"/>
          </w:tcPr>
          <w:p>
            <w:pPr>
              <w:spacing w:after="0"/>
              <w:rPr>
                <w:sz w:val="20"/>
                <w:szCs w:val="20"/>
                <w:color w:val="auto"/>
              </w:rPr>
            </w:pPr>
            <w:r>
              <w:rPr>
                <w:rFonts w:ascii="Arial" w:cs="Arial" w:eastAsia="Arial" w:hAnsi="Arial"/>
                <w:sz w:val="18"/>
                <w:szCs w:val="18"/>
                <w:color w:val="auto"/>
                <w:w w:val="89"/>
              </w:rPr>
              <w:t>• The Association of Collegiate Business Schools and Programs accredits</w:t>
            </w:r>
          </w:p>
        </w:tc>
      </w:tr>
      <w:tr>
        <w:trPr>
          <w:trHeight w:val="216"/>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95"/>
              </w:rPr>
              <w:t>our Executive Master of Business Administration degree program,</w:t>
            </w:r>
          </w:p>
        </w:tc>
      </w:tr>
      <w:tr>
        <w:trPr>
          <w:trHeight w:val="216"/>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90"/>
              </w:rPr>
              <w:t>Master of Business Administration degree program, and our Bachelor</w:t>
            </w:r>
          </w:p>
        </w:tc>
      </w:tr>
      <w:tr>
        <w:trPr>
          <w:trHeight w:val="216"/>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91"/>
              </w:rPr>
              <w:t>of Science degree programs in Accounting, Business Administration,</w:t>
            </w:r>
          </w:p>
        </w:tc>
      </w:tr>
      <w:tr>
        <w:trPr>
          <w:trHeight w:val="222"/>
        </w:trPr>
        <w:tc>
          <w:tcPr>
            <w:tcW w:w="4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96"/>
              </w:rPr>
              <w:t>Marketing, Finance and Economics, and Entrepreneurial Studies.</w:t>
            </w:r>
          </w:p>
        </w:tc>
      </w:tr>
      <w:tr>
        <w:trPr>
          <w:trHeight w:val="318"/>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College of Fine Arts and Production</w:t>
            </w:r>
          </w:p>
        </w:tc>
        <w:tc>
          <w:tcPr>
            <w:tcW w:w="5260" w:type="dxa"/>
            <w:vAlign w:val="bottom"/>
            <w:gridSpan w:val="3"/>
          </w:tcPr>
          <w:p>
            <w:pPr>
              <w:spacing w:after="0"/>
              <w:rPr>
                <w:sz w:val="20"/>
                <w:szCs w:val="20"/>
                <w:color w:val="auto"/>
              </w:rPr>
            </w:pPr>
            <w:r>
              <w:rPr>
                <w:rFonts w:ascii="Arial" w:cs="Arial" w:eastAsia="Arial" w:hAnsi="Arial"/>
                <w:sz w:val="18"/>
                <w:szCs w:val="18"/>
                <w:color w:val="auto"/>
                <w:w w:val="89"/>
              </w:rPr>
              <w:t>• The Arizona State Board of Education approves the College of Fine Arts</w:t>
            </w:r>
          </w:p>
        </w:tc>
      </w:tr>
      <w:tr>
        <w:trPr>
          <w:trHeight w:val="216"/>
        </w:trPr>
        <w:tc>
          <w:tcPr>
            <w:tcW w:w="46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90"/>
              </w:rPr>
              <w:t>and Production to offer programs leading to initial teacher licensure in</w:t>
            </w:r>
          </w:p>
        </w:tc>
      </w:tr>
      <w:tr>
        <w:trPr>
          <w:trHeight w:val="222"/>
        </w:trPr>
        <w:tc>
          <w:tcPr>
            <w:tcW w:w="46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94"/>
              </w:rPr>
              <w:t>the area of arts education for the elementary and secondary levels.</w:t>
            </w:r>
          </w:p>
        </w:tc>
      </w:tr>
      <w:tr>
        <w:trPr>
          <w:trHeight w:val="365"/>
        </w:trPr>
        <w:tc>
          <w:tcPr>
            <w:tcW w:w="4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260" w:type="dxa"/>
            <w:vAlign w:val="bottom"/>
            <w:gridSpan w:val="3"/>
          </w:tcPr>
          <w:p>
            <w:pPr>
              <w:ind w:left="1680"/>
              <w:spacing w:after="0"/>
              <w:rPr>
                <w:sz w:val="20"/>
                <w:szCs w:val="20"/>
                <w:color w:val="auto"/>
              </w:rPr>
            </w:pPr>
            <w:r>
              <w:rPr>
                <w:rFonts w:ascii="Arial" w:cs="Arial" w:eastAsia="Arial" w:hAnsi="Arial"/>
                <w:sz w:val="18"/>
                <w:szCs w:val="18"/>
                <w:color w:val="auto"/>
              </w:rPr>
              <w:t>8</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Current Period</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2006 – 2016 (B.S.)</w:t>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2011 – 2021 (M.S.)</w:t>
      </w:r>
    </w:p>
    <w:p>
      <w:pPr>
        <w:spacing w:after="0" w:line="35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2006 – 2016 (B.S.)</w:t>
      </w:r>
    </w:p>
    <w:p>
      <w:pPr>
        <w:spacing w:after="0" w:line="3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2011 – 2021 (M.S.)</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2008 – 2013</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2010 – 2013 (teacher)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2010 – 2013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2007 –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2012 – 2014</w:t>
      </w:r>
    </w:p>
    <w:p>
      <w:pPr>
        <w:sectPr>
          <w:pgSz w:w="11900" w:h="16838" w:orient="portrait"/>
          <w:cols w:equalWidth="0" w:num="2">
            <w:col w:w="9260" w:space="360"/>
            <w:col w:w="1660"/>
          </w:cols>
          <w:pgMar w:left="240" w:top="459" w:right="3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Our regional accreditation with the Higher Learning Commission, and our specialized accreditations and approvals for our core programs, reflect the quality of, and standards we set for, our programs, enhance their marketability, and improve the employability of our graduates.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Curricula</w:t>
      </w:r>
    </w:p>
    <w:p>
      <w:pPr>
        <w:spacing w:after="0" w:line="96"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We offer the degrees of Doctor of Education, Doctor of Business Administration, Doctor of Philosophy, Master of Arts, Master of Education, Master of Business Administration and Executive Master of Business Administration, Master of Public Administration, Master of Public Health, Master of Science, Bachelor of Arts, and Bachelor of Science and a variety of programs leading to each of these degrees. Many of our degree programs also offer a selection of emphases. We also offer certificate programs, which consist of a series of courses focused on a particular area of study, for students who seek to enhance their skills and knowledge.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our academic programs through our seven distinct colleges:</w:t>
      </w:r>
    </w:p>
    <w:p>
      <w:pPr>
        <w:spacing w:after="0" w:line="90" w:lineRule="exact"/>
        <w:rPr>
          <w:sz w:val="20"/>
          <w:szCs w:val="20"/>
          <w:color w:val="auto"/>
        </w:rPr>
      </w:pPr>
    </w:p>
    <w:p>
      <w:pPr>
        <w:ind w:left="1480" w:right="120" w:hanging="567"/>
        <w:spacing w:after="0" w:line="256"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College of Nursing and Health Care Professions, which, as a result of, among other things, the strong pass rates of our Bachelor of Science in Nursing (pre-licensure) students on the National Council Licensure Examination (“NCLEX”), has a strong reputation within the Arizona nursing community and is the largest nursing program in Arizona when considering total college enrollment (bachelor and masters students);</w:t>
      </w:r>
    </w:p>
    <w:p>
      <w:pPr>
        <w:spacing w:after="0" w:line="62" w:lineRule="exact"/>
        <w:rPr>
          <w:rFonts w:ascii="Arial" w:cs="Arial" w:eastAsia="Arial" w:hAnsi="Arial"/>
          <w:sz w:val="18"/>
          <w:szCs w:val="18"/>
          <w:color w:val="auto"/>
        </w:rPr>
      </w:pPr>
    </w:p>
    <w:p>
      <w:pPr>
        <w:ind w:left="1480" w:right="840" w:hanging="567"/>
        <w:spacing w:after="0" w:line="332"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College of Doctoral Studies, which utilizes innovative technology, collaboration, and learning communities to develop expert practitioners and researchers who can become leaders in the disciplines and communities they serve;</w:t>
      </w:r>
    </w:p>
    <w:p>
      <w:pPr>
        <w:spacing w:after="0" w:line="4" w:lineRule="exact"/>
        <w:rPr>
          <w:rFonts w:ascii="Arial" w:cs="Arial" w:eastAsia="Arial" w:hAnsi="Arial"/>
          <w:sz w:val="16"/>
          <w:szCs w:val="16"/>
          <w:color w:val="auto"/>
        </w:rPr>
      </w:pPr>
    </w:p>
    <w:p>
      <w:pPr>
        <w:ind w:left="1480" w:right="60" w:hanging="567"/>
        <w:spacing w:after="0" w:line="268"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College of Arts and Sciences, which develops and provides many of the general education course requirements in our other colleges and also serves as one of the vehicles through which we offer programs in additional targeted disciplines;</w:t>
      </w:r>
    </w:p>
    <w:p>
      <w:pPr>
        <w:spacing w:after="0" w:line="50" w:lineRule="exact"/>
        <w:rPr>
          <w:rFonts w:ascii="Arial" w:cs="Arial" w:eastAsia="Arial" w:hAnsi="Arial"/>
          <w:sz w:val="18"/>
          <w:szCs w:val="18"/>
          <w:color w:val="auto"/>
        </w:rPr>
      </w:pPr>
    </w:p>
    <w:p>
      <w:pPr>
        <w:ind w:left="1480" w:right="80" w:hanging="567"/>
        <w:spacing w:after="0" w:line="332"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College of Education, which has greater than a 60-year history as one of Arizona’s leading teacher’s colleges and consistently graduates teachers who meet or exceed state averages on the Arizona Educator Proficiency Assessment exams;</w:t>
      </w:r>
    </w:p>
    <w:p>
      <w:pPr>
        <w:spacing w:after="0" w:line="4" w:lineRule="exact"/>
        <w:rPr>
          <w:rFonts w:ascii="Arial" w:cs="Arial" w:eastAsia="Arial" w:hAnsi="Arial"/>
          <w:sz w:val="16"/>
          <w:szCs w:val="16"/>
          <w:color w:val="auto"/>
        </w:rPr>
      </w:pPr>
    </w:p>
    <w:p>
      <w:pPr>
        <w:ind w:left="1480" w:right="20" w:hanging="567"/>
        <w:spacing w:after="0" w:line="259"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Ken Blanchard College of Business, which has a well-known brand among our target student population, an advisory board that includes nationally recognized business leaders, and a reputation for offering professionally relevant degree programs, including an Executive MBA and programs in leadership, business, and entrepreneurship;</w:t>
      </w:r>
    </w:p>
    <w:p>
      <w:pPr>
        <w:spacing w:after="0" w:line="59" w:lineRule="exact"/>
        <w:rPr>
          <w:rFonts w:ascii="Arial" w:cs="Arial" w:eastAsia="Arial" w:hAnsi="Arial"/>
          <w:sz w:val="18"/>
          <w:szCs w:val="18"/>
          <w:color w:val="auto"/>
        </w:rPr>
      </w:pPr>
    </w:p>
    <w:p>
      <w:pPr>
        <w:ind w:left="1480" w:hanging="567"/>
        <w:spacing w:after="0" w:line="268"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College of Fine Arts and Production, which was reintroduced in 2010 and which continues the long and highly regarded tradition that the University has in the Fine Arts; and</w:t>
      </w:r>
    </w:p>
    <w:p>
      <w:pPr>
        <w:spacing w:after="0" w:line="50" w:lineRule="exact"/>
        <w:rPr>
          <w:rFonts w:ascii="Arial" w:cs="Arial" w:eastAsia="Arial" w:hAnsi="Arial"/>
          <w:sz w:val="18"/>
          <w:szCs w:val="18"/>
          <w:color w:val="auto"/>
        </w:rPr>
      </w:pPr>
    </w:p>
    <w:p>
      <w:pPr>
        <w:ind w:left="1480" w:right="480" w:hanging="567"/>
        <w:spacing w:after="0" w:line="268"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College of Theology, which was launched in 2012 and serves as one of the many vehicles through which the University affirms its Christian heritage.</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license the right to utilize the name of Ken Blanchard in connection with our business school and Executive MBA Programs and the name of Jerry Colangelo in connection with our Colangelo School of Sports Business that we operate within the business school.</w:t>
      </w:r>
    </w:p>
    <w:p>
      <w:pPr>
        <w:spacing w:after="0" w:line="132"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Under the overall leadership of our senior academic affairs personnel and the deans of the individual colleges, each of the colleges organizes its academic programs through various departments and schools. At December 31, 2012, we offered 114 academic degree program and emphasis combinations, as follows:</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College of Arts and Sciences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Degree</w:t>
            </w: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Program</w:t>
            </w:r>
          </w:p>
        </w:tc>
        <w:tc>
          <w:tcPr>
            <w:tcW w:w="960" w:type="dxa"/>
            <w:vAlign w:val="bottom"/>
          </w:tcPr>
          <w:p>
            <w:pPr>
              <w:spacing w:after="0"/>
              <w:rPr>
                <w:sz w:val="14"/>
                <w:szCs w:val="14"/>
                <w:color w:val="auto"/>
              </w:rPr>
            </w:pPr>
          </w:p>
        </w:tc>
        <w:tc>
          <w:tcPr>
            <w:tcW w:w="4500" w:type="dxa"/>
            <w:vAlign w:val="bottom"/>
          </w:tcPr>
          <w:p>
            <w:pPr>
              <w:ind w:left="1960"/>
              <w:spacing w:after="0"/>
              <w:rPr>
                <w:sz w:val="20"/>
                <w:szCs w:val="20"/>
                <w:color w:val="auto"/>
              </w:rPr>
            </w:pPr>
            <w:r>
              <w:rPr>
                <w:rFonts w:ascii="Arial" w:cs="Arial" w:eastAsia="Arial" w:hAnsi="Arial"/>
                <w:sz w:val="14"/>
                <w:szCs w:val="14"/>
                <w:b w:val="1"/>
                <w:bCs w:val="1"/>
                <w:color w:val="auto"/>
              </w:rPr>
              <w:t>Emphasis</w:t>
            </w:r>
          </w:p>
        </w:tc>
        <w:tc>
          <w:tcPr>
            <w:tcW w:w="0" w:type="dxa"/>
            <w:vAlign w:val="bottom"/>
          </w:tcPr>
          <w:p>
            <w:pPr>
              <w:spacing w:after="0"/>
              <w:rPr>
                <w:sz w:val="1"/>
                <w:szCs w:val="1"/>
                <w:color w:val="auto"/>
              </w:rPr>
            </w:pPr>
          </w:p>
        </w:tc>
      </w:tr>
      <w:tr>
        <w:trPr>
          <w:trHeight w:val="20"/>
        </w:trPr>
        <w:tc>
          <w:tcPr>
            <w:tcW w:w="1500" w:type="dxa"/>
            <w:vAlign w:val="bottom"/>
            <w:gridSpan w:val="2"/>
            <w:vMerge w:val="restart"/>
          </w:tcPr>
          <w:p>
            <w:pPr>
              <w:spacing w:after="0"/>
              <w:rPr>
                <w:sz w:val="20"/>
                <w:szCs w:val="20"/>
                <w:color w:val="auto"/>
              </w:rPr>
            </w:pPr>
            <w:r>
              <w:rPr>
                <w:rFonts w:ascii="Arial" w:cs="Arial" w:eastAsia="Arial" w:hAnsi="Arial"/>
                <w:sz w:val="18"/>
                <w:szCs w:val="18"/>
                <w:color w:val="auto"/>
              </w:rPr>
              <w:t>Master of Science</w:t>
            </w:r>
          </w:p>
        </w:tc>
        <w:tc>
          <w:tcPr>
            <w:tcW w:w="4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500" w:type="dxa"/>
            <w:vAlign w:val="bottom"/>
            <w:gridSpan w:val="2"/>
            <w:vMerge w:val="continue"/>
          </w:tcPr>
          <w:p>
            <w:pPr>
              <w:spacing w:after="0"/>
              <w:rPr>
                <w:sz w:val="16"/>
                <w:szCs w:val="16"/>
                <w:color w:val="auto"/>
              </w:rPr>
            </w:pPr>
          </w:p>
        </w:tc>
        <w:tc>
          <w:tcPr>
            <w:tcW w:w="4500" w:type="dxa"/>
            <w:vAlign w:val="bottom"/>
          </w:tcPr>
          <w:p>
            <w:pPr>
              <w:spacing w:after="0" w:line="189" w:lineRule="exact"/>
              <w:rPr>
                <w:sz w:val="20"/>
                <w:szCs w:val="20"/>
                <w:color w:val="auto"/>
              </w:rPr>
            </w:pPr>
            <w:r>
              <w:rPr>
                <w:rFonts w:ascii="Arial" w:cs="Arial" w:eastAsia="Arial" w:hAnsi="Arial"/>
                <w:sz w:val="18"/>
                <w:szCs w:val="18"/>
                <w:color w:val="auto"/>
              </w:rPr>
              <w:t>• Addiction Counseling</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Criminal Justice — Law Enforcement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Criminal Justice — Legal Studies</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Professional Counseling</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Psychology — General Psychology</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7"/>
              </w:rPr>
              <w:t>• Psychology — Industrial and Organizational Psychology</w:t>
            </w:r>
          </w:p>
        </w:tc>
        <w:tc>
          <w:tcPr>
            <w:tcW w:w="0" w:type="dxa"/>
            <w:vAlign w:val="bottom"/>
          </w:tcPr>
          <w:p>
            <w:pPr>
              <w:spacing w:after="0"/>
              <w:rPr>
                <w:sz w:val="1"/>
                <w:szCs w:val="1"/>
                <w:color w:val="auto"/>
              </w:rPr>
            </w:pPr>
          </w:p>
        </w:tc>
      </w:tr>
      <w:tr>
        <w:trPr>
          <w:trHeight w:val="588"/>
        </w:trPr>
        <w:tc>
          <w:tcPr>
            <w:tcW w:w="1500" w:type="dxa"/>
            <w:vAlign w:val="bottom"/>
            <w:gridSpan w:val="2"/>
          </w:tcPr>
          <w:p>
            <w:pPr>
              <w:spacing w:after="0"/>
              <w:rPr>
                <w:sz w:val="20"/>
                <w:szCs w:val="20"/>
                <w:color w:val="auto"/>
              </w:rPr>
            </w:pPr>
            <w:r>
              <w:rPr>
                <w:rFonts w:ascii="Arial" w:cs="Arial" w:eastAsia="Arial" w:hAnsi="Arial"/>
                <w:sz w:val="18"/>
                <w:szCs w:val="18"/>
                <w:color w:val="auto"/>
              </w:rPr>
              <w:t>Bachelor of Arts</w:t>
            </w:r>
          </w:p>
        </w:tc>
        <w:tc>
          <w:tcPr>
            <w:tcW w:w="4500" w:type="dxa"/>
            <w:vAlign w:val="bottom"/>
          </w:tcPr>
          <w:p>
            <w:pPr>
              <w:spacing w:after="0"/>
              <w:rPr>
                <w:sz w:val="20"/>
                <w:szCs w:val="20"/>
                <w:color w:val="auto"/>
              </w:rPr>
            </w:pPr>
            <w:r>
              <w:rPr>
                <w:rFonts w:ascii="Arial" w:cs="Arial" w:eastAsia="Arial" w:hAnsi="Arial"/>
                <w:sz w:val="18"/>
                <w:szCs w:val="18"/>
                <w:color w:val="auto"/>
              </w:rPr>
              <w:t>• Communications</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English Literature</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History</w:t>
            </w:r>
          </w:p>
        </w:tc>
        <w:tc>
          <w:tcPr>
            <w:tcW w:w="0" w:type="dxa"/>
            <w:vAlign w:val="bottom"/>
          </w:tcPr>
          <w:p>
            <w:pPr>
              <w:spacing w:after="0"/>
              <w:rPr>
                <w:sz w:val="1"/>
                <w:szCs w:val="1"/>
                <w:color w:val="auto"/>
              </w:rPr>
            </w:pPr>
          </w:p>
        </w:tc>
      </w:tr>
      <w:tr>
        <w:trPr>
          <w:trHeight w:val="223"/>
        </w:trPr>
        <w:tc>
          <w:tcPr>
            <w:tcW w:w="1500" w:type="dxa"/>
            <w:vAlign w:val="bottom"/>
            <w:gridSpan w:val="2"/>
          </w:tcPr>
          <w:p>
            <w:pPr>
              <w:spacing w:after="0"/>
              <w:rPr>
                <w:sz w:val="20"/>
                <w:szCs w:val="20"/>
                <w:color w:val="auto"/>
              </w:rPr>
            </w:pPr>
            <w:r>
              <w:rPr>
                <w:rFonts w:ascii="Arial" w:cs="Arial" w:eastAsia="Arial" w:hAnsi="Arial"/>
                <w:sz w:val="18"/>
                <w:szCs w:val="18"/>
                <w:color w:val="auto"/>
              </w:rPr>
              <w:t>Bachelor of</w:t>
            </w:r>
          </w:p>
        </w:tc>
        <w:tc>
          <w:tcPr>
            <w:tcW w:w="4500" w:type="dxa"/>
            <w:vAlign w:val="bottom"/>
          </w:tcPr>
          <w:p>
            <w:pPr>
              <w:spacing w:after="0"/>
              <w:rPr>
                <w:sz w:val="20"/>
                <w:szCs w:val="20"/>
                <w:color w:val="auto"/>
              </w:rPr>
            </w:pPr>
            <w:r>
              <w:rPr>
                <w:rFonts w:ascii="Arial" w:cs="Arial" w:eastAsia="Arial" w:hAnsi="Arial"/>
                <w:sz w:val="18"/>
                <w:szCs w:val="18"/>
                <w:color w:val="auto"/>
                <w:w w:val="96"/>
              </w:rPr>
              <w:t>• Addiction, Chemical Dependency, and Substance Abuse</w:t>
            </w: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Science</w:t>
            </w:r>
          </w:p>
        </w:tc>
        <w:tc>
          <w:tcPr>
            <w:tcW w:w="4500" w:type="dxa"/>
            <w:vAlign w:val="bottom"/>
          </w:tcPr>
          <w:p>
            <w:pPr>
              <w:spacing w:after="0"/>
              <w:rPr>
                <w:sz w:val="20"/>
                <w:szCs w:val="20"/>
                <w:color w:val="auto"/>
              </w:rPr>
            </w:pPr>
            <w:r>
              <w:rPr>
                <w:rFonts w:ascii="Arial" w:cs="Arial" w:eastAsia="Arial" w:hAnsi="Arial"/>
                <w:sz w:val="18"/>
                <w:szCs w:val="18"/>
                <w:color w:val="auto"/>
              </w:rPr>
              <w:t>• Biology — Pre-Medicine*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Biology — Pre-Pharmacy*</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Biology — Pre-Physical Therapy*</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Biology — Pre-Physician Assistant*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Exercise Science — Health Education*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Exercise Science — Physical Education*</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Exercise Science — Pre-Physical Therapy*</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Forensic Science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Justice Studies</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Psychology</w:t>
            </w:r>
          </w:p>
        </w:tc>
        <w:tc>
          <w:tcPr>
            <w:tcW w:w="0" w:type="dxa"/>
            <w:vAlign w:val="bottom"/>
          </w:tcPr>
          <w:p>
            <w:pPr>
              <w:spacing w:after="0"/>
              <w:rPr>
                <w:sz w:val="1"/>
                <w:szCs w:val="1"/>
                <w:color w:val="auto"/>
              </w:rPr>
            </w:pPr>
          </w:p>
        </w:tc>
      </w:tr>
      <w:tr>
        <w:trPr>
          <w:trHeight w:val="222"/>
        </w:trPr>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 Sociology</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College of Doctoral Studies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College of Education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Degree</w:t>
            </w:r>
          </w:p>
        </w:tc>
        <w:tc>
          <w:tcPr>
            <w:tcW w:w="100" w:type="dxa"/>
            <w:vAlign w:val="bottom"/>
          </w:tcPr>
          <w:p>
            <w:pPr>
              <w:spacing w:after="0"/>
              <w:rPr>
                <w:sz w:val="14"/>
                <w:szCs w:val="14"/>
                <w:color w:val="auto"/>
              </w:rPr>
            </w:pPr>
          </w:p>
        </w:tc>
        <w:tc>
          <w:tcPr>
            <w:tcW w:w="4280" w:type="dxa"/>
            <w:vAlign w:val="bottom"/>
          </w:tcPr>
          <w:p>
            <w:pPr>
              <w:spacing w:after="0"/>
              <w:rPr>
                <w:sz w:val="14"/>
                <w:szCs w:val="14"/>
                <w:color w:val="auto"/>
              </w:rPr>
            </w:pPr>
          </w:p>
        </w:tc>
      </w:tr>
      <w:tr>
        <w:trPr>
          <w:trHeight w:val="175"/>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Program</w:t>
            </w:r>
          </w:p>
        </w:tc>
        <w:tc>
          <w:tcPr>
            <w:tcW w:w="100" w:type="dxa"/>
            <w:vAlign w:val="bottom"/>
          </w:tcPr>
          <w:p>
            <w:pPr>
              <w:spacing w:after="0"/>
              <w:rPr>
                <w:sz w:val="15"/>
                <w:szCs w:val="15"/>
                <w:color w:val="auto"/>
              </w:rPr>
            </w:pPr>
          </w:p>
        </w:tc>
        <w:tc>
          <w:tcPr>
            <w:tcW w:w="4280" w:type="dxa"/>
            <w:vAlign w:val="bottom"/>
          </w:tcPr>
          <w:p>
            <w:pPr>
              <w:ind w:left="1860"/>
              <w:spacing w:after="0"/>
              <w:rPr>
                <w:sz w:val="20"/>
                <w:szCs w:val="20"/>
                <w:color w:val="auto"/>
              </w:rPr>
            </w:pPr>
            <w:r>
              <w:rPr>
                <w:rFonts w:ascii="Arial" w:cs="Arial" w:eastAsia="Arial" w:hAnsi="Arial"/>
                <w:sz w:val="14"/>
                <w:szCs w:val="14"/>
                <w:b w:val="1"/>
                <w:bCs w:val="1"/>
                <w:color w:val="auto"/>
              </w:rPr>
              <w:t>Emphasis</w:t>
            </w:r>
          </w:p>
        </w:tc>
      </w:tr>
      <w:tr>
        <w:trPr>
          <w:trHeight w:val="201"/>
        </w:trPr>
        <w:tc>
          <w:tcPr>
            <w:tcW w:w="20" w:type="dxa"/>
            <w:vAlign w:val="bottom"/>
          </w:tcPr>
          <w:p>
            <w:pPr>
              <w:spacing w:after="0"/>
              <w:rPr>
                <w:sz w:val="17"/>
                <w:szCs w:val="17"/>
                <w:color w:val="auto"/>
              </w:rPr>
            </w:pPr>
          </w:p>
        </w:tc>
        <w:tc>
          <w:tcPr>
            <w:tcW w:w="9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Master of</w:t>
            </w:r>
          </w:p>
        </w:tc>
        <w:tc>
          <w:tcPr>
            <w:tcW w:w="100" w:type="dxa"/>
            <w:vAlign w:val="bottom"/>
          </w:tcPr>
          <w:p>
            <w:pPr>
              <w:spacing w:after="0"/>
              <w:rPr>
                <w:sz w:val="17"/>
                <w:szCs w:val="17"/>
                <w:color w:val="auto"/>
              </w:rPr>
            </w:pPr>
          </w:p>
        </w:tc>
        <w:tc>
          <w:tcPr>
            <w:tcW w:w="4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 Teaching — Professional Learning Communities</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Arts</w:t>
            </w:r>
          </w:p>
        </w:tc>
        <w:tc>
          <w:tcPr>
            <w:tcW w:w="10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(AP/CPE)</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 Teaching —Teacher Leadership (AP/CPE)</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Master of</w:t>
            </w: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 Curriculum and Instruction: Reading — Elementary</w:t>
            </w:r>
          </w:p>
        </w:tc>
      </w:tr>
      <w:tr>
        <w:trPr>
          <w:trHeight w:val="216"/>
        </w:trPr>
        <w:tc>
          <w:tcPr>
            <w:tcW w:w="94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10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(AP/CPE)</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 Curriculum and Instruction: Reading — Secondary</w:t>
            </w: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(AP/CPE)</w:t>
            </w:r>
          </w:p>
        </w:tc>
      </w:tr>
      <w:tr>
        <w:trPr>
          <w:trHeight w:val="223"/>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 Curriculum and Instruction: Technology (AP/CPE)</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 Early Childhood Education (IP/ TL)</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 Early Childhood Education (IP/Non-TL)</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 Educational Administration (AP/PL)</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 Educational Leadership (AP/CPE)</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 Elementary Education (IP/ TL)</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 Elementary Education (IP/ Non-TL)</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 Secondary Education (IP/ TL)</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 Secondary Education (IP/ Non-TL)</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 Special Education for Certified Special Educators</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(AP/CPE)</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 Special Education: Cross Categorical (IP/ TL)</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 Special Education: Cross-Categorical (IP/Non-TL)</w:t>
            </w: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 Teaching English to Speakers of Other Languages</w:t>
            </w: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Pr>
          <w:p>
            <w:pPr>
              <w:ind w:left="220"/>
              <w:spacing w:after="0"/>
              <w:rPr>
                <w:sz w:val="20"/>
                <w:szCs w:val="20"/>
                <w:color w:val="auto"/>
              </w:rPr>
            </w:pPr>
            <w:r>
              <w:rPr>
                <w:rFonts w:ascii="Arial" w:cs="Arial" w:eastAsia="Arial" w:hAnsi="Arial"/>
                <w:sz w:val="18"/>
                <w:szCs w:val="18"/>
                <w:color w:val="auto"/>
              </w:rPr>
              <w:t>(AP/CPE)</w:t>
            </w:r>
          </w:p>
        </w:tc>
      </w:tr>
    </w:tbl>
    <w:p>
      <w:pPr>
        <w:spacing w:after="0" w:line="709" w:lineRule="exact"/>
        <w:rPr>
          <w:sz w:val="20"/>
          <w:szCs w:val="20"/>
          <w:color w:val="auto"/>
        </w:rPr>
      </w:pPr>
    </w:p>
    <w:p>
      <w:pPr>
        <w:sectPr>
          <w:pgSz w:w="11900" w:h="16838" w:orient="portrait"/>
          <w:cols w:equalWidth="0" w:num="2">
            <w:col w:w="6000" w:space="100"/>
            <w:col w:w="53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Doctor of</w:t>
            </w:r>
          </w:p>
        </w:tc>
        <w:tc>
          <w:tcPr>
            <w:tcW w:w="4680" w:type="dxa"/>
            <w:vAlign w:val="bottom"/>
          </w:tcPr>
          <w:p>
            <w:pPr>
              <w:ind w:left="220"/>
              <w:spacing w:after="0"/>
              <w:rPr>
                <w:sz w:val="20"/>
                <w:szCs w:val="20"/>
                <w:color w:val="auto"/>
              </w:rPr>
            </w:pPr>
            <w:r>
              <w:rPr>
                <w:rFonts w:ascii="Arial" w:cs="Arial" w:eastAsia="Arial" w:hAnsi="Arial"/>
                <w:sz w:val="18"/>
                <w:szCs w:val="18"/>
                <w:color w:val="auto"/>
              </w:rPr>
              <w:t>• Organizational Leadership — Behavioral Health</w:t>
            </w:r>
          </w:p>
        </w:tc>
        <w:tc>
          <w:tcPr>
            <w:tcW w:w="1080" w:type="dxa"/>
            <w:vAlign w:val="bottom"/>
          </w:tcPr>
          <w:p>
            <w:pPr>
              <w:ind w:left="140"/>
              <w:spacing w:after="0"/>
              <w:rPr>
                <w:sz w:val="20"/>
                <w:szCs w:val="20"/>
                <w:color w:val="auto"/>
              </w:rPr>
            </w:pPr>
            <w:r>
              <w:rPr>
                <w:rFonts w:ascii="Arial" w:cs="Arial" w:eastAsia="Arial" w:hAnsi="Arial"/>
                <w:sz w:val="18"/>
                <w:szCs w:val="18"/>
                <w:color w:val="auto"/>
              </w:rPr>
              <w:t>Bachelor of</w:t>
            </w:r>
          </w:p>
        </w:tc>
        <w:tc>
          <w:tcPr>
            <w:tcW w:w="3400" w:type="dxa"/>
            <w:vAlign w:val="bottom"/>
          </w:tcPr>
          <w:p>
            <w:pPr>
              <w:ind w:left="100"/>
              <w:spacing w:after="0"/>
              <w:rPr>
                <w:sz w:val="20"/>
                <w:szCs w:val="20"/>
                <w:color w:val="auto"/>
              </w:rPr>
            </w:pPr>
            <w:r>
              <w:rPr>
                <w:rFonts w:ascii="Arial" w:cs="Arial" w:eastAsia="Arial" w:hAnsi="Arial"/>
                <w:sz w:val="18"/>
                <w:szCs w:val="18"/>
                <w:color w:val="auto"/>
              </w:rPr>
              <w:t>• Early Childhood Education</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Education</w:t>
            </w:r>
          </w:p>
        </w:tc>
        <w:tc>
          <w:tcPr>
            <w:tcW w:w="4680" w:type="dxa"/>
            <w:vAlign w:val="bottom"/>
          </w:tcPr>
          <w:p>
            <w:pPr>
              <w:ind w:left="220"/>
              <w:spacing w:after="0"/>
              <w:rPr>
                <w:sz w:val="20"/>
                <w:szCs w:val="20"/>
                <w:color w:val="auto"/>
              </w:rPr>
            </w:pPr>
            <w:r>
              <w:rPr>
                <w:rFonts w:ascii="Arial" w:cs="Arial" w:eastAsia="Arial" w:hAnsi="Arial"/>
                <w:sz w:val="18"/>
                <w:szCs w:val="18"/>
                <w:color w:val="auto"/>
              </w:rPr>
              <w:t>• Organizational Leadership — Christian Ministry</w:t>
            </w:r>
          </w:p>
        </w:tc>
        <w:tc>
          <w:tcPr>
            <w:tcW w:w="1080" w:type="dxa"/>
            <w:vAlign w:val="bottom"/>
          </w:tcPr>
          <w:p>
            <w:pPr>
              <w:ind w:left="140"/>
              <w:spacing w:after="0"/>
              <w:rPr>
                <w:sz w:val="20"/>
                <w:szCs w:val="20"/>
                <w:color w:val="auto"/>
              </w:rPr>
            </w:pPr>
            <w:r>
              <w:rPr>
                <w:rFonts w:ascii="Arial" w:cs="Arial" w:eastAsia="Arial" w:hAnsi="Arial"/>
                <w:sz w:val="18"/>
                <w:szCs w:val="18"/>
                <w:color w:val="auto"/>
              </w:rPr>
              <w:t>Science</w:t>
            </w:r>
          </w:p>
        </w:tc>
        <w:tc>
          <w:tcPr>
            <w:tcW w:w="3400" w:type="dxa"/>
            <w:vAlign w:val="bottom"/>
          </w:tcPr>
          <w:p>
            <w:pPr>
              <w:ind w:left="100"/>
              <w:spacing w:after="0"/>
              <w:rPr>
                <w:sz w:val="20"/>
                <w:szCs w:val="20"/>
                <w:color w:val="auto"/>
              </w:rPr>
            </w:pPr>
            <w:r>
              <w:rPr>
                <w:rFonts w:ascii="Arial" w:cs="Arial" w:eastAsia="Arial" w:hAnsi="Arial"/>
                <w:sz w:val="18"/>
                <w:szCs w:val="18"/>
                <w:color w:val="auto"/>
              </w:rPr>
              <w:t>• Elementary Education — English</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w w:val="92"/>
              </w:rPr>
              <w:t>• Organizational Leadership — Higher Education Leadership</w:t>
            </w:r>
          </w:p>
        </w:tc>
        <w:tc>
          <w:tcPr>
            <w:tcW w:w="108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 Elementary Education — Math</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 Organizational Leadership — Instructional Leadership</w:t>
            </w:r>
          </w:p>
        </w:tc>
        <w:tc>
          <w:tcPr>
            <w:tcW w:w="108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 Elementary Education — Science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 Organizational Leadership — K-12 Leadership</w:t>
            </w:r>
          </w:p>
        </w:tc>
        <w:tc>
          <w:tcPr>
            <w:tcW w:w="108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 Elementary/Special Education</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w w:val="93"/>
              </w:rPr>
              <w:t>• Organizational Leadership — Organizational Development</w:t>
            </w:r>
          </w:p>
        </w:tc>
        <w:tc>
          <w:tcPr>
            <w:tcW w:w="108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 Secondary Education — Biology*</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 Organizational Leadership — Special Education</w:t>
            </w:r>
          </w:p>
        </w:tc>
        <w:tc>
          <w:tcPr>
            <w:tcW w:w="108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w w:val="89"/>
              </w:rPr>
              <w:t>• Secondary Education — Business Education</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 Secondary Education — Chemistry*</w:t>
            </w:r>
          </w:p>
        </w:tc>
        <w:tc>
          <w:tcPr>
            <w:tcW w:w="0" w:type="dxa"/>
            <w:vAlign w:val="bottom"/>
          </w:tcPr>
          <w:p>
            <w:pPr>
              <w:spacing w:after="0"/>
              <w:rPr>
                <w:sz w:val="1"/>
                <w:szCs w:val="1"/>
                <w:color w:val="auto"/>
              </w:rPr>
            </w:pPr>
          </w:p>
        </w:tc>
      </w:tr>
      <w:tr>
        <w:trPr>
          <w:trHeight w:val="216"/>
        </w:trPr>
        <w:tc>
          <w:tcPr>
            <w:tcW w:w="1280" w:type="dxa"/>
            <w:vAlign w:val="bottom"/>
            <w:vMerge w:val="restart"/>
          </w:tcPr>
          <w:p>
            <w:pPr>
              <w:spacing w:after="0"/>
              <w:rPr>
                <w:sz w:val="20"/>
                <w:szCs w:val="20"/>
                <w:color w:val="auto"/>
              </w:rPr>
            </w:pPr>
            <w:r>
              <w:rPr>
                <w:rFonts w:ascii="Arial" w:cs="Arial" w:eastAsia="Arial" w:hAnsi="Arial"/>
                <w:sz w:val="18"/>
                <w:szCs w:val="18"/>
                <w:color w:val="auto"/>
              </w:rPr>
              <w:t>Doctor of</w:t>
            </w:r>
          </w:p>
        </w:tc>
        <w:tc>
          <w:tcPr>
            <w:tcW w:w="4680" w:type="dxa"/>
            <w:vAlign w:val="bottom"/>
            <w:vMerge w:val="restart"/>
          </w:tcPr>
          <w:p>
            <w:pPr>
              <w:ind w:left="220"/>
              <w:spacing w:after="0"/>
              <w:rPr>
                <w:sz w:val="20"/>
                <w:szCs w:val="20"/>
                <w:color w:val="auto"/>
              </w:rPr>
            </w:pPr>
            <w:r>
              <w:rPr>
                <w:rFonts w:ascii="Arial" w:cs="Arial" w:eastAsia="Arial" w:hAnsi="Arial"/>
                <w:sz w:val="18"/>
                <w:szCs w:val="18"/>
                <w:color w:val="auto"/>
              </w:rPr>
              <w:t>• Management</w:t>
            </w:r>
          </w:p>
        </w:tc>
        <w:tc>
          <w:tcPr>
            <w:tcW w:w="1080" w:type="dxa"/>
            <w:vAlign w:val="bottom"/>
          </w:tcPr>
          <w:p>
            <w:pPr>
              <w:spacing w:after="0"/>
              <w:rPr>
                <w:sz w:val="18"/>
                <w:szCs w:val="18"/>
                <w:color w:val="auto"/>
              </w:rPr>
            </w:pPr>
          </w:p>
        </w:tc>
        <w:tc>
          <w:tcPr>
            <w:tcW w:w="3400" w:type="dxa"/>
            <w:vAlign w:val="bottom"/>
          </w:tcPr>
          <w:p>
            <w:pPr>
              <w:ind w:left="100"/>
              <w:spacing w:after="0"/>
              <w:rPr>
                <w:sz w:val="20"/>
                <w:szCs w:val="20"/>
                <w:color w:val="auto"/>
              </w:rPr>
            </w:pPr>
            <w:r>
              <w:rPr>
                <w:rFonts w:ascii="Arial" w:cs="Arial" w:eastAsia="Arial" w:hAnsi="Arial"/>
                <w:sz w:val="18"/>
                <w:szCs w:val="18"/>
                <w:color w:val="auto"/>
              </w:rPr>
              <w:t>• Secondary Education — English</w:t>
            </w:r>
          </w:p>
        </w:tc>
        <w:tc>
          <w:tcPr>
            <w:tcW w:w="0" w:type="dxa"/>
            <w:vAlign w:val="bottom"/>
          </w:tcPr>
          <w:p>
            <w:pPr>
              <w:spacing w:after="0"/>
              <w:rPr>
                <w:sz w:val="1"/>
                <w:szCs w:val="1"/>
                <w:color w:val="auto"/>
              </w:rPr>
            </w:pPr>
          </w:p>
        </w:tc>
      </w:tr>
      <w:tr>
        <w:trPr>
          <w:trHeight w:val="95"/>
        </w:trPr>
        <w:tc>
          <w:tcPr>
            <w:tcW w:w="1280" w:type="dxa"/>
            <w:vAlign w:val="bottom"/>
            <w:vMerge w:val="continue"/>
          </w:tcPr>
          <w:p>
            <w:pPr>
              <w:spacing w:after="0"/>
              <w:rPr>
                <w:sz w:val="8"/>
                <w:szCs w:val="8"/>
                <w:color w:val="auto"/>
              </w:rPr>
            </w:pPr>
          </w:p>
        </w:tc>
        <w:tc>
          <w:tcPr>
            <w:tcW w:w="468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3400" w:type="dxa"/>
            <w:vAlign w:val="bottom"/>
            <w:vMerge w:val="restart"/>
          </w:tcPr>
          <w:p>
            <w:pPr>
              <w:ind w:left="100"/>
              <w:spacing w:after="0"/>
              <w:rPr>
                <w:sz w:val="20"/>
                <w:szCs w:val="20"/>
                <w:color w:val="auto"/>
              </w:rPr>
            </w:pPr>
            <w:r>
              <w:rPr>
                <w:rFonts w:ascii="Arial" w:cs="Arial" w:eastAsia="Arial" w:hAnsi="Arial"/>
                <w:sz w:val="18"/>
                <w:szCs w:val="18"/>
                <w:color w:val="auto"/>
              </w:rPr>
              <w:t>• Secondary Education — Mathematics</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Business</w:t>
            </w:r>
          </w:p>
        </w:tc>
        <w:tc>
          <w:tcPr>
            <w:tcW w:w="4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80" w:type="dxa"/>
            <w:vAlign w:val="bottom"/>
            <w:vMerge w:val="continue"/>
          </w:tcPr>
          <w:p>
            <w:pPr>
              <w:spacing w:after="0"/>
              <w:rPr>
                <w:sz w:val="8"/>
                <w:szCs w:val="8"/>
                <w:color w:val="auto"/>
              </w:rPr>
            </w:pPr>
          </w:p>
        </w:tc>
        <w:tc>
          <w:tcPr>
            <w:tcW w:w="4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0" w:type="dxa"/>
            <w:vAlign w:val="bottom"/>
            <w:vMerge w:val="restart"/>
          </w:tcPr>
          <w:p>
            <w:pPr>
              <w:ind w:left="100"/>
              <w:spacing w:after="0"/>
              <w:rPr>
                <w:sz w:val="20"/>
                <w:szCs w:val="20"/>
                <w:color w:val="auto"/>
              </w:rPr>
            </w:pPr>
            <w:r>
              <w:rPr>
                <w:rFonts w:ascii="Arial" w:cs="Arial" w:eastAsia="Arial" w:hAnsi="Arial"/>
                <w:sz w:val="18"/>
                <w:szCs w:val="18"/>
                <w:color w:val="auto"/>
                <w:w w:val="88"/>
              </w:rPr>
              <w:t>• Secondary Education — Physical Education*</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Administration</w:t>
            </w:r>
          </w:p>
        </w:tc>
        <w:tc>
          <w:tcPr>
            <w:tcW w:w="4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280" w:type="dxa"/>
            <w:vAlign w:val="bottom"/>
            <w:vMerge w:val="continue"/>
          </w:tcPr>
          <w:p>
            <w:pPr>
              <w:spacing w:after="0"/>
              <w:rPr>
                <w:sz w:val="8"/>
                <w:szCs w:val="8"/>
                <w:color w:val="auto"/>
              </w:rPr>
            </w:pPr>
          </w:p>
        </w:tc>
        <w:tc>
          <w:tcPr>
            <w:tcW w:w="4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0" w:type="dxa"/>
            <w:vAlign w:val="bottom"/>
            <w:vMerge w:val="restart"/>
          </w:tcPr>
          <w:p>
            <w:pPr>
              <w:ind w:left="100"/>
              <w:spacing w:after="0"/>
              <w:rPr>
                <w:sz w:val="20"/>
                <w:szCs w:val="20"/>
                <w:color w:val="auto"/>
              </w:rPr>
            </w:pPr>
            <w:r>
              <w:rPr>
                <w:rFonts w:ascii="Arial" w:cs="Arial" w:eastAsia="Arial" w:hAnsi="Arial"/>
                <w:sz w:val="18"/>
                <w:szCs w:val="18"/>
                <w:color w:val="auto"/>
              </w:rPr>
              <w:t>• Secondary Education — Social Studies</w:t>
            </w: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1280" w:type="dxa"/>
            <w:vAlign w:val="bottom"/>
          </w:tcPr>
          <w:p>
            <w:pPr>
              <w:spacing w:after="0"/>
              <w:rPr>
                <w:sz w:val="20"/>
                <w:szCs w:val="20"/>
                <w:color w:val="auto"/>
              </w:rPr>
            </w:pPr>
            <w:r>
              <w:rPr>
                <w:rFonts w:ascii="Arial" w:cs="Arial" w:eastAsia="Arial" w:hAnsi="Arial"/>
                <w:sz w:val="18"/>
                <w:szCs w:val="18"/>
                <w:color w:val="auto"/>
              </w:rPr>
              <w:t>Doctor of</w:t>
            </w:r>
          </w:p>
        </w:tc>
        <w:tc>
          <w:tcPr>
            <w:tcW w:w="4680" w:type="dxa"/>
            <w:vAlign w:val="bottom"/>
          </w:tcPr>
          <w:p>
            <w:pPr>
              <w:ind w:left="220"/>
              <w:spacing w:after="0"/>
              <w:rPr>
                <w:sz w:val="20"/>
                <w:szCs w:val="20"/>
                <w:color w:val="auto"/>
              </w:rPr>
            </w:pPr>
            <w:r>
              <w:rPr>
                <w:rFonts w:ascii="Arial" w:cs="Arial" w:eastAsia="Arial" w:hAnsi="Arial"/>
                <w:sz w:val="18"/>
                <w:szCs w:val="18"/>
                <w:color w:val="auto"/>
              </w:rPr>
              <w:t>• General Psychology — Cognition and Instruction</w:t>
            </w:r>
          </w:p>
        </w:tc>
        <w:tc>
          <w:tcPr>
            <w:tcW w:w="10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Philosophy</w:t>
            </w:r>
          </w:p>
        </w:tc>
        <w:tc>
          <w:tcPr>
            <w:tcW w:w="4680" w:type="dxa"/>
            <w:vAlign w:val="bottom"/>
          </w:tcPr>
          <w:p>
            <w:pPr>
              <w:ind w:left="220"/>
              <w:spacing w:after="0"/>
              <w:rPr>
                <w:sz w:val="20"/>
                <w:szCs w:val="20"/>
                <w:color w:val="auto"/>
              </w:rPr>
            </w:pPr>
            <w:r>
              <w:rPr>
                <w:rFonts w:ascii="Arial" w:cs="Arial" w:eastAsia="Arial" w:hAnsi="Arial"/>
                <w:sz w:val="18"/>
                <w:szCs w:val="18"/>
                <w:color w:val="auto"/>
              </w:rPr>
              <w:t>• General Psychology — Industrial and Organizational</w:t>
            </w:r>
          </w:p>
        </w:tc>
        <w:tc>
          <w:tcPr>
            <w:tcW w:w="1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4680" w:type="dxa"/>
            <w:vAlign w:val="bottom"/>
          </w:tcPr>
          <w:p>
            <w:pPr>
              <w:ind w:left="440"/>
              <w:spacing w:after="0"/>
              <w:rPr>
                <w:sz w:val="20"/>
                <w:szCs w:val="20"/>
                <w:color w:val="auto"/>
              </w:rPr>
            </w:pPr>
            <w:r>
              <w:rPr>
                <w:rFonts w:ascii="Arial" w:cs="Arial" w:eastAsia="Arial" w:hAnsi="Arial"/>
                <w:sz w:val="18"/>
                <w:szCs w:val="18"/>
                <w:color w:val="auto"/>
              </w:rPr>
              <w:t>Psychology</w:t>
            </w:r>
          </w:p>
        </w:tc>
        <w:tc>
          <w:tcPr>
            <w:tcW w:w="10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720" w:right="5440" w:hanging="213"/>
        <w:spacing w:after="0" w:line="250" w:lineRule="auto"/>
        <w:tabs>
          <w:tab w:leader="none" w:pos="1609"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Psychology — Integrating Technology, Learning, and Psychology</w:t>
      </w:r>
    </w:p>
    <w:p>
      <w:pPr>
        <w:ind w:left="1620" w:hanging="113"/>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Psychology — Performance Psychology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College of Fine Arts and Production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Degree Program</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60" w:type="dxa"/>
            <w:vAlign w:val="bottom"/>
            <w:tcBorders>
              <w:bottom w:val="single" w:sz="8" w:color="auto"/>
            </w:tcBorders>
          </w:tcPr>
          <w:p>
            <w:pPr>
              <w:ind w:left="1860"/>
              <w:spacing w:after="0"/>
              <w:rPr>
                <w:sz w:val="20"/>
                <w:szCs w:val="20"/>
                <w:color w:val="auto"/>
              </w:rPr>
            </w:pPr>
            <w:r>
              <w:rPr>
                <w:rFonts w:ascii="Arial" w:cs="Arial" w:eastAsia="Arial" w:hAnsi="Arial"/>
                <w:sz w:val="14"/>
                <w:szCs w:val="14"/>
                <w:b w:val="1"/>
                <w:bCs w:val="1"/>
                <w:color w:val="auto"/>
              </w:rPr>
              <w:t>Emphasis</w:t>
            </w:r>
          </w:p>
        </w:tc>
      </w:tr>
      <w:tr>
        <w:trPr>
          <w:trHeight w:val="195"/>
        </w:trPr>
        <w:tc>
          <w:tcPr>
            <w:tcW w:w="1400" w:type="dxa"/>
            <w:vAlign w:val="bottom"/>
            <w:gridSpan w:val="2"/>
          </w:tcPr>
          <w:p>
            <w:pPr>
              <w:spacing w:after="0" w:line="195" w:lineRule="exact"/>
              <w:rPr>
                <w:sz w:val="20"/>
                <w:szCs w:val="20"/>
                <w:color w:val="auto"/>
              </w:rPr>
            </w:pPr>
            <w:r>
              <w:rPr>
                <w:rFonts w:ascii="Arial" w:cs="Arial" w:eastAsia="Arial" w:hAnsi="Arial"/>
                <w:sz w:val="18"/>
                <w:szCs w:val="18"/>
                <w:color w:val="auto"/>
              </w:rPr>
              <w:t>Bachelor of Arts</w:t>
            </w:r>
          </w:p>
        </w:tc>
        <w:tc>
          <w:tcPr>
            <w:tcW w:w="220" w:type="dxa"/>
            <w:vAlign w:val="bottom"/>
          </w:tcPr>
          <w:p>
            <w:pPr>
              <w:spacing w:after="0"/>
              <w:rPr>
                <w:sz w:val="16"/>
                <w:szCs w:val="16"/>
                <w:color w:val="auto"/>
              </w:rPr>
            </w:pP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 Dance Education*</w:t>
            </w:r>
          </w:p>
        </w:tc>
      </w:tr>
      <w:tr>
        <w:trPr>
          <w:trHeight w:val="216"/>
        </w:trPr>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80" w:type="dxa"/>
            <w:vAlign w:val="bottom"/>
            <w:gridSpan w:val="2"/>
          </w:tcPr>
          <w:p>
            <w:pPr>
              <w:ind w:left="220"/>
              <w:spacing w:after="0"/>
              <w:rPr>
                <w:sz w:val="20"/>
                <w:szCs w:val="20"/>
                <w:color w:val="auto"/>
              </w:rPr>
            </w:pPr>
            <w:r>
              <w:rPr>
                <w:rFonts w:ascii="Arial" w:cs="Arial" w:eastAsia="Arial" w:hAnsi="Arial"/>
                <w:sz w:val="18"/>
                <w:szCs w:val="18"/>
                <w:color w:val="auto"/>
              </w:rPr>
              <w:t>• Digital Design — Animation*</w:t>
            </w:r>
          </w:p>
        </w:tc>
      </w:tr>
      <w:tr>
        <w:trPr>
          <w:trHeight w:val="216"/>
        </w:trPr>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80" w:type="dxa"/>
            <w:vAlign w:val="bottom"/>
            <w:gridSpan w:val="2"/>
          </w:tcPr>
          <w:p>
            <w:pPr>
              <w:ind w:left="220"/>
              <w:spacing w:after="0"/>
              <w:rPr>
                <w:sz w:val="20"/>
                <w:szCs w:val="20"/>
                <w:color w:val="auto"/>
              </w:rPr>
            </w:pPr>
            <w:r>
              <w:rPr>
                <w:rFonts w:ascii="Arial" w:cs="Arial" w:eastAsia="Arial" w:hAnsi="Arial"/>
                <w:sz w:val="18"/>
                <w:szCs w:val="18"/>
                <w:color w:val="auto"/>
              </w:rPr>
              <w:t>• Digital Design — Web Design*</w:t>
            </w:r>
          </w:p>
        </w:tc>
      </w:tr>
      <w:tr>
        <w:trPr>
          <w:trHeight w:val="216"/>
        </w:trPr>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80" w:type="dxa"/>
            <w:vAlign w:val="bottom"/>
            <w:gridSpan w:val="2"/>
          </w:tcPr>
          <w:p>
            <w:pPr>
              <w:ind w:left="220"/>
              <w:spacing w:after="0"/>
              <w:rPr>
                <w:sz w:val="20"/>
                <w:szCs w:val="20"/>
                <w:color w:val="auto"/>
              </w:rPr>
            </w:pPr>
            <w:r>
              <w:rPr>
                <w:rFonts w:ascii="Arial" w:cs="Arial" w:eastAsia="Arial" w:hAnsi="Arial"/>
                <w:sz w:val="18"/>
                <w:szCs w:val="18"/>
                <w:color w:val="auto"/>
              </w:rPr>
              <w:t>• Digital Film — Production</w:t>
            </w:r>
          </w:p>
        </w:tc>
      </w:tr>
      <w:tr>
        <w:trPr>
          <w:trHeight w:val="216"/>
        </w:trPr>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80" w:type="dxa"/>
            <w:vAlign w:val="bottom"/>
            <w:gridSpan w:val="2"/>
          </w:tcPr>
          <w:p>
            <w:pPr>
              <w:ind w:left="220"/>
              <w:spacing w:after="0"/>
              <w:rPr>
                <w:sz w:val="20"/>
                <w:szCs w:val="20"/>
                <w:color w:val="auto"/>
              </w:rPr>
            </w:pPr>
            <w:r>
              <w:rPr>
                <w:rFonts w:ascii="Arial" w:cs="Arial" w:eastAsia="Arial" w:hAnsi="Arial"/>
                <w:sz w:val="18"/>
                <w:szCs w:val="18"/>
                <w:color w:val="auto"/>
              </w:rPr>
              <w:t>• Digital Film — Screenwriting</w:t>
            </w:r>
          </w:p>
        </w:tc>
      </w:tr>
      <w:tr>
        <w:trPr>
          <w:trHeight w:val="216"/>
        </w:trPr>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80" w:type="dxa"/>
            <w:vAlign w:val="bottom"/>
            <w:gridSpan w:val="2"/>
          </w:tcPr>
          <w:p>
            <w:pPr>
              <w:ind w:left="220"/>
              <w:spacing w:after="0"/>
              <w:rPr>
                <w:sz w:val="20"/>
                <w:szCs w:val="20"/>
                <w:color w:val="auto"/>
              </w:rPr>
            </w:pPr>
            <w:r>
              <w:rPr>
                <w:rFonts w:ascii="Arial" w:cs="Arial" w:eastAsia="Arial" w:hAnsi="Arial"/>
                <w:sz w:val="18"/>
                <w:szCs w:val="18"/>
                <w:color w:val="auto"/>
              </w:rPr>
              <w:t>• Music Education*</w:t>
            </w:r>
          </w:p>
        </w:tc>
      </w:tr>
      <w:tr>
        <w:trPr>
          <w:trHeight w:val="216"/>
        </w:trPr>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80" w:type="dxa"/>
            <w:vAlign w:val="bottom"/>
            <w:gridSpan w:val="2"/>
          </w:tcPr>
          <w:p>
            <w:pPr>
              <w:ind w:left="220"/>
              <w:spacing w:after="0"/>
              <w:rPr>
                <w:sz w:val="20"/>
                <w:szCs w:val="20"/>
                <w:color w:val="auto"/>
              </w:rPr>
            </w:pPr>
            <w:r>
              <w:rPr>
                <w:rFonts w:ascii="Arial" w:cs="Arial" w:eastAsia="Arial" w:hAnsi="Arial"/>
                <w:sz w:val="18"/>
                <w:szCs w:val="18"/>
                <w:color w:val="auto"/>
              </w:rPr>
              <w:t>• Music Education — Instrumental*</w:t>
            </w:r>
          </w:p>
        </w:tc>
      </w:tr>
      <w:tr>
        <w:trPr>
          <w:trHeight w:val="216"/>
        </w:trPr>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80" w:type="dxa"/>
            <w:vAlign w:val="bottom"/>
            <w:gridSpan w:val="2"/>
          </w:tcPr>
          <w:p>
            <w:pPr>
              <w:ind w:left="220"/>
              <w:spacing w:after="0"/>
              <w:rPr>
                <w:sz w:val="20"/>
                <w:szCs w:val="20"/>
                <w:color w:val="auto"/>
              </w:rPr>
            </w:pPr>
            <w:r>
              <w:rPr>
                <w:rFonts w:ascii="Arial" w:cs="Arial" w:eastAsia="Arial" w:hAnsi="Arial"/>
                <w:sz w:val="18"/>
                <w:szCs w:val="18"/>
                <w:color w:val="auto"/>
              </w:rPr>
              <w:t>• Music — Piano*</w:t>
            </w:r>
          </w:p>
        </w:tc>
      </w:tr>
      <w:tr>
        <w:trPr>
          <w:trHeight w:val="216"/>
        </w:trPr>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80" w:type="dxa"/>
            <w:vAlign w:val="bottom"/>
            <w:gridSpan w:val="2"/>
          </w:tcPr>
          <w:p>
            <w:pPr>
              <w:ind w:left="220"/>
              <w:spacing w:after="0"/>
              <w:rPr>
                <w:sz w:val="20"/>
                <w:szCs w:val="20"/>
                <w:color w:val="auto"/>
              </w:rPr>
            </w:pPr>
            <w:r>
              <w:rPr>
                <w:rFonts w:ascii="Arial" w:cs="Arial" w:eastAsia="Arial" w:hAnsi="Arial"/>
                <w:sz w:val="18"/>
                <w:szCs w:val="18"/>
                <w:color w:val="auto"/>
              </w:rPr>
              <w:t>• Music — Voice*</w:t>
            </w:r>
          </w:p>
        </w:tc>
      </w:tr>
      <w:tr>
        <w:trPr>
          <w:trHeight w:val="216"/>
        </w:trPr>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80" w:type="dxa"/>
            <w:vAlign w:val="bottom"/>
            <w:gridSpan w:val="2"/>
          </w:tcPr>
          <w:p>
            <w:pPr>
              <w:ind w:left="220"/>
              <w:spacing w:after="0"/>
              <w:rPr>
                <w:sz w:val="20"/>
                <w:szCs w:val="20"/>
                <w:color w:val="auto"/>
              </w:rPr>
            </w:pPr>
            <w:r>
              <w:rPr>
                <w:rFonts w:ascii="Arial" w:cs="Arial" w:eastAsia="Arial" w:hAnsi="Arial"/>
                <w:sz w:val="18"/>
                <w:szCs w:val="18"/>
                <w:color w:val="auto"/>
              </w:rPr>
              <w:t>• Theatre and Drama*</w:t>
            </w:r>
          </w:p>
        </w:tc>
      </w:tr>
      <w:tr>
        <w:trPr>
          <w:trHeight w:val="222"/>
        </w:trPr>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80" w:type="dxa"/>
            <w:vAlign w:val="bottom"/>
            <w:gridSpan w:val="2"/>
          </w:tcPr>
          <w:p>
            <w:pPr>
              <w:ind w:left="220"/>
              <w:spacing w:after="0"/>
              <w:rPr>
                <w:sz w:val="20"/>
                <w:szCs w:val="20"/>
                <w:color w:val="auto"/>
              </w:rPr>
            </w:pPr>
            <w:r>
              <w:rPr>
                <w:rFonts w:ascii="Arial" w:cs="Arial" w:eastAsia="Arial" w:hAnsi="Arial"/>
                <w:sz w:val="18"/>
                <w:szCs w:val="18"/>
                <w:color w:val="auto"/>
              </w:rPr>
              <w:t>• Theatre Education*</w:t>
            </w:r>
          </w:p>
        </w:tc>
      </w:tr>
    </w:tbl>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College of Nursing and Health Care Professions</w:t>
      </w:r>
    </w:p>
    <w:p>
      <w:pPr>
        <w:spacing w:after="0" w:line="200" w:lineRule="exact"/>
        <w:rPr>
          <w:sz w:val="20"/>
          <w:szCs w:val="20"/>
          <w:color w:val="auto"/>
        </w:rPr>
      </w:pPr>
    </w:p>
    <w:p>
      <w:pPr>
        <w:spacing w:after="0" w:line="369"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Master of Science</w:t>
      </w:r>
      <w:r>
        <w:rPr>
          <w:sz w:val="20"/>
          <w:szCs w:val="20"/>
          <w:color w:val="auto"/>
        </w:rPr>
        <w:tab/>
      </w:r>
      <w:r>
        <w:rPr>
          <w:rFonts w:ascii="Arial" w:cs="Arial" w:eastAsia="Arial" w:hAnsi="Arial"/>
          <w:sz w:val="16"/>
          <w:szCs w:val="16"/>
          <w:color w:val="auto"/>
        </w:rPr>
        <w:t>• Health Care Administration</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Health Care Informatics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Nursing — Acute Care Nurse Practitioner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Nursing — Clinical Nurse Specialist*</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Nursing — Family Nurse Practitioner*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Nursing — Healthcare Informatics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Nursing — Leadership in Healthcare Systems</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Nursing — Nursing Education</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Nursing — Public Health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Master of Public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Health</w:t>
      </w:r>
    </w:p>
    <w:p>
      <w:pPr>
        <w:spacing w:after="0" w:line="178"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Bachelor of</w:t>
      </w:r>
      <w:r>
        <w:rPr>
          <w:sz w:val="20"/>
          <w:szCs w:val="20"/>
          <w:color w:val="auto"/>
        </w:rPr>
        <w:tab/>
      </w:r>
      <w:r>
        <w:rPr>
          <w:rFonts w:ascii="Arial" w:cs="Arial" w:eastAsia="Arial" w:hAnsi="Arial"/>
          <w:sz w:val="16"/>
          <w:szCs w:val="16"/>
          <w:color w:val="auto"/>
        </w:rPr>
        <w:t>• Athletic Training*</w:t>
      </w:r>
    </w:p>
    <w:p>
      <w:pPr>
        <w:spacing w:after="0" w:line="1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Science</w:t>
      </w:r>
      <w:r>
        <w:rPr>
          <w:sz w:val="20"/>
          <w:szCs w:val="20"/>
          <w:color w:val="auto"/>
        </w:rPr>
        <w:tab/>
      </w:r>
      <w:r>
        <w:rPr>
          <w:rFonts w:ascii="Arial" w:cs="Arial" w:eastAsia="Arial" w:hAnsi="Arial"/>
          <w:sz w:val="18"/>
          <w:szCs w:val="18"/>
          <w:color w:val="auto"/>
        </w:rPr>
        <w:t>• Health Care Administration</w:t>
      </w:r>
    </w:p>
    <w:p>
      <w:pPr>
        <w:spacing w:after="0" w:line="9" w:lineRule="exact"/>
        <w:rPr>
          <w:sz w:val="20"/>
          <w:szCs w:val="20"/>
          <w:color w:val="auto"/>
        </w:rPr>
      </w:pPr>
    </w:p>
    <w:p>
      <w:pPr>
        <w:ind w:left="1840" w:right="80" w:hanging="211"/>
        <w:spacing w:after="0" w:line="250" w:lineRule="auto"/>
        <w:tabs>
          <w:tab w:leader="none" w:pos="1729" w:val="left"/>
        </w:tabs>
        <w:numPr>
          <w:ilvl w:val="1"/>
          <w:numId w:val="8"/>
        </w:numPr>
        <w:rPr>
          <w:rFonts w:ascii="Arial" w:cs="Arial" w:eastAsia="Arial" w:hAnsi="Arial"/>
          <w:sz w:val="18"/>
          <w:szCs w:val="18"/>
          <w:color w:val="auto"/>
        </w:rPr>
      </w:pPr>
      <w:r>
        <w:rPr>
          <w:rFonts w:ascii="Arial" w:cs="Arial" w:eastAsia="Arial" w:hAnsi="Arial"/>
          <w:sz w:val="18"/>
          <w:szCs w:val="18"/>
          <w:color w:val="auto"/>
        </w:rPr>
        <w:t>Health Science: Professional Development and Advanced Patient Care</w:t>
      </w:r>
    </w:p>
    <w:p>
      <w:pPr>
        <w:ind w:left="1740" w:hanging="111"/>
        <w:spacing w:after="0"/>
        <w:tabs>
          <w:tab w:leader="none" w:pos="1740" w:val="left"/>
        </w:tabs>
        <w:numPr>
          <w:ilvl w:val="1"/>
          <w:numId w:val="8"/>
        </w:numPr>
        <w:rPr>
          <w:rFonts w:ascii="Arial" w:cs="Arial" w:eastAsia="Arial" w:hAnsi="Arial"/>
          <w:sz w:val="18"/>
          <w:szCs w:val="18"/>
          <w:color w:val="auto"/>
        </w:rPr>
      </w:pPr>
      <w:r>
        <w:rPr>
          <w:rFonts w:ascii="Arial" w:cs="Arial" w:eastAsia="Arial" w:hAnsi="Arial"/>
          <w:sz w:val="18"/>
          <w:szCs w:val="18"/>
          <w:color w:val="auto"/>
        </w:rPr>
        <w:t>Nursing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Indicates program is offered on ground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College of Theology</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Degree Program</w:t>
            </w:r>
          </w:p>
        </w:tc>
        <w:tc>
          <w:tcPr>
            <w:tcW w:w="3800" w:type="dxa"/>
            <w:vAlign w:val="bottom"/>
          </w:tcPr>
          <w:p>
            <w:pPr>
              <w:ind w:left="1620"/>
              <w:spacing w:after="0"/>
              <w:rPr>
                <w:sz w:val="20"/>
                <w:szCs w:val="20"/>
                <w:color w:val="auto"/>
              </w:rPr>
            </w:pPr>
            <w:r>
              <w:rPr>
                <w:rFonts w:ascii="Arial" w:cs="Arial" w:eastAsia="Arial" w:hAnsi="Arial"/>
                <w:sz w:val="14"/>
                <w:szCs w:val="14"/>
                <w:b w:val="1"/>
                <w:bCs w:val="1"/>
                <w:color w:val="auto"/>
              </w:rPr>
              <w:t>Emphasis</w:t>
            </w:r>
          </w:p>
        </w:tc>
      </w:tr>
      <w:tr>
        <w:trPr>
          <w:trHeight w:val="201"/>
        </w:trPr>
        <w:tc>
          <w:tcPr>
            <w:tcW w:w="20" w:type="dxa"/>
            <w:vAlign w:val="bottom"/>
          </w:tcPr>
          <w:p>
            <w:pPr>
              <w:spacing w:after="0"/>
              <w:rPr>
                <w:sz w:val="17"/>
                <w:szCs w:val="17"/>
                <w:color w:val="auto"/>
              </w:rPr>
            </w:pPr>
          </w:p>
        </w:tc>
        <w:tc>
          <w:tcPr>
            <w:tcW w:w="1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Master of Arts</w:t>
            </w:r>
          </w:p>
        </w:tc>
        <w:tc>
          <w:tcPr>
            <w:tcW w:w="100" w:type="dxa"/>
            <w:vAlign w:val="bottom"/>
          </w:tcPr>
          <w:p>
            <w:pPr>
              <w:spacing w:after="0"/>
              <w:rPr>
                <w:sz w:val="17"/>
                <w:szCs w:val="17"/>
                <w:color w:val="auto"/>
              </w:rPr>
            </w:pPr>
          </w:p>
        </w:tc>
        <w:tc>
          <w:tcPr>
            <w:tcW w:w="3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 Christian Studies — Christian Leadership</w:t>
            </w: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 Christian Studies — Pastoral Ministry</w:t>
            </w: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 Christian Studies — Urban Ministry</w:t>
            </w:r>
          </w:p>
        </w:tc>
      </w:tr>
      <w:tr>
        <w:trPr>
          <w:trHeight w:val="222"/>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 Christian Studies — Youth Ministry</w:t>
            </w:r>
          </w:p>
        </w:tc>
      </w:tr>
    </w:tbl>
    <w:p>
      <w:pPr>
        <w:spacing w:after="0" w:line="88"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Bachelor of Arts</w:t>
      </w:r>
      <w:r>
        <w:rPr>
          <w:sz w:val="20"/>
          <w:szCs w:val="20"/>
          <w:color w:val="auto"/>
        </w:rPr>
        <w:tab/>
      </w:r>
      <w:r>
        <w:rPr>
          <w:rFonts w:ascii="Arial" w:cs="Arial" w:eastAsia="Arial" w:hAnsi="Arial"/>
          <w:sz w:val="16"/>
          <w:szCs w:val="16"/>
          <w:color w:val="auto"/>
        </w:rPr>
        <w:t>• Christian Studies</w:t>
      </w:r>
    </w:p>
    <w:p>
      <w:pPr>
        <w:spacing w:after="0" w:line="15" w:lineRule="exact"/>
        <w:rPr>
          <w:sz w:val="20"/>
          <w:szCs w:val="20"/>
          <w:color w:val="auto"/>
        </w:rPr>
      </w:pPr>
    </w:p>
    <w:p>
      <w:pPr>
        <w:ind w:left="1740" w:hanging="115"/>
        <w:spacing w:after="0"/>
        <w:tabs>
          <w:tab w:leader="none" w:pos="1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Christian Studies – Biblical Studies</w:t>
      </w:r>
    </w:p>
    <w:p>
      <w:pPr>
        <w:spacing w:after="0" w:line="9" w:lineRule="exact"/>
        <w:rPr>
          <w:rFonts w:ascii="Arial" w:cs="Arial" w:eastAsia="Arial" w:hAnsi="Arial"/>
          <w:sz w:val="18"/>
          <w:szCs w:val="18"/>
          <w:color w:val="auto"/>
        </w:rPr>
      </w:pPr>
    </w:p>
    <w:p>
      <w:pPr>
        <w:ind w:left="1740" w:hanging="115"/>
        <w:spacing w:after="0"/>
        <w:tabs>
          <w:tab w:leader="none" w:pos="1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Christian Studies – Youth Ministry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Ken Blanchard College of Business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Ken Blanchard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MBA</w:t>
      </w:r>
    </w:p>
    <w:p>
      <w:pPr>
        <w:spacing w:after="0" w:line="15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Master of Business</w:t>
      </w:r>
      <w:r>
        <w:rPr>
          <w:sz w:val="20"/>
          <w:szCs w:val="20"/>
          <w:color w:val="auto"/>
        </w:rPr>
        <w:tab/>
      </w:r>
      <w:r>
        <w:rPr>
          <w:rFonts w:ascii="Arial" w:cs="Arial" w:eastAsia="Arial" w:hAnsi="Arial"/>
          <w:sz w:val="16"/>
          <w:szCs w:val="16"/>
          <w:color w:val="auto"/>
        </w:rPr>
        <w:t>• Accounting</w:t>
      </w:r>
    </w:p>
    <w:p>
      <w:pPr>
        <w:spacing w:after="0" w:line="1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Administration</w:t>
      </w:r>
      <w:r>
        <w:rPr>
          <w:sz w:val="20"/>
          <w:szCs w:val="20"/>
          <w:color w:val="auto"/>
        </w:rPr>
        <w:tab/>
      </w:r>
      <w:r>
        <w:rPr>
          <w:rFonts w:ascii="Arial" w:cs="Arial" w:eastAsia="Arial" w:hAnsi="Arial"/>
          <w:sz w:val="18"/>
          <w:szCs w:val="18"/>
          <w:color w:val="auto"/>
        </w:rPr>
        <w:t>• Finance</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Health Systems Management</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Leadership</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Marketing</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Strategic Human Resources Management</w:t>
      </w:r>
    </w:p>
    <w:p>
      <w:pPr>
        <w:spacing w:after="0" w:line="4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Master of Public</w:t>
      </w:r>
      <w:r>
        <w:rPr>
          <w:sz w:val="20"/>
          <w:szCs w:val="20"/>
          <w:color w:val="auto"/>
        </w:rPr>
        <w:tab/>
      </w:r>
      <w:r>
        <w:rPr>
          <w:rFonts w:ascii="Arial" w:cs="Arial" w:eastAsia="Arial" w:hAnsi="Arial"/>
          <w:sz w:val="16"/>
          <w:szCs w:val="16"/>
          <w:color w:val="auto"/>
        </w:rPr>
        <w:t>• Government and Policy</w:t>
      </w:r>
    </w:p>
    <w:p>
      <w:pPr>
        <w:spacing w:after="0" w:line="1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Administration</w:t>
      </w:r>
      <w:r>
        <w:rPr>
          <w:sz w:val="20"/>
          <w:szCs w:val="20"/>
          <w:color w:val="auto"/>
        </w:rPr>
        <w:tab/>
      </w:r>
      <w:r>
        <w:rPr>
          <w:rFonts w:ascii="Arial" w:cs="Arial" w:eastAsia="Arial" w:hAnsi="Arial"/>
          <w:sz w:val="18"/>
          <w:szCs w:val="18"/>
          <w:color w:val="auto"/>
        </w:rPr>
        <w:t>• Health Care Management</w:t>
      </w:r>
    </w:p>
    <w:p>
      <w:pPr>
        <w:spacing w:after="0" w:line="3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Master of Science</w:t>
      </w:r>
      <w:r>
        <w:rPr>
          <w:sz w:val="20"/>
          <w:szCs w:val="20"/>
          <w:color w:val="auto"/>
        </w:rPr>
        <w:tab/>
      </w:r>
      <w:r>
        <w:rPr>
          <w:rFonts w:ascii="Arial" w:cs="Arial" w:eastAsia="Arial" w:hAnsi="Arial"/>
          <w:sz w:val="16"/>
          <w:szCs w:val="16"/>
          <w:color w:val="auto"/>
        </w:rPr>
        <w:t>• Accounting</w:t>
      </w:r>
    </w:p>
    <w:p>
      <w:pPr>
        <w:spacing w:after="0" w:line="1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Leadership</w:t>
      </w:r>
    </w:p>
    <w:p>
      <w:pPr>
        <w:spacing w:after="0" w:line="9"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 Leadership — Disaster Preparedness &amp; Executive</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Fire Leadership</w:t>
      </w:r>
    </w:p>
    <w:p>
      <w:pPr>
        <w:spacing w:after="0" w:line="178"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Bachelor of Science</w:t>
      </w:r>
      <w:r>
        <w:rPr>
          <w:sz w:val="20"/>
          <w:szCs w:val="20"/>
          <w:color w:val="auto"/>
        </w:rPr>
        <w:tab/>
      </w:r>
      <w:r>
        <w:rPr>
          <w:rFonts w:ascii="Arial" w:cs="Arial" w:eastAsia="Arial" w:hAnsi="Arial"/>
          <w:sz w:val="16"/>
          <w:szCs w:val="16"/>
          <w:color w:val="auto"/>
        </w:rPr>
        <w:t>• Accounting</w:t>
      </w:r>
    </w:p>
    <w:p>
      <w:pPr>
        <w:spacing w:after="0" w:line="15" w:lineRule="exact"/>
        <w:rPr>
          <w:sz w:val="20"/>
          <w:szCs w:val="20"/>
          <w:color w:val="auto"/>
        </w:rPr>
      </w:pPr>
    </w:p>
    <w:p>
      <w:pPr>
        <w:ind w:left="1740" w:hanging="115"/>
        <w:spacing w:after="0"/>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Administration</w:t>
      </w:r>
    </w:p>
    <w:p>
      <w:pPr>
        <w:spacing w:after="0" w:line="9" w:lineRule="exact"/>
        <w:rPr>
          <w:rFonts w:ascii="Arial" w:cs="Arial" w:eastAsia="Arial" w:hAnsi="Arial"/>
          <w:sz w:val="18"/>
          <w:szCs w:val="18"/>
          <w:color w:val="auto"/>
        </w:rPr>
      </w:pPr>
    </w:p>
    <w:p>
      <w:pPr>
        <w:ind w:left="1740" w:hanging="115"/>
        <w:spacing w:after="0"/>
        <w:tabs>
          <w:tab w:leader="none" w:pos="1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Business Administration – Business Intelligence</w:t>
      </w:r>
    </w:p>
    <w:p>
      <w:pPr>
        <w:spacing w:after="0" w:line="32" w:lineRule="exact"/>
        <w:rPr>
          <w:rFonts w:ascii="Arial" w:cs="Arial" w:eastAsia="Arial" w:hAnsi="Arial"/>
          <w:sz w:val="16"/>
          <w:szCs w:val="16"/>
          <w:color w:val="auto"/>
        </w:rPr>
      </w:pPr>
    </w:p>
    <w:p>
      <w:pPr>
        <w:ind w:left="1740" w:hanging="115"/>
        <w:spacing w:after="0"/>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Business Management</w:t>
      </w:r>
    </w:p>
    <w:p>
      <w:pPr>
        <w:spacing w:after="0" w:line="9" w:lineRule="exact"/>
        <w:rPr>
          <w:rFonts w:ascii="Arial" w:cs="Arial" w:eastAsia="Arial" w:hAnsi="Arial"/>
          <w:sz w:val="18"/>
          <w:szCs w:val="18"/>
          <w:color w:val="auto"/>
        </w:rPr>
      </w:pPr>
    </w:p>
    <w:p>
      <w:pPr>
        <w:ind w:left="1740" w:hanging="115"/>
        <w:spacing w:after="0"/>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Entrepreneurial Studies</w:t>
      </w:r>
    </w:p>
    <w:p>
      <w:pPr>
        <w:spacing w:after="0" w:line="9" w:lineRule="exact"/>
        <w:rPr>
          <w:rFonts w:ascii="Arial" w:cs="Arial" w:eastAsia="Arial" w:hAnsi="Arial"/>
          <w:sz w:val="18"/>
          <w:szCs w:val="18"/>
          <w:color w:val="auto"/>
        </w:rPr>
      </w:pPr>
    </w:p>
    <w:p>
      <w:pPr>
        <w:ind w:left="1740" w:hanging="115"/>
        <w:spacing w:after="0"/>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Finance and Economics</w:t>
      </w:r>
    </w:p>
    <w:p>
      <w:pPr>
        <w:spacing w:after="0" w:line="9" w:lineRule="exact"/>
        <w:rPr>
          <w:rFonts w:ascii="Arial" w:cs="Arial" w:eastAsia="Arial" w:hAnsi="Arial"/>
          <w:sz w:val="18"/>
          <w:szCs w:val="18"/>
          <w:color w:val="auto"/>
        </w:rPr>
      </w:pPr>
    </w:p>
    <w:p>
      <w:pPr>
        <w:ind w:left="1740" w:hanging="115"/>
        <w:spacing w:after="0"/>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Marketing</w:t>
      </w:r>
    </w:p>
    <w:p>
      <w:pPr>
        <w:spacing w:after="0" w:line="9" w:lineRule="exact"/>
        <w:rPr>
          <w:rFonts w:ascii="Arial" w:cs="Arial" w:eastAsia="Arial" w:hAnsi="Arial"/>
          <w:sz w:val="18"/>
          <w:szCs w:val="18"/>
          <w:color w:val="auto"/>
        </w:rPr>
      </w:pPr>
    </w:p>
    <w:p>
      <w:pPr>
        <w:ind w:left="1740" w:hanging="115"/>
        <w:spacing w:after="0"/>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Safety and Emergency Management</w:t>
      </w:r>
    </w:p>
    <w:p>
      <w:pPr>
        <w:spacing w:after="0" w:line="9" w:lineRule="exact"/>
        <w:rPr>
          <w:rFonts w:ascii="Arial" w:cs="Arial" w:eastAsia="Arial" w:hAnsi="Arial"/>
          <w:sz w:val="18"/>
          <w:szCs w:val="18"/>
          <w:color w:val="auto"/>
        </w:rPr>
      </w:pPr>
    </w:p>
    <w:p>
      <w:pPr>
        <w:ind w:left="1740" w:hanging="115"/>
        <w:spacing w:after="0"/>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Safety Administration</w:t>
      </w:r>
    </w:p>
    <w:p>
      <w:pPr>
        <w:spacing w:after="0" w:line="9" w:lineRule="exact"/>
        <w:rPr>
          <w:rFonts w:ascii="Arial" w:cs="Arial" w:eastAsia="Arial" w:hAnsi="Arial"/>
          <w:sz w:val="18"/>
          <w:szCs w:val="18"/>
          <w:color w:val="auto"/>
        </w:rPr>
      </w:pPr>
    </w:p>
    <w:p>
      <w:pPr>
        <w:ind w:left="1740" w:hanging="115"/>
        <w:spacing w:after="0"/>
        <w:tabs>
          <w:tab w:leader="none" w:pos="1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Sports Management</w:t>
      </w:r>
    </w:p>
    <w:p>
      <w:pPr>
        <w:sectPr>
          <w:pgSz w:w="11900" w:h="16838" w:orient="portrait"/>
          <w:cols w:equalWidth="0" w:num="2">
            <w:col w:w="5880" w:space="120"/>
            <w:col w:w="5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established relationships with health-care systems, school districts, emergency-services providers, and other employers through which we offer programs onsite to provide flexibility and convenience to students and their employers. For example, for our nursing programs, we offer clinical courses onsite at hospitals and other health-care centers with which we have partnerships, and also arrange to allow these students to complete their clinical work onsite.</w:t>
      </w:r>
    </w:p>
    <w:p>
      <w:pPr>
        <w:spacing w:after="0" w:line="107"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We currently offer our ground-based programs to traditional students through three 16-week semesters in a calendar year and to online students in five, seven or eight week courses throughout the calendar year. Traditional students generally enroll in three or four courses per semester while online students typically concentrate on one course at a time. We require our online students to be actively engaged in their online student classroom at least three or four times each week, depending on the content and degree level of the class,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Program Development</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typically investigate market demand and review proposals developed by faculty, staff, students, alumni, or partners to aid us in the identification of potentially new degree programs or emphasis areas. We then perform an analysis of the consistency of the proposed program or emphasis with our mission, long-term demand, and development costs. If, following this analysis, the Business Development Committee decides to proceed with a new program, our college faculty and administrators approve subject-matter experts with whom our Curriculum Design and Development Team members, including instructional designers, curriculum developers, and editors, work to design the program so that it is consistent with our academically rigorous, professionally oriented program standards. The program is then reviewed by the dean of the applicable college, the Program Standards and Evaluation Committee, the Academic Affairs Committee, and finally, our Provost and Chief Academic Officer. Upon accreditation and regulatory approval, the subject matter experts develop course syllabi, and our Marketing Department creates a marketing plan to publicize the new program. Our average program development process is six months from proposal to course introduction. The development process is typically longer if we are expanding into a new field or offering a new level of degree.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Office of Assessment serves as our central resource for measuring learning outcomes and student satisfaction and driving systematically engineered and data-driven continuous-improvement cycles for updating our curricula. Among other things, the assessment team reviews student course satisfaction surveys; analyzes archived student assignments to assess whether a given program is developing students’ foundational knowledge, professional competencies, and skills to achieve the expected learning outcomes; and provides feedback as to program effectiveness. Based on this data and the conclusions of the assessment team, we modify programs as necessary to meet our student satisfaction and educational development standards.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Faculty</w:t>
      </w:r>
    </w:p>
    <w:p>
      <w:pPr>
        <w:spacing w:after="0" w:line="177"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Our faculty includes full-time faculty and adjunct faculty whom we employ to teach on a course-by-course basis for a specified fee. During our Fall 2012 semester, 52% of the seats on our ground traditional campus were taught by full-time faculty with the remaining seats taught by adjunct faculty. Our intention is that the percentage of seats taught by full-time faculty will increase to 70% of all seats by the Fall semester of 2014. In the fourth quarter of 2011, 20.6% of our students in online classes were taught by full-time faculty. This increased to 23.2% in the fourth quarter of 2012. The remaining courses are primarily taught by adjunct faculty. Our current faculty members hold at least a master’s degree in their respective fields and approximately 30% of our faculty members hold doctoral degrees.</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but not limited to, engaging our full-time faculty and other specialists to conduct peer reviews of our adjunct faculty, monitoring the amount of contact and the quality of feedback that faculty have with students in our online programs, reviewing student feedback, and evaluating the learning outcomes achieved by students. If we determine that a faculty member is not performing at the level that we require, we work with the faculty member to improve performance, including, among other things, assigning him or her a mentor or through other means. If the faculty member’s performance does not improve, we terminate the faculty member’s contract and employment.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Student Support Services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Encouraging students that enter Grand Canyon University to complete their degree programs is critical to the success of our business. We focus on developing and providing resources that simplify the student enrollment process, acclimate students to our programs and our online environment, support the student educational experience,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 xml:space="preserve">Academic services. </w:t>
      </w:r>
      <w:r>
        <w:rPr>
          <w:rFonts w:ascii="Arial" w:cs="Arial" w:eastAsia="Arial" w:hAnsi="Arial"/>
          <w:sz w:val="18"/>
          <w:szCs w:val="18"/>
          <w:color w:val="auto"/>
        </w:rPr>
        <w:t>We provide students with a variety of services designed to support their academic studies. Our Center for Learning and Advancement</w:t>
      </w:r>
      <w:r>
        <w:rPr>
          <w:rFonts w:ascii="Arial" w:cs="Arial" w:eastAsia="Arial" w:hAnsi="Arial"/>
          <w:sz w:val="18"/>
          <w:szCs w:val="18"/>
          <w:i w:val="1"/>
          <w:iCs w:val="1"/>
          <w:color w:val="auto"/>
        </w:rPr>
        <w:t xml:space="preserve"> </w:t>
      </w:r>
      <w:r>
        <w:rPr>
          <w:rFonts w:ascii="Arial" w:cs="Arial" w:eastAsia="Arial" w:hAnsi="Arial"/>
          <w:sz w:val="18"/>
          <w:szCs w:val="18"/>
          <w:color w:val="auto"/>
        </w:rPr>
        <w:t>offers research services, writing services, and other tutoring services.</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Administrative services. </w:t>
      </w:r>
      <w:r>
        <w:rPr>
          <w:rFonts w:ascii="Arial" w:cs="Arial" w:eastAsia="Arial" w:hAnsi="Arial"/>
          <w:sz w:val="18"/>
          <w:szCs w:val="18"/>
          <w:color w:val="auto"/>
        </w:rPr>
        <w:t>We provide students with the ability to access a variety of administrative services both telephonically and via the Internet.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students can register for classes, apply for financial aid, pay their tuition, and order their transcripts online. We believe this online accessibility provides the convenience and self-service capabilities that our students value. Our academic and finance counselors provide personalized online and telephonic support to our students.</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Library services. </w:t>
      </w:r>
      <w:r>
        <w:rPr>
          <w:rFonts w:ascii="Arial" w:cs="Arial" w:eastAsia="Arial" w:hAnsi="Arial"/>
          <w:sz w:val="18"/>
          <w:szCs w:val="18"/>
          <w:color w:val="auto"/>
        </w:rPr>
        <w:t>We provide a mix of online and ground resources, services, and instruction to support the educational and research endeavors of all</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faculty, and staff, including ground and online libraries and a qualified library staff that is available to help faculty and students with research, teaching, and library resource instruction. Collectively, our library services meet, or exceed, the requirements set by relevant accrediting bodies for us to offer undergraduate, master’s, and doctoral programs.</w:t>
      </w:r>
    </w:p>
    <w:p>
      <w:pPr>
        <w:spacing w:after="0" w:line="143" w:lineRule="exact"/>
        <w:rPr>
          <w:sz w:val="20"/>
          <w:szCs w:val="20"/>
          <w:color w:val="auto"/>
        </w:rPr>
      </w:pPr>
    </w:p>
    <w:p>
      <w:pPr>
        <w:ind w:right="280" w:firstLine="456"/>
        <w:spacing w:after="0" w:line="323" w:lineRule="auto"/>
        <w:rPr>
          <w:sz w:val="20"/>
          <w:szCs w:val="20"/>
          <w:color w:val="auto"/>
        </w:rPr>
      </w:pPr>
      <w:r>
        <w:rPr>
          <w:rFonts w:ascii="Arial" w:cs="Arial" w:eastAsia="Arial" w:hAnsi="Arial"/>
          <w:sz w:val="15"/>
          <w:szCs w:val="15"/>
          <w:i w:val="1"/>
          <w:iCs w:val="1"/>
          <w:color w:val="auto"/>
        </w:rPr>
        <w:t xml:space="preserve">Career services. </w:t>
      </w:r>
      <w:r>
        <w:rPr>
          <w:rFonts w:ascii="Arial" w:cs="Arial" w:eastAsia="Arial" w:hAnsi="Arial"/>
          <w:sz w:val="15"/>
          <w:szCs w:val="15"/>
          <w:color w:val="auto"/>
        </w:rPr>
        <w:t>For those students seeking to change careers or explore new career opportunities, we offer career services support, including resume</w:t>
      </w:r>
      <w:r>
        <w:rPr>
          <w:rFonts w:ascii="Arial" w:cs="Arial" w:eastAsia="Arial" w:hAnsi="Arial"/>
          <w:sz w:val="15"/>
          <w:szCs w:val="15"/>
          <w:i w:val="1"/>
          <w:iCs w:val="1"/>
          <w:color w:val="auto"/>
        </w:rPr>
        <w:t xml:space="preserve"> </w:t>
      </w:r>
      <w:r>
        <w:rPr>
          <w:rFonts w:ascii="Arial" w:cs="Arial" w:eastAsia="Arial" w:hAnsi="Arial"/>
          <w:sz w:val="15"/>
          <w:szCs w:val="15"/>
          <w:color w:val="auto"/>
        </w:rPr>
        <w:t>review and evaluation, 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pacing w:after="0" w:line="9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i w:val="1"/>
          <w:iCs w:val="1"/>
          <w:color w:val="auto"/>
        </w:rPr>
        <w:t xml:space="preserve">Technology support services. </w:t>
      </w:r>
      <w:r>
        <w:rPr>
          <w:rFonts w:ascii="Arial" w:cs="Arial" w:eastAsia="Arial" w:hAnsi="Arial"/>
          <w:sz w:val="16"/>
          <w:szCs w:val="16"/>
          <w:color w:val="auto"/>
        </w:rPr>
        <w:t>We provide online technical support 18 hours per day during the week and 17 hours per day on weekends to help our students</w:t>
      </w:r>
      <w:r>
        <w:rPr>
          <w:rFonts w:ascii="Arial" w:cs="Arial" w:eastAsia="Arial" w:hAnsi="Arial"/>
          <w:sz w:val="16"/>
          <w:szCs w:val="16"/>
          <w:i w:val="1"/>
          <w:iCs w:val="1"/>
          <w:color w:val="auto"/>
        </w:rPr>
        <w:t xml:space="preserve"> </w:t>
      </w:r>
      <w:r>
        <w:rPr>
          <w:rFonts w:ascii="Arial" w:cs="Arial" w:eastAsia="Arial" w:hAnsi="Arial"/>
          <w:sz w:val="16"/>
          <w:szCs w:val="16"/>
          <w:color w:val="auto"/>
        </w:rPr>
        <w:t>remedy technology-related issues. We also provide online tutorials and “Frequently Asked Questions” for students who are new to online coursework.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Recruitment, Admissions and Retention</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Marketing. </w:t>
      </w:r>
      <w:r>
        <w:rPr>
          <w:rFonts w:ascii="Arial" w:cs="Arial" w:eastAsia="Arial" w:hAnsi="Arial"/>
          <w:sz w:val="16"/>
          <w:szCs w:val="16"/>
          <w:color w:val="auto"/>
        </w:rPr>
        <w:t>We engage in a range of marketing activities designed to position us as a provider of academically rigorous, professionally relevant educational</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build strong brand recognition in our core disciplines, differentiate us from other educational providers, raise awareness among prospective students, generate enrollment inquiries, and stimulate student and alumni referrals. We target our online programs to working adults focused on program quality, convenience, and career advancement goals. We target our ground programs to traditional college students, working adults seeking a high quality education in a traditional college setting, and working adults seeking to take classes with a cohort onsite at our leased facilities or at their employer’s facility. In marketing our programs to prospective students, we emphasize the value of the educational experience and the academic rigor and professional relevancy of the programs, as well as the cost of the program. We believe this approach reinforces the qualities that we want associated with our brand and also attracts students who tend to be more persistent in starting and finishing their programs.</w:t>
      </w:r>
    </w:p>
    <w:p>
      <w:pPr>
        <w:spacing w:after="0" w:line="11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i w:val="1"/>
          <w:iCs w:val="1"/>
          <w:color w:val="auto"/>
        </w:rPr>
        <w:t xml:space="preserve">Recruitment. </w:t>
      </w:r>
      <w:r>
        <w:rPr>
          <w:rFonts w:ascii="Arial" w:cs="Arial" w:eastAsia="Arial" w:hAnsi="Arial"/>
          <w:sz w:val="15"/>
          <w:szCs w:val="15"/>
          <w:color w:val="auto"/>
        </w:rPr>
        <w:t>Once a prospective student has indicated an interest in enrolling in one of our programs, our lead management system identifies and directs an</w:t>
      </w:r>
      <w:r>
        <w:rPr>
          <w:rFonts w:ascii="Arial" w:cs="Arial" w:eastAsia="Arial" w:hAnsi="Arial"/>
          <w:sz w:val="15"/>
          <w:szCs w:val="15"/>
          <w:i w:val="1"/>
          <w:iCs w:val="1"/>
          <w:color w:val="auto"/>
        </w:rPr>
        <w:t xml:space="preserve"> </w:t>
      </w:r>
      <w:r>
        <w:rPr>
          <w:rFonts w:ascii="Arial" w:cs="Arial" w:eastAsia="Arial" w:hAnsi="Arial"/>
          <w:sz w:val="15"/>
          <w:szCs w:val="15"/>
          <w:color w:val="auto"/>
        </w:rPr>
        <w:t>enrollment counselor to initiate immediate communication. The enrollment counselor serves as the primary, direct contact for the prospective student and the counselor’s goal is to help that individual gain sufficient knowledge and understanding of our programs so that he or she can assess whether there is a good match between our offerings and the prospective student’s goals. Upon the prospective student’s submission of an application, the enrollment counselor, together with our student services personnel, works with the applicant to gain acceptance, arrange financial aid, if needed, register for courses, and prepare for matriculation.</w:t>
      </w:r>
    </w:p>
    <w:p>
      <w:pPr>
        <w:spacing w:after="0" w:line="10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Admissions. </w:t>
      </w:r>
      <w:r>
        <w:rPr>
          <w:rFonts w:ascii="Arial" w:cs="Arial" w:eastAsia="Arial" w:hAnsi="Arial"/>
          <w:sz w:val="16"/>
          <w:szCs w:val="16"/>
          <w:color w:val="auto"/>
        </w:rPr>
        <w:t>Admission to Grand Canyon University is available to qualified students who are at least 16 years of age. Undergraduate applicants may</w:t>
      </w:r>
      <w:r>
        <w:rPr>
          <w:rFonts w:ascii="Arial" w:cs="Arial" w:eastAsia="Arial" w:hAnsi="Arial"/>
          <w:sz w:val="16"/>
          <w:szCs w:val="16"/>
          <w:i w:val="1"/>
          <w:iCs w:val="1"/>
          <w:color w:val="auto"/>
        </w:rPr>
        <w:t xml:space="preserve"> </w:t>
      </w:r>
      <w:r>
        <w:rPr>
          <w:rFonts w:ascii="Arial" w:cs="Arial" w:eastAsia="Arial" w:hAnsi="Arial"/>
          <w:sz w:val="16"/>
          <w:szCs w:val="16"/>
          <w:color w:val="auto"/>
        </w:rPr>
        <w:t>qualify in various ways, including by having a high school diploma, certain minimum grade point average levels, a composite score of 920 or greater on the Scholastic Aptitude Test, a composite score of 19 or greater on the ACT test, or a passing cumulative score of 2,587 or greater on the General Education Development (GED) tests. Some of our programs require a higher grade point average and/or other criteria to qualify for admission. Applicants to our graduate programs must generally have an undergraduate degree from an accredited college, university, or program with a grade point average of 2.8 or greater, or a graduate degree from an accredited college, university, or program. In addition, some students who do not meet the qualifications for admission may be admitted at our discretion. A student being considered for such admission may be asked to submit additional information such as personal references and an essay addressing academic history. Students may also need to schedule an interview to help clarify academic goals and help us make an informed decision.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Retention. </w:t>
      </w:r>
      <w:r>
        <w:rPr>
          <w:rFonts w:ascii="Arial" w:cs="Arial" w:eastAsia="Arial" w:hAnsi="Arial"/>
          <w:sz w:val="16"/>
          <w:szCs w:val="16"/>
          <w:color w:val="auto"/>
        </w:rPr>
        <w:t>A key component in retaining our students is providing an outstanding learning experience. We feel that our team-based, proactive approach to</w:t>
      </w:r>
      <w:r>
        <w:rPr>
          <w:rFonts w:ascii="Arial" w:cs="Arial" w:eastAsia="Arial" w:hAnsi="Arial"/>
          <w:sz w:val="16"/>
          <w:szCs w:val="16"/>
          <w:i w:val="1"/>
          <w:iCs w:val="1"/>
          <w:color w:val="auto"/>
        </w:rPr>
        <w:t xml:space="preserve"> </w:t>
      </w:r>
      <w:r>
        <w:rPr>
          <w:rFonts w:ascii="Arial" w:cs="Arial" w:eastAsia="Arial" w:hAnsi="Arial"/>
          <w:sz w:val="16"/>
          <w:szCs w:val="16"/>
          <w:color w:val="auto"/>
        </w:rPr>
        <w:t>recruitment and enhanced student services results in increased retention due to our systematic approach to contacting students at key milestones during their enrollment, providing encouragement and highlighting their achievements. Our financial advisors proactively assist each student with the student’s selection of an appropriate payment option, and monitor the student’s progress and account balance to ensure a smooth financial aid experience and to help ensure our students are well prepared for the financial obligations they incur. Our academic advisors assist students with their academic schedules and regularly monitor “triggering events,” such as the failure to participate in the classroom or failure to matriculate in a timely manner, which signal that a student may be at-risk for dropping out. Upon identifying an at-risk student, academic advisors proactively interact with the student to resolve any issues and encourage the student to continue with his or her program. We have found that personally involving our employees in the student educational process, and proactively seeking to resolve issues before they become larger problems, can significantly increase retention rates among students. These frequent interactions between financial and academic advisors and students are a key component to our retention strategy.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Enrollment</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At December 31, 2012, we had 52,292 students enrolled in our courses, of which 44,690, or 85.5%, were enrolled in our online programs, and 7,602, or 14.5%, were enrolled in our ground programs. Of our students in online programs, which were geographically distributed throughout all 50 states of the United States, and Canada, and in professional studies programs, 90.5% were age 25 or older. Of our traditional on-campus students, 82.8% were under age 25 and, although we draw students from throughout the United States, a substantial majority were from Arizona.</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is a summary of our student enrollment at December 31, 2012 and December 31, 2011 (which included fewer than 700 students pursuing non-degree certificates) by degree type and by instructional delivery method:</w:t>
      </w:r>
    </w:p>
    <w:p>
      <w:pPr>
        <w:spacing w:after="0" w:line="76" w:lineRule="exact"/>
        <w:rPr>
          <w:sz w:val="20"/>
          <w:szCs w:val="20"/>
          <w:color w:val="auto"/>
        </w:rPr>
      </w:pPr>
    </w:p>
    <w:tbl>
      <w:tblPr>
        <w:tblLayout w:type="fixed"/>
        <w:tblInd w:w="920" w:type="dxa"/>
        <w:tblCellMar>
          <w:top w:w="0" w:type="dxa"/>
          <w:left w:w="0" w:type="dxa"/>
          <w:bottom w:w="0" w:type="dxa"/>
          <w:right w:w="0" w:type="dxa"/>
        </w:tblCellMar>
      </w:tblPr>
      <w:tr>
        <w:trPr>
          <w:trHeight w:val="253"/>
        </w:trPr>
        <w:tc>
          <w:tcPr>
            <w:tcW w:w="4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80" w:type="dxa"/>
            <w:vAlign w:val="bottom"/>
            <w:gridSpan w:val="5"/>
          </w:tcPr>
          <w:p>
            <w:pPr>
              <w:jc w:val="right"/>
              <w:ind w:right="1100"/>
              <w:spacing w:after="0"/>
              <w:rPr>
                <w:sz w:val="20"/>
                <w:szCs w:val="20"/>
                <w:color w:val="auto"/>
              </w:rPr>
            </w:pPr>
            <w:r>
              <w:rPr>
                <w:rFonts w:ascii="Arial" w:cs="Arial" w:eastAsia="Arial" w:hAnsi="Arial"/>
                <w:sz w:val="14"/>
                <w:szCs w:val="14"/>
                <w:b w:val="1"/>
                <w:bCs w:val="1"/>
                <w:color w:val="auto"/>
              </w:rPr>
              <w:t>December 31, 2012</w:t>
            </w:r>
            <w:r>
              <w:rPr>
                <w:rFonts w:ascii="Arial" w:cs="Arial" w:eastAsia="Arial" w:hAnsi="Arial"/>
                <w:sz w:val="22"/>
                <w:szCs w:val="22"/>
                <w:b w:val="1"/>
                <w:bCs w:val="1"/>
                <w:color w:val="auto"/>
                <w:vertAlign w:val="superscript"/>
              </w:rPr>
              <w:t>(1)</w:t>
            </w:r>
          </w:p>
        </w:tc>
        <w:tc>
          <w:tcPr>
            <w:tcW w:w="21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 2011</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 of Students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74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 xml:space="preserve">Graduate degree </w:t>
            </w:r>
            <w:r>
              <w:rPr>
                <w:rFonts w:ascii="Arial" w:cs="Arial" w:eastAsia="Arial" w:hAnsi="Arial"/>
                <w:sz w:val="11"/>
                <w:szCs w:val="11"/>
                <w:color w:val="auto"/>
              </w:rPr>
              <w:t>(2)</w:t>
            </w:r>
          </w:p>
        </w:tc>
        <w:tc>
          <w:tcPr>
            <w:tcW w:w="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0" w:type="dxa"/>
            <w:vAlign w:val="bottom"/>
            <w:tcBorders>
              <w:right w:val="single" w:sz="8" w:color="CCEEFF"/>
            </w:tcBorders>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shd w:val="clear" w:color="auto" w:fill="CCEEFF"/>
          </w:tcPr>
          <w:p>
            <w:pPr>
              <w:spacing w:after="0"/>
              <w:rPr>
                <w:sz w:val="18"/>
                <w:szCs w:val="18"/>
                <w:color w:val="auto"/>
              </w:rPr>
            </w:pPr>
          </w:p>
        </w:tc>
        <w:tc>
          <w:tcPr>
            <w:tcW w:w="4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3"/>
              </w:rPr>
              <w:t>19,395</w:t>
            </w:r>
          </w:p>
        </w:tc>
        <w:tc>
          <w:tcPr>
            <w:tcW w:w="600" w:type="dxa"/>
            <w:vAlign w:val="bottom"/>
            <w:tcBorders>
              <w:right w:val="single" w:sz="8" w:color="CCEEFF"/>
            </w:tcBorders>
            <w:vMerge w:val="continue"/>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17,175</w:t>
            </w:r>
          </w:p>
        </w:tc>
        <w:tc>
          <w:tcPr>
            <w:tcW w:w="60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Undergraduate degree</w:t>
            </w:r>
          </w:p>
        </w:tc>
        <w:tc>
          <w:tcPr>
            <w:tcW w:w="40" w:type="dxa"/>
            <w:vAlign w:val="bottom"/>
          </w:tcPr>
          <w:p>
            <w:pPr>
              <w:spacing w:after="0"/>
              <w:rPr>
                <w:sz w:val="18"/>
                <w:szCs w:val="18"/>
                <w:color w:val="auto"/>
              </w:rPr>
            </w:pPr>
          </w:p>
        </w:tc>
        <w:tc>
          <w:tcPr>
            <w:tcW w:w="1340" w:type="dxa"/>
            <w:vAlign w:val="bottom"/>
            <w:gridSpan w:val="3"/>
          </w:tcPr>
          <w:p>
            <w:pPr>
              <w:ind w:left="260"/>
              <w:spacing w:after="0"/>
              <w:rPr>
                <w:sz w:val="20"/>
                <w:szCs w:val="20"/>
                <w:color w:val="auto"/>
              </w:rPr>
            </w:pPr>
            <w:r>
              <w:rPr>
                <w:rFonts w:ascii="Arial" w:cs="Arial" w:eastAsia="Arial" w:hAnsi="Arial"/>
                <w:sz w:val="18"/>
                <w:szCs w:val="18"/>
                <w:color w:val="auto"/>
              </w:rPr>
              <w:t>32,897</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62.9%</w:t>
            </w: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26,742</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Borders>
              <w:lef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ind w:left="260"/>
              <w:spacing w:after="0"/>
              <w:rPr>
                <w:sz w:val="20"/>
                <w:szCs w:val="20"/>
                <w:color w:val="auto"/>
              </w:rPr>
            </w:pPr>
            <w:r>
              <w:rPr>
                <w:rFonts w:ascii="Arial" w:cs="Arial" w:eastAsia="Arial" w:hAnsi="Arial"/>
                <w:sz w:val="18"/>
                <w:szCs w:val="18"/>
                <w:color w:val="auto"/>
              </w:rPr>
              <w:t>52,292</w:t>
            </w:r>
          </w:p>
        </w:tc>
        <w:tc>
          <w:tcPr>
            <w:tcW w:w="1340" w:type="dxa"/>
            <w:vAlign w:val="bottom"/>
            <w:tcBorders>
              <w:right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43,917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80" w:type="dxa"/>
            <w:vAlign w:val="bottom"/>
            <w:gridSpan w:val="5"/>
          </w:tcPr>
          <w:p>
            <w:pPr>
              <w:jc w:val="right"/>
              <w:ind w:right="1120"/>
              <w:spacing w:after="0"/>
              <w:rPr>
                <w:sz w:val="20"/>
                <w:szCs w:val="20"/>
                <w:color w:val="auto"/>
              </w:rPr>
            </w:pPr>
            <w:r>
              <w:rPr>
                <w:rFonts w:ascii="Arial" w:cs="Arial" w:eastAsia="Arial" w:hAnsi="Arial"/>
                <w:sz w:val="14"/>
                <w:szCs w:val="14"/>
                <w:b w:val="1"/>
                <w:bCs w:val="1"/>
                <w:color w:val="auto"/>
              </w:rPr>
              <w:t>December 31, 2012</w:t>
            </w:r>
            <w:r>
              <w:rPr>
                <w:rFonts w:ascii="Arial" w:cs="Arial" w:eastAsia="Arial" w:hAnsi="Arial"/>
                <w:sz w:val="22"/>
                <w:szCs w:val="22"/>
                <w:b w:val="1"/>
                <w:bCs w:val="1"/>
                <w:color w:val="auto"/>
                <w:vertAlign w:val="superscript"/>
              </w:rPr>
              <w:t>(1)</w:t>
            </w:r>
          </w:p>
        </w:tc>
        <w:tc>
          <w:tcPr>
            <w:tcW w:w="21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 2011</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3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 of Students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 of Total</w:t>
            </w:r>
          </w:p>
        </w:tc>
        <w:tc>
          <w:tcPr>
            <w:tcW w:w="74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78"/>
              </w:rPr>
              <w:t># of Students</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1"/>
                <w:szCs w:val="11"/>
                <w:color w:val="auto"/>
              </w:rPr>
              <w:t>(3)</w:t>
            </w:r>
          </w:p>
        </w:tc>
        <w:tc>
          <w:tcPr>
            <w:tcW w:w="740" w:type="dxa"/>
            <w:vAlign w:val="bottom"/>
            <w:gridSpan w:val="2"/>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44,690</w:t>
            </w:r>
          </w:p>
        </w:tc>
        <w:tc>
          <w:tcPr>
            <w:tcW w:w="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85.5%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38,918</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 xml:space="preserve">Ground </w:t>
            </w:r>
            <w:r>
              <w:rPr>
                <w:rFonts w:ascii="Arial" w:cs="Arial" w:eastAsia="Arial" w:hAnsi="Arial"/>
                <w:sz w:val="11"/>
                <w:szCs w:val="11"/>
                <w:color w:val="auto"/>
              </w:rPr>
              <w:t>(4)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7,602</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14.5%</w:t>
            </w:r>
          </w:p>
        </w:tc>
        <w:tc>
          <w:tcPr>
            <w:tcW w:w="740" w:type="dxa"/>
            <w:vAlign w:val="bottom"/>
          </w:tcPr>
          <w:p>
            <w:pPr>
              <w:jc w:val="right"/>
              <w:spacing w:after="0"/>
              <w:rPr>
                <w:sz w:val="20"/>
                <w:szCs w:val="20"/>
                <w:color w:val="auto"/>
              </w:rPr>
            </w:pPr>
            <w:r>
              <w:rPr>
                <w:rFonts w:ascii="Arial" w:cs="Arial" w:eastAsia="Arial" w:hAnsi="Arial"/>
                <w:sz w:val="18"/>
                <w:szCs w:val="18"/>
                <w:color w:val="auto"/>
              </w:rPr>
              <w:t>4,999</w:t>
            </w:r>
          </w:p>
        </w:tc>
        <w:tc>
          <w:tcPr>
            <w:tcW w:w="6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52,292</w:t>
            </w:r>
          </w:p>
        </w:tc>
        <w:tc>
          <w:tcPr>
            <w:tcW w:w="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43,917</w:t>
            </w:r>
          </w:p>
        </w:tc>
        <w:tc>
          <w:tcPr>
            <w:tcW w:w="6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Enrollment at December 31, 2012 and 2011 represents individual students who attended a course during the last two months of the calendar quarter.</w:t>
      </w:r>
    </w:p>
    <w:p>
      <w:pPr>
        <w:spacing w:after="0" w:line="7" w:lineRule="exact"/>
        <w:rPr>
          <w:rFonts w:ascii="Arial" w:cs="Arial" w:eastAsia="Arial" w:hAnsi="Arial"/>
          <w:sz w:val="20"/>
          <w:szCs w:val="20"/>
          <w:color w:val="auto"/>
          <w:vertAlign w:val="superscript"/>
        </w:rPr>
      </w:pPr>
    </w:p>
    <w:p>
      <w:pPr>
        <w:ind w:left="460" w:hanging="452"/>
        <w:spacing w:after="0" w:line="197"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Includes 3,065 and 1,924 students pursuing doctoral degrees at December 31, 2012 and 2011, respectively.</w:t>
      </w:r>
    </w:p>
    <w:p>
      <w:pPr>
        <w:spacing w:after="0" w:line="8" w:lineRule="exact"/>
        <w:rPr>
          <w:rFonts w:ascii="Arial" w:cs="Arial" w:eastAsia="Arial" w:hAnsi="Arial"/>
          <w:sz w:val="22"/>
          <w:szCs w:val="22"/>
          <w:color w:val="auto"/>
          <w:vertAlign w:val="superscript"/>
        </w:rPr>
      </w:pPr>
    </w:p>
    <w:p>
      <w:pPr>
        <w:ind w:left="460" w:right="340" w:hanging="452"/>
        <w:spacing w:after="0" w:line="221"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As of December 31, 2012 and 2011, 41.9% and 42.8%, respectively, of our online and professional studies students were pursuing graduate or doctoral degrees.</w:t>
      </w:r>
    </w:p>
    <w:p>
      <w:pPr>
        <w:ind w:left="460" w:hanging="452"/>
        <w:spacing w:after="0" w:line="205" w:lineRule="auto"/>
        <w:tabs>
          <w:tab w:leader="none" w:pos="460" w:val="left"/>
        </w:tabs>
        <w:numPr>
          <w:ilvl w:val="0"/>
          <w:numId w:val="11"/>
        </w:numPr>
        <w:rPr>
          <w:rFonts w:ascii="Arial" w:cs="Arial" w:eastAsia="Arial" w:hAnsi="Arial"/>
          <w:sz w:val="22"/>
          <w:szCs w:val="22"/>
          <w:color w:val="auto"/>
          <w:vertAlign w:val="superscript"/>
        </w:rPr>
      </w:pPr>
      <w:r>
        <w:rPr>
          <w:rFonts w:ascii="Arial" w:cs="Arial" w:eastAsia="Arial" w:hAnsi="Arial"/>
          <w:sz w:val="18"/>
          <w:szCs w:val="18"/>
          <w:color w:val="auto"/>
        </w:rPr>
        <w:t>Includes our traditional on-campus students, as well as our professional studies students.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Tuition and Fees</w:t>
      </w:r>
    </w:p>
    <w:p>
      <w:pPr>
        <w:spacing w:after="0" w:line="96"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For the 2012-13 academic year (the academic year that began in May 2012), our prices per credit hour range from $350 to $465 for undergraduate online and professional studies courses, $495 to $600 for graduate online courses, $630 for doctoral online programs, and $688 for undergraduate courses for ground students. For our active duty and active reserve online and professional studies students, our prices per credit hour are $250 for undergraduate, $400 for graduate courses and $599 for doctoral courses. The overall price of each course varies based upon the number of credit hours per course (with most courses representing four credit hours), the degree level of the program, and the discipline. In addition, we charge a fixed $8,250 “block tuition” for undergraduate ground students taking between 12 and 18 credit hours per semester, with an additional $688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The doctoral program requires approximately 60 credit hours.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Based on current tuition rates, tuition for a full program would generally equate to between $17,340 and $24,480 for an online master’s program, between $42,000 and $55,800 for a full four-year online bachelor’s program, $37,800 and $39,700 for a full doctoral program, and approximately $66,000 for a full four-year bachelor’s program taken on our ground campus. The tuition amounts referred to above assume no reductions for transfer credits or scholarships, which many of our students utilize to reduce their total program costs. For the years ended December 31, 2012, 2011 and 2010, our revenue was reduced by approximately $94.3 million, $73.6 million and $55.8 million, respectively, as a result of scholarships that we offered to our students. The increase in scholarships reflects our increased revenues and our resulting increased use of scholarships (especially academic scholarships), to attract high performing students to our ground traditional campus.</w:t>
      </w:r>
    </w:p>
    <w:p>
      <w:pPr>
        <w:spacing w:after="0" w:line="14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have established a refund policy for tuition and fees based upon individual course start dates. Under our policy, for courses offered through a non-traditional modality, generally if a student drops or withdraws from a course before the course begins, 100% of the charges for tuition and fees are refunded. If a student drops or withdraws from a course during the first week of the course, 75% of the charges for tuition are refunded. If a student drops or withdraws from a course during or after the second week of a course, tuition charges and fees are not refunded. All fees, including materials fees, are non-refundable for non-traditional students after the start of a course. We will refund tuition and fees according to the above policy unless a student attending courses online is a resident of a state that requires us to comply with different, state specific guidelines. For traditional students attending 16-week courses, generally if a student withdraws before the course begins, 100% of the charges for tuition and fees are refunded. If a student withdraws during the first week of the course, 90% of the charges for tuition are refunded and instructional fees and ground campus-related fees are refunded. If a student drops or withdraws from a course during the second week of a course, 75% of the tuition charges are refunded but all fees are non-refundable. If a student drops during the third week of a course, 50% of the tuition charges are refunded and during or after the fourth week, there are no refunds for tuition charges. Fees charged by us include graduation fees as well as fees for access to certain educational resources such as online materials. This tuition and fees refund policy is different from, and applies in addition to, the return of Title IV funds policy we are required to follow as a condition of our participation in the Title IV programs.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Student Financing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students finance their education through a combination of methods, as follows: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Title IV programs. </w:t>
      </w:r>
      <w:r>
        <w:rPr>
          <w:rFonts w:ascii="Arial" w:cs="Arial" w:eastAsia="Arial" w:hAnsi="Arial"/>
          <w:sz w:val="18"/>
          <w:szCs w:val="18"/>
          <w:color w:val="auto"/>
        </w:rPr>
        <w:t>The federal government provides for grants and loans to students under the Title IV programs, and students can use those funds at any</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 that has been certified as eligible by the Department of Education. Student financial aid under the Title IV programs is primarily awarded on the basis of a student’s financial need, which is generally defined as the difference between the cost of attending the institution and the amount the student and the student’s family can reasonably contribute to that cost. All students receiving Title IV program funds must maintain satisfactory academic progress toward completion of their program of study. In addition, each school must ensure that Title IV program funds are properly accounted for and disbursed in the correct amounts to eligible students.</w:t>
      </w:r>
    </w:p>
    <w:p>
      <w:pPr>
        <w:spacing w:after="0" w:line="14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fiscal 2012 and 2011, we derived approximately 80.3% and 80.2%, respectively, of our net revenues (calculated on a cash basis in accordance with Department of Education standards currently in effect) from tuition financed under the Title IV programs. The primary Title IV programs that our students receive funding from are the Federal Direct Loan program or FDL Program, and the Federal Pell Grant, or Pell, Program.</w:t>
      </w:r>
    </w:p>
    <w:p>
      <w:pPr>
        <w:spacing w:after="0" w:line="10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Student loans administered through the FDL Program are currently the most significant source of U.S. federal student aid. There are two types of federal student loans: subsidized loans, which are based on the U.S. federal statutory calculation of student need, and unsubsidized loans, which are not need-based. Neither type of student loan is based on creditworthiness although annual and aggregate loan limits apply based on a student’s grade level. Students are not responsible for interest on subsidized loans while the student is enrolled in school. Students are responsible for the interest on unsubsidized loans while enrolled in school, but have the option to defer payment while enrolled. Repayment on federal student loans begins six months after the date the student ceases to be enrolled. The loans are repayable over the course of 10 years and, in some cases, longer. Both graduate and undergraduate students are eligible for loans. During 2012, federal student loans (both subsidized and unsubsidized) represented approximately 84.6% of the gross Title IV funds that we received.</w:t>
      </w:r>
    </w:p>
    <w:p>
      <w:pPr>
        <w:spacing w:after="0" w:line="118"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Grants under the Pell Program (Pell Grants) are awarded based on need and only to undergraduate students who have not earned a bachelor’s or professional degree. Unlike loans, Pell Grants are not repayable. During fiscal year 2012, Pell Grants represented approximately 14.1% of the gross Title IV funds that we received. The eligibility requirements for, and the maximum amount available under, Pell Grants increased in 2010, but did not increase in 2011 over</w:t>
      </w:r>
    </w:p>
    <w:p>
      <w:pPr>
        <w:spacing w:after="0" w:line="1"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2010 levels. For the 2012-2013 award year, the maximum amount available under Pell Grants was maintained but the maximum income that makes an applicant for Title IV Program funds eligible for an automatic zero Expected Family Contribution was reduced from $32,000 to $23,000.</w:t>
      </w:r>
    </w:p>
    <w:p>
      <w:pPr>
        <w:spacing w:after="0" w:line="93"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Our students also receive funding under other Title IV programs, including the Federal Perkins Loan Program, the Federal Supplemental Educational Opportunity Grant Program, the Federal Work-Study Program, the National Science and Mathematics Access to Retain Talent Grant Program, the Academic Competitiveness Grant Program, and the Teacher Education Assistance for College and Higher Education Grant Program.</w:t>
      </w:r>
    </w:p>
    <w:p>
      <w:pPr>
        <w:spacing w:after="0" w:line="107"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 xml:space="preserve">Other financial aid programs. </w:t>
      </w:r>
      <w:r>
        <w:rPr>
          <w:rFonts w:ascii="Arial" w:cs="Arial" w:eastAsia="Arial" w:hAnsi="Arial"/>
          <w:sz w:val="16"/>
          <w:szCs w:val="16"/>
          <w:color w:val="auto"/>
        </w:rPr>
        <w:t>In addition to the Title IV programs listed above, eligible students may participate in several other financial aid programs or</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support from other governmental sources. These include veterans educational benefits administered by the U.S. Department of Veterans Affairs and state financial aid programs. During fiscal 2012 and 2011, we derived an immaterial amount of our net revenue from tuition financed by such programs.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i w:val="1"/>
          <w:iCs w:val="1"/>
          <w:color w:val="auto"/>
        </w:rPr>
        <w:t xml:space="preserve">Private loans. </w:t>
      </w:r>
      <w:r>
        <w:rPr>
          <w:rFonts w:ascii="Arial" w:cs="Arial" w:eastAsia="Arial" w:hAnsi="Arial"/>
          <w:sz w:val="15"/>
          <w:szCs w:val="15"/>
          <w:color w:val="auto"/>
        </w:rPr>
        <w:t>Some of our students also use private loan programs to help finance their education. Students can apply to a number of different lenders for</w:t>
      </w:r>
      <w:r>
        <w:rPr>
          <w:rFonts w:ascii="Arial" w:cs="Arial" w:eastAsia="Arial" w:hAnsi="Arial"/>
          <w:sz w:val="15"/>
          <w:szCs w:val="15"/>
          <w:i w:val="1"/>
          <w:iCs w:val="1"/>
          <w:color w:val="auto"/>
        </w:rPr>
        <w:t xml:space="preserve"> </w:t>
      </w:r>
      <w:r>
        <w:rPr>
          <w:rFonts w:ascii="Arial" w:cs="Arial" w:eastAsia="Arial" w:hAnsi="Arial"/>
          <w:sz w:val="15"/>
          <w:szCs w:val="15"/>
          <w:color w:val="auto"/>
        </w:rPr>
        <w:t>private loans at current market interest rates. Private loans are intended to fund a portion of students’ cost of education not covered by the Title IV programs and other financial aid. During fiscal 2012 and 2011, payments derived from private loans constituted less than 1% of our net revenues for each year, respectively.</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Other sources. </w:t>
      </w:r>
      <w:r>
        <w:rPr>
          <w:rFonts w:ascii="Arial" w:cs="Arial" w:eastAsia="Arial" w:hAnsi="Arial"/>
          <w:sz w:val="16"/>
          <w:szCs w:val="16"/>
          <w:color w:val="auto"/>
        </w:rPr>
        <w:t>We derived the remainder of our net revenue from tuition that is self-funded or attributable to employer tuition reimbursements.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Systems and Management</w:t>
      </w:r>
    </w:p>
    <w:p>
      <w:pPr>
        <w:spacing w:after="0" w:line="96"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We believe that we have established secure, reliable, scalable technology systems that provide a high quality online educational environment and that give us the capability to substantially grow our online and traditional programs and enrollment.</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 xml:space="preserve">Online course delivery and management. </w:t>
      </w:r>
      <w:r>
        <w:rPr>
          <w:rFonts w:ascii="Arial" w:cs="Arial" w:eastAsia="Arial" w:hAnsi="Arial"/>
          <w:sz w:val="16"/>
          <w:szCs w:val="16"/>
          <w:color w:val="auto"/>
        </w:rPr>
        <w:t>Historically, we have used the ANGEL Learning Management Suite as our online learning management system.</w:t>
      </w:r>
      <w:r>
        <w:rPr>
          <w:rFonts w:ascii="Arial" w:cs="Arial" w:eastAsia="Arial" w:hAnsi="Arial"/>
          <w:sz w:val="16"/>
          <w:szCs w:val="16"/>
          <w:i w:val="1"/>
          <w:iCs w:val="1"/>
          <w:color w:val="auto"/>
        </w:rPr>
        <w:t xml:space="preserve"> </w:t>
      </w:r>
      <w:r>
        <w:rPr>
          <w:rFonts w:ascii="Arial" w:cs="Arial" w:eastAsia="Arial" w:hAnsi="Arial"/>
          <w:sz w:val="16"/>
          <w:szCs w:val="16"/>
          <w:color w:val="auto"/>
        </w:rPr>
        <w:t>ANGEL is a web-based system and collaboration portal that stores, manages, and delivers course content; provides interactive communication between students and faculty; enables assignment uploading; and supplies online evaluation tools. The system also provides centralized administration features that support the implementation of policies for content format and in-classroom learning tools. During 2010, we entered into an agreement with an affiliated entity to develop a new learning management system for our use. Through this agreement, we prepaid perpetual license fees, acquired source code rights for the software developed, and prepaid maintenance and service fees for the first seven years of use, for an aggregate amount of $4.9 million. We began converting our students to this new learning management platform, called LoudCloud, in October of 2011. By August of 2012 all online nontraditional students had migrated to the LoudCloud platform. We anticipate the remaining ground students and cohorts will fully transition by August of 2013.</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 xml:space="preserve">Internal administration. </w:t>
      </w:r>
      <w:r>
        <w:rPr>
          <w:rFonts w:ascii="Arial" w:cs="Arial" w:eastAsia="Arial" w:hAnsi="Arial"/>
          <w:sz w:val="16"/>
          <w:szCs w:val="16"/>
          <w:color w:val="auto"/>
        </w:rPr>
        <w:t>We utilize a commercial customer relations management package to distribute, manage, track, and report on all interactions with</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prospective student leads as well as all active and inactive students. This package is scalable to capacity levels well in excess of current requirements. We also utilize a commercial software package to track Title IV funds, student records, grades, accounts receivable, and accounts payable.</w:t>
      </w:r>
    </w:p>
    <w:p>
      <w:pPr>
        <w:spacing w:after="0" w:line="107"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i w:val="1"/>
          <w:iCs w:val="1"/>
          <w:color w:val="auto"/>
        </w:rPr>
        <w:t xml:space="preserve">Infrastructure. </w:t>
      </w:r>
      <w:r>
        <w:rPr>
          <w:rFonts w:ascii="Arial" w:cs="Arial" w:eastAsia="Arial" w:hAnsi="Arial"/>
          <w:sz w:val="18"/>
          <w:szCs w:val="18"/>
          <w:color w:val="auto"/>
        </w:rPr>
        <w:t>We operate two data centers, one at our campus and one at another Phoenix-area location. All of our servers are networked and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redundant data backup. We manage our technology environment internally. Our wide area network uses fully redundant SONET ring technology to ensure maximum uptime, bandwidth capacity and network performance while allowing the flexibility needed to bring on additional data centers and remote sites as needed. Student access is load balanced for maximum performance. Real-time monitoring provides current system status across server, network, and storage components.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Ground Campus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own our ground campus, which is located on approximately 115 acres in the center of the Phoenix, Arizona metropolitan area, near downtown Phoenix. Our on-campus facilities currently consist of 5 classroom buildings, four lecture halls, a 300-seat theater, a 155,000-volume library, a media arts complex that provides communications students with audio and video equipment, a 55,000 square foot recreation center for both student-athletes and on-campus students, a 140,000 square foot/ 5,000 seat basketball and entertainment arena, a gymnasium, an activity center that contains a food court, a bowling alley and other student services, a student union, five dormitories, apartments, athletic facilities and a parking garage with 1,630 parking spaces. Additionally, we have several office buildings used for administration, including a recently renovated office complex adjacent to our campus. In 2013, in order to accommodate the continued growth of our traditional ground population, we expect to build two dormitories and to renovate our food service facilities and library.</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have 22 intercollegiate athletic teams that currently compete in Division II of the National Collegiate Athletic Association (“NCAA”). Our athletic facilities include the University Arena (a 5,000 seat venue for all men’s and women’s basketball games plus select other GCU athletic competitions, concerts, speakers and other events), and a competition/practice gymnasium, which accommodates basketball, volleyball, and wrestling competitive events. In addition, the University’s 55,000 square foot student recreation center has state of the art training facilities for our 400 student-athletes plus practice space and locker rooms for men’s and women’s basketball and wrestling. Our baseball, softball, track and field, soccer and lacrosse programs utilize on-campus practice and competition sites. Golf, tennis, cross-country and swimming programs utilize off-campus sites for practice and competition. We won the 2011-2012 Learfield Sports Directors Cup as the top overall NCAA Division II intercollegiate athletic program based on the combined success in all of the sports we competed in. In the 2011-2012 year, our men’s indoor track and field team won the NCAA Division II national championship and 16 of our sports teams advanced into NCAA postseason competition. Historically, our baseball program has produced 14 Major League Baseball players while the men’s basketball program has produced a pair of NBA players. Baseball, basketball, tennis and soccer have combined to produce nine National Association of Intercollegiate Athletics (“NAIA”) or NCAA National Championship teams in prior years. In November 2012, we accepted an invitation to become a member of the Division I Western Athletic Conference beginning with the 2013-2014 academic year, and in 2013 we will begin a four-year process to reclassify our NCAA membership from Division II to Division I. During the reclassification process we will be considered a Division I university and play full conference schedules but will be ineligible to compete for national championships which, for example, precludes us from playing in the end-of-year NCAA basketball tournament during that period of time.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our ground-based programs and traditional campus not only offer our ground students, faculty, and staff an opportunity to participate in a traditional college experience, but also provide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the mix of our online program with our traditional ground-based program with a greater than 60-year history and heritage differentiates us from other for-profit postsecondary education providers.</w:t>
      </w:r>
    </w:p>
    <w:p>
      <w:pPr>
        <w:spacing w:after="0" w:line="1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intend to continue to expand the size and enhance the profile and reputation of our ground campus by, among other things, adding faculty, expanding upon and modernizing our campus infrastructure and technological capabilities and, over the next several years, potentially adding additional locations in the Southwest United States to attract students who would like to participate in our traditional campus experience but do not want to relocate to Phoenix, Arizona. These activities may require significant capital expenditures.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addition to our faculty, as of December 31, 2012, we employed approximately 2,655 staff and administrative personnel in university services, academic advising and academic support, enrollment services, university administration, financial aid, information technology, human resources, corporate accounting, finance, and other administrative functions. None of our employees is a party to any collective bargaining or similar agreement with us. We consider our relationships with our employees to be good.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6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ground program competes with Arizona State University, Northern Arizona University, and the University of Arizona, the in-state public universities, as well as two-year colleges within the state community college system. Our ground program also competes with geographically proximate universities with similar religious heritages, including Azusa Pacific University, Baylor University, and Pepperdine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 including Capella University, University of Phoenix, and Walden University. In addition, many public and private schools, colleges, and universities, including major colleges and universities such as Arizona State University, offer online programs.</w:t>
      </w:r>
    </w:p>
    <w:p>
      <w:pPr>
        <w:spacing w:after="0" w:line="14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 superior to those in the for-profit sector. In addition, some of our competitors, including both traditional colleges and universities and other for-profit schools, have substantially greater name recognition and financial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competitive factors in the postsecondary education market include:</w:t>
      </w:r>
    </w:p>
    <w:p>
      <w:pPr>
        <w:spacing w:after="0" w:line="90" w:lineRule="exact"/>
        <w:rPr>
          <w:sz w:val="20"/>
          <w:szCs w:val="20"/>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professionally relevant and accredited program offerings;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types of degrees offered and the marketability of those degrees;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reputation, regulatory approvals, and compliance history of the school;</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convenient, flexible and dependable access to programs and classes;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qualified and experienced faculty;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quality of the ground campus facilities;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of student support services;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 of the program;</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marketing and selling effectiveness;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necessary to earn a degree.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own or are licensed to use various intellectual property rights, including copyrights, trademarks, service marks, trade secrets and domain names. We license the right to utilize the name of Ken Blanchard in connection with our business school and Executive MBA programs and the name of Jerry Colangelo in connection with our Colangelo School of Sports Business that we operate within the business school, and we have spent significant resources in related branding efforts. The license agreement with Ken Blanchard has a current term that expires on December 31, 2016 while the license agreement with Jerry Colangelo has a minimum term that runs through June 30, 2016. While such intellectual property rights are important to us, we do not believe that the loss of any individual property right or group of related rights would have a material adverse effect on our overall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Our Internet address is </w:t>
      </w:r>
      <w:r>
        <w:rPr>
          <w:rFonts w:ascii="Arial" w:cs="Arial" w:eastAsia="Arial" w:hAnsi="Arial"/>
          <w:sz w:val="16"/>
          <w:szCs w:val="16"/>
          <w:u w:val="single" w:color="auto"/>
          <w:color w:val="auto"/>
        </w:rPr>
        <w:t>www.gcu.edu</w:t>
      </w:r>
      <w:r>
        <w:rPr>
          <w:rFonts w:ascii="Arial" w:cs="Arial" w:eastAsia="Arial" w:hAnsi="Arial"/>
          <w:sz w:val="16"/>
          <w:szCs w:val="16"/>
          <w:color w:val="auto"/>
        </w:rPr>
        <w:t>. We make available free of charge on our website our Annual Report on Form 10-K, Quarterly Reports on Form 10-Q, Current Reports on Form 8-K,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(hereafter, the SEC). In addition, our earnings conference calls are web cast live via our website. In addition to visiting our website, you may read and copy any document we file with the SEC at the SEC’s Public Reference Room at 100 F. Street NE, Washington, D.C. 20549 or at www.sec.gov. Please call the SEC at 1-800-SEC-0330 for information on the Public Reference Room.</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athletics and financial condition.</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an institution of higher education that grants degrees and certificates, we are required to be authorized by appropriate state education authorities. These state education authorities also exercise regulatory oversight of our institution. In addition, in order to participate in the federal student financial aid programs,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operations are also subject to regulation by the Department of Education due to our participation in the federal student financial aid programs under Title IV of the Higher Education Act. Those Title IV programs include educational loans with below-market interest rates that are issued by the federal government under the Federal Direct Loan program (the “FDL Program”), as well as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116" w:lineRule="exact"/>
        <w:rPr>
          <w:sz w:val="20"/>
          <w:szCs w:val="20"/>
          <w:color w:val="auto"/>
        </w:rPr>
      </w:pPr>
    </w:p>
    <w:p>
      <w:pPr>
        <w:ind w:right="320" w:firstLine="456"/>
        <w:spacing w:after="0" w:line="335" w:lineRule="auto"/>
        <w:rPr>
          <w:sz w:val="20"/>
          <w:szCs w:val="20"/>
          <w:color w:val="auto"/>
        </w:rPr>
      </w:pPr>
      <w:r>
        <w:rPr>
          <w:rFonts w:ascii="Arial" w:cs="Arial" w:eastAsia="Arial" w:hAnsi="Arial"/>
          <w:sz w:val="15"/>
          <w:szCs w:val="15"/>
          <w:color w:val="auto"/>
        </w:rPr>
        <w:t>Our business activities are planned and implemented to comply with the standards of these regulatory agencies. We employ a Vice President of Student Financial Aid Compliance who is knowledgeable about regulatory matters relevant to student financial aid programs and our Chief Financial Officer, Chief Compliance Officer, and General Counsel also provide oversight designed to ensure that we meet the requirements of our regulated operating environment.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Education Licensure and Regulation</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are authorized to offer our educational programs by the Arizona State Board for Private Postsecondary Education, the regulatory agency governing private postsecondary educational institutions in the State of Arizona, where we are located. We do not presently have campuses in any states other than Arizona.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Our failure to comply with the requirements of the Arizona State Board for Private Postsecondary Education could result in us losing our authorization to offer our educational programs, which would cause us to lose our eligibility to participate in the Title IV programs and could force us to cease operations. Alternatively, the Arizona State Board for Private Postsecondary Education could restrict our ability to offer certain degree and non-degree programs.</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Most other states impose regulatory requirements on out-of-state educational institutions operating within their boundaries, such as those having a physical facility or conducting certain academic activities within the state.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w:t>
      </w:r>
    </w:p>
    <w:p>
      <w:pPr>
        <w:spacing w:after="0" w:line="12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Several states have sought to assert jurisdiction over educational institutions offering online degree programs that have no physical location or other presence in the state but that have some activity in the state, such as enrolling or offering educational services to students who reside in the state, employing faculty who reside in the state, or advertising to or recruiting prospective students in the state. In July 2012, the Department of Education announced that it will no longer enforce a requirement that distance education programs obtain permission to operate in every state in which they enroll at least one student, which it had adopted in 2010. The Department of Education’s announcement followed the U.S. Court of Appeals for the District of Columbia Circuit’s ruling that vacated the requirement on procedural grounds. While the Department of Education will no longer seek to enforce applicable state law requirements, educational institutions will still need permission to operate in their home states and have to comply with state laws on authorization. See “Regulation of Federal Student Financial Aid Programs — State authorization.” Because state regulatory requirements for online education vary among the states, are not well developed in many states, are imprecise or unclear in some states, and can change frequently, it is unclear how the new Department of Education regulation will be enforced and what impact it will have on us. New 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have determined that our activities in certain states constitute a presence requiring licensure or authorization under the requirements of the applicable state education agency in those states and we have obtained such licensure or authorization. In other states, we have obtained approvals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or authorization requirements of other states when appropriate to determine whether our activities in those states constitute a presence or otherwise require licensure or authorization by the applicable state education agencies. Because state regulatory requirements, including agency interpretations, can change frequently, and because we enroll students in all 50 states and the District of Columbia, we expect that state regulatory authorities in states where we are not currently licensed or authorized will request that we seek licensure or authorization in their states in the future. Although we believe that we will be able to comply with additional state licensing or authorization requirements that may arise or be asserted in the future, if we fail to comply with state licensing or authorization requirements for a state, or fail to obtain licenses or authorizations when required, we could lose our state license or authorization by that state or be subject to other sanctions, including restrictions on our activities in, and fines and penalties imposed by, that state, as well as fines, penalties, and sanctions imposed by the Department of Education. While we do not believe that any of the states in which we are currently licensed or authorized, other than Arizona, are individually material to our operations, the loss of licensure or authorization in any state could prohibit us from recruiting prospective students or offering services to current students in that state, which could significantly reduce our enrollments.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Professional Licensure</w:t>
      </w:r>
    </w:p>
    <w:p>
      <w:pPr>
        <w:spacing w:after="0" w:line="96"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Many states have specific requirements that an individual must satisfy in order to be licensed as a professional in specified fields, including fields such as education and healthcare.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26" w:lineRule="exact"/>
        <w:rPr>
          <w:sz w:val="20"/>
          <w:szCs w:val="20"/>
          <w:color w:val="auto"/>
        </w:rPr>
      </w:pPr>
    </w:p>
    <w:p>
      <w:pPr>
        <w:ind w:left="1480" w:hanging="567"/>
        <w:spacing w:after="0"/>
        <w:tabs>
          <w:tab w:leader="none" w:pos="1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whether the institution and the program were approved by the state in which the graduate seeks licensure, or by a professional association;</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program from which the student graduated meets all requirements for professional licensure in that state;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institution and the program are accredited and, if so, by what accrediting commissions;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the institution’s degrees are recognized by other states in which a student may seek to work.</w:t>
      </w:r>
    </w:p>
    <w:p>
      <w:pPr>
        <w:spacing w:after="0" w:line="17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College of Education is approved by the Arizona State Board of Education to offer Institutional Recommendations (credentials) for the certification of elementary, secondary, and special education teachers and school administrators. Our College of Nursing and Health Care Professions is approved by the Arizona State Board of Nursing for the Bachelor of Science in Nursing and Master of Science in Nursing degrees. Due to varying requirements for professional licensure and certification in states other than Arizona, we inform students of the risks associated with obtaining professional licensure or certification and that it is each student’s responsibility to determine what state, local or professional licensure and certification requirements are necessary in his or her individual state.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Accreditation</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been continuously accredited since 1968 by the Higher Learning Commission and its predecessor, each a regional accrediting commission recognized by the Department of Education. Our accreditation was reaffirmed in 2007 for a ten-year period, and the next scheduled comprehensive evaluation will be conducted in 2016-2017.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private non-profit, and proprietary colleges and universities in the states of Arizona, Arkansas, Colorado, Illinois, Indiana, Iowa, Kansas, Michigan, Minnesota, Missouri, Nebraska, New Mexico, North Dakota, Ohio, Oklahoma, South Dakota, West Virginia, Wisconsin, and Wyoming.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Federal Student Financial Aid Programs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(in our case, the Higher Learning Commission).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and changes its interpretations of existing laws and regulations, we cannot predict with certainty how the Title IV program requirements will be applied in all circumstances.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regulations and other factors relating to the Title IV programs that could adversely affect us include the following:</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Congressional action. </w:t>
      </w:r>
      <w:r>
        <w:rPr>
          <w:rFonts w:ascii="Arial" w:cs="Arial" w:eastAsia="Arial" w:hAnsi="Arial"/>
          <w:sz w:val="16"/>
          <w:szCs w:val="16"/>
          <w:color w:val="auto"/>
        </w:rPr>
        <w:t>Congress must reauthorize the Higher Education Act on a periodic basis, usually every five to six years, and the most recent</w:t>
      </w:r>
      <w:r>
        <w:rPr>
          <w:rFonts w:ascii="Arial" w:cs="Arial" w:eastAsia="Arial" w:hAnsi="Arial"/>
          <w:sz w:val="16"/>
          <w:szCs w:val="16"/>
          <w:i w:val="1"/>
          <w:iCs w:val="1"/>
          <w:color w:val="auto"/>
        </w:rPr>
        <w:t xml:space="preserve"> </w:t>
      </w:r>
      <w:r>
        <w:rPr>
          <w:rFonts w:ascii="Arial" w:cs="Arial" w:eastAsia="Arial" w:hAnsi="Arial"/>
          <w:sz w:val="16"/>
          <w:szCs w:val="16"/>
          <w:color w:val="auto"/>
        </w:rPr>
        <w:t>reauthorization occurred in August 2008. The reauthorized Higher Education Act reauthorized all of the Title IV programs in which we participate, but made numerous revisions to the requirements governing the Title IV programs, including provisions relating to student loan default rates and the formula for determining the maximum amount of revenue that institutions are permitted to derive from the Title IV programs. In addition, members of Congress periodically introduce legislation that would impact Title IV programs and our industry generally.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Recent significant Congressional activity has included the following:</w:t>
      </w:r>
    </w:p>
    <w:p>
      <w:pPr>
        <w:spacing w:after="0" w:line="90" w:lineRule="exact"/>
        <w:rPr>
          <w:sz w:val="20"/>
          <w:szCs w:val="20"/>
          <w:color w:val="auto"/>
        </w:rPr>
      </w:pPr>
    </w:p>
    <w:p>
      <w:pPr>
        <w:ind w:left="1480" w:hanging="567"/>
        <w:spacing w:after="0" w:line="289" w:lineRule="auto"/>
        <w:tabs>
          <w:tab w:leader="none" w:pos="1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June 2010, the U.S. Senate Committee on Health, Education, Labor and Pensions (“HELP Committee”) held the first in a series of hearings to examine the proprietary education sector. At a subsequent hearing in August 2010, the Government Accountability Office (“GAO”) presented a report of its review of various aspects of the proprietary sector, including recruitment practices and the degree to which proprietary institutions’ revenue is composed of Title IV funding. Following a two-year investigation that included six congressional hearings, three previous reports and broad document requests, on July 28, 2012, the HELP Committee, chaired by Sen. Tom Harkin, released a report entitled “For Profit Higher Education: The Failure to Safeguard the Federal Investment and Ensure Student Success.” The report advocates significant changes in the requirements governing participation by for profit educational institutions in Title IV student financial aid programs, including the following:</w:t>
      </w:r>
    </w:p>
    <w:p>
      <w:pPr>
        <w:spacing w:after="0" w:line="37" w:lineRule="exact"/>
        <w:rPr>
          <w:rFonts w:ascii="Arial" w:cs="Arial" w:eastAsia="Arial" w:hAnsi="Arial"/>
          <w:sz w:val="16"/>
          <w:szCs w:val="16"/>
          <w:color w:val="auto"/>
        </w:rPr>
      </w:pPr>
    </w:p>
    <w:p>
      <w:pPr>
        <w:ind w:left="2160" w:hanging="329"/>
        <w:spacing w:after="0"/>
        <w:tabs>
          <w:tab w:leader="none" w:pos="2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Tie access to federal aid to meeting minimum student outcome thresholds;</w:t>
      </w:r>
    </w:p>
    <w:p>
      <w:pPr>
        <w:spacing w:after="0" w:line="90" w:lineRule="exact"/>
        <w:rPr>
          <w:rFonts w:ascii="Arial" w:cs="Arial" w:eastAsia="Arial" w:hAnsi="Arial"/>
          <w:sz w:val="18"/>
          <w:szCs w:val="18"/>
          <w:color w:val="auto"/>
        </w:rPr>
      </w:pPr>
    </w:p>
    <w:p>
      <w:pPr>
        <w:ind w:left="2160" w:hanging="329"/>
        <w:spacing w:after="0"/>
        <w:tabs>
          <w:tab w:leader="none" w:pos="2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Prohibit institutions from funding marketing, advertising and recruiting activities with federal financial aid dollars;</w:t>
      </w:r>
    </w:p>
    <w:p>
      <w:pPr>
        <w:spacing w:after="0" w:line="90" w:lineRule="exact"/>
        <w:rPr>
          <w:rFonts w:ascii="Arial" w:cs="Arial" w:eastAsia="Arial" w:hAnsi="Arial"/>
          <w:sz w:val="18"/>
          <w:szCs w:val="18"/>
          <w:color w:val="auto"/>
        </w:rPr>
      </w:pPr>
    </w:p>
    <w:p>
      <w:pPr>
        <w:ind w:left="2160" w:hanging="329"/>
        <w:spacing w:after="0"/>
        <w:tabs>
          <w:tab w:leader="none" w:pos="2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Improve cohort default rate tracking by expanding the default reporting rate period beyond 3 years;</w:t>
      </w:r>
    </w:p>
    <w:p>
      <w:pPr>
        <w:spacing w:after="0" w:line="90" w:lineRule="exact"/>
        <w:rPr>
          <w:rFonts w:ascii="Arial" w:cs="Arial" w:eastAsia="Arial" w:hAnsi="Arial"/>
          <w:sz w:val="18"/>
          <w:szCs w:val="18"/>
          <w:color w:val="auto"/>
        </w:rPr>
      </w:pPr>
    </w:p>
    <w:p>
      <w:pPr>
        <w:ind w:left="2160" w:hanging="329"/>
        <w:spacing w:after="0"/>
        <w:tabs>
          <w:tab w:leader="none" w:pos="2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Require that proprietary colleges receive at least 15 percent of revenues from sources other than federal funds; and</w:t>
      </w:r>
    </w:p>
    <w:p>
      <w:pPr>
        <w:spacing w:after="0" w:line="90" w:lineRule="exact"/>
        <w:rPr>
          <w:rFonts w:ascii="Arial" w:cs="Arial" w:eastAsia="Arial" w:hAnsi="Arial"/>
          <w:sz w:val="18"/>
          <w:szCs w:val="18"/>
          <w:color w:val="auto"/>
        </w:rPr>
      </w:pPr>
    </w:p>
    <w:p>
      <w:pPr>
        <w:ind w:left="2160" w:hanging="329"/>
        <w:spacing w:after="0"/>
        <w:tabs>
          <w:tab w:leader="none" w:pos="21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Use criteria beyond accreditation and state authorization for determining institutions’ access to federal financial aid.</w:t>
      </w:r>
    </w:p>
    <w:p>
      <w:pPr>
        <w:spacing w:after="0" w:line="90" w:lineRule="exact"/>
        <w:rPr>
          <w:rFonts w:ascii="Arial" w:cs="Arial" w:eastAsia="Arial" w:hAnsi="Arial"/>
          <w:sz w:val="18"/>
          <w:szCs w:val="18"/>
          <w:color w:val="auto"/>
        </w:rPr>
      </w:pPr>
    </w:p>
    <w:p>
      <w:pPr>
        <w:ind w:left="1480" w:right="100" w:hanging="567"/>
        <w:spacing w:after="0" w:line="291" w:lineRule="auto"/>
        <w:tabs>
          <w:tab w:leader="none" w:pos="1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September 22, 2011, Sen. Tom Carper, the Chairman of the Senate Homeland Security and Government Affairs Subcommittee on Federal Financial Management, Government Information, Federal Services and International Security, held a hearing on “Improving Educational Outcomes for Our Military and Veterans,” focusing on the quality of education for the military and veterans population and the treatment of such funding for purposes of the 90/10 Rule calculation that, if enacted, would adversely impact our 90/10 Rule percentage. Sen. Carper suggested a follow-up roundtable discussion. Other Congressional hearings or roundtable discussions are expected to be held regarding various aspects of the education industry that may affect our business.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10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reauthorization of the Higher Education Act in 2008 and final regulations thereunder issued by the Department of Education that became effective July 1, 2010 require accreditors to monitor the growth of programs at institutions that are experiencing significant enrollment growth. The Higher Learning Commission requires all affiliated institutions to complete an annual data report. If the non-financial data, particularly enrollment information, and any other information submitted by the institution indicate problems, rapid change, or significant growth, the Higher Learning Commission staff may require that the institution address any concerns arising from the data report in the next self-study and visit process. The Higher Learning Commission staff may also recommend that its Institutional Actions Council require additional monitoring. In addition, regulations issued by the Department of Education require the Higher Learning Commission to notify the Department of Education if an institution it accredits that offers distance learning programs experiences an increase in its headcount enrollment of 50% or more in any fiscal year, and the Department of Education may consider that information in connection with its own regulatory oversight activities.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to institutional accreditation by the Higher Learning Commission,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 agencies. In addition to being institutionally accredited by the Higher Learning Commission, we also have the following specialized accreditations:</w:t>
      </w:r>
    </w:p>
    <w:p>
      <w:pPr>
        <w:spacing w:after="0" w:line="32" w:lineRule="exact"/>
        <w:rPr>
          <w:sz w:val="20"/>
          <w:szCs w:val="20"/>
          <w:color w:val="auto"/>
        </w:rPr>
      </w:pPr>
    </w:p>
    <w:p>
      <w:pPr>
        <w:jc w:val="both"/>
        <w:ind w:left="1480" w:right="160" w:hanging="567"/>
        <w:spacing w:after="0" w:line="259"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Association of Collegiate Business Schools and Programs accredits our Executive Master of Business Administration degree program, Master of Business Administration degree program and our Bachelor of Science degree programs in Accounting, Business Administration, Marketing, and Entrepreneurship;</w:t>
      </w:r>
    </w:p>
    <w:p>
      <w:pPr>
        <w:spacing w:after="0" w:line="59" w:lineRule="exact"/>
        <w:rPr>
          <w:rFonts w:ascii="Arial" w:cs="Arial" w:eastAsia="Arial" w:hAnsi="Arial"/>
          <w:sz w:val="18"/>
          <w:szCs w:val="18"/>
          <w:color w:val="auto"/>
        </w:rPr>
      </w:pPr>
    </w:p>
    <w:p>
      <w:pPr>
        <w:ind w:left="1480" w:right="260" w:hanging="567"/>
        <w:spacing w:after="0" w:line="268" w:lineRule="auto"/>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Commission on Collegiate Nursing Education accredits our Bachelor of Science in Nursing and Master of Science in Nursing degree programs;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Commission on Accreditation of Athletic Training Education accredits our Athletic Training Program.</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If we fail to satisfy the standards of any of these specialized accrediting commissions, we could lose the specialized accreditation for the affected programs, which could result in materially reduced student enrollments in those programs and prevent our students from seeking and obtaining appropriate licensure in their fields.</w:t>
      </w:r>
    </w:p>
    <w:p>
      <w:pPr>
        <w:spacing w:after="0" w:line="14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On July 31, 2012, we announced that, among other leadership changes, our Board of Directors had appointed Mr. Brian E. Mueller, our Chief Executive Officer, to the additional position of President of Grand Canyon University, effective September 1, 2012, replacing Dr. Kathy Player, who, effective September 1, 2012, had resigned to accept the position of Associate Provost. In accordance with the Higher Learning Commission’s rules, we promptly notified the Higher Learning Commission of these changes. In response to a request from the Higher Learning Commission thereafter, we provided the Higher Learning Commission with information related to the Grand Canyon University academic governance structure, including copies of our corporate documents, the bylaws governing Grand Canyon University’s Board of Trustees, organizational charts and information about the individuals comprising our Board of Directors and the Board of Trustees of Grand Canyon University. In November 2012, the Higher Learning Commission notified us that the manner in which the Board of Trustees of Grand Canyon University was structured relative to our corporate Board of Directors may not comply with new Higher Learning Commission policies scheduled to take effect on January 1, 2013 that require a board of trustees to have a certain degree of independence and autonomy in its oversight of the financial and academic affairs of an accredited institution. In response to this notice, we reviewed the Higher Learning Commission’s new accreditation policies as they relate to the independence and autonomy of the Board of Trustees of Grand Canyon University, revised and updated the bylaws governing the Board of Trustees in a manner which we believe complies with the new accreditation policies, implemented these new bylaws effective as of January 1, 2013, and provided a copy of the new bylaws to the Higher Learning Commission. At this point, we believe we are in compliance with the Higher Learning Commission’s policies on institutional control and are not aware of any further issues that the Higher Learning Commission may have.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500" w:hanging="567"/>
        <w:spacing w:after="0" w:line="259"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December 12, 2011, Rep. Elijah Cummings, the ranking member of the House Committee on Oversight and Government Reform requested certain information from the publicly traded proprietary schools, including us, related to the compensation of our executives (substantially all of which was already publicly available).</w:t>
      </w:r>
    </w:p>
    <w:p>
      <w:pPr>
        <w:spacing w:after="0" w:line="59" w:lineRule="exact"/>
        <w:rPr>
          <w:rFonts w:ascii="Arial" w:cs="Arial" w:eastAsia="Arial" w:hAnsi="Arial"/>
          <w:sz w:val="18"/>
          <w:szCs w:val="18"/>
          <w:color w:val="auto"/>
        </w:rPr>
      </w:pPr>
    </w:p>
    <w:p>
      <w:pPr>
        <w:ind w:left="1480" w:right="80" w:hanging="567"/>
        <w:spacing w:after="0" w:line="259" w:lineRule="auto"/>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January 22, 2012, Sen. Richard Durbin of Illinois introduced a bill that would change the 90/10 Rule (discussed below) to an 85/15 rule and require that colleges count GI Bill benefits, military tuition assistance, and several other sources of federal funds as student financial aid (the “Durbin bill”).</w:t>
      </w:r>
    </w:p>
    <w:p>
      <w:pPr>
        <w:spacing w:after="0" w:line="59" w:lineRule="exact"/>
        <w:rPr>
          <w:rFonts w:ascii="Arial" w:cs="Arial" w:eastAsia="Arial" w:hAnsi="Arial"/>
          <w:sz w:val="18"/>
          <w:szCs w:val="18"/>
          <w:color w:val="auto"/>
        </w:rPr>
      </w:pPr>
    </w:p>
    <w:p>
      <w:pPr>
        <w:ind w:left="1480" w:hanging="567"/>
        <w:spacing w:after="0" w:line="288" w:lineRule="auto"/>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April 2012, President Obama signed an Executive Order directing the Departments of Defense, Veteran Affairs and Education to establish “Principles of Excellence” (Principles), based on certain guidelines set forth in the Executive Order, to apply to educational institutions receiving federal funding that serve service members, veterans and family members. The Departments of Defense, Veteran Affairs and Education continue to implement the Principles. On May 31, 2012, the Department of Veterans Affairs (“VA”) distributed a letter requesting that institutions confirm in writing their intent to comply or not comply with respect to the Principles. We confirmed in writing that we will comply with the Principles. On July 13, 2012, the Department of Education issued guidance regarding implementation of certain requirements of the Executive Order, in the form of a Dear Colleague Letter to institutions that endorse the Principles. These Principles could increase the cost of delivering educational services to our military and veteran students. We will continue to monitor the progress of this activity.</w:t>
      </w:r>
    </w:p>
    <w:p>
      <w:pPr>
        <w:spacing w:after="0" w:line="38" w:lineRule="exact"/>
        <w:rPr>
          <w:rFonts w:ascii="Arial" w:cs="Arial" w:eastAsia="Arial" w:hAnsi="Arial"/>
          <w:sz w:val="16"/>
          <w:szCs w:val="16"/>
          <w:color w:val="auto"/>
        </w:rPr>
      </w:pPr>
    </w:p>
    <w:p>
      <w:pPr>
        <w:ind w:left="1480" w:right="80" w:hanging="567"/>
        <w:spacing w:after="0" w:line="287" w:lineRule="auto"/>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July 6, 2012, the Moving Ahead for Progress in the 21st Century Act was signed into law and included provisions to temporarily freeze the interest rate on subsidized Stafford loans at 3.4% through June 30, 2013 and to change eligibility rules for subsidized student loans. New borrowers on or after July 1, 2013 will not be eligible for new subsidized student loans if the period during which the borrower has received such loans exceeds 150% of the published length of the borrower’s educational program. In April 2011, Congress permanently eliminated year-round Pell Grant awards beginning with the 2011-2012 award year as part of the fiscal year 2011 Continuing Resolution spending bill. We believe this change, which did not reduce the maximum annual grant level, will have only a nominal impact on our business. However, because the Pell Grant program is one of the largest non-defense discretionary spending programs in the federal budget, it is a target for reduction as Congress addresses the budget deficits. A reduction in the maximum annual Pell Grant amount or changes in eligibility could result in increased student borrowing, which would make more difficult our ability to comply with other important regulatory requirements, such as the cohort default rate regulations, which are discussed below, and could negatively impact enrollment.</w:t>
      </w:r>
    </w:p>
    <w:p>
      <w:pPr>
        <w:spacing w:after="0" w:line="41" w:lineRule="exact"/>
        <w:rPr>
          <w:rFonts w:ascii="Arial" w:cs="Arial" w:eastAsia="Arial" w:hAnsi="Arial"/>
          <w:sz w:val="16"/>
          <w:szCs w:val="16"/>
          <w:color w:val="auto"/>
        </w:rPr>
      </w:pPr>
    </w:p>
    <w:p>
      <w:pPr>
        <w:ind w:left="1480" w:hanging="567"/>
        <w:spacing w:after="0" w:line="286" w:lineRule="auto"/>
        <w:tabs>
          <w:tab w:leader="none" w:pos="1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August 2011, President Obama signed into law the Budget Control Act of 2011, which provided for an increase in the federal government borrowing limit and spending reductions in two phases. The first phase imposed various spending cuts, including the elimination of the partial in-school interest subsidy for graduate student loans as of July 1, 2012. The cost of borrowing has increased for graduate students who defer payment of interest while enrolled, which could adversely impact enrollment. Also, effective July 1, 2012, Congress eliminated Pell Grants for students without a high school diploma or G.E.D., but who have demonstrated an ability to benefit from postsecondary education. In December 2011, Congress passed the federal fiscal year 2012 budget, which included the nine remaining appropriations bills needed to fund the federal government for the remainder of the 2012 federal fiscal year. The Consolidated Appropriations Act of 2012 (Appropriations Act), which President Obama signed on December 23, 2011, included award year 2012-2013 funding levels for Title IV Programs and maintained a $5,550 maximum Federal Pell Grant for the 2012-2013 award year by cutting spending on the other student aid programs and placing new restrictions on eligibility. Additionally, the Appropriations Act reduced the maximum income that makes an applicant for Title IV Program funds eligible for an automatic zero Expected Family Contribution from $32,000 to $23,000. This will reduce the number of students eligible for the maximum Federal Pell Grant. Furthermore, the Appropriations Act eliminated the automatic 10% Pell Grant award for students whose calculated award is at least 5% of the maximum Pell Grant but less than 10%.</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confluence of the increasing scrutiny by Congress of the proprietary education sector and the Congressional focus on the U.S. budget deficit increases the likelihood of legislation, whether based on the foregoing ideas or others, that will adversely impact our business. For example, Congress could extend the elimination of the in-school interest subsidy to undergraduate students or to undergraduate students in proprietary institutions, reduce the maximum amount of or change the eligibility standards for student loans and/or Pell Grants or make other material changes in Title IV programs driven by policy considerations, economic considerations or both. As proposed in the Durbin bill referred to above, Congress could also revise the “90/10 Rule”, discussed more fully below, in a number of ways, including changing how certain funds are counted under this rule, revising the percentage of income that proprietary schools must derive from non-federal sources, or both. Any action by Congress that significantly reduces Title IV program funding, whether through across-the-board funding reductions, sequestration or otherwise, or materially impacts the eligibility of our institutions or students to participate in Title IV programs would have a material adverse effect on our enrollment, financial condition, results of operations and cash flows. Congressional action could also require us to modify our practices in ways that could increase our administrative costs and reduce our operating income, which could have a material adverse effect on our financial condition, results of operations and cash flows.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 xml:space="preserve">Regulatory changes. </w:t>
      </w:r>
      <w:r>
        <w:rPr>
          <w:rFonts w:ascii="Arial" w:cs="Arial" w:eastAsia="Arial" w:hAnsi="Arial"/>
          <w:sz w:val="15"/>
          <w:szCs w:val="15"/>
          <w:color w:val="auto"/>
        </w:rPr>
        <w:t>In October 2010 and June 2011, the U.S. Department of Education promulgated new rules related to Title IV program integrity issues.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of these rules for our business are the following:</w:t>
      </w:r>
    </w:p>
    <w:p>
      <w:pPr>
        <w:spacing w:after="0" w:line="84" w:lineRule="exact"/>
        <w:rPr>
          <w:sz w:val="20"/>
          <w:szCs w:val="20"/>
          <w:color w:val="auto"/>
        </w:rPr>
      </w:pPr>
    </w:p>
    <w:p>
      <w:pPr>
        <w:ind w:left="1480" w:hanging="567"/>
        <w:spacing w:after="0" w:line="268"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Modification of the standards relating to the prohibition on payment of incentive compensation to employees involved in student recruitment and enrollment;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Implementation of standards for state authorization of institutions of higher education;</w:t>
      </w:r>
    </w:p>
    <w:p>
      <w:pPr>
        <w:spacing w:after="0" w:line="90" w:lineRule="exact"/>
        <w:rPr>
          <w:rFonts w:ascii="Arial" w:cs="Arial" w:eastAsia="Arial" w:hAnsi="Arial"/>
          <w:sz w:val="18"/>
          <w:szCs w:val="18"/>
          <w:color w:val="auto"/>
        </w:rPr>
      </w:pPr>
    </w:p>
    <w:p>
      <w:pPr>
        <w:ind w:left="1480" w:right="200" w:hanging="567"/>
        <w:spacing w:after="0" w:line="332"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Adoption of a definition of “gainful employment” for purposes of the requirement of Title IV student financial aid that a program of study offered by a proprietary institution prepare students for gainful employment in a recognized occupation; and</w:t>
      </w:r>
    </w:p>
    <w:p>
      <w:pPr>
        <w:spacing w:after="0" w:line="4" w:lineRule="exact"/>
        <w:rPr>
          <w:rFonts w:ascii="Arial" w:cs="Arial" w:eastAsia="Arial" w:hAnsi="Arial"/>
          <w:sz w:val="16"/>
          <w:szCs w:val="16"/>
          <w:color w:val="auto"/>
        </w:rPr>
      </w:pPr>
    </w:p>
    <w:p>
      <w:pPr>
        <w:ind w:left="1480" w:right="80" w:hanging="567"/>
        <w:spacing w:after="0" w:line="256"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Expansion of the definition of misrepresentation, relating to the Department’s authority to suspend or terminate an institution’s participation in Title IV programs if the institution engages in substantial misrepresentation about the nature of its educational program, its financial charges, or the employability of its graduates, and expansion of the sanctions that the Department may impose for engaging in a substantial misrepresentation.</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Most of the rules were effective in July 2011. In June 2012, however, the U.S. Court of Appeals for the District of Columbia upheld a U.S. District Court’s ruling vacating the rules requiring state authorization of distance education programs where an institution does not have a physical presence in a state, and also precluded enforcement by the Secretary of Education of violations of the expanded rules regarding misrepresentation. The rules regarding the metrics for determining whether an academic program prepares students for gainful employment were also vacated by the U.S. District Court for the District of Columbia in June 2012, as discussed further below.</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May 2011, the Department of Education announced its intention to establish negotiated rulemaking committees to prepare proposed regulations under the Higher Education Opportunity Act of 2008. Negotiations to address teacher preparation issues and post-disbursement student loan issues, including issues with income-based and income contingent loan repayments plans, began in January 2012 and concluded in April 2012 and were the subject of final regulations published on November 1, 2012. We do not expect these regulations to substantially affect our business.</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May 2012, the Department announced its intention to establish a negotiated rulemaking committee to prepare proposed regulations under the Higher Education Opportunity Act of 2008 designed to prevent fraud and otherwise ensure proper use of Title IV program funds, especially within the context of current technologies. In particular, the Department intends that the regulations will address the use of debit cards and other banking mechanisms for disbursing federal student aid, improve and streamline the campus-based aid programs, and further help institutions prevent fraudulent student activity. Public hearings were held in May 2012 and committee negotiations began in late 2012 and are expected to conclude in 2013.</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Eligibility and certification procedures. </w:t>
      </w:r>
      <w:r>
        <w:rPr>
          <w:rFonts w:ascii="Arial" w:cs="Arial" w:eastAsia="Arial" w:hAnsi="Arial"/>
          <w:sz w:val="16"/>
          <w:szCs w:val="16"/>
          <w:color w:val="auto"/>
        </w:rPr>
        <w:t>Each institution must apply periodically to the Department of Education for continued certification to participate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Title IV programs. 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 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12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Since July 2008, we had been provisionally certified to participate in the Title IV programs on a month-to-month basis. On April 8, 2011, following the completion of the Department of Education’s review of information we had provided in connection with a deemed change in control that resulted from the termination in January 2011 of voting agreements that were in effect among certain of our stockholders, the Department of Education notified us that it had approved our application for a change in control and issued to us a new, provisional program participation agreement to participate in the Title IV programs. While this certification is provisional, the Department of Education’s action removed us from month-to-month status, provided for our continued participation in Title IV programs through December 31, 2013, and did not impose any conditions (such as any letter of credit requirement) or other restrictions on us during the provisional period other than the standard restrictions applicable to a provisional certification. In accordance with the terms of the provisional certification, we may apply for recertification on a full basis by submitting a complete application by no later than September 30, 2013. If the Department of Education does not renew or withdraws our certification to participate in the Title IV programs at any time, our students would no longer be able to receive Title IV program funds. Alternatively, the Department of Education could renew our certification, but restrict or delay our students’ receipt of Title IV funds, limit the number of students to whom we could disburse such funds, or place other restrictions on us, or it could delay our recertification beyond December 31, 2013, in which case our provisional certification would continue on a month-to-month basis. Any of these outcomes could have a material adverse effect on our enrollments and us.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i w:val="1"/>
          <w:iCs w:val="1"/>
          <w:color w:val="auto"/>
        </w:rPr>
        <w:t xml:space="preserve">Administrative capability. </w:t>
      </w:r>
      <w:r>
        <w:rPr>
          <w:rFonts w:ascii="Arial" w:cs="Arial" w:eastAsia="Arial" w:hAnsi="Arial"/>
          <w:sz w:val="16"/>
          <w:szCs w:val="16"/>
          <w:color w:val="auto"/>
        </w:rPr>
        <w:t>Department of Education regulations specify extensive criteria by which an institution must establish that it has the requisite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capability” to participate in the Title IV programs. To meet the administrative capability standards, an institution must, among other things:</w:t>
      </w:r>
    </w:p>
    <w:p>
      <w:pPr>
        <w:spacing w:after="0" w:line="4" w:lineRule="exact"/>
        <w:rPr>
          <w:sz w:val="20"/>
          <w:szCs w:val="20"/>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the Title IV programs;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have student loan cohort default rates above specified levels;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have various procedures in place for awarding, disbursing and safeguarding Title IV funds and for maintaining required records;</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administer the Title IV programs with adequate checks and balances in its system of internal controls;</w:t>
      </w:r>
    </w:p>
    <w:p>
      <w:pPr>
        <w:spacing w:after="0" w:line="90" w:lineRule="exact"/>
        <w:rPr>
          <w:rFonts w:ascii="Arial" w:cs="Arial" w:eastAsia="Arial" w:hAnsi="Arial"/>
          <w:sz w:val="18"/>
          <w:szCs w:val="18"/>
          <w:color w:val="auto"/>
        </w:rPr>
      </w:pPr>
    </w:p>
    <w:p>
      <w:pPr>
        <w:ind w:left="1480" w:right="80" w:hanging="567"/>
        <w:spacing w:after="0" w:line="268"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federal contracting or engaging in activity that is cause for debarment or suspension;</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financial aid counseling to its students;</w:t>
      </w:r>
    </w:p>
    <w:p>
      <w:pPr>
        <w:spacing w:after="0" w:line="90" w:lineRule="exact"/>
        <w:rPr>
          <w:rFonts w:ascii="Arial" w:cs="Arial" w:eastAsia="Arial" w:hAnsi="Arial"/>
          <w:sz w:val="18"/>
          <w:szCs w:val="18"/>
          <w:color w:val="auto"/>
        </w:rPr>
      </w:pPr>
    </w:p>
    <w:p>
      <w:pPr>
        <w:ind w:left="1480" w:right="240" w:hanging="567"/>
        <w:spacing w:after="0" w:line="332" w:lineRule="auto"/>
        <w:tabs>
          <w:tab w:leader="none" w:pos="14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submit all required reports and consolidated financial statements in a timely manner;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 institution fails to satisfy any of these criteria, the Department of Education may:</w:t>
      </w:r>
    </w:p>
    <w:p>
      <w:pPr>
        <w:spacing w:after="0" w:line="90" w:lineRule="exact"/>
        <w:rPr>
          <w:sz w:val="20"/>
          <w:szCs w:val="20"/>
          <w:color w:val="auto"/>
        </w:rPr>
      </w:pPr>
    </w:p>
    <w:p>
      <w:pPr>
        <w:ind w:left="1480" w:hanging="567"/>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institution to repay Title IV funds its students previously received;</w:t>
      </w:r>
    </w:p>
    <w:p>
      <w:pPr>
        <w:spacing w:after="0" w:line="90" w:lineRule="exact"/>
        <w:rPr>
          <w:rFonts w:ascii="Arial" w:cs="Arial" w:eastAsia="Arial" w:hAnsi="Arial"/>
          <w:sz w:val="18"/>
          <w:szCs w:val="18"/>
          <w:color w:val="auto"/>
        </w:rPr>
      </w:pPr>
    </w:p>
    <w:p>
      <w:pPr>
        <w:ind w:left="1480" w:right="340" w:hanging="567"/>
        <w:spacing w:after="0" w:line="268"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transfer the institution from the advance method of payment of Title IV funds to heightened cash monitoring status or the reimbursement system of payment;</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place the institution on provisional certification status;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commence a proceeding to impose a fine or to limit, suspend or terminate the institution’s participation in the Title IV programs.</w:t>
      </w:r>
    </w:p>
    <w:p>
      <w:pPr>
        <w:spacing w:after="0" w:line="19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we are found not to have satisfied the Department of Education’s administrative capability requirements, our students could lose, or be limited in their access to, Title IV program funding.</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Financial responsibility. </w:t>
      </w:r>
      <w:r>
        <w:rPr>
          <w:rFonts w:ascii="Arial" w:cs="Arial" w:eastAsia="Arial" w:hAnsi="Arial"/>
          <w:sz w:val="16"/>
          <w:szCs w:val="16"/>
          <w:color w:val="auto"/>
        </w:rPr>
        <w:t>The Higher Education Act and Department of Education regulations establish extensive standards of financial responsibility that</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institutions such as Grand Canyon University must satisfy in order to participate in the Title IV programs. The Department of Education evaluates institutions for compliance with these standards on an annual basis based on the institution’s annual audited consolidated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35" w:lineRule="exact"/>
        <w:rPr>
          <w:sz w:val="20"/>
          <w:szCs w:val="20"/>
          <w:color w:val="auto"/>
        </w:rPr>
      </w:pPr>
    </w:p>
    <w:p>
      <w:pPr>
        <w:ind w:left="1480" w:hanging="56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equity ratio, which measures the institution’s capital resources, financial viability and ability to borrow;</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primary reserve ratio, which measures the institution’s ability to support current operations from expendable resources;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income ratio, which measures the institution’s ability to operate at a profit or within its means.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for an institution’s most recent fiscal year must be at least 1.5 for the institution to be deemed financially responsible without the need for further Department of Education oversight. Our composite scores for our fiscal years ended December 31, 2011, 2010 and 2009 were 2.2, 2.5 and 2.9, respectively, and, therefore, we are considered financially responsible for purposes of these regulations. We have not yet submitted our consolidated financial statements to the Department of Education for our 2012 fiscal year, but have calculated that our composite score for the 2012 fiscal year will be at least 2.8. This expected increase in our composite score between 2011 and 2012 is primarily due to the increase in our term loan since our investments in the ground campus infrastructure during 2010, 2011 and 2012 (which caused our composite score decreases between 2009 and 2011) are not given credit in the composite score computation. We have modeled our composite score for future years using, among other estimates, our estimated ground campus capital expenditures and believe that our composite score will remain at a financially responsible level for the foreseeable future.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consolidated financial statements. 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 of Education’s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 complying with or accepting other limitations on our ability to increase the number of programs we offer or the number of students we enroll.</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 post a required letter of credit or comply with the alternative bases for establishing financial responsibility, our students could lose their access to Title IV program funding.</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Return of Title IV funds for students who withdraw. </w:t>
      </w:r>
      <w:r>
        <w:rPr>
          <w:rFonts w:ascii="Arial" w:cs="Arial" w:eastAsia="Arial" w:hAnsi="Arial"/>
          <w:sz w:val="16"/>
          <w:szCs w:val="16"/>
          <w:color w:val="auto"/>
        </w:rPr>
        <w:t>When a student who has received Title IV program funds withdraws from school, the institution must</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the amount of Title IV program funds the student has “earned” and then must return the unearned Title IV program funds (a “return to Title IV”)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the letter of credit requirement is triggered by late returns of Title IV program funds for 5% or more of the withdrawn students (and involving more than two student refunds) in the audit sample in the institution’s annual Title IV compliance audit for either of the institution’s two most recent fiscal years or in a Department of Education program review. We did not exceed this 5% threshold in our annual Title IV compliance audits for 2011 (the most recent year for which we have completed a Title IV compliance audit), 2010 or 2009.</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spring 2010, we operated in a term-based environment for both our traditional and nontraditional students in which, in accordance with Department of Education regulations, we calculated our returns to Title IV based on the number of completed days in a term as a percentage of the total days in the term, with the exception that, with respect to courses offered in a modular setting (i.e. those offered to nontraditional students as two eight-week courses, or modules, in a term), if a student completed the first course but withdrew prior to the second course, then the full financial aid award was earned by and paid to the student and no return to Title IV calculation was done.</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April 2010, we converted from a term-based environment to a non-term, borrower-based (referred to as “BBAY”) environment for our non-traditional students. In a BBAY environment, we operate on a 24-credit academic year/12-credit payment period for our undergraduate students, who must take three courses during each payment period, and a 12-credit academic year/6-credit payment period for our graduate students, who must take two courses during each payment period, and, as a result, we now calculate returns to Title IV based on the percentage of the payment period attended in comparison to the full payment period (there is no module concept in a non-term, borrower-based environment). In this environment, a student (whether undergraduate or graduate) must complete greater than 60% of the payment period in order to earn the full financial aid award. Thus, if a student completes the first course but withdraws prior to the second one and therefore does not complete greater than 60% of the payment period, then the full financial aid award is not earned by the student. In such case, we must perform a return to Title IV calculation and most, if not all, of the funds for future courses would be returned to the lender or the Department of Education. If the student withdraws after the 60% threshold, then the student is deemed to have earned 100% of the Title IV program funds he or she received.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i w:val="1"/>
          <w:iCs w:val="1"/>
          <w:color w:val="auto"/>
        </w:rPr>
        <w:t xml:space="preserve">The “90/10 Rule.” </w:t>
      </w:r>
      <w:r>
        <w:rPr>
          <w:rFonts w:ascii="Arial" w:cs="Arial" w:eastAsia="Arial" w:hAnsi="Arial"/>
          <w:sz w:val="16"/>
          <w:szCs w:val="16"/>
          <w:color w:val="auto"/>
        </w:rPr>
        <w:t>A requirement of the Higher Education Act, commonly referred to as the “90/10 Rule,” that is applicable only to for-profit,</w:t>
      </w:r>
      <w:r>
        <w:rPr>
          <w:rFonts w:ascii="Arial" w:cs="Arial" w:eastAsia="Arial" w:hAnsi="Arial"/>
          <w:sz w:val="16"/>
          <w:szCs w:val="16"/>
          <w:i w:val="1"/>
          <w:iCs w:val="1"/>
          <w:color w:val="auto"/>
        </w:rPr>
        <w:t xml:space="preserve"> </w:t>
      </w:r>
      <w:r>
        <w:rPr>
          <w:rFonts w:ascii="Arial" w:cs="Arial" w:eastAsia="Arial" w:hAnsi="Arial"/>
          <w:sz w:val="16"/>
          <w:szCs w:val="16"/>
          <w:color w:val="auto"/>
        </w:rPr>
        <w:t>postsecondary educational institutions like us,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August 2008 reauthorization of the Higher Education Act included significant revisions to the 90/10 Rule that became effective upon the date of the law’s enactment, including provisions that allowed institutions, when calculating their compliance with this revenue test, to exclude from their Title IV program revenue for a three-year period ended June 30, 2011 the additional federal student loan amounts that became available through the Unsubsidized Stafford Loan Program starting in July 2008. Given the level of complexity of this calculation, we did not seek to quantify precisely the benefit that we may have derived in the 90/10 percentage during the periods in which any temporary exclusions were applicable. As such, our reported rates below for 2011 and 2010 exclude the benefits from any such exclusions. Using the Department of Education’s cash-basis, regulatory formula under the 90/10 Rule as currently in effect, for our 2012, 2011, and 2010 fiscal years, we derived approximately 80.3%, 80.2%, and 84.9%, respectively, of our 90/10 Rule revenue from Title IV program funds.</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As a result of the continuing increase in the number of students attending our ground campus, who typically finance a greater percentage of their educational costs with non-Title IV sources of funds, we expect the percentage of our revenue that we receive from Title IV programs to remain stable or to continue to decrease in the future, although this may be impacted by recent changes in federal law that increased Title IV grant and loan limits, as well as the ongoing economic environment, which has adversely affected the employment circumstances of our students and their parents and increased their reliance on Title IV programs. If we were to exceed the 90% threshold for two consecutive years such that we lost our eligibility to participate in the Title IV programs, or if Congress passed legislation changing how certain funds are counted under this rule, revising the percentage of income that proprietary schools must derive from non-federal sources, or both, it would have a material adverse effect on our business, prospects, financial condition, and results of operations.</w:t>
      </w:r>
    </w:p>
    <w:p>
      <w:pPr>
        <w:spacing w:after="0" w:line="11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i w:val="1"/>
          <w:iCs w:val="1"/>
          <w:color w:val="auto"/>
        </w:rPr>
        <w:t xml:space="preserve">Student loan defaults. </w:t>
      </w:r>
      <w:r>
        <w:rPr>
          <w:rFonts w:ascii="Arial" w:cs="Arial" w:eastAsia="Arial" w:hAnsi="Arial"/>
          <w:sz w:val="16"/>
          <w:szCs w:val="16"/>
          <w:color w:val="auto"/>
        </w:rPr>
        <w:t>Under the Higher Education Act, an educational institution may lose its eligibility to participate in some or all of the Title IV</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if defaults by its students on the repayment of their federal student loans exceed certain levels. For each federal fiscal year, the Department of Education calculates a rate of student defaults for each institution (known as a “cohort default rate”). An institution’s cohort default rate for a federal fiscal year historically has been calculated by determining the rate at which borrowers who became subject to their repayment obligation in one federal fiscal year default in that same year or by the end of the following federal fiscal year (the “two-year method”). The reauthorization of the Higher Education Act in 2008 extended the measurement period for cohort default rates so that the rate is calculated by determining the rate at which borrowers who became subject to their repayment obligation in one federal fiscal year default in that same year or by the end of the second following federal fiscal year (the “three-year method”), a change which would be expected to increase cohort default rates for most if not all institutions. The Department of Education issued a final regulation indicating that it would begin to implement this extended measurement period for the cohort default rates calculated for loans entering repayment in federal fiscal year 2009, which is the year that ended on September 30, 2009. The Department of Education included a transition period of three years during which it will calculate two cohort default rates for each institution for each of federal fiscal years 2009, 2010 and 2011, with one such rate measured under the two-year method and the other such rate measured under the three-year method. On September 28, 2012, the Department of Education released official federal fiscal year 2010 two-year and federal fiscal year 2009 three-year federal student loan cohort default rates. This was the first time the Department of Education issued an official three-year rate, and it was 13.4% nationally, a slight decrease from the trial three-year rate of 13.8% for the 2008 cohort. The cohort default rates for federal fiscal years 2010, 2011 and 2012, as calculated under the new three-year method, are not expected to be published until calendar years 2013, 2014 and 2015.</w:t>
      </w:r>
    </w:p>
    <w:p>
      <w:pPr>
        <w:spacing w:after="0" w:line="12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Department of Education will apply different legal thresholds to measure an institution’s compliance under each set of rates. If the Department of Education notifies an institution that its cohort default rates exceed 25%, as calculated under the two-year method, for each of its three most recent federal fiscal years, or exceed 30%, as calculated under the three-year method, for each of its three most recent federal fiscal years, the institution’s participation in the FDL Program and the Pell grant program will end 30 days after that notification, unless the institution appeals that determination in a timely manner on specified grounds and according to specified procedures. In addition, an institution’s participation in the FDL Program will end 30 days after notification by the Department of Education that its most recent cohort default rate, as calculated under either the two-year method or the three-year method,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or for the next two fiscal years. If an institution’s cohort default rate for any single federal fiscal year equals or exceeds 25% under the two-year method, or 30% under the three-year method, the Department of Education may place the institution on provisional certification status.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Our cohort default rates, under the two-year method, on federal student loans for the 2010, 2009, and 2008 federal fiscal years, the three most recent years for which such rates have been calculated, were 12.0%, 9.2%, and 3.4%, respectively. Our cohort default rate, under the three-year method, for the 2009 federal fiscal year was 15.1%, and our trial cohort default rates, under the three-year method, for the 2008 and 2007 federal fiscal years, as issued by the Department of Education, were 7.3% and 2.9%, respectively.</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Incentive compensation rule. </w:t>
      </w:r>
      <w:r>
        <w:rPr>
          <w:rFonts w:ascii="Arial" w:cs="Arial" w:eastAsia="Arial" w:hAnsi="Arial"/>
          <w:sz w:val="16"/>
          <w:szCs w:val="16"/>
          <w:color w:val="auto"/>
        </w:rPr>
        <w:t>An institution that participates in the Title IV programs may not provide any commission, bonus, or other incentive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based directly or indirectly on success in securing enrollments or financial aid to any person or entity engaged in any student recruitment, admissions, or financial aid awarding activity. Prior to July 1, 2011, Department of Education regulations included 12 “safe harbors” that described payments and arrangements that did not violate the incentive compensation rule. The new rules effective July 1, 2011 eliminated the 12 safe harbors. The restrictions of the incentive compensation rule, which extend to any third-party companies that an educational institution contracts with for student recruitment, admissions, or financial aid awarding services, increase the uncertainty about what constitutes incentive compensation and which employees are covered by the regulation. This makes the development of effective and compliant performance metrics more difficult to establish. As such, these changes limit our ability to compensate our employees based on their performance of their job responsibilities, which could make it more difficult to attract and retain highly-qualified employees.</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Compliance reviews. </w:t>
      </w:r>
      <w:r>
        <w:rPr>
          <w:rFonts w:ascii="Arial" w:cs="Arial" w:eastAsia="Arial" w:hAnsi="Arial"/>
          <w:sz w:val="16"/>
          <w:szCs w:val="16"/>
          <w:color w:val="auto"/>
        </w:rPr>
        <w:t>We are subject to announced and unannounced compliance reviews and audits by various external agencies, including the Department</w:t>
      </w:r>
      <w:r>
        <w:rPr>
          <w:rFonts w:ascii="Arial" w:cs="Arial" w:eastAsia="Arial" w:hAnsi="Arial"/>
          <w:sz w:val="16"/>
          <w:szCs w:val="16"/>
          <w:i w:val="1"/>
          <w:iCs w:val="1"/>
          <w:color w:val="auto"/>
        </w:rPr>
        <w:t xml:space="preserve"> </w:t>
      </w:r>
      <w:r>
        <w:rPr>
          <w:rFonts w:ascii="Arial" w:cs="Arial" w:eastAsia="Arial" w:hAnsi="Arial"/>
          <w:sz w:val="16"/>
          <w:szCs w:val="16"/>
          <w:color w:val="auto"/>
        </w:rPr>
        <w:t>of Education, its Office of Inspector General, state licensing agencies, the applicable state approving agencies for financial assistance to veterans,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118"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our campus in July 2010 and reviewed, and in some cases requested further information regarding, our records, practices and policies relating to, among other things, financial aid, enrollment, enrollment counselor compensation, program eligibility and other Title IV compliance matters.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we never received a formal exit interview, which we had understood to be the typical step prior to the Department of Education’s issuance of a preliminary program review report, on August 24, 2011, we received from the Department of Education a written preliminary program review report that included five findings, two of which involve individual student-specific errors concerning the monitoring of satisfactory academic progress for two students and the certification of one student’s Federal Family Educational Loan as an unsubsidized Stafford loan rather than a subsidized Stafford loan. The other three findings are as follows:</w:t>
      </w:r>
    </w:p>
    <w:p>
      <w:pPr>
        <w:spacing w:after="0" w:line="62" w:lineRule="exact"/>
        <w:rPr>
          <w:sz w:val="20"/>
          <w:szCs w:val="20"/>
          <w:color w:val="auto"/>
        </w:rPr>
      </w:pPr>
    </w:p>
    <w:p>
      <w:pPr>
        <w:ind w:left="1480" w:right="20" w:hanging="567"/>
        <w:spacing w:after="0" w:line="287" w:lineRule="auto"/>
        <w:tabs>
          <w:tab w:leader="none" w:pos="148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Incentive compensation issue</w:t>
      </w:r>
      <w:r>
        <w:rPr>
          <w:rFonts w:ascii="Arial" w:cs="Arial" w:eastAsia="Arial" w:hAnsi="Arial"/>
          <w:sz w:val="16"/>
          <w:szCs w:val="16"/>
          <w:color w:val="auto"/>
        </w:rPr>
        <w:t>. During a portion of the period under review, we had in place a compensation plan for our enrollment</w:t>
      </w:r>
      <w:r>
        <w:rPr>
          <w:rFonts w:ascii="Arial" w:cs="Arial" w:eastAsia="Arial" w:hAnsi="Arial"/>
          <w:sz w:val="16"/>
          <w:szCs w:val="16"/>
          <w:i w:val="1"/>
          <w:iCs w:val="1"/>
          <w:color w:val="auto"/>
        </w:rPr>
        <w:t xml:space="preserve"> </w:t>
      </w:r>
      <w:r>
        <w:rPr>
          <w:rFonts w:ascii="Arial" w:cs="Arial" w:eastAsia="Arial" w:hAnsi="Arial"/>
          <w:sz w:val="16"/>
          <w:szCs w:val="16"/>
          <w:color w:val="auto"/>
        </w:rPr>
        <w:t>counselors that was designed to comply with the regulatory “safe harbors” in effect during such period that allowed companies to make adjustments to fixed compensation for enrollment personnel, provided that any such adjustment (i) was not made more than twice during any twelve month period, and (ii) was not based solely on the number of students recruited, admitted, enrolled, or awarded financial aid. The plan at issue provided for enrollment counselor performance to be reviewed on a number of non-enrollment-related factors that could account for a substantial portion of any potential base compensation adjustment. The preliminary program review report does not appear to set forth any definitive finding regarding the plan, but the Department of Education has requested additional information from us regarding our enrollment counselor compensation practices and policies in effect during the period under review. We continue to believe that the plan at issue, both as designed and as applied, did not base compensation solely on success in enrolling students in violation of applicable law. We are continuing our efforts to communicate with the Department of Education to resolve this matter.</w:t>
      </w:r>
    </w:p>
    <w:p>
      <w:pPr>
        <w:spacing w:after="0" w:line="41" w:lineRule="exact"/>
        <w:rPr>
          <w:rFonts w:ascii="Arial" w:cs="Arial" w:eastAsia="Arial" w:hAnsi="Arial"/>
          <w:sz w:val="16"/>
          <w:szCs w:val="16"/>
          <w:color w:val="auto"/>
        </w:rPr>
      </w:pPr>
    </w:p>
    <w:p>
      <w:pPr>
        <w:ind w:left="1480" w:right="20" w:hanging="567"/>
        <w:spacing w:after="0" w:line="288" w:lineRule="auto"/>
        <w:tabs>
          <w:tab w:leader="none" w:pos="148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Gainful employment issue</w:t>
      </w:r>
      <w:r>
        <w:rPr>
          <w:rFonts w:ascii="Arial" w:cs="Arial" w:eastAsia="Arial" w:hAnsi="Arial"/>
          <w:sz w:val="16"/>
          <w:szCs w:val="16"/>
          <w:color w:val="auto"/>
        </w:rPr>
        <w:t>. The preliminary program review report sets forth the Department of Education’s position that our Bachelor of</w:t>
      </w:r>
      <w:r>
        <w:rPr>
          <w:rFonts w:ascii="Arial" w:cs="Arial" w:eastAsia="Arial" w:hAnsi="Arial"/>
          <w:sz w:val="16"/>
          <w:szCs w:val="16"/>
          <w:i w:val="1"/>
          <w:iCs w:val="1"/>
          <w:color w:val="auto"/>
        </w:rPr>
        <w:t xml:space="preserve"> </w:t>
      </w:r>
      <w:r>
        <w:rPr>
          <w:rFonts w:ascii="Arial" w:cs="Arial" w:eastAsia="Arial" w:hAnsi="Arial"/>
          <w:sz w:val="16"/>
          <w:szCs w:val="16"/>
          <w:color w:val="auto"/>
        </w:rPr>
        <w:t>Arts in Interdisciplinary Studies program was not an eligible program under Title IV because it did not provide students with training to prepare them for gainful employment in a recognized occupation. Historically,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us and certain other institutions that have held accreditation by a regional accrediting agency since a date on or before October 1, 2007 (we have held a regional accreditation since 1968). We believe that our Interdisciplinary Studies program, which we first offered in Fall 2007 in response to a request by one of our employer-partners, was an eligible program under the “gainful employment” standard in effect prior to July 1, 2010. We are continuing our efforts to communicate with the Department of Education to resolve this matter.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40" w:hanging="567"/>
        <w:spacing w:after="0" w:line="288" w:lineRule="auto"/>
        <w:tabs>
          <w:tab w:leader="none" w:pos="148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Inadequate procedures related to non-passing grades. </w:t>
      </w:r>
      <w:r>
        <w:rPr>
          <w:rFonts w:ascii="Arial" w:cs="Arial" w:eastAsia="Arial" w:hAnsi="Arial"/>
          <w:sz w:val="16"/>
          <w:szCs w:val="16"/>
          <w:color w:val="auto"/>
        </w:rPr>
        <w:t>The preliminary program review report sets forth the Department of Education’s</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that, during the period under review and prior to the time we converted from a term-based financial aid system to a non-term, borrower-based financial aid system in mid-2010, we failed to have an accurate system in place that would enable us to determine if students with non-passing grades for a term had no documented attendance for the term or should have been treated as unofficial withdrawals for the term, thereby potentially requiring us to return all or a portion of the Title IV monies previously received with respect to such students. Although we are confident in the legal sufficiency of our policies that were in place during the period under review, we are continuing to make efforts to discuss this finding with the Department of Education. As part of the process of reviewing and responding to this finding, the Department of Education has requested that we conduct a further review of student files and provide additional information to the Department of Education following the completion of such review.</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provided responses and further information on each of these issues as requested or required by the Department of Education and are continuing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efforts to communicate with the Department of Education to resolve the issues raised in the preliminary program review report. With respect to the issue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regarding inadequate procedures related to non-passing grades in particular, we have continued to review student files for the period from July 1, 2008 to June 30,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2010 in accordance with the Department of Education’s request. Although we have not yet completed the file review, we have determined, based on current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interpretations provided by the Department of Education, that certain Pell grants that we received for students that later unofficially withdrew should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returned under applicable return to Title IV rules. Although when we make a return to Title IV the applicable students are obligated to repay us for the amounts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returned, we have decided that that we will not seek reimbursement from applicable students once these Pell returns are made.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2012, we reserved $3.5 million related to these refunds. We are unable, at this time, to determine whether additional refunds will be necessary as a</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result of the preliminary findings.</w:t>
      </w:r>
    </w:p>
    <w:p>
      <w:pPr>
        <w:spacing w:after="0" w:line="16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cannot presently predict whether or if further information requests will be made, how the foregoing issues will be resolved, when the final program review determination letter will be issued, or when the program review will be closed. At this time, the Department of Education has not specified the amount of any potential refunds or penalties that it may seek or assess. Our policies and procedures are planned and implemented to comply with the applicable standards and regulations under Title IV and we are committed to resolving any issues of non-compliance identified in the final program review determination letter and ensuring that we operate in compliance with all Department of Education requirements. If the Department of Education were to make significant findings of non-compliance in the final program review determination letter, then, after exhausting any administrative appeals available to us, we could be required to pay a fine, return Title IV monies previously received, or be subjected to other administrative sanctions. While we cannot currently predict the final outcome of the Department of Education review, any such final adverse finding could damage our reputation in the industry and have a material adverse effect on our business, results of operations, cash flows and financial position.</w:t>
      </w:r>
    </w:p>
    <w:p>
      <w:pPr>
        <w:spacing w:after="0" w:line="12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i w:val="1"/>
          <w:iCs w:val="1"/>
          <w:color w:val="auto"/>
        </w:rPr>
        <w:t xml:space="preserve">Privacy of student records. </w:t>
      </w:r>
      <w:r>
        <w:rPr>
          <w:rFonts w:ascii="Arial" w:cs="Arial" w:eastAsia="Arial" w:hAnsi="Arial"/>
          <w:sz w:val="16"/>
          <w:szCs w:val="16"/>
          <w:color w:val="auto"/>
        </w:rPr>
        <w:t>The Family Educational Rights and Privacy Act of 1974, or FERPA, and the Department of Education’s FERPA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educational 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FTC, and be subject to fines or penalties imposed by the FTC. For-profit educational institutions are also subject to the general deceptive practices jurisdiction of the FTC with respect to their collection, use, and disclosure of student information. The institution must also comply with the FTC Red Flags Rule, a section of the federal Fair Credit Reporting Act, that requires the establishment of guidelines and policies regarding identity theft related to student credit accounts.</w:t>
      </w:r>
    </w:p>
    <w:p>
      <w:pPr>
        <w:spacing w:after="0" w:line="12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Potential effect of regulatory violations. </w:t>
      </w:r>
      <w:r>
        <w:rPr>
          <w:rFonts w:ascii="Arial" w:cs="Arial" w:eastAsia="Arial" w:hAnsi="Arial"/>
          <w:sz w:val="16"/>
          <w:szCs w:val="16"/>
          <w:color w:val="auto"/>
        </w:rPr>
        <w:t>If we fail to comply with the regulatory standards governing the Title IV programs, the Department of Education</w:t>
      </w:r>
      <w:r>
        <w:rPr>
          <w:rFonts w:ascii="Arial" w:cs="Arial" w:eastAsia="Arial" w:hAnsi="Arial"/>
          <w:sz w:val="16"/>
          <w:szCs w:val="16"/>
          <w:i w:val="1"/>
          <w:iCs w:val="1"/>
          <w:color w:val="auto"/>
        </w:rPr>
        <w:t xml:space="preserve"> </w:t>
      </w:r>
      <w:r>
        <w:rPr>
          <w:rFonts w:ascii="Arial" w:cs="Arial" w:eastAsia="Arial" w:hAnsi="Arial"/>
          <w:sz w:val="16"/>
          <w:szCs w:val="16"/>
          <w:color w:val="auto"/>
        </w:rPr>
        <w:t>could impose one or more sanctions, including transferring us to the reimbursement or cash monitoring system of payment, requiring us to repay Title IV program funds, 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have a material adverse effect on our results of operations, even if we could arrange or provide alternative sources of revenue or student financial aid.</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14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State authorization. </w:t>
      </w:r>
      <w:r>
        <w:rPr>
          <w:rFonts w:ascii="Arial" w:cs="Arial" w:eastAsia="Arial" w:hAnsi="Arial"/>
          <w:sz w:val="16"/>
          <w:szCs w:val="16"/>
          <w:color w:val="auto"/>
        </w:rPr>
        <w:t>States have the authority to assert jurisdiction, to the extent they so choose, over educational institutions offering online degree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in a state but that otherwise have no physical location or other presence in that state. The final program integrity rules adopted by the Department of Education on October 29, 2010 and effective July 1, 2011 included a provision that requires online providers to meet any such state requirements. In July 2012, the Department of Education announced that it will no longer enforce a requirement that distance education programs obtain permission to operate in every state in which they enroll at least one student, following the U.S. Court of Appeals for the District of Columbia Circuit’s ruling the previous month that vacated the requirement on procedural grounds. While the Department of Education will no longer seek to enforce applicable state law requirements, educational institutions will still need permission to operate in their home states and have to comply with state laws on authorization.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Arizona, we have determined that our activities in certain states constitute a presence requiring licensure or authorization under the requirements of the state education agency in those states, which we have obtained, while in other states we have determined that we are exempt under applicable state law from licensure or authorization requirements due to our regional accreditation or for other reasons. In still other states, we have obtained approvals to operate as we have determined necessary in connection with our marketing and recruiting activities. Although we have a process for evaluating the compliance of our online educational programs with state requirements regarding distance and correspondence learning, and have experienced no significant restrictions on our educational activities to date as a result of such requirements, state regulatory requirements for online education vary among the states, are not well developed in many states, are imprecise or unclear in some states and are subject to change. Moreover, it is also unclear whether and to what extent state agencies may augment or change their regulations in this area as a result of these new Department of Education regulations and increased scrutiny. If we fail to comply with licensing or authorization requirements for a particular state, or fail to obtain licenses or authorizations when required, we could lose our licensure or authorization from that state or be subject to other sanctions, including restrictions on our activities in that state, and fines and penalties, including Department of Education sanctions.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Approval of new programs. </w:t>
      </w:r>
      <w:r>
        <w:rPr>
          <w:rFonts w:ascii="Arial" w:cs="Arial" w:eastAsia="Arial" w:hAnsi="Arial"/>
          <w:sz w:val="16"/>
          <w:szCs w:val="16"/>
          <w:color w:val="auto"/>
        </w:rPr>
        <w:t>The final program integrity rules adopted October 29, 2010 and effective July 1, 2011 included provisions regarding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of new programs. Although the final rules relaxed the program approval standard originally proposed, the rules still impose various requirements on, and could adversely affect, our ability to add new academic programs. In addition, the Department of Education has published no definite standards by which schools can determine the likelihood that any program will be approved. As described below, on June 30, 2012, the U.S. District Court for the District of Columbia invalidated the requirement that institutions seeking to offer a new program obtain prior approval from the Department of Education, based on the court’s finding that the requirement was tied to the now-invalid minimum loan repayment metric for assessing gainful employment. Notwithstanding this ruling, in November 2012, the Department of Education issued interpretive guidance indicating that any institutions operating under a provisional program participation agreement, such as Grand Canyon University, must still receive approval from the Department of Education in advance of offering any new program. The Department of Education has not yet announced whether it will appeal the court’s decision, seek to revise the gainful employment regulations through another negotiated rulemaking session, or take other steps. As such, we believe there remains uncertainty regarding new program approval, which could adversely affect our ability to respond to emerging employment trends and add programs that are responsive to those trends, which in turn could decrease our attractiveness to certain students. In addition, a lack of certainty could increase the risk of future federal False Claims Act qui tam lawsuits in which private plaintiffs assert that students improperly received Title IV aid while attending a program that has not been approved.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i w:val="1"/>
          <w:iCs w:val="1"/>
          <w:color w:val="auto"/>
        </w:rPr>
        <w:t xml:space="preserve">Gainful employment rules. </w:t>
      </w:r>
      <w:r>
        <w:rPr>
          <w:rFonts w:ascii="Arial" w:cs="Arial" w:eastAsia="Arial" w:hAnsi="Arial"/>
          <w:sz w:val="18"/>
          <w:szCs w:val="18"/>
          <w:color w:val="auto"/>
        </w:rPr>
        <w:t>Under the Higher Education Act, proprietary schools are eligible to participate in Title IV programs in respect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educational programs that lead to “gainful employment in a recognized occupation,” with the limited exception of qualified programs leading to a bachelor’s degree in liberal arts. Historically, this concept has not been defined in detail. On June 13, 2011, the Department of Education issued its final gainful employment rule, which provided, among other things, for the following:</w:t>
      </w:r>
    </w:p>
    <w:p>
      <w:pPr>
        <w:spacing w:after="0" w:line="62" w:lineRule="exact"/>
        <w:rPr>
          <w:sz w:val="20"/>
          <w:szCs w:val="20"/>
          <w:color w:val="auto"/>
        </w:rPr>
      </w:pPr>
    </w:p>
    <w:p>
      <w:pPr>
        <w:jc w:val="both"/>
        <w:ind w:left="1920" w:right="200" w:hanging="440"/>
        <w:spacing w:after="0" w:line="306" w:lineRule="auto"/>
        <w:tabs>
          <w:tab w:leader="none" w:pos="19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Disclosures. </w:t>
      </w:r>
      <w:r>
        <w:rPr>
          <w:rFonts w:ascii="Arial" w:cs="Arial" w:eastAsia="Arial" w:hAnsi="Arial"/>
          <w:sz w:val="16"/>
          <w:szCs w:val="16"/>
          <w:color w:val="auto"/>
        </w:rPr>
        <w:t>Proprietary institutions of higher education as well as public and not-for profit institutions offering postsecondary non-degree programs must provide prospective students with disclosures on the types of employment associated with the program, total cost of the program, completion rate, job placement rate, if applicable, and median loan debt of program completers.</w:t>
      </w:r>
    </w:p>
    <w:p>
      <w:pPr>
        <w:spacing w:after="0" w:line="25" w:lineRule="exact"/>
        <w:rPr>
          <w:rFonts w:ascii="Arial" w:cs="Arial" w:eastAsia="Arial" w:hAnsi="Arial"/>
          <w:sz w:val="16"/>
          <w:szCs w:val="16"/>
          <w:color w:val="auto"/>
        </w:rPr>
      </w:pPr>
    </w:p>
    <w:p>
      <w:pPr>
        <w:ind w:left="1920" w:right="160" w:hanging="440"/>
        <w:spacing w:after="0" w:line="259" w:lineRule="auto"/>
        <w:tabs>
          <w:tab w:leader="none" w:pos="192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Reporting</w:t>
      </w:r>
      <w:r>
        <w:rPr>
          <w:rFonts w:ascii="Arial" w:cs="Arial" w:eastAsia="Arial" w:hAnsi="Arial"/>
          <w:sz w:val="18"/>
          <w:szCs w:val="18"/>
          <w:color w:val="auto"/>
        </w:rPr>
        <w:t>. Institutions must annually submit information to the Department of Education about students who complete a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leading to gainful employment in a recognized occupation, including the amount of debt incurred under private loans or institutional finance plans, graduation information, and end of year enrollment information.</w:t>
      </w:r>
    </w:p>
    <w:p>
      <w:pPr>
        <w:spacing w:after="0" w:line="59" w:lineRule="exact"/>
        <w:rPr>
          <w:rFonts w:ascii="Arial" w:cs="Arial" w:eastAsia="Arial" w:hAnsi="Arial"/>
          <w:sz w:val="18"/>
          <w:szCs w:val="18"/>
          <w:color w:val="auto"/>
        </w:rPr>
      </w:pPr>
    </w:p>
    <w:p>
      <w:pPr>
        <w:ind w:left="1920" w:right="80" w:hanging="440"/>
        <w:spacing w:after="0" w:line="309" w:lineRule="auto"/>
        <w:tabs>
          <w:tab w:leader="none" w:pos="1920" w:val="left"/>
        </w:tabs>
        <w:numPr>
          <w:ilvl w:val="0"/>
          <w:numId w:val="23"/>
        </w:numPr>
        <w:rPr>
          <w:rFonts w:ascii="Arial" w:cs="Arial" w:eastAsia="Arial" w:hAnsi="Arial"/>
          <w:sz w:val="15"/>
          <w:szCs w:val="15"/>
          <w:color w:val="auto"/>
        </w:rPr>
      </w:pPr>
      <w:r>
        <w:rPr>
          <w:rFonts w:ascii="Arial" w:cs="Arial" w:eastAsia="Arial" w:hAnsi="Arial"/>
          <w:sz w:val="15"/>
          <w:szCs w:val="15"/>
          <w:i w:val="1"/>
          <w:iCs w:val="1"/>
          <w:color w:val="auto"/>
        </w:rPr>
        <w:t>New Program Approval</w:t>
      </w:r>
      <w:r>
        <w:rPr>
          <w:rFonts w:ascii="Arial" w:cs="Arial" w:eastAsia="Arial" w:hAnsi="Arial"/>
          <w:sz w:val="15"/>
          <w:szCs w:val="15"/>
          <w:color w:val="auto"/>
        </w:rPr>
        <w:t>. The final regulations require institutions to notify the Department of Education at least 90 days before the</w:t>
      </w:r>
      <w:r>
        <w:rPr>
          <w:rFonts w:ascii="Arial" w:cs="Arial" w:eastAsia="Arial" w:hAnsi="Arial"/>
          <w:sz w:val="15"/>
          <w:szCs w:val="15"/>
          <w:i w:val="1"/>
          <w:iCs w:val="1"/>
          <w:color w:val="auto"/>
        </w:rPr>
        <w:t xml:space="preserve"> </w:t>
      </w:r>
      <w:r>
        <w:rPr>
          <w:rFonts w:ascii="Arial" w:cs="Arial" w:eastAsia="Arial" w:hAnsi="Arial"/>
          <w:sz w:val="15"/>
          <w:szCs w:val="15"/>
          <w:color w:val="auto"/>
        </w:rPr>
        <w:t>start of new educational programs leading to gainful employment in recognized occupations. This notification must include information on the need for the program, a wage analysis, an institutional program review and approval process, and a demonstration of accreditation. An institution is not required to obtain formal Department of Education approval if the notification is submitted at least 90 days prior to the first day of class. However, if the Department of Education decides during the course of review that an approval is warranted, a notice will be sent to the institution at least 30 days prior to the first day of class with a request for additional information. As described below, on June 30, 2012, the U.S. District Court for the District of Columbia invalidated the requirement that institutions seeking to offer a new program obtain prior approval from the Department of Education, based on the court’s finding that the requirement was tied to the now-invalid minimum loan repayment metric for assessing gainful employment.</w:t>
      </w:r>
    </w:p>
    <w:p>
      <w:pPr>
        <w:spacing w:after="0" w:line="27" w:lineRule="exact"/>
        <w:rPr>
          <w:rFonts w:ascii="Arial" w:cs="Arial" w:eastAsia="Arial" w:hAnsi="Arial"/>
          <w:sz w:val="15"/>
          <w:szCs w:val="15"/>
          <w:color w:val="auto"/>
        </w:rPr>
      </w:pPr>
    </w:p>
    <w:p>
      <w:pPr>
        <w:jc w:val="both"/>
        <w:ind w:left="1920" w:right="20" w:hanging="440"/>
        <w:spacing w:after="0" w:line="306" w:lineRule="auto"/>
        <w:tabs>
          <w:tab w:leader="none" w:pos="192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Debt</w:t>
      </w:r>
      <w:r>
        <w:rPr>
          <w:rFonts w:ascii="Arial" w:cs="Arial" w:eastAsia="Arial" w:hAnsi="Arial"/>
          <w:sz w:val="16"/>
          <w:szCs w:val="16"/>
          <w:color w:val="auto"/>
        </w:rPr>
        <w:t>-</w:t>
      </w:r>
      <w:r>
        <w:rPr>
          <w:rFonts w:ascii="Arial" w:cs="Arial" w:eastAsia="Arial" w:hAnsi="Arial"/>
          <w:sz w:val="16"/>
          <w:szCs w:val="16"/>
          <w:i w:val="1"/>
          <w:iCs w:val="1"/>
          <w:color w:val="auto"/>
        </w:rPr>
        <w:t xml:space="preserve">to-Earnings Ratio and Loan Repayment Rate. </w:t>
      </w:r>
      <w:r>
        <w:rPr>
          <w:rFonts w:ascii="Arial" w:cs="Arial" w:eastAsia="Arial" w:hAnsi="Arial"/>
          <w:sz w:val="16"/>
          <w:szCs w:val="16"/>
          <w:color w:val="auto"/>
        </w:rPr>
        <w:t>The metrics used to define gainful employment in the final rule are based on debt-to-earnings and loan repayment rates, but with changes from the proposed rule issued July 2010. Under the final rule, a program leads to gainful employment in a recognized occupation if it meets one of the following metrics:</w:t>
      </w:r>
    </w:p>
    <w:p>
      <w:pPr>
        <w:spacing w:after="0" w:line="25" w:lineRule="exact"/>
        <w:rPr>
          <w:rFonts w:ascii="Arial" w:cs="Arial" w:eastAsia="Arial" w:hAnsi="Arial"/>
          <w:sz w:val="16"/>
          <w:szCs w:val="16"/>
          <w:color w:val="auto"/>
        </w:rPr>
      </w:pPr>
    </w:p>
    <w:p>
      <w:pPr>
        <w:ind w:left="2380" w:right="120" w:hanging="441"/>
        <w:spacing w:after="0" w:line="298" w:lineRule="auto"/>
        <w:tabs>
          <w:tab w:leader="none" w:pos="23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Loan Repayment Rate — at least 35 percent of former students are repaying their loans. The repayment rate generally is measured using the student’s third and fourth year of repayment, with a few exceptions. If there are 30 or fewer borrowers in a two-year period, the repayment rate period will be expanded to include borrowers in the third, fourth, fifth and sixth years. If there are still fewer than 30 borrowers after that point, the program is considered to have passed the metric.</w:t>
      </w:r>
    </w:p>
    <w:p>
      <w:pPr>
        <w:spacing w:after="0" w:line="31" w:lineRule="exact"/>
        <w:rPr>
          <w:rFonts w:ascii="Arial" w:cs="Arial" w:eastAsia="Arial" w:hAnsi="Arial"/>
          <w:sz w:val="16"/>
          <w:szCs w:val="16"/>
          <w:color w:val="auto"/>
        </w:rPr>
      </w:pPr>
    </w:p>
    <w:p>
      <w:pPr>
        <w:ind w:left="2380" w:hanging="441"/>
        <w:spacing w:after="0" w:line="289" w:lineRule="auto"/>
        <w:tabs>
          <w:tab w:leader="none" w:pos="23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Debt to Earnings Ratio — either (a) the estimated annual loan repayment of a typical graduate does not exceed 30 percent of his or her discretionary income (income above 150% of the poverty level), or (b) the estimated annual loan payment of a typical graduate does not exceed 12 percent of his or her total earnings. The ratios generally will be based upon students in their third and fourth years after graduation, with the same exceptions pertaining to small cohort programs described immediately above, for the repayment rate metric. Debt will be calculated based upon the program’s median debt, which will include private loans. Annual payments will be calculated based on a 10-year standard repayment plan for certificate and associates degree programs, 15 years for bachelor’s and master’s programs, and 20 years for graduate and professional programs. Debt incurred for living expenses is excluded from the calculation.</w:t>
      </w:r>
    </w:p>
    <w:p>
      <w:pPr>
        <w:spacing w:after="0" w:line="37" w:lineRule="exact"/>
        <w:rPr>
          <w:rFonts w:ascii="Arial" w:cs="Arial" w:eastAsia="Arial" w:hAnsi="Arial"/>
          <w:sz w:val="16"/>
          <w:szCs w:val="16"/>
          <w:color w:val="auto"/>
        </w:rPr>
      </w:pPr>
    </w:p>
    <w:p>
      <w:pPr>
        <w:ind w:left="2380" w:right="20" w:hanging="441"/>
        <w:spacing w:after="0" w:line="289" w:lineRule="auto"/>
        <w:tabs>
          <w:tab w:leader="none" w:pos="23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If a program fails </w:t>
      </w:r>
      <w:r>
        <w:rPr>
          <w:rFonts w:ascii="Arial" w:cs="Arial" w:eastAsia="Arial" w:hAnsi="Arial"/>
          <w:sz w:val="16"/>
          <w:szCs w:val="16"/>
          <w:i w:val="1"/>
          <w:iCs w:val="1"/>
          <w:color w:val="auto"/>
        </w:rPr>
        <w:t>both</w:t>
      </w:r>
      <w:r>
        <w:rPr>
          <w:rFonts w:ascii="Arial" w:cs="Arial" w:eastAsia="Arial" w:hAnsi="Arial"/>
          <w:sz w:val="16"/>
          <w:szCs w:val="16"/>
          <w:color w:val="auto"/>
        </w:rPr>
        <w:t xml:space="preserve"> the Loan Repayment and Debt to Earnings metrics, then (i) </w:t>
      </w:r>
      <w:r>
        <w:rPr>
          <w:rFonts w:ascii="Arial" w:cs="Arial" w:eastAsia="Arial" w:hAnsi="Arial"/>
          <w:sz w:val="16"/>
          <w:szCs w:val="16"/>
          <w:i w:val="1"/>
          <w:iCs w:val="1"/>
          <w:color w:val="auto"/>
        </w:rPr>
        <w:t>after one failure</w:t>
      </w:r>
      <w:r>
        <w:rPr>
          <w:rFonts w:ascii="Arial" w:cs="Arial" w:eastAsia="Arial" w:hAnsi="Arial"/>
          <w:sz w:val="16"/>
          <w:szCs w:val="16"/>
          <w:color w:val="auto"/>
        </w:rPr>
        <w:t xml:space="preserve">, the institution must provide a warning to students disclosing the amount by which the program missed minimal acceptable performance and the program’s plans for improvement and establish a three-day waiting period before a student can enroll, (ii) </w:t>
      </w:r>
      <w:r>
        <w:rPr>
          <w:rFonts w:ascii="Arial" w:cs="Arial" w:eastAsia="Arial" w:hAnsi="Arial"/>
          <w:sz w:val="16"/>
          <w:szCs w:val="16"/>
          <w:i w:val="1"/>
          <w:iCs w:val="1"/>
          <w:color w:val="auto"/>
        </w:rPr>
        <w:t>after two failures within three</w:t>
      </w:r>
      <w:r>
        <w:rPr>
          <w:rFonts w:ascii="Arial" w:cs="Arial" w:eastAsia="Arial" w:hAnsi="Arial"/>
          <w:sz w:val="16"/>
          <w:szCs w:val="16"/>
          <w:color w:val="auto"/>
        </w:rPr>
        <w:t xml:space="preserve"> </w:t>
      </w:r>
      <w:r>
        <w:rPr>
          <w:rFonts w:ascii="Arial" w:cs="Arial" w:eastAsia="Arial" w:hAnsi="Arial"/>
          <w:sz w:val="16"/>
          <w:szCs w:val="16"/>
          <w:i w:val="1"/>
          <w:iCs w:val="1"/>
          <w:color w:val="auto"/>
        </w:rPr>
        <w:t>years</w:t>
      </w:r>
      <w:r>
        <w:rPr>
          <w:rFonts w:ascii="Arial" w:cs="Arial" w:eastAsia="Arial" w:hAnsi="Arial"/>
          <w:sz w:val="16"/>
          <w:szCs w:val="16"/>
          <w:color w:val="auto"/>
        </w:rPr>
        <w:t>, the institution must provide a warning to prospective and enrolled students in the failing program stating the plan it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intends to take in response, the risks associated with enrolling or continuing in the program, that the student should “expect to have difficulty repaying” the loans, and if the school chooses to discontinue the program at this stage, the timeline for doing so, and (iii) </w:t>
      </w:r>
      <w:r>
        <w:rPr>
          <w:rFonts w:ascii="Arial" w:cs="Arial" w:eastAsia="Arial" w:hAnsi="Arial"/>
          <w:sz w:val="16"/>
          <w:szCs w:val="16"/>
          <w:i w:val="1"/>
          <w:iCs w:val="1"/>
          <w:color w:val="auto"/>
        </w:rPr>
        <w:t>after three failures within four years</w:t>
      </w:r>
      <w:r>
        <w:rPr>
          <w:rFonts w:ascii="Arial" w:cs="Arial" w:eastAsia="Arial" w:hAnsi="Arial"/>
          <w:sz w:val="16"/>
          <w:szCs w:val="16"/>
          <w:color w:val="auto"/>
        </w:rPr>
        <w:t>, the program loses eligibility for federal student aid. Institutions cannot then reestablish the program’s eligibility for at least three years.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final gainful employment rules were to become effective on July 1, 2012. On June 30, 2012, the U.S. District Court for the District of Columbia found that the Department of Education failed to adequately justify the 35% minimum student loan repayment rate measure. Because the court determined that the debt-to-discretionary income ratio and the debt-to-total earnings ratio are inextricably intertwined with the minimum loan repayment rate measure, it struck down all three metrics. In addition, the court invalidated two other provisions of the gainful employment regulations—one that requires institutions seeking to offer a new program to obtain prior approval from the Department of Education, and one that requires institutions to provide data to Department of Education to calculate the two debt measures—based on the court’s finding that the provisions are tied to the now-invalid minimum loan repayment metric. Notwithstanding this ruling, in November 2012, the Department of Education issued interpretive guidance indicating that any institution operating under a provisional program participation agreement, such as Grand Canyon University, must still receive approval from the Department of Education in advance of offering any new program. With enforcement of much of the regulatory framework of the gainful employment rules now blocked, the Department of Education has not yet announced whether it will appeal the court’s decision, seek to revise the gainful employment regulations through another negotiated rulemaking session, or take other steps. We will continue to monitor the Department of Education’s next steps with respect to gainful employment regulations for any impact on our business.</w:t>
      </w:r>
    </w:p>
    <w:p>
      <w:pPr>
        <w:spacing w:after="0" w:line="12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court did not vacate the portion of the rules requiring proprietary postsecondary institutions to provide prospective students with each eligible program’s recognized occupations, cost, completion rate, job placement rate, and median loan debt of program completers. The disclosure requirements and the requirements for reporting information relating to our programs to the Department of Education and to our students have increased our administrative burdens. These reporting requirements could impact student enrollment, persistence and retention in ways that we cannot now predict. For example, if our reported program information compares unfavorably with other reporting educational institutions, it could adversely impact demand for our programs.</w:t>
      </w:r>
    </w:p>
    <w:p>
      <w:pPr>
        <w:spacing w:after="0" w:line="1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If the rules regarding gainful employment metrics are reinstated on appeal or similar rules are repromulgated by the Department in a manner that withstands challenge, the continuing eligibility of our educational programs for Title IV funding would be at risk due to factors beyond our control, such as changes in the actual or deemed income level of our graduates, changes in student borrowing levels, increases in interest rates, changes in the federal poverty income level relevant for calculating discretionary income, changes in the percentage of our former students who are current in repayment of their student loans, and other factors. The exposure to these external factors could reduce our ability to confidently offer or continue certain types of programs for which there is market demand, and therefore would impact our ability to maintain or grow our business.</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 xml:space="preserve">Substantial misrepresentation. </w:t>
      </w:r>
      <w:r>
        <w:rPr>
          <w:rFonts w:ascii="Arial" w:cs="Arial" w:eastAsia="Arial" w:hAnsi="Arial"/>
          <w:sz w:val="16"/>
          <w:szCs w:val="16"/>
          <w:color w:val="auto"/>
        </w:rPr>
        <w:t>The Higher Education Act prohibits an institution that participates in Title IV programs from engaging in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misrepresentation” of the nature of its educational program, its financial charges, or the employability of its graduates. The Department of Education’s program integrity regulations effective July 1, 2011 expanded the definition of misrepresentation and expanded the sanctions that the Department may impose for engaging in a substantial misrepresentation. Under the new rules, a misrepresentation is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 person to whom it was made could reasonably be expected to rely, or has reasonably relied, to that person’s detriment. Considering the breadth of the definition of “substantial misrepresentation,” it is possible that despite our efforts to prevent such misrepresentations, our employees or service providers may make statements that could be construed as substantial misrepresentations. As a result, we may face complaints from students and prospective students over statements made by us and our agents throughout the enrollment, admissions and financial aid process, as well as throughout attendance at the University, which would expose us to increased risk of enforcement action and applicable sanctions or other penalties and increased risk of private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under the Federal False Claims Act. Under the new rules, if the Department of Education determines that an institution has engaged in substantial misrepresentation, the Department of Education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If the Department of Education determines that statements made by us or on our behalf are in violation of the new regulations, we could be subject to sanctions and other liability, which could have a material adverse effect on our business.</w:t>
      </w:r>
    </w:p>
    <w:p>
      <w:pPr>
        <w:spacing w:after="0" w:line="12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June 2012, the U.S. Court of Appeals for the District of Columbia vacated enforcement by the Secretary of Education of violations of the expanded rules regarding misrepresentation and required the Secretary to revise the rule consistent with the court’s ruling. As of yet, the Department of Education has not issued a revised rule.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Standards that May Restrict Institutional Expansion or Other Changes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Many actions that we may wish to take in connection with expanding our operations or other changes are subject to review or approval by the applicable regulatory agencies. In addition to those matters described in detail below, most state education agencies impose regulatory requirements on educational institutions operating within their boundaries. See “State Educational Licensure and Authorization.”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Adding teaching locations, implementing new educational programs, and increasing enrollment. </w:t>
      </w:r>
      <w:r>
        <w:rPr>
          <w:rFonts w:ascii="Arial" w:cs="Arial" w:eastAsia="Arial" w:hAnsi="Arial"/>
          <w:sz w:val="18"/>
          <w:szCs w:val="18"/>
          <w:color w:val="auto"/>
        </w:rPr>
        <w:t>The requirements and standards of state education</w:t>
      </w:r>
      <w:r>
        <w:rPr>
          <w:rFonts w:ascii="Arial" w:cs="Arial" w:eastAsia="Arial" w:hAnsi="Arial"/>
          <w:sz w:val="18"/>
          <w:szCs w:val="18"/>
          <w:i w:val="1"/>
          <w:iCs w:val="1"/>
          <w:color w:val="auto"/>
        </w:rPr>
        <w:t xml:space="preserve"> </w:t>
      </w:r>
      <w:r>
        <w:rPr>
          <w:rFonts w:ascii="Arial" w:cs="Arial" w:eastAsia="Arial" w:hAnsi="Arial"/>
          <w:sz w:val="18"/>
          <w:szCs w:val="18"/>
          <w:color w:val="auto"/>
        </w:rPr>
        <w:t>agencies, accrediting 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undergraduate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w:t>
      </w:r>
    </w:p>
    <w:p>
      <w:pPr>
        <w:spacing w:after="0" w:line="14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Historically, a degree-granting institution such as us was not required to obtain the Department of Education’s approval of additional programs that lead to an associate, bachelor’s, professional, or graduate degree at the same degree level as programs previously approved by the Department of Education, and, similarly, an institution was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 However, as a condition for an institution, such as Grand Canyon University, to participate in the Title IV programs on a provisional basis, the Department of Education requires prior approval of such programs or otherwise restrict the number of programs an institution may add or the extent to which an institution can modify existing educational programs. If an institution, such as Grand Canyon University, that is required to obtain the Department of Education’s advance approval for the addition of a new program or new location, fails to do so, the institution may be liable for repayment of the Title IV program funds received by the institution or students in connection with that program or enrolled at that location. In addition, as part of the final rules adopted by the Department of Education on October 29, 2010 and effective July 1, 2011, the Department of Education issued final regulations imposing new requirements with respect to the approval of new programs. See “Regulation of Federal Student Financial Aid Programs — Approval of new programs.”</w:t>
      </w:r>
    </w:p>
    <w:p>
      <w:pPr>
        <w:spacing w:after="0" w:line="12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 xml:space="preserve">Acquiring other schools. </w:t>
      </w:r>
      <w:r>
        <w:rPr>
          <w:rFonts w:ascii="Arial" w:cs="Arial" w:eastAsia="Arial" w:hAnsi="Arial"/>
          <w:sz w:val="16"/>
          <w:szCs w:val="16"/>
          <w:color w:val="auto"/>
        </w:rPr>
        <w:t>While we have not acquired any other schools in the past, we may seek to do so in the future. The Department of Education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virtually all state education 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and others only considering approval after the acquisition has occurred. The Higher Learning Commission would require us to obtain its advance approval of such an acquisition.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12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 xml:space="preserve">Provisional certification. </w:t>
      </w:r>
      <w:r>
        <w:rPr>
          <w:rFonts w:ascii="Arial" w:cs="Arial" w:eastAsia="Arial" w:hAnsi="Arial"/>
          <w:sz w:val="16"/>
          <w:szCs w:val="16"/>
          <w:color w:val="auto"/>
        </w:rPr>
        <w:t>Each institution must apply to the Department of Education for continued certification to participate in the Title IV programs at</w:t>
      </w:r>
      <w:r>
        <w:rPr>
          <w:rFonts w:ascii="Arial" w:cs="Arial" w:eastAsia="Arial" w:hAnsi="Arial"/>
          <w:sz w:val="16"/>
          <w:szCs w:val="16"/>
          <w:i w:val="1"/>
          <w:iCs w:val="1"/>
          <w:color w:val="auto"/>
        </w:rPr>
        <w:t xml:space="preserve"> </w:t>
      </w:r>
      <w:r>
        <w:rPr>
          <w:rFonts w:ascii="Arial" w:cs="Arial" w:eastAsia="Arial" w:hAnsi="Arial"/>
          <w:sz w:val="16"/>
          <w:szCs w:val="16"/>
          <w:color w:val="auto"/>
        </w:rPr>
        <w:t>least every six years, or 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or if a school undertakes another transaction that constitutes a change in control under Department of Education regulations, the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 Students attending provisionally certified institutions remain eligible to receive Title IV program funds.</w:t>
      </w:r>
    </w:p>
    <w:p>
      <w:pPr>
        <w:spacing w:after="0" w:line="12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Since July 2008, we had been provisionally certified to participate in the Title IV programs on a month-to-month basis. On April 8, 2011, following the completion of the Department of Education’s review of information we had provided in connection with a deemed change in control that resulted from the termination in January 2011 of voting agreements that were in effect among certain of our stockholders, the Department of Education notified us that it had approved our application for a change in control and issued to us a new, provisional program participation agreement to participate in the Title IV programs. While this certification is provisional, the Department of Education’s action removed us from month-to-month status, provided for our continued participation in Title IV programs through December 31, 2013, and did not impose any conditions (such as any letter of credit requirement) or other restrictions on us during the provisional period other than the standard restrictions applicable to a provisional certification. In accordance with the terms of the provisional certification, we may apply for recertification on a full basis by submitting a complete application by no later than September 30, 2013. There can be no assurance that the Department of Education will recertify us at that time or that it will not impose restrictions as a condition of approving our application with respect to any future recertification.</w:t>
      </w:r>
    </w:p>
    <w:p>
      <w:pPr>
        <w:sectPr>
          <w:pgSz w:w="11900" w:h="16838" w:orient="portrait"/>
          <w:cols w:equalWidth="0" w:num="1">
            <w:col w:w="11400"/>
          </w:cols>
          <w:pgMar w:left="240" w:top="459" w:right="259" w:bottom="1440" w:gutter="0" w:footer="0" w:header="0"/>
        </w:sectPr>
      </w:pP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459" w:right="25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Change in ownership resulting in a change in control. </w:t>
      </w:r>
      <w:r>
        <w:rPr>
          <w:rFonts w:ascii="Arial" w:cs="Arial" w:eastAsia="Arial" w:hAnsi="Arial"/>
          <w:sz w:val="16"/>
          <w:szCs w:val="16"/>
          <w:color w:val="auto"/>
        </w:rPr>
        <w:t>The Department of Education, as well as many accrediting commissions and states, require</w:t>
      </w:r>
      <w:r>
        <w:rPr>
          <w:rFonts w:ascii="Arial" w:cs="Arial" w:eastAsia="Arial" w:hAnsi="Arial"/>
          <w:sz w:val="16"/>
          <w:szCs w:val="16"/>
          <w:i w:val="1"/>
          <w:iCs w:val="1"/>
          <w:color w:val="auto"/>
        </w:rPr>
        <w:t xml:space="preserve"> </w:t>
      </w:r>
      <w:r>
        <w:rPr>
          <w:rFonts w:ascii="Arial" w:cs="Arial" w:eastAsia="Arial" w:hAnsi="Arial"/>
          <w:sz w:val="16"/>
          <w:szCs w:val="16"/>
          <w:color w:val="auto"/>
        </w:rPr>
        <w:t>institutions of higher education to report or obtain approval of certain changes in control and changes in other aspects of institutional organization or control. With respect to publicly-traded corporations, like us, Department of Education regulations provide that a change in control occurs if, among other things, the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Under Department of Education regulations, an institution that undergoes a change in control as defined by the Department of Education loses its eligibility to participate in the Title IV programs and must apply to the Department of Education in order to reestablish such eligibility.</w:t>
      </w:r>
    </w:p>
    <w:p>
      <w:pPr>
        <w:spacing w:after="0" w:line="118"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The Higher Learning Commission provides that an institution must obtain its approval in advance of a change in ownership, corporate control or structure in order for the institution to retain its accredited status. In June 2009, the Higher Learning Commission adopted new policies and standards for the review of transactions that may constitute such a change in control. One standard provides that a transaction may be considered a change in control if an individual, entity or group increases or decreases its control of shares to greater than or less than 25% of the total outstanding shares of the stock of a parent corporation that owns or controls the accredited institution. In addition, in the event of a change in control, the Higher Learning Commission requires the institution to obtain its approval in advance of the change, and in certain circumstances that process may require several weeks or several months or more to complete. In addition, following a change in control, the Higher Learning Commission will conduct an onsite evaluation within six months in order to continue the institution’s accreditation.</w:t>
      </w:r>
    </w:p>
    <w:p>
      <w:pPr>
        <w:spacing w:after="0" w:line="14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that is owned by a publicly-traded company whose control is vested in the voting members of the board of directors, such as Grand Canyon Education, undergoes a change in control if 50% or more of the voting members of the board of directors change within a 12-month period or the chief executive officer of the corporation changes. A change in control under the definition of one of the other state agencies that regulate us might require us to obtain approval of a change in control in order to maintain our authorization to operate in that state, and in some cases such states could require us to obtain advance approval of the change in control. If we were to undergo a change in control under the standards of the Arizona State Board of Private Postsecondary Education at any time in the future, we would be required to file an application with the Arizona State Board for Private Postsecondary Education in order to obtain approval for such change in control. We cannot predict whether the Arizona State Board for Private Postsecondary Education would impose any limitations or conditions on us, or identify any compliance issues related to us in the context of the change in control process, that could result in our loss of authorization in Arizona. Any such loss would result in our loss of eligibility to participate in the Title IV programs which would cause a significant decline in our student enrollment.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i w:val="1"/>
          <w:iCs w:val="1"/>
          <w:color w:val="auto"/>
        </w:rPr>
        <w:t>You should carefully consider the risks and uncertainties described below and all other information contained in this Annual Report on Form 10-K. In order to help assess the major risks in our business, we have identified many, but not all, of these risks. Due to the scope of our operations, a wide range of factors could materially affect future developments and performance.</w:t>
      </w:r>
    </w:p>
    <w:p>
      <w:pPr>
        <w:spacing w:after="0" w:line="14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 xml:space="preserve">If any of the following risks, or risks that we do not anticipate, are realized, our business, financial condition, cash flow or results of operations could be materially and adversely affected, and as a result, the trading price of our common stock could be materially and adversely impacted. These risk factors should be read in conjunction with other information set forth in this Annual Report, including Item 7, </w:t>
      </w:r>
      <w:r>
        <w:rPr>
          <w:rFonts w:ascii="Arial" w:cs="Arial" w:eastAsia="Arial" w:hAnsi="Arial"/>
          <w:sz w:val="15"/>
          <w:szCs w:val="15"/>
          <w:i w:val="1"/>
          <w:iCs w:val="1"/>
          <w:color w:val="auto"/>
        </w:rPr>
        <w:t>Management’s Discussion and Analysis of Financial Condition and</w:t>
      </w:r>
      <w:r>
        <w:rPr>
          <w:rFonts w:ascii="Arial" w:cs="Arial" w:eastAsia="Arial" w:hAnsi="Arial"/>
          <w:sz w:val="15"/>
          <w:szCs w:val="15"/>
          <w:color w:val="auto"/>
        </w:rPr>
        <w:t xml:space="preserve"> </w:t>
      </w:r>
      <w:r>
        <w:rPr>
          <w:rFonts w:ascii="Arial" w:cs="Arial" w:eastAsia="Arial" w:hAnsi="Arial"/>
          <w:sz w:val="15"/>
          <w:szCs w:val="15"/>
          <w:i w:val="1"/>
          <w:iCs w:val="1"/>
          <w:color w:val="auto"/>
        </w:rPr>
        <w:t>Results of Operations</w:t>
      </w:r>
      <w:r>
        <w:rPr>
          <w:rFonts w:ascii="Arial" w:cs="Arial" w:eastAsia="Arial" w:hAnsi="Arial"/>
          <w:sz w:val="15"/>
          <w:szCs w:val="15"/>
          <w:color w:val="auto"/>
        </w:rPr>
        <w:t>, and Item 8,</w:t>
      </w:r>
      <w:r>
        <w:rPr>
          <w:rFonts w:ascii="Arial" w:cs="Arial" w:eastAsia="Arial" w:hAnsi="Arial"/>
          <w:sz w:val="15"/>
          <w:szCs w:val="15"/>
          <w:i w:val="1"/>
          <w:iCs w:val="1"/>
          <w:color w:val="auto"/>
        </w:rPr>
        <w:t xml:space="preserve"> Consolidated Financial Statements and Supplementary Data, </w:t>
      </w:r>
      <w:r>
        <w:rPr>
          <w:rFonts w:ascii="Arial" w:cs="Arial" w:eastAsia="Arial" w:hAnsi="Arial"/>
          <w:sz w:val="15"/>
          <w:szCs w:val="15"/>
          <w:color w:val="auto"/>
        </w:rPr>
        <w:t>including the related Notes to Consolidated Financial Statements</w:t>
      </w:r>
      <w:r>
        <w:rPr>
          <w:rFonts w:ascii="Arial" w:cs="Arial" w:eastAsia="Arial" w:hAnsi="Arial"/>
          <w:sz w:val="15"/>
          <w:szCs w:val="15"/>
          <w:i w:val="1"/>
          <w:iCs w:val="1"/>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Extensive Regulation of Our Industry</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 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126" w:lineRule="exact"/>
        <w:rPr>
          <w:sz w:val="20"/>
          <w:szCs w:val="20"/>
          <w:color w:val="auto"/>
        </w:rPr>
      </w:pPr>
    </w:p>
    <w:p>
      <w:pPr>
        <w:ind w:right="40"/>
        <w:spacing w:after="0" w:line="357" w:lineRule="auto"/>
        <w:rPr>
          <w:sz w:val="20"/>
          <w:szCs w:val="20"/>
          <w:color w:val="auto"/>
        </w:rPr>
      </w:pPr>
      <w:r>
        <w:rPr>
          <w:rFonts w:ascii="Arial" w:cs="Arial" w:eastAsia="Arial" w:hAnsi="Arial"/>
          <w:sz w:val="15"/>
          <w:szCs w:val="15"/>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ind w:right="20" w:firstLine="456"/>
        <w:spacing w:after="0" w:line="256" w:lineRule="auto"/>
        <w:rPr>
          <w:sz w:val="20"/>
          <w:szCs w:val="20"/>
          <w:color w:val="auto"/>
        </w:rPr>
      </w:pPr>
      <w:r>
        <w:rPr>
          <w:rFonts w:ascii="Arial" w:cs="Arial" w:eastAsia="Arial" w:hAnsi="Arial"/>
          <w:sz w:val="18"/>
          <w:szCs w:val="18"/>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Since July 2008, we had been provisionally certified to participate in the Title IV programs on a month-to-month basis. On April 8, 2011, following the completion of the Department of Education’s review of information we had provided in connection with a deemed change in control that resulted from the termination in January 2011 of voting agreements that were in effect among certain of our stockholders, the Department of Education notified us that it had approved our application for a change in control and issued to us a new, provisional program participation agreement to participate in the Title IV programs. While this certification is provisional, the Department of Education’s action removed us from month-to-month status, provided for our continued participation in Title IV programs through December 31, 2013, and did not impose any conditions (such as any letter of credit requirement) or other restrictions on us during the provisional period other than the standard restrictions applicable to a provisional certification. In accordance with the terms of the provisional certification, we may apply for recertification on a full basis by submitting a complete application by no later than September 30, 2013. See Item 1, </w:t>
      </w:r>
      <w:r>
        <w:rPr>
          <w:rFonts w:ascii="Arial" w:cs="Arial" w:eastAsia="Arial" w:hAnsi="Arial"/>
          <w:sz w:val="16"/>
          <w:szCs w:val="16"/>
          <w:i w:val="1"/>
          <w:iCs w:val="1"/>
          <w:color w:val="auto"/>
        </w:rPr>
        <w:t>Business — Regulation —</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 of Federal Student Financial Aid Programs — Eligibility and certification procedures</w:t>
      </w:r>
      <w:r>
        <w:rPr>
          <w:rFonts w:ascii="Arial" w:cs="Arial" w:eastAsia="Arial" w:hAnsi="Arial"/>
          <w:sz w:val="16"/>
          <w:szCs w:val="16"/>
          <w:color w:val="auto"/>
        </w:rPr>
        <w:t>. There can be no assurance that the Department of Education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will recertify us at that time or that it will not impose conditions or other restrictions on us as a condition of approving our application with respect to any future recertification. See Item 1A, </w:t>
      </w:r>
      <w:r>
        <w:rPr>
          <w:rFonts w:ascii="Arial" w:cs="Arial" w:eastAsia="Arial" w:hAnsi="Arial"/>
          <w:sz w:val="16"/>
          <w:szCs w:val="16"/>
          <w:i w:val="1"/>
          <w:iCs w:val="1"/>
          <w:color w:val="auto"/>
        </w:rPr>
        <w:t>Risk Factors — If any of the education regulatory agencies that regulate us do not approve or delay their approval of any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transaction involving us that constitutes a “change in control,” our ability to operate or participate in the Title IV programs may be impaired. </w:t>
      </w:r>
      <w:r>
        <w:rPr>
          <w:rFonts w:ascii="Arial" w:cs="Arial" w:eastAsia="Arial" w:hAnsi="Arial"/>
          <w:sz w:val="16"/>
          <w:szCs w:val="16"/>
          <w:color w:val="auto"/>
        </w:rPr>
        <w:t>If the Department</w:t>
      </w:r>
      <w:r>
        <w:rPr>
          <w:rFonts w:ascii="Arial" w:cs="Arial" w:eastAsia="Arial" w:hAnsi="Arial"/>
          <w:sz w:val="16"/>
          <w:szCs w:val="16"/>
          <w:i w:val="1"/>
          <w:iCs w:val="1"/>
          <w:color w:val="auto"/>
        </w:rPr>
        <w:t xml:space="preserve"> </w:t>
      </w:r>
      <w:r>
        <w:rPr>
          <w:rFonts w:ascii="Arial" w:cs="Arial" w:eastAsia="Arial" w:hAnsi="Arial"/>
          <w:sz w:val="16"/>
          <w:szCs w:val="16"/>
          <w:color w:val="auto"/>
        </w:rPr>
        <w:t>of Education does not renew or withdraws our certification to participate in the Title IV programs at any time, our students would no longer be able to receive Title IV program funds. Alternatively, the Department of Education could renew our certification, but restrict or delay our students’ receipt of Title IV funds, limit the number of students to whom we could disburse such funds, or place other restrictions on us, or it could delay our recertification beyond December 31, 2013, in which case our provisional certification would continue on a month-to-month basis. Any of these outcomes could have a material adverse effect on our enrollments and us.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The Department of Education is conducting a program review of Grand Canyon University, which may result in the repayment of a substantial amount of Title IV funds and may lead to fines, penalties, or other sanctions, and damage to our reputation in the industry.</w:t>
      </w:r>
    </w:p>
    <w:p>
      <w:pPr>
        <w:spacing w:after="0" w:line="4"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As part of this program review, a Department of Education program review team conducted a site visit on our campus in July 2010 and reviewed, and in some cases requested further information regarding, our records, practices and policies relating to, among other things, financial aid, enrollment, enrollment counselor compensation, program eligibility and other Title IV compliance matters.</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While we never received a formal exit interview, which we had understood to be the typical step prior to the Department of Education’s issuance of a preliminary program review report, on August 24, 2011, we received from the Department of Education a written preliminary program review report that included five findings, two of which involve individual student-specific errors concerning the monitoring of satisfactory academic progress for two students and the certification of one student’s Federal Family Educational Loan as an unsubsidized Stafford loan rather than a subsidized Stafford loan. The other three findings are as follows:</w:t>
      </w:r>
    </w:p>
    <w:p>
      <w:pPr>
        <w:spacing w:after="0" w:line="62" w:lineRule="exact"/>
        <w:rPr>
          <w:sz w:val="20"/>
          <w:szCs w:val="20"/>
          <w:color w:val="auto"/>
        </w:rPr>
      </w:pPr>
    </w:p>
    <w:p>
      <w:pPr>
        <w:ind w:left="1480" w:right="20" w:hanging="567"/>
        <w:spacing w:after="0" w:line="287" w:lineRule="auto"/>
        <w:tabs>
          <w:tab w:leader="none" w:pos="148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Incentive compensation issue</w:t>
      </w:r>
      <w:r>
        <w:rPr>
          <w:rFonts w:ascii="Arial" w:cs="Arial" w:eastAsia="Arial" w:hAnsi="Arial"/>
          <w:sz w:val="16"/>
          <w:szCs w:val="16"/>
          <w:color w:val="auto"/>
        </w:rPr>
        <w:t>. During a portion of the period under review, we had in place a compensation plan for our enrollment</w:t>
      </w:r>
      <w:r>
        <w:rPr>
          <w:rFonts w:ascii="Arial" w:cs="Arial" w:eastAsia="Arial" w:hAnsi="Arial"/>
          <w:sz w:val="16"/>
          <w:szCs w:val="16"/>
          <w:i w:val="1"/>
          <w:iCs w:val="1"/>
          <w:color w:val="auto"/>
        </w:rPr>
        <w:t xml:space="preserve"> </w:t>
      </w:r>
      <w:r>
        <w:rPr>
          <w:rFonts w:ascii="Arial" w:cs="Arial" w:eastAsia="Arial" w:hAnsi="Arial"/>
          <w:sz w:val="16"/>
          <w:szCs w:val="16"/>
          <w:color w:val="auto"/>
        </w:rPr>
        <w:t>counselors that was designed to comply with the regulatory “safe harbor” in effect during such period that allowed companies to make adjustments to fixed compensation for enrollment personnel, provided that any such adjustment (i) was not made more than twice during any twelve month period, and (ii) was not based solely on the number of students recruited, admitted, enrolled, or awarded financial aid. The plan at issue provided for enrollment counselor performance to be reviewed on a number of non-enrollment-related factors that could account for a substantial portion of any potential base compensation adjustment. The preliminary program review report does not appear to set forth any definitive finding regarding the plan, but the Department of Education has requested additional information from us regarding our enrollment counselor compensation practices and policies in effect during the period under review. We continue to believe that the plan at issue, both as designed and as applied, did not base compensation solely on success in enrolling students in violation of applicable law. We are continuing our efforts to communicate with the Department of Education to resolve this matter.</w:t>
      </w:r>
    </w:p>
    <w:p>
      <w:pPr>
        <w:spacing w:after="0" w:line="41" w:lineRule="exact"/>
        <w:rPr>
          <w:rFonts w:ascii="Arial" w:cs="Arial" w:eastAsia="Arial" w:hAnsi="Arial"/>
          <w:sz w:val="16"/>
          <w:szCs w:val="16"/>
          <w:color w:val="auto"/>
        </w:rPr>
      </w:pPr>
    </w:p>
    <w:p>
      <w:pPr>
        <w:ind w:left="1480" w:right="20" w:hanging="567"/>
        <w:spacing w:after="0" w:line="288" w:lineRule="auto"/>
        <w:tabs>
          <w:tab w:leader="none" w:pos="148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Gainful employment issue</w:t>
      </w:r>
      <w:r>
        <w:rPr>
          <w:rFonts w:ascii="Arial" w:cs="Arial" w:eastAsia="Arial" w:hAnsi="Arial"/>
          <w:sz w:val="16"/>
          <w:szCs w:val="16"/>
          <w:color w:val="auto"/>
        </w:rPr>
        <w:t>. The preliminary program review report sets forth the Department of Education’s position that our Bachelor of</w:t>
      </w:r>
      <w:r>
        <w:rPr>
          <w:rFonts w:ascii="Arial" w:cs="Arial" w:eastAsia="Arial" w:hAnsi="Arial"/>
          <w:sz w:val="16"/>
          <w:szCs w:val="16"/>
          <w:i w:val="1"/>
          <w:iCs w:val="1"/>
          <w:color w:val="auto"/>
        </w:rPr>
        <w:t xml:space="preserve"> </w:t>
      </w:r>
      <w:r>
        <w:rPr>
          <w:rFonts w:ascii="Arial" w:cs="Arial" w:eastAsia="Arial" w:hAnsi="Arial"/>
          <w:sz w:val="16"/>
          <w:szCs w:val="16"/>
          <w:color w:val="auto"/>
        </w:rPr>
        <w:t>Arts in Interdisciplinary Studies program was not an eligible program under Title IV because it did not provide students with training to prepare them for gainful employment in a recognized occupation. Historically, this “gainful employment” standard has been a requirement for Title IV eligibility for programs offered at proprietary institutions of higher education such as Grand Canyon University although, pursuant to legislation passed in 2008 and effective as of July 1, 2010, this requirement no longer applies to designated liberal arts programs offered by us and certain other institutions that have held accreditation by a regional accrediting agency since a date on or before October 1, 2007 (we have held a regional accreditation since 1968). We believe that our Interdisciplinary Studies program, which we first offered in Fall 2007 in response to a request by one of our employer-partners, was an eligible program under the “gainful employment” standard in effect prior to July 1, 2010. We are continuing our efforts to communicate with the Department of Education to resolve this matter.</w:t>
      </w:r>
    </w:p>
    <w:p>
      <w:pPr>
        <w:spacing w:after="0" w:line="38" w:lineRule="exact"/>
        <w:rPr>
          <w:rFonts w:ascii="Arial" w:cs="Arial" w:eastAsia="Arial" w:hAnsi="Arial"/>
          <w:sz w:val="16"/>
          <w:szCs w:val="16"/>
          <w:color w:val="auto"/>
        </w:rPr>
      </w:pPr>
    </w:p>
    <w:p>
      <w:pPr>
        <w:ind w:left="1480" w:right="40" w:hanging="567"/>
        <w:spacing w:after="0" w:line="288" w:lineRule="auto"/>
        <w:tabs>
          <w:tab w:leader="none" w:pos="148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Inadequate procedures related to non-passing grades. </w:t>
      </w:r>
      <w:r>
        <w:rPr>
          <w:rFonts w:ascii="Arial" w:cs="Arial" w:eastAsia="Arial" w:hAnsi="Arial"/>
          <w:sz w:val="16"/>
          <w:szCs w:val="16"/>
          <w:color w:val="auto"/>
        </w:rPr>
        <w:t>The preliminary program review report sets forth the Department of Education’s</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that, during the period under review and prior to the time we converted from a term-based financial aid system to a non-term, borrower-based financial aid system in mid-2010, we failed to have an accurate system in place that would enable us to determine if students with non-passing grades for a term had no documented attendance for the term or should have been treated as unofficial withdrawals for the term, thereby potentially requiring us to return all or a portion of the Title IV monies previously received with respect to such students. Although we are confident in the legal sufficiency of our policies that were in place during the period under review, we are continuing to make efforts to discuss this finding with the Department of Education regarding this finding. As part of the process of reviewing and responding to this finding, the Department of Education has requested that we conduct a further review of student files and provide additional information to the Department of Education following the completion of such review.</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have provided responses on these issues as required by the Department of Education and are continuing our efforts to communicate with the Department of Education to resolve the issues raised in the preliminary program review report. With respect to the issue regarding inadequate procedures related to non-passing grades in particular, we have continued to review student files for the period from July 1, 2008 to June 30, 2010 in accordance with the Department of Education’s request. Although we have not completed the file review, we have determined, based on current interpretations provided by the Department of Education, that certain Pell grants received by us for students that later unofficially withdrew should have been returned under applicable return to Title IV rules. Although when we make a return to Title IV the applicable students are obligated to repay us for the amounts returned, we have decided that we will not seek reimbursement from the applicable students once these Pell returns are made. During the year ended December 31, 2012 we reserved $3.5 million related to these refunds. We are unable, at this time, to determine whether additional refunds will be necessary as a result of the preliminary findings.</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cannot presently predict whether or if further information requests will be made, how the foregoing issues will be resolved, when the final program review determination letter will be issued, or when the program review will be closed. At this time, the Department of Education has not specified the amount of any potential refunds or penalties that it may seek or assess. Our policies and procedures are planned and implemented to comply with the applicable standards and regulations under Title IV and we are committed to resolving any issues of non-compliance identified in the final program review determination letter and ensuring that we operate in compliance with all Department of Education requirements. If the Department of Education were to make significant findings of non-compliance in the final program review determination letter, then, after exhausting any administrative appeals available to us, we could be required to pay a fine, return Title IV monies previously received, or be subjected to other administrative sanctions. While we cannot currently predict the final outcome of the Department of Education review, any such final adverse finding could damage our reputation in the industry and have a material adverse effect on our business, results of operations, cash flows and financial position.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Rulemaking by the U.S. Department of Education could materially and adversely affect our business.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U.S. Department of Education has promulgated a substantial number of new regulations in the past three years that impact our business, including the following:</w:t>
      </w:r>
    </w:p>
    <w:p>
      <w:pPr>
        <w:spacing w:after="0" w:line="51" w:lineRule="exact"/>
        <w:rPr>
          <w:sz w:val="20"/>
          <w:szCs w:val="20"/>
          <w:color w:val="auto"/>
        </w:rPr>
      </w:pPr>
    </w:p>
    <w:p>
      <w:pPr>
        <w:ind w:left="1480" w:hanging="567"/>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 during 2010:</w:t>
      </w:r>
    </w:p>
    <w:p>
      <w:pPr>
        <w:spacing w:after="0" w:line="90" w:lineRule="exact"/>
        <w:rPr>
          <w:rFonts w:ascii="Arial" w:cs="Arial" w:eastAsia="Arial" w:hAnsi="Arial"/>
          <w:sz w:val="18"/>
          <w:szCs w:val="18"/>
          <w:color w:val="auto"/>
        </w:rPr>
      </w:pPr>
    </w:p>
    <w:p>
      <w:pPr>
        <w:ind w:left="2380" w:right="300" w:hanging="319"/>
        <w:spacing w:after="0" w:line="268" w:lineRule="auto"/>
        <w:tabs>
          <w:tab w:leader="none" w:pos="2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Regulations relating to institutional eligibility under the Higher Education Act and the Secretary’s recognition of accrediting agencies; and</w:t>
      </w:r>
    </w:p>
    <w:p>
      <w:pPr>
        <w:spacing w:after="0" w:line="50" w:lineRule="exact"/>
        <w:rPr>
          <w:rFonts w:ascii="Arial" w:cs="Arial" w:eastAsia="Arial" w:hAnsi="Arial"/>
          <w:sz w:val="18"/>
          <w:szCs w:val="18"/>
          <w:color w:val="auto"/>
        </w:rPr>
      </w:pPr>
    </w:p>
    <w:p>
      <w:pPr>
        <w:ind w:left="2380" w:hanging="319"/>
        <w:spacing w:after="0"/>
        <w:tabs>
          <w:tab w:leader="none" w:pos="23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Regulations regarding institution and lender requirements relating to education loans under the Higher Education Act.</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 during 2011:</w:t>
      </w:r>
    </w:p>
    <w:p>
      <w:pPr>
        <w:spacing w:after="0" w:line="90" w:lineRule="exact"/>
        <w:rPr>
          <w:rFonts w:ascii="Arial" w:cs="Arial" w:eastAsia="Arial" w:hAnsi="Arial"/>
          <w:sz w:val="18"/>
          <w:szCs w:val="18"/>
          <w:color w:val="auto"/>
        </w:rPr>
      </w:pPr>
    </w:p>
    <w:p>
      <w:pPr>
        <w:ind w:left="2380" w:right="260" w:hanging="319"/>
        <w:spacing w:after="0" w:line="268" w:lineRule="auto"/>
        <w:tabs>
          <w:tab w:leader="none" w:pos="2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Regulations removing certain “safe harbors” that previously defined the limits of the prohibition on the payment of incentive compensation to persons involved in enrollment and financial functions;</w:t>
      </w:r>
    </w:p>
    <w:p>
      <w:pPr>
        <w:spacing w:after="0" w:line="50" w:lineRule="exact"/>
        <w:rPr>
          <w:rFonts w:ascii="Arial" w:cs="Arial" w:eastAsia="Arial" w:hAnsi="Arial"/>
          <w:sz w:val="18"/>
          <w:szCs w:val="18"/>
          <w:color w:val="auto"/>
        </w:rPr>
      </w:pPr>
    </w:p>
    <w:p>
      <w:pPr>
        <w:ind w:left="2380" w:right="860" w:hanging="319"/>
        <w:spacing w:after="0" w:line="332" w:lineRule="auto"/>
        <w:tabs>
          <w:tab w:leader="none" w:pos="23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Regulations requiring institutions that participate in Title IV programs to be authorized to operate by the appropriate postsecondary regulatory authority in each state where the institution has a physical presence;</w:t>
      </w:r>
    </w:p>
    <w:p>
      <w:pPr>
        <w:spacing w:after="0" w:line="4" w:lineRule="exact"/>
        <w:rPr>
          <w:rFonts w:ascii="Arial" w:cs="Arial" w:eastAsia="Arial" w:hAnsi="Arial"/>
          <w:sz w:val="16"/>
          <w:szCs w:val="16"/>
          <w:color w:val="auto"/>
        </w:rPr>
      </w:pPr>
    </w:p>
    <w:p>
      <w:pPr>
        <w:ind w:left="2380" w:right="80" w:hanging="319"/>
        <w:spacing w:after="0" w:line="259" w:lineRule="auto"/>
        <w:tabs>
          <w:tab w:leader="none" w:pos="2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Regulations defining for the first time the standards to measure “preparation for gainful employment,” instituting consequences of failing the standards, and requiring reporting of certain data to the Department of Education (such regulations were vacated by the U.S. District Court for the District of Columbia in 2012); and</w:t>
      </w:r>
    </w:p>
    <w:p>
      <w:pPr>
        <w:spacing w:after="0" w:line="59" w:lineRule="exact"/>
        <w:rPr>
          <w:rFonts w:ascii="Arial" w:cs="Arial" w:eastAsia="Arial" w:hAnsi="Arial"/>
          <w:sz w:val="18"/>
          <w:szCs w:val="18"/>
          <w:color w:val="auto"/>
        </w:rPr>
      </w:pPr>
    </w:p>
    <w:p>
      <w:pPr>
        <w:ind w:left="2380" w:right="120" w:hanging="319"/>
        <w:spacing w:after="0" w:line="268" w:lineRule="auto"/>
        <w:tabs>
          <w:tab w:leader="none" w:pos="2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Regulations expanding the definition of misrepresentation and the sanctions that the Department may impose for engaging in a substantial misrepresentation (such regulations were partially remanded and vacated in 2012).</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 during 2012:</w:t>
      </w:r>
    </w:p>
    <w:p>
      <w:pPr>
        <w:spacing w:after="0" w:line="90" w:lineRule="exact"/>
        <w:rPr>
          <w:rFonts w:ascii="Arial" w:cs="Arial" w:eastAsia="Arial" w:hAnsi="Arial"/>
          <w:sz w:val="18"/>
          <w:szCs w:val="18"/>
          <w:color w:val="auto"/>
        </w:rPr>
      </w:pPr>
    </w:p>
    <w:p>
      <w:pPr>
        <w:ind w:left="2380" w:hanging="319"/>
        <w:spacing w:after="0"/>
        <w:tabs>
          <w:tab w:leader="none" w:pos="2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Regulations requiring certain disclosures to students related to gainful employment.</w:t>
      </w:r>
    </w:p>
    <w:p>
      <w:pPr>
        <w:spacing w:after="0" w:line="171"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These regulations have increased our operating costs and in some cases required us to change the manner in which we operate our business. In addition, because certain of these regulations have been vacated or blocked as a result of litigation challenging the regulations, there remains substantial uncertainty regarding their present or future effectiveness or enforcement. New or amended regulations in the future, particularly regulations focused on the proprietary sector, could further negatively impact our business.</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Increased disclosure and recordkeeping requirements could result in lower enrollment or growth rates in a manner that materially and adversely affects our business.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final rules issued by Department of Education on October 29, 2010 and effective July 1, 2011 require that, for each program leading to “gainful employment” in a recognized occupation, institutions must provide prospective students with information concerning the occupation that the program prepares students to enter, the program’s on-time graduation rate, and the tuition and fees it charges a student for completing the program within normal time, as well as the costs of books, supplies, room, and board, and the median loan debt incurred by students who completed the program. Institutions must also provide the Department of Education with information that will allow determination of student debt levels and incomes after program completion. These new reporting and disclosure requirements have caused increased administrative burden and costs and may have a negative effect on our growth and enrollments.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In recent periods, the U.S. Congress has commenced an examination of the for-profit education sector that could result in legislation or further U.S. Department of Education rulemaking restricting Title IV program participation by proprietary schools in a manner that materially and adversely affects our business.</w:t>
      </w:r>
    </w:p>
    <w:p>
      <w:pPr>
        <w:spacing w:after="0" w:line="59"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recent years, there has been increased focus by Congress on the role that proprietary educational institutions play in higher education. See “Item 1. Business – Regulation – Regulation of Federal Student Financial Aid – Congressional action.”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113" w:lineRule="exact"/>
        <w:rPr>
          <w:sz w:val="20"/>
          <w:szCs w:val="20"/>
          <w:color w:val="auto"/>
        </w:rPr>
      </w:pPr>
    </w:p>
    <w:p>
      <w:pPr>
        <w:ind w:right="440"/>
        <w:spacing w:after="0" w:line="357" w:lineRule="auto"/>
        <w:rPr>
          <w:sz w:val="20"/>
          <w:szCs w:val="20"/>
          <w:color w:val="auto"/>
        </w:rPr>
      </w:pPr>
      <w:r>
        <w:rPr>
          <w:rFonts w:ascii="Arial" w:cs="Arial" w:eastAsia="Arial" w:hAnsi="Arial"/>
          <w:sz w:val="15"/>
          <w:szCs w:val="15"/>
          <w:b w:val="1"/>
          <w:bCs w:val="1"/>
          <w:i w:val="1"/>
          <w:iCs w:val="1"/>
          <w:color w:val="auto"/>
        </w:rPr>
        <w:t>A reduction in funding or new restrictions on eligibility for the Federal Pell Grant Program, or the elimination of subsidized Stafford loans, could make college less affordable for certain students at our institution, which could negatively impact our enrollments, revenue and results of operations.</w:t>
      </w:r>
    </w:p>
    <w:p>
      <w:pPr>
        <w:ind w:right="20" w:firstLine="456"/>
        <w:spacing w:after="0" w:line="256" w:lineRule="auto"/>
        <w:rPr>
          <w:sz w:val="20"/>
          <w:szCs w:val="20"/>
          <w:color w:val="auto"/>
        </w:rPr>
      </w:pPr>
      <w:r>
        <w:rPr>
          <w:rFonts w:ascii="Arial" w:cs="Arial" w:eastAsia="Arial" w:hAnsi="Arial"/>
          <w:sz w:val="18"/>
          <w:szCs w:val="18"/>
          <w:color w:val="auto"/>
        </w:rPr>
        <w:t>The U.S. Congress must periodically reauthorize the Higher Education Act and annually determine the funding level for each Title IV program. In 2008, the Higher Education Act was reauthorized through September 30, 2013 by the Higher Education Opportunity Act. Changes to the Higher Education Act, including changes in eligibility and funding for Title IV programs, are likely to occur in subsequent reauthorizations, but we cannot predict the scope or substance of any such changes.</w:t>
      </w:r>
    </w:p>
    <w:p>
      <w:pPr>
        <w:spacing w:after="0" w:line="14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April 2011, Congress permanently eliminated year-round Pell Grant awards beginning with the 2011-2012 award year as part of the fiscal year 2011 Continuing Resolution Spending Bill. We believe this change, which did not reduce the maximum annual grant level, has had and will have only a nominal impact on our business. However, because the Pell Grant program is one of the largest non-defense discretionary spending programs in the federal budget, it is a target for reduction as Congress addresses the budget deficit. A reduction in the maximum annual Pell Grant amount or changes in eligibility could result in increased student borrowing, which would make it more difficult for us to comply with other important regulatory requirements, and could negatively impact enrollment.</w:t>
      </w:r>
    </w:p>
    <w:p>
      <w:pPr>
        <w:spacing w:after="0" w:line="14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August 2011, President Obama signed into law the Budget Control Act of 2011, which provides for an increase in the federal government borrowing limit and spending reductions in two phases. The first phase imposed various spending cuts, including the elimination of the partial in-school interest subsidy for graduate student loans as of July 1, 2012. The cost of borrowing has increased for graduate students who defer payment of interest while enrolled, which could adversely impact enrollment. Also effective July 1, 2012, Congress eliminated Pell Grants for students without a high school diploma or G.E.D., but who have demonstrated an ability to benefit from postsecondary education. In December 2011, Congress passed the federal fiscal year 2012 budget, which included the nine remaining appropriations bills needed to fund the federal government for the remainder of the 2012 federal fiscal year. The Consolidated Appropriations Act of 2012 (Appropriations Act), which President Obama signed on December 23, 2011, included award year 2012-2013 funding levels for Title IV Programs and maintained a $5,550 maximum Federal Pell Grant for the 2012-2013 award year by cutting spending on the other student aid programs and placing new restrictions on eligibility. Additionally, the Appropriations Act reduced the maximum income that makes an applicant for Title IV Program funds eligible for an automatic zero Expected Family Contribution from $32,000 to $23,000. This will reduce the number of students eligible for the maximum Federal Pell Grant. Furthermore, the Appropriations Act eliminated the automatic 10% Pell Grant award for students whose calculated award is at least 5% of the maximum Pell Grant but less than 10%. Although the Pell Grant program currently is exempt from the sequestration process, other federal programs and services that could impact our business would be included.</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confluence of the increasing scrutiny in Congress of the proprietary education sector and the federal budget deficit increases the likelihood of legislation that will adversely impact our business. For example, Congress could extend the elimination of the in-school interest subsidy to undergraduate students or to undergraduate students in proprietary institutions, reduce the maximum amount of or change the eligibility standards for student loans and/or Pell Grants or make other material changes in Title IV programs driven by policy considerations, economic considerations or both. Any action by Congress that significantly reduces Title IV program funding, whether through across-the-board funding reductions, sequestration or otherwise, or materially impacts the eligibility of our institutions or students to participate in Title IV programs would have a material adverse effect on our enrollment, financial condition, results of operations and cash flows. Congressional action could also require us to modify our practices in ways that could increase our administrative costs and reduce our operating income, which could have a material adverse effect on our financial condition, results of operations and cash flows.</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Congress significantly reduced the amount of available Title IV program funding, we would attempt to arrange for alternative sources of financial aid for our students, which may include lending funds directly to our students, but private sources would not be able to provide as much funding to our students on as favorable terms as is currently provided by Title IV. In addition, private organizations could require us to guarantee all or part of this assistance and we might incur other additional costs. For these reasons, private, alternative sources of student financial aid would only partly offset, if at all, the impact on our business of reduced Title IV program funding.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57" w:lineRule="auto"/>
        <w:rPr>
          <w:sz w:val="20"/>
          <w:szCs w:val="20"/>
          <w:color w:val="auto"/>
        </w:rPr>
      </w:pPr>
      <w:r>
        <w:rPr>
          <w:rFonts w:ascii="Arial" w:cs="Arial" w:eastAsia="Arial" w:hAnsi="Arial"/>
          <w:sz w:val="15"/>
          <w:szCs w:val="15"/>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ind w:right="60" w:firstLine="456"/>
        <w:spacing w:after="0" w:line="287" w:lineRule="auto"/>
        <w:rPr>
          <w:sz w:val="20"/>
          <w:szCs w:val="20"/>
          <w:color w:val="auto"/>
        </w:rPr>
      </w:pPr>
      <w:r>
        <w:rPr>
          <w:rFonts w:ascii="Arial" w:cs="Arial" w:eastAsia="Arial" w:hAnsi="Arial"/>
          <w:sz w:val="16"/>
          <w:szCs w:val="16"/>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consolidated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program funds to either the reimbursement or the heightened cash monitoring system, which could result in a significant delay in the institution’s receipt of those funds. If, in the future, we fail to satisfy the Department of Education’s financial responsibility standards, we could experience increased regulatory compliance costs or delays in our receipt of Title IV program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12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the institution to have an adequate number of qualified personnel to administer the Title IV programs, have adequate procedures for disbursing and safeguarding Title IV funds and for maintaining records, submit all required reports and consolidated financial statements in a timely manner, and not have significant problems that affect the institution’s ability to administer the Title IV programs. If we fail to satisfy any of these criteria, the Department of Education may assess financial penalties against us, restrict the manner in which we receive Title IV funds, require us to post a letter of credit, place us on provisional certification status, or limit or terminate our participation in the Title IV programs, any of which could materially adversely affect us.</w:t>
      </w:r>
    </w:p>
    <w:p>
      <w:pPr>
        <w:spacing w:after="0" w:line="11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5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institutional control, institutional integrity, educational quality, faculty, administrative capability, resources, and financial stability. We were reaccredited by the Higher Learning Commission in 2007, and the next scheduled comprehensive evaluation will be conducted in 2016-2017. If we fail to satisfy any of the Higher Learning Commission’s standards, we could lose our accreditation by the Higher Learning Commission, which would cause us to lose our eligibility to participate in the Title IV programs, could cause a significant decline in our total student enrollments, and could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123"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On July 31, 2012, we announced that, among other leadership changes, our Board of Directors had appointed Mr. Brian E. Mueller, our Chief Executive Officer, to the additional position of President of Grand Canyon University, effective September 1, 2012, replacing Dr. Kathy Player, who, effective September 1, 2012, had resigned to accept the position of Associate Provost. In accordance with the Higher Learning Commission’s rules, we promptly notified the Higher Learning Commission to these changes. In response to a request from the Higher Learning Commission thereafter, we provided the Higher Learning Commission with information related to the Grand Canyon University academic governance structure, including copies of our corporate documents, the bylaws governing Grand Canyon University’s Board of Trustees, organizational charts and information about the individuals comprising our Board of Directors and the Board of Trustees of Grand Canyon University. In November 2012, the Higher Learning Commission notified us that the manner in which the Board of Trustees of Grand Canyon University was structured relative to our corporate Board of Directors may not comply with new accreditation policies scheduled to take effect on January 1, 2013 that require the board of trustees of an accredited institution to have a certain degree of independence and autonomy in their oversight of the financial and academic affairs of an accredited institution. In response to this notice, we reviewed the Higher Learning Commission’s new accreditation policies as they relate to the autonomy of the Board of Trustees of Grand Canyon University, revised and updated the bylaws governing the Board of Trustees in a manner which we believe complies with the new accreditation policies, implemented these new bylaws effective as of January 1, 2013, and provided a copy of the new bylaws to the Higher Learning Commission. At this point, we believe we are in compliance with the Higher Learning Commission’s policies on institutional control and are not aware of any further issues that the Higher Learning Commission may have.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our state authorization in Arizona, we may not operate or participate in the Title IV programs.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we experience a change in control under the standards of the Department of Education, the Higher Learning Commission, the Arizona State Board for Private Postsecondary Education, or any other applicable state education agency or accrediting commission, we must notify and/or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With respect to publicly-traded corporations, like us, they also may include cases where a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or other transactions or events may be beyond our control. Our failure to obtain, or a delay in receiving, approval of any change in control from the Department of Education, the Higher Learning Commission, or the Arizona State Board for Private Postsecondary Education could impair our ability to operate or participate in the Title IV programs, which could have a material adverse effect on our business, prospects, financial condition, and results of operations.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12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failure to comply with the regulatory requirements of states other than Arizona could result in actions taken by those states or the Department of Education that could have a material adverse effect on our enrollments.</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Almost every state imposes regulatory requirements on educational institutions that have physical facilities located within the state’s boundaries. These regulatory requirements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 See Item 1. </w:t>
      </w:r>
      <w:r>
        <w:rPr>
          <w:rFonts w:ascii="Arial" w:cs="Arial" w:eastAsia="Arial" w:hAnsi="Arial"/>
          <w:sz w:val="16"/>
          <w:szCs w:val="16"/>
          <w:i w:val="1"/>
          <w:iCs w:val="1"/>
          <w:color w:val="auto"/>
        </w:rPr>
        <w:t>Business — Regulation — Regulation of Federal Student Financial Aid Programs — State authorization</w:t>
      </w:r>
      <w:r>
        <w:rPr>
          <w:rFonts w:ascii="Arial" w:cs="Arial" w:eastAsia="Arial" w:hAnsi="Arial"/>
          <w:sz w:val="16"/>
          <w:szCs w:val="16"/>
          <w:color w:val="auto"/>
        </w:rPr>
        <w:t>. Because state regulatory requirements for online education vary among the states, are not well developed in many states, are imprecise or unclear in some states, and can change frequently, it is unclear how the new Department of Education regulation will be enforced and what impact it will have on us. New 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 In the future, states could coordinate their efforts in order to more aggressively attempt to regulate or restrict schools’ offering of online education.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Arizona, we have determined that our activities in certain states constitute a presence requiring licensure or authorization under the requirements of the state education agency in those states, which we have obtained. In certain other states, we have obtained approvals to operate as we have determined necessary in connection with our marketing and recruiting activities or where we have determined that our licensure or authorization can facilitate the teaching certification process in a particular state for graduates of our College of Education. We review the licensure or authorization requirements of other states when appropriate to determine whether our activities in those states constitute a presence or otherwise require licensure or authorization by the applicable state education agencies. Because state regulatory requirements, including agency interpretations, can change frequently, and because we enroll students in all 50 states and the District of Columbia, we expect that state regulatory authorities in states where we are not currently licensed or authorized will request that we seek licensure or authorization in their states in the future. Although we believe that we will be able to comply with additional state licensing or authorization requirements that may arise or be asserted in the future, including under the new Department of Education regulation,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and fines and penalties imposed by, that state, as well as fines, penalties, and sanctions imposed by the Department of Education.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State laws and regulations are not always precise or clear, and regulatory agencies may sometimes disagree with the way we have interpreted or applied these requirements. Any misinterpretation by us of these regulatory requirements or adverse changes in regulations or interpretations thereof by regulators could materially adversely affect us.</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cause us to pay monetary damages, be sanctioned or limited in our operations, and expend significant resources to defend against those claims.</w:t>
      </w:r>
    </w:p>
    <w:p>
      <w:pPr>
        <w:spacing w:after="0" w:line="5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Because we operate in a highly regulated industry, we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Item 1, </w:t>
      </w:r>
      <w:r>
        <w:rPr>
          <w:rFonts w:ascii="Arial" w:cs="Arial" w:eastAsia="Arial" w:hAnsi="Arial"/>
          <w:sz w:val="16"/>
          <w:szCs w:val="16"/>
          <w:i w:val="1"/>
          <w:iCs w:val="1"/>
          <w:color w:val="auto"/>
        </w:rPr>
        <w:t>Business — Regulation — Regulation of Federal Student Financial Aid Programs.</w:t>
      </w:r>
      <w:r>
        <w:rPr>
          <w:rFonts w:ascii="Arial" w:cs="Arial" w:eastAsia="Arial" w:hAnsi="Arial"/>
          <w:sz w:val="16"/>
          <w:szCs w:val="16"/>
          <w:color w:val="auto"/>
        </w:rPr>
        <w:t xml:space="preserve"> As we grow larger, this scrutiny of our business may increase. See Item 1A, </w:t>
      </w:r>
      <w:r>
        <w:rPr>
          <w:rFonts w:ascii="Arial" w:cs="Arial" w:eastAsia="Arial" w:hAnsi="Arial"/>
          <w:sz w:val="16"/>
          <w:szCs w:val="16"/>
          <w:i w:val="1"/>
          <w:iCs w:val="1"/>
          <w:color w:val="auto"/>
        </w:rPr>
        <w:t>Risk Factors — The Department of Education is conducting a program review of Grand Canyon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University, which may result in fines, penalties, other sanctions, and damage to our reputation in the industry. </w:t>
      </w:r>
      <w:r>
        <w:rPr>
          <w:rFonts w:ascii="Arial" w:cs="Arial" w:eastAsia="Arial" w:hAnsi="Arial"/>
          <w:sz w:val="16"/>
          <w:szCs w:val="16"/>
          <w:color w:val="auto"/>
        </w:rPr>
        <w:t>If the result of any such proceeding is unfavorable</w:t>
      </w:r>
      <w:r>
        <w:rPr>
          <w:rFonts w:ascii="Arial" w:cs="Arial" w:eastAsia="Arial" w:hAnsi="Arial"/>
          <w:sz w:val="16"/>
          <w:szCs w:val="16"/>
          <w:i w:val="1"/>
          <w:iCs w:val="1"/>
          <w:color w:val="auto"/>
        </w:rPr>
        <w:t xml:space="preserve"> </w:t>
      </w:r>
      <w:r>
        <w:rPr>
          <w:rFonts w:ascii="Arial" w:cs="Arial" w:eastAsia="Arial" w:hAnsi="Arial"/>
          <w:sz w:val="16"/>
          <w:szCs w:val="16"/>
          <w:color w:val="auto"/>
        </w:rPr>
        <w:t>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2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A decline in the overall growth of enrollment in postsecondary institutions, or in the number of students seeking degrees online or in our core disciplines, could cause us to experience lower enrollment, which could negatively impact our future growth.</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Based on industry analyses, we believe that enrollment growth in degree-granting, postsecondary institutions is slowing and that the number of high school graduates that are eligible to enroll in degree-granting, postsecondary institutions is expected to decrease over the next few years.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fewer students may seek the types of degrees that we offer. Our failure to attract new students, or the decisions by prospective students to seek degrees in other disciplines, would have an adverse impact on our future growth.</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Criticisms of the overall student lending and postsecondary education sectors may impact general public perceptions of educational institutions, including us, in a negative manner. Adverse media coverage regarding other educational institutions or regarding us directly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such as the ones we make available to our students, could reduce student demand for our programs, adversely impact our revenues and operating profit or result in increased regulatory scrutiny.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reputation and our stock price may be negatively affected by adverse publicity or by the actions of other postsecondary educational institutions.</w:t>
      </w:r>
    </w:p>
    <w:p>
      <w:pPr>
        <w:spacing w:after="0" w:line="11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In addition to the Congressional and regulatory activities focused on for-profit educational institutions beginning in 2010 and since, 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percentage of our revenue that is derived from the Title IV programs is too high, we may lose our eligibility to participate in those programs.</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 requirement of the Higher Education Act, commonly referred to as the “90/10 Rule,” that is applicable only to for-profit, postsecondary educational institutions like us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w:t>
      </w:r>
    </w:p>
    <w:p>
      <w:pPr>
        <w:spacing w:after="0" w:line="12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August 2008 reauthorization of the Higher Education Act included significant revisions to the 90/10 Rule that became effective upon the date of the law’s enactment, including provisions that allowed institutions, when calculating their compliance with this revenue test, to exclude from their Title IV program revenue for a three-year period ended June 30, 2011 the additional federal student loan amounts that became available through the Unsubsidized Stafford Loan Program starting in July 2008, and to include more non-Title IV revenue, such as revenue from institutional loans under certain circumstances. Given the level of complexity of this calculation, we did not seek to quantify precisely the benefit that we may have derived in the 90/10 percentage during the periods in which any temporary exclusions were applicable. As such, our reported rates below for 2011 and 2010 exclude the benefits from any such exclusions. Using the Department of Education’s cash-basis, regulatory formula under the 90/10 Rule as currently in effect, for our 2012, 2011, and 2010 fiscal years, we derived approximately 80.3%, 80.2%, and 84.9%, respectively, of our 90/10 Rule revenue from Title IV program funds.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result of the continuing increase in the number of students attending our ground campus, who typically finance a greater percentage of their educational costs with non-Title IV sources of funds, we expect the percentage of our revenue that we receive from Title IV programs to remain stable or decrease in the future, although this may be impacted by recent changes in federal law that increased Title IV grant and loan limits, as well as the ongoing economic environment, which has adversely affected the employment circumstances of our students and their parents and increased their reliance on Title IV programs. If we were to exceed the 90% threshold for two consecutive years such that we lost our eligibility to participate in the Title IV programs, or if Congress passed legislation changing how certain funds are counted under this rule, revising the percentage of income that proprietary schools must derive from non-federal sources, or both, it would have a material adverse effect on our business, prospects, financial condition,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eligibility to participate in the Title IV programs if our student loan default rates are too high.</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An institution may lose its eligibility to participate in some or all of the Title IV programs if, for three consecutive years, 25% or more of its students who were required to begin repayment on their student loans in one year default on their payment by the end of the following year. In addition, an institution may lose its eligibility to participate in some or all of the Title IV programs if the default rate of its students exceeds 40% for any single year. The August 2008 reauthorization of the Higher Education Act extends by one year the period for which students’ defaults on their loans will be included in the calculation of an institution’s default rate, a change that is expected to increase our cohort default rates. The new law also increases the threshold for an institution to lose its eligibility to participate in the relevant Title IV programs from 25% to 30% over three consecutive years, while leaving the threshold at 40% for a single year. These changes to the law took effect for institutions’ cohort default rates for federal fiscal year 2009, which were issued by the Department of Education in 2012. While our cohort default rates have historically been significantly below these levels, we cannot assure you that this will continue to be the case. For example, we believe our cohort default rate for the 2010 federal fiscal year increased (although it remains below the Department of Education’s thresholds) due primarily to the impact of current economic conditions on our students and former students and our transition to a borrower-based, non-term financial aid system in 2010. Our cohort default rates, under the two-year method, on federal student loans for the 2010, 2009, and 2008 federal fiscal years, the three most recent years for which such rates have been calculated, were 12.0%, 9.2%, 3.4%, respectively. Our cohort default rate, under the three-year method, for the 2009 federal fiscal year was 15.1%, and our trial cohort default rates, under the three-year method, for the 2008, and 2007 federal fiscal years, as issued by the Department of Education in January 2012, were 7.3%, and 2.9%, respectively. Increases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13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are subject to sanctions if we fail to correctly calculate and timely return Title IV program funds for students who withdraw before completing their educational program.</w:t>
      </w:r>
    </w:p>
    <w:p>
      <w:pPr>
        <w:spacing w:after="0" w:line="5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program funds that should have been returned for such students in the prior fiscal year, we may be liable for repayment of Title IV program funds and related interest and we could be fined or otherwise sanctioned by the Department of Education, which could increase our cost of regulatory compliance and materially adversely affect us. Further, a failure to comply with these regulatory requirements could result in termination of our ability to participate in the Title IV programs, which would materially affect us. These “return to Title IV” regulations are the subject of a preliminary finding in our ongoing program review. See Item 1A, </w:t>
      </w:r>
      <w:r>
        <w:rPr>
          <w:rFonts w:ascii="Arial" w:cs="Arial" w:eastAsia="Arial" w:hAnsi="Arial"/>
          <w:sz w:val="16"/>
          <w:szCs w:val="16"/>
          <w:i w:val="1"/>
          <w:iCs w:val="1"/>
          <w:color w:val="auto"/>
        </w:rPr>
        <w:t>Risk Factors</w:t>
      </w:r>
      <w:r>
        <w:rPr>
          <w:rFonts w:ascii="Arial" w:cs="Arial" w:eastAsia="Arial" w:hAnsi="Arial"/>
          <w:sz w:val="16"/>
          <w:szCs w:val="16"/>
          <w:color w:val="auto"/>
        </w:rPr>
        <w:t>—</w:t>
      </w:r>
      <w:r>
        <w:rPr>
          <w:rFonts w:ascii="Arial" w:cs="Arial" w:eastAsia="Arial" w:hAnsi="Arial"/>
          <w:sz w:val="16"/>
          <w:szCs w:val="16"/>
          <w:i w:val="1"/>
          <w:iCs w:val="1"/>
          <w:color w:val="auto"/>
        </w:rPr>
        <w:t>The Department of Education is conducting a program review of Grand Canyon University, which may result in the repayment of a</w:t>
      </w:r>
      <w:r>
        <w:rPr>
          <w:rFonts w:ascii="Arial" w:cs="Arial" w:eastAsia="Arial" w:hAnsi="Arial"/>
          <w:sz w:val="16"/>
          <w:szCs w:val="16"/>
          <w:color w:val="auto"/>
        </w:rPr>
        <w:t xml:space="preserve"> </w:t>
      </w:r>
      <w:r>
        <w:rPr>
          <w:rFonts w:ascii="Arial" w:cs="Arial" w:eastAsia="Arial" w:hAnsi="Arial"/>
          <w:sz w:val="16"/>
          <w:szCs w:val="16"/>
          <w:i w:val="1"/>
          <w:iCs w:val="1"/>
          <w:color w:val="auto"/>
        </w:rPr>
        <w:t>substantial amount of Title IV funds and may lead to fines, penalties, or other sanctions, and damage to our reputation in the industry</w:t>
      </w:r>
      <w:r>
        <w:rPr>
          <w:rFonts w:ascii="Arial" w:cs="Arial" w:eastAsia="Arial" w:hAnsi="Arial"/>
          <w:sz w:val="16"/>
          <w:szCs w:val="16"/>
          <w:color w:val="auto"/>
        </w:rPr>
        <w:t>.</w:t>
      </w:r>
    </w:p>
    <w:p>
      <w:pPr>
        <w:spacing w:after="0" w:line="12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59"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For example, in July 2012, the Higher Learning Commission disagreed with the recommendation of its program review team and declined to approve our application to offer a Doctor of Nursing Practice degree program at that time, instead indicating that our application would need to be revised and resubmitted for further consideration. We are currently in the process of revising and resubmitting this application based on the feedback we received from the Higher Learning Commission and, while we believe this program will eventually be approved, we can provide no assurance that it will be approved or, if it is approved, when such approval might occur. While this specific example of an ongoing program application process with the Higher Learning Commission, by itself, is not material to us, it does indicate the increased scrutiny that the Higher Learning Commission is exercising over educational institutions generally and for-profit institutions, in particular. In addition to these types of denials, if we were to determine erroneously that a new program did not need approval or that we had all required approvals, we could be liable for repayment of the Title IV program funds provided to students in that program or at that location.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Government regulations relating to the Internet could increase our cost of doing business, affect our ability to grow or otherwise have a material adverse effect on our business.</w:t>
      </w:r>
    </w:p>
    <w:p>
      <w:pPr>
        <w:spacing w:after="0" w:line="5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adversely affect our business, prospects,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on the effectiveness of our marketing and advertising programs in recruiting new students.</w:t>
      </w:r>
    </w:p>
    <w:p>
      <w:pPr>
        <w:spacing w:after="0" w:line="9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26" w:lineRule="exact"/>
        <w:rPr>
          <w:sz w:val="20"/>
          <w:szCs w:val="20"/>
          <w:color w:val="auto"/>
        </w:rPr>
      </w:pPr>
    </w:p>
    <w:p>
      <w:pPr>
        <w:ind w:left="1480" w:hanging="567"/>
        <w:spacing w:after="0"/>
        <w:tabs>
          <w:tab w:leader="none" w:pos="1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reduced availability of, or higher interest rates and other costs associated with, Title IV loan funds or other sources of financial aid;</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emergence of more successful competitors;</w:t>
      </w:r>
    </w:p>
    <w:p>
      <w:pPr>
        <w:spacing w:after="0" w:line="90" w:lineRule="exact"/>
        <w:rPr>
          <w:rFonts w:ascii="Arial" w:cs="Arial" w:eastAsia="Arial" w:hAnsi="Arial"/>
          <w:sz w:val="18"/>
          <w:szCs w:val="18"/>
          <w:color w:val="auto"/>
        </w:rPr>
      </w:pPr>
    </w:p>
    <w:p>
      <w:pPr>
        <w:ind w:left="1480" w:right="500" w:hanging="567"/>
        <w:spacing w:after="0" w:line="268"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factors related to our marketing, including the costs and effectiveness of Internet advertising and broad-based branding campaigns and recruiting efforts;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performance problems with our online systems;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maintain institutional and specialized accreditations;</w:t>
      </w:r>
    </w:p>
    <w:p>
      <w:pPr>
        <w:spacing w:after="0" w:line="90" w:lineRule="exact"/>
        <w:rPr>
          <w:rFonts w:ascii="Arial" w:cs="Arial" w:eastAsia="Arial" w:hAnsi="Arial"/>
          <w:sz w:val="18"/>
          <w:szCs w:val="18"/>
          <w:color w:val="auto"/>
        </w:rPr>
      </w:pPr>
    </w:p>
    <w:p>
      <w:pPr>
        <w:ind w:left="1480" w:right="260" w:hanging="567"/>
        <w:spacing w:after="0" w:line="268"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us which restrict schools’ initiation of new programs and modification of existing programs;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requirements of the education agencies that regulate us which restrict the ways schools can compensate their recruitment personnel;</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regulation of online education, including in states in which we do not have a physical presence;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that may be imposed on graduates of online programs that seek certification or licensure in certain states;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student dissatisfaction with our services and programs;</w:t>
      </w:r>
    </w:p>
    <w:p>
      <w:pPr>
        <w:spacing w:after="0" w:line="90" w:lineRule="exact"/>
        <w:rPr>
          <w:rFonts w:ascii="Arial" w:cs="Arial" w:eastAsia="Arial" w:hAnsi="Arial"/>
          <w:sz w:val="18"/>
          <w:szCs w:val="18"/>
          <w:color w:val="auto"/>
        </w:rPr>
      </w:pPr>
    </w:p>
    <w:p>
      <w:pPr>
        <w:ind w:left="1480" w:right="700" w:hanging="567"/>
        <w:spacing w:after="0" w:line="268"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the ongoing program review by the Department of Education, and possible remedial actions or other liability resulting therefrom;</w:t>
      </w:r>
    </w:p>
    <w:p>
      <w:pPr>
        <w:spacing w:after="0" w:line="50" w:lineRule="exact"/>
        <w:rPr>
          <w:rFonts w:ascii="Arial" w:cs="Arial" w:eastAsia="Arial" w:hAnsi="Arial"/>
          <w:sz w:val="18"/>
          <w:szCs w:val="18"/>
          <w:color w:val="auto"/>
        </w:rPr>
      </w:pPr>
    </w:p>
    <w:p>
      <w:pPr>
        <w:ind w:left="1480" w:right="540" w:hanging="567"/>
        <w:spacing w:after="0" w:line="268"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reductions by competitors that we are unwilling or unable to match;</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decline in the acceptance of online education;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 in the perceived or actual economic benefits that students derive from our programs.</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are subject to rules and regulations as a result of our membership with the National Collegiate Athletic Association (NCAA) and any violations of such rules or regulations could adversely affect our reputation and operations.</w:t>
      </w:r>
    </w:p>
    <w:p>
      <w:pPr>
        <w:spacing w:after="0" w:line="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Strict observance of rules and regulations contribute to the success of our athletic program. It is the responsibility of the University administration and the Athletic Department to adhere to all regulations created for the governance of intercollegiate athletics as set forth by the PacWest Conference, WAC Conference, NCAA, and Grand Canyon University. The move from Division II to Division I effective July 1, 2013 demonstrates our commitment to athletic excellence and will enhance our visibility. Any violations of such rules and regulations could adversely affect our reputation and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economic conditions in the U.S. or abroad.</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U.S. and many other industrialized countries are experiencing challenging economic circumstances, including high unemployment, uncertainty about financial markets and, in many cases, economic malaise or recession. In addition, homeowners in the U.S. have experienced a significant reduction in their net worth due to significant declines in residential real estate values across the U.S. in past years. We believe the economic circumstances in the U.S., in particular the continued high unemployment rate, has contributed to a portion of our increased enrollment growth as an increasing number of working adults seek to continue to advance their education to improve job security or new employment prospects. This effect cannot be quantified. However, to the extent that the economic circumstances and high unemployment have increased demands for our programs, an improving economy and increased employment may negate this effect and reduce such demand as fewer students seek to advance their education in favor of participating in the workforce. This decline could have a material adverse effect on our business, financial condition, results of operations and cash flows. Alternatively, a worsening of economic and employment conditions may reduce the ability of employers to sponsor educational opportunities for their employees, which could adversely impact our enrollment. In addition, continued deterioration in our economy and employment opportunities could adversely affect the ability of our former students to repay student loans, which could increase our bad debt expense and our student loan cohort default rate, which would require increased focus and attention to manage these defaults, which could have a material adverse effect on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students fail to pay their outstanding balances owed to us, our business may be harmed.</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From time to time, students, including former students, may carry balances on portions of their education expense not covered by financial aid programs. Students may also carry balances related to financial aid funds we have advanced to them that are in excess of the student’s cost and related fees. These balances are unsecured and not guaranteed. We have historically been successful in collecting our accounts receivable, including those due from former students as a result of the return to Title IV requirement, because the amount owed by a particular student that is in excess of the amount of financial aid that the student earned and that we are entitled to retain is often quite small. Due primarily to the ongoing economic conditions, we believe that the level of motivation that former students have to pay off their balances due to us, based on such factors as being able to receive transcripts or protecting their credit, has lessened over time. In 2011, we analyzed our collection history and determined that in recent periods receivables due from former students had become much more likely to go uncollected and that our allowance for doubtful accounts needed to be adjusted. Thus, we changed our allowance calculation methodology in 2011 such that receivables due from former students are treated as a separate pool and are reserved for and written off in a much more accelerated timeframe. We did not change the methodology for reserving for receivables due from current students given that we have not seen a change in the payment patterns for this pool of students. If the United States continues to experience reduced economic activity and high unemployment, it could continue to have an adverse effect on the ability or willingness of our former students to repay amounts due to us. As a result, losses related to unpaid student balances in excess of our allowance for doubtful accounts, or the failure of students to repay their debt obligations, could have a material adverse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industry, and competitors with greater resources could harm our business.</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postsecondary education market is highly fragmented and competitive. We compete for students primarily with traditional public and four-year degree-granting regionally accredited colleges and universities and other proprietary degree-granting regionally accredited schools. An increasing number of traditional colleges and universities and community colleges are offering distance learning and other online education programs, including programs that are geared toward the needs of working adult students. This trend has been accelerated by private companies that provide and/or manage online learning platforms for traditional colleges and universities. As the proportion of traditional colleges and universities providing alternative learning modalities increases, we will face increasing competition for students from such institutions, including those with well-established reputations for excellence. In addition, it is likely that we will begin to face competition from various emerging nontraditional, credit-bearing and noncredit-bearing education programs, provided by both proprietary and not-for-profit providers, including massive open online courses (MOOCs) offered worldwide without charge by traditional educational institutions and other direct-to-consumer education services. Each of these competitors may develop platforms or other technologies, including technologies such as streaming video, that allow for greater levels of interactivity between faculty and students and that are superior to the platform and technology we use, and these differences may affect our ability to recruit and retain students.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may be able to offer substantially lower tuition prices. Some of our competitors in both the public and private sectors also have substantially greater financial and other resources than we do. We may not be able to compete successfully against current or future competitors, including with respect to our ability to acquire or compete with technologies being developed by our competitors, and may face competitive pressures that could adversely affect our business, prospects, financial condition, and results of operations. These competitive factors could cause our enrollments, revenues, and profitability to significantly decrease and could render our online delivery format less competitive or obsolete.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existing, and develop additional, relationships with employers, our future growth may be impaired.</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currently have relationships with large school districts and healthcare systems, primarily in Arizona, and also have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As a result of economic conditions, a number of employers we work with have reduced the extent to which they reimburse their employees for participating in our programs. If we are unable to develop new relationships, or if our existing relationships deteriorate or end as a result of current or future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effectively manage our growth could harm our business.</w:t>
      </w:r>
    </w:p>
    <w:p>
      <w:pPr>
        <w:spacing w:after="0" w:line="9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Our business continues to experience rapid growth. Growth and expansion of our operations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our ability to recruit and retain key personnel.</w:t>
      </w:r>
    </w:p>
    <w:p>
      <w:pPr>
        <w:spacing w:after="0" w:line="90"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Our success to date has largely depended on, and will continue to depend on, the skills, efforts, and motivation of our executive officers, who generally have significant experience with our University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08"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particular, we license the right to utilize the name of Ken Blanchard in connection with our business school and Executive MBA programs, and the name of Jerry Colangelo in connection with our Colangelo School of Sports Business that we operate within our business school, and we have spent significant resources in related branding efforts. Nevertheless, these license agreements may terminate or expire, or otherwise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 may restrict our operations and our ability to complete certain transactions.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loan agreement, which we entered into in December 2012, imposes certain operating restrictions on us, including limitations on our ability to incur additional debt or make certain investments, and requires us to maintain compliance with certain applicable regulatory standards. In addition, the loan agreement requires us to maintain a maximum leverage ratio, a minimum fixed charge coverage ratio and a minimum tangible net worth, in each case as such terms are defined in the loan agreement. We cannot assure you that these covenants will not adversely affect our ability to finance our future operations or capital needs or to pursue available business opportunities. A breach of any of these covenants or our inability to maintain the required financial ratios could result in a default in respect of the related indebtedness. If a default occurs, the affected lenders could elect to declare the indebtedness, together with accrued interest and other fees, to be immediately due and payable.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comply with environmental laws and regulations governing our activities could result in financial penalties and other costs.</w:t>
      </w:r>
    </w:p>
    <w:p>
      <w:pPr>
        <w:spacing w:after="0" w:line="11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integrate acquired schools, our business could be harmed.</w:t>
      </w:r>
    </w:p>
    <w:p>
      <w:pPr>
        <w:spacing w:after="0" w:line="90"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From time to time, we may pursue acquisitions of other schools. Integrating acquired operations into our institution involves significant risks and uncertainties, including:</w:t>
      </w:r>
    </w:p>
    <w:p>
      <w:pPr>
        <w:spacing w:after="0" w:line="51" w:lineRule="exact"/>
        <w:rPr>
          <w:sz w:val="20"/>
          <w:szCs w:val="20"/>
          <w:color w:val="auto"/>
        </w:rPr>
      </w:pPr>
    </w:p>
    <w:p>
      <w:pPr>
        <w:ind w:left="1480" w:hanging="56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policies, and procedures;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distraction of management’s attention from normal business operations during the integration process;</w:t>
      </w:r>
    </w:p>
    <w:p>
      <w:pPr>
        <w:spacing w:after="0" w:line="90" w:lineRule="exact"/>
        <w:rPr>
          <w:rFonts w:ascii="Arial" w:cs="Arial" w:eastAsia="Arial" w:hAnsi="Arial"/>
          <w:sz w:val="18"/>
          <w:szCs w:val="18"/>
          <w:color w:val="auto"/>
        </w:rPr>
      </w:pPr>
    </w:p>
    <w:p>
      <w:pPr>
        <w:ind w:left="1480" w:right="220" w:hanging="567"/>
        <w:spacing w:after="0" w:line="332" w:lineRule="auto"/>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inability to obtain, or delay in obtaining, approval of the acquisition from the necessary regulatory agencies, or the imposition of operating restrictions or a letter of credit requirement on us or on the acquired school by any of those regulatory agencies;</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expenses associated with the integration efforts;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unidentified issues not discovered in our due diligence process, including legal contingencies.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complete one or more acquisitions and are unable to integrate acquired operations successfully, our business could suffer.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keep pace with changing market needs and technology could harm our ability to attract students.</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invested significant resources to develop and implement features that enhance the online classroom experience, such as delivering course content through streaming video, simulations, and other interactive enhancements. Our information technology systems and tools could become impaired or obsolete due to our action or failure to act. For instance, we could install new information technology without accurately assessing its costs or benefits, or we could experience delayed or ineffective implementation of new information technology. We could fail to respond in a timely manner for future technological developments in our industry. Should our actions or failure to act impair or render our information technology less effective, this could have a material adverse effect on our business, financial condition, results of operations and cash flows.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5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We developed many of our online programs based on our existing ground programs. In the future, we may develop programs solely, or initially, for online use, which may pose new challenges, including the need to develop course content without having an existing program on which such content can be based.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118"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doctoral programs, involves a process that can take several years to complete. The imposition of restrictions on the initiation of new educational programs by any of our regulatory agencies, such as the Higher Learning Commission declining to approve our initial application to offer a Doctor of Nursing Practice degree in July 2012,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14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Technology Infrastructure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success and future growth depend on the continued growth in users seeking educational services on the Internet.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business relies in part on the Internet for its success. A number of factors could inhibit the continued acceptance of the Internet and adversely affect our profitability, including:</w:t>
      </w:r>
    </w:p>
    <w:p>
      <w:pPr>
        <w:spacing w:after="0" w:line="51" w:lineRule="exact"/>
        <w:rPr>
          <w:sz w:val="20"/>
          <w:szCs w:val="20"/>
          <w:color w:val="auto"/>
        </w:rPr>
      </w:pPr>
    </w:p>
    <w:p>
      <w:pPr>
        <w:ind w:left="1480" w:hanging="567"/>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inadequate Internet infrastructure;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security and privacy concerns;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unavailability of cost-effective Internet service and other technological factors;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government regulation of Internet use.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number of potential students seeking educational services on the Internet does not continue to increase, our business may not grow as planned.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liability for the unauthorized duplication or distribution of class materials posted online for class discussions.</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5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Federal Trade Commission, or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2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Capacity constraints, system disruptions, or security breaches in our online computer networks and phone systems could have a material adverse effect on our ability to attract and retain students.</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performance and reliability of the infrastructure of our computer networks and phone systems, including our online programs, is critical to our operations,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whether as a result of third-party actions or in connection with planned upgrades and conversions,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malicious code, organized cyber attacks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2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A failure of our information systems to properly store, process and report relevant data may reduce our management’s effectiveness, interfere with our regulatory compliance and increase our operating expenses.</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dependent on the integrity of our data management systems. If these systems do not effectively collect, store and process relevant data for the operation of our business, whether due to equipment malfunctions or constraints, software deficiencies, or human error, our ability to effectively report, plan, forecast and execute our business plan and comply with applicable laws and regulations, including the Higher Education Act, as reauthorized, and the regulations thereunder, will be impaired, perhaps materially. Any such impairment could materially and adversely affect our financial condition, results of operations, and cash flows.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Your percentage ownership in us may be diluted by future issuances of capital stock, which could reduce your influence over matters on which stockholders vote.</w:t>
      </w:r>
    </w:p>
    <w:p>
      <w:pPr>
        <w:spacing w:after="0" w:line="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Board of Directors has the authority, without action or vote of our stockholders, to issue all or any part of our authorized but unissued shares of common stock, including shares issuable upon the exercise of options or the grant of restricted stock,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fluctuate.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common stock could fluctuate significantly for various reasons, which include:</w:t>
      </w:r>
    </w:p>
    <w:p>
      <w:pPr>
        <w:spacing w:after="0" w:line="90" w:lineRule="exact"/>
        <w:rPr>
          <w:sz w:val="20"/>
          <w:szCs w:val="20"/>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quarterly or annual earnings or earnings of other companies in our industry;</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90" w:lineRule="exact"/>
        <w:rPr>
          <w:rFonts w:ascii="Arial" w:cs="Arial" w:eastAsia="Arial" w:hAnsi="Arial"/>
          <w:sz w:val="18"/>
          <w:szCs w:val="18"/>
          <w:color w:val="auto"/>
        </w:rPr>
      </w:pPr>
    </w:p>
    <w:p>
      <w:pPr>
        <w:ind w:left="1480" w:right="40" w:hanging="567"/>
        <w:spacing w:after="0" w:line="268"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research analysts who track our common stock or the stocks of other companies in our industry;</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number of enrolled students;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or proposed laws or regulations or new or proposed interpretations of laws or regulations applicable to our business;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seasonal variations in our student population;</w:t>
      </w:r>
    </w:p>
    <w:p>
      <w:pPr>
        <w:spacing w:after="0" w:line="90" w:lineRule="exact"/>
        <w:rPr>
          <w:rFonts w:ascii="Arial" w:cs="Arial" w:eastAsia="Arial" w:hAnsi="Arial"/>
          <w:sz w:val="18"/>
          <w:szCs w:val="18"/>
          <w:color w:val="auto"/>
        </w:rPr>
      </w:pPr>
    </w:p>
    <w:p>
      <w:pPr>
        <w:ind w:left="1480" w:right="540" w:hanging="567"/>
        <w:spacing w:after="0" w:line="268"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and cost of Title IV funds, other student financial aid, and private loans;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failure to maintain or keep in good standing our regulatory approvals and accreditations;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90" w:lineRule="exact"/>
        <w:rPr>
          <w:rFonts w:ascii="Arial" w:cs="Arial" w:eastAsia="Arial" w:hAnsi="Arial"/>
          <w:sz w:val="18"/>
          <w:szCs w:val="18"/>
          <w:color w:val="auto"/>
        </w:rPr>
      </w:pPr>
    </w:p>
    <w:p>
      <w:pPr>
        <w:ind w:left="1480" w:right="620" w:hanging="567"/>
        <w:spacing w:after="0" w:line="268"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general conditions in the U.S. and global economies or financial markets, including those resulting from war, incidents of terrorism, or responses to such events;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w:t>
      </w:r>
    </w:p>
    <w:p>
      <w:pPr>
        <w:spacing w:after="0" w:line="90" w:lineRule="exact"/>
        <w:rPr>
          <w:rFonts w:ascii="Arial" w:cs="Arial" w:eastAsia="Arial" w:hAnsi="Arial"/>
          <w:sz w:val="18"/>
          <w:szCs w:val="18"/>
          <w:color w:val="auto"/>
        </w:rPr>
      </w:pPr>
    </w:p>
    <w:p>
      <w:pPr>
        <w:ind w:left="1480" w:right="680" w:hanging="567"/>
        <w:spacing w:after="0" w:line="268"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litigation involving our University, or investigations or audits by regulators into the operations of our University or our competitors, including the ongoing program review being conducted by the Department of Education; and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common stock by our directors, executive officers, and significant stockholders.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University, and these fluctuations could materially reduce our stock price.</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their evaluations of our stock, the price of our stock could decline.</w:t>
      </w:r>
    </w:p>
    <w:p>
      <w:pPr>
        <w:spacing w:after="0" w:line="5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trading market for our common stock depends in part on the research and reports that industry or financial analysts publish about us or our business. If one or more of the analysts covering us downgrade their estimates or evaluations of our stock, the price of our stock could decline. If one or more of these analysts cease coverage of our University, we could lose visibility in the market for our stock, which in turn could cause our stock price to decline.</w:t>
      </w:r>
    </w:p>
    <w:p>
      <w:pPr>
        <w:spacing w:after="0" w:line="1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5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own our ground campus, which is located on approximately 115 acres in the center of the Phoenix, Arizona metropolitan area, near downtown Phoenix. Our on-campus facilities currently consist of 5 classroom buildings, four lecture halls, a 300-seat theater, a 155,000-volume library, a media arts complex that provides communications students with audio and video equipment, a 55,000 square foot recreation center for both student-athletes and on-campus students, a 140,000 square foot/ 5,000 seat basketball and entertainment arena, a gymnasium, an activity center that contains a food court, a bowling alley and other student services, a student union, five dormitories, apartments, a pool, athletic facilities and a parking garage with 1,630 parking spaces. Additionally, we have several office buildings used for administration, including a recently renovated office complex adjacent to our campus. In 2013, in order to accommodate the continued growth of our traditional ground population, we expect to build two dormitories and to renovate our food service facilities and library.</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also lease four additional facilities for employees in Arizona, and eight facilities in Arizona and two in New Mexico for classroom and labs for our nursing professional studies students. We may add additional space in Arizona and in other states in the southwest U.S. to accommodate our growth plans in 2013 and beyond.</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ind w:right="2200"/>
        <w:spacing w:after="0" w:line="347"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spacing w:after="0" w:line="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high and low sales prices for our common stock, as reported by the Nasdaq Global Market.</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44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30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First Quarter</w:t>
            </w:r>
          </w:p>
        </w:tc>
        <w:tc>
          <w:tcPr>
            <w:tcW w:w="3520" w:type="dxa"/>
            <w:vAlign w:val="bottom"/>
            <w:gridSpan w:val="2"/>
          </w:tcPr>
          <w:p>
            <w:pPr>
              <w:jc w:val="center"/>
              <w:ind w:left="2932"/>
              <w:spacing w:after="0"/>
              <w:rPr>
                <w:sz w:val="20"/>
                <w:szCs w:val="20"/>
                <w:color w:val="auto"/>
              </w:rPr>
            </w:pPr>
            <w:r>
              <w:rPr>
                <w:rFonts w:ascii="Arial" w:cs="Arial" w:eastAsia="Arial" w:hAnsi="Arial"/>
                <w:sz w:val="18"/>
                <w:szCs w:val="18"/>
                <w:color w:val="auto"/>
                <w:w w:val="90"/>
              </w:rPr>
              <w:t>$18.49</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$15.80</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520" w:type="dxa"/>
            <w:vAlign w:val="bottom"/>
            <w:gridSpan w:val="2"/>
            <w:shd w:val="clear" w:color="auto" w:fill="CCEEFF"/>
          </w:tcPr>
          <w:p>
            <w:pPr>
              <w:jc w:val="center"/>
              <w:ind w:left="2932"/>
              <w:spacing w:after="0"/>
              <w:rPr>
                <w:sz w:val="20"/>
                <w:szCs w:val="20"/>
                <w:color w:val="auto"/>
              </w:rPr>
            </w:pPr>
            <w:r>
              <w:rPr>
                <w:rFonts w:ascii="Arial" w:cs="Arial" w:eastAsia="Arial" w:hAnsi="Arial"/>
                <w:sz w:val="18"/>
                <w:szCs w:val="18"/>
                <w:color w:val="auto"/>
                <w:w w:val="90"/>
              </w:rPr>
              <w:t>$21.19</w:t>
            </w:r>
          </w:p>
        </w:tc>
        <w:tc>
          <w:tcPr>
            <w:tcW w:w="9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0"/>
              </w:rPr>
              <w:t>$15.96</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Third Quarter</w:t>
            </w:r>
          </w:p>
        </w:tc>
        <w:tc>
          <w:tcPr>
            <w:tcW w:w="3520" w:type="dxa"/>
            <w:vAlign w:val="bottom"/>
            <w:gridSpan w:val="2"/>
          </w:tcPr>
          <w:p>
            <w:pPr>
              <w:jc w:val="center"/>
              <w:ind w:left="2932"/>
              <w:spacing w:after="0"/>
              <w:rPr>
                <w:sz w:val="20"/>
                <w:szCs w:val="20"/>
                <w:color w:val="auto"/>
              </w:rPr>
            </w:pPr>
            <w:r>
              <w:rPr>
                <w:rFonts w:ascii="Arial" w:cs="Arial" w:eastAsia="Arial" w:hAnsi="Arial"/>
                <w:sz w:val="18"/>
                <w:szCs w:val="18"/>
                <w:color w:val="auto"/>
                <w:w w:val="90"/>
              </w:rPr>
              <w:t>$24.20</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$15.80</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520" w:type="dxa"/>
            <w:vAlign w:val="bottom"/>
            <w:gridSpan w:val="2"/>
            <w:shd w:val="clear" w:color="auto" w:fill="CCEEFF"/>
          </w:tcPr>
          <w:p>
            <w:pPr>
              <w:jc w:val="center"/>
              <w:ind w:left="2932"/>
              <w:spacing w:after="0"/>
              <w:rPr>
                <w:sz w:val="20"/>
                <w:szCs w:val="20"/>
                <w:color w:val="auto"/>
              </w:rPr>
            </w:pPr>
            <w:r>
              <w:rPr>
                <w:rFonts w:ascii="Arial" w:cs="Arial" w:eastAsia="Arial" w:hAnsi="Arial"/>
                <w:sz w:val="18"/>
                <w:szCs w:val="18"/>
                <w:color w:val="auto"/>
                <w:w w:val="90"/>
              </w:rPr>
              <w:t>$25.00</w:t>
            </w:r>
          </w:p>
        </w:tc>
        <w:tc>
          <w:tcPr>
            <w:tcW w:w="9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0"/>
              </w:rPr>
              <w:t>$20.59</w:t>
            </w:r>
          </w:p>
        </w:tc>
        <w:tc>
          <w:tcPr>
            <w:tcW w:w="100" w:type="dxa"/>
            <w:vAlign w:val="bottom"/>
            <w:shd w:val="clear" w:color="auto" w:fill="CCEEFF"/>
          </w:tcPr>
          <w:p>
            <w:pPr>
              <w:spacing w:after="0"/>
              <w:rPr>
                <w:sz w:val="18"/>
                <w:szCs w:val="18"/>
                <w:color w:val="auto"/>
              </w:rPr>
            </w:pPr>
          </w:p>
        </w:tc>
      </w:tr>
      <w:tr>
        <w:trPr>
          <w:trHeight w:val="322"/>
        </w:trPr>
        <w:tc>
          <w:tcPr>
            <w:tcW w:w="412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3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520" w:type="dxa"/>
            <w:vAlign w:val="bottom"/>
            <w:gridSpan w:val="2"/>
            <w:shd w:val="clear" w:color="auto" w:fill="CCEEFF"/>
          </w:tcPr>
          <w:p>
            <w:pPr>
              <w:jc w:val="center"/>
              <w:ind w:left="2932"/>
              <w:spacing w:after="0"/>
              <w:rPr>
                <w:sz w:val="20"/>
                <w:szCs w:val="20"/>
                <w:color w:val="auto"/>
              </w:rPr>
            </w:pPr>
            <w:r>
              <w:rPr>
                <w:rFonts w:ascii="Arial" w:cs="Arial" w:eastAsia="Arial" w:hAnsi="Arial"/>
                <w:sz w:val="18"/>
                <w:szCs w:val="18"/>
                <w:color w:val="auto"/>
                <w:w w:val="90"/>
              </w:rPr>
              <w:t>$20.66</w:t>
            </w:r>
          </w:p>
        </w:tc>
        <w:tc>
          <w:tcPr>
            <w:tcW w:w="9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0"/>
              </w:rPr>
              <w:t>$13.77</w:t>
            </w: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Second Quarter</w:t>
            </w:r>
          </w:p>
        </w:tc>
        <w:tc>
          <w:tcPr>
            <w:tcW w:w="3520" w:type="dxa"/>
            <w:vAlign w:val="bottom"/>
            <w:gridSpan w:val="2"/>
          </w:tcPr>
          <w:p>
            <w:pPr>
              <w:jc w:val="center"/>
              <w:ind w:left="2932"/>
              <w:spacing w:after="0"/>
              <w:rPr>
                <w:sz w:val="20"/>
                <w:szCs w:val="20"/>
                <w:color w:val="auto"/>
              </w:rPr>
            </w:pPr>
            <w:r>
              <w:rPr>
                <w:rFonts w:ascii="Arial" w:cs="Arial" w:eastAsia="Arial" w:hAnsi="Arial"/>
                <w:sz w:val="18"/>
                <w:szCs w:val="18"/>
                <w:color w:val="auto"/>
                <w:w w:val="90"/>
              </w:rPr>
              <w:t>$15.46</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$12.26</w:t>
            </w: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520" w:type="dxa"/>
            <w:vAlign w:val="bottom"/>
            <w:gridSpan w:val="2"/>
            <w:shd w:val="clear" w:color="auto" w:fill="CCEEFF"/>
          </w:tcPr>
          <w:p>
            <w:pPr>
              <w:jc w:val="center"/>
              <w:ind w:left="2932"/>
              <w:spacing w:after="0"/>
              <w:rPr>
                <w:sz w:val="20"/>
                <w:szCs w:val="20"/>
                <w:color w:val="auto"/>
              </w:rPr>
            </w:pPr>
            <w:r>
              <w:rPr>
                <w:rFonts w:ascii="Arial" w:cs="Arial" w:eastAsia="Arial" w:hAnsi="Arial"/>
                <w:sz w:val="18"/>
                <w:szCs w:val="18"/>
                <w:color w:val="auto"/>
                <w:w w:val="90"/>
              </w:rPr>
              <w:t>$17.99</w:t>
            </w:r>
          </w:p>
        </w:tc>
        <w:tc>
          <w:tcPr>
            <w:tcW w:w="9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0"/>
              </w:rPr>
              <w:t>$13.73</w:t>
            </w:r>
          </w:p>
        </w:tc>
        <w:tc>
          <w:tcPr>
            <w:tcW w:w="100" w:type="dxa"/>
            <w:vAlign w:val="bottom"/>
            <w:shd w:val="clear" w:color="auto" w:fill="CCEEFF"/>
          </w:tcPr>
          <w:p>
            <w:pPr>
              <w:spacing w:after="0"/>
              <w:rPr>
                <w:sz w:val="18"/>
                <w:szCs w:val="18"/>
                <w:color w:val="auto"/>
              </w:rPr>
            </w:pPr>
          </w:p>
        </w:tc>
      </w:tr>
      <w:tr>
        <w:trPr>
          <w:trHeight w:val="222"/>
        </w:trPr>
        <w:tc>
          <w:tcPr>
            <w:tcW w:w="4120" w:type="dxa"/>
            <w:vAlign w:val="bottom"/>
          </w:tcPr>
          <w:p>
            <w:pPr>
              <w:spacing w:after="0"/>
              <w:rPr>
                <w:sz w:val="20"/>
                <w:szCs w:val="20"/>
                <w:color w:val="auto"/>
              </w:rPr>
            </w:pPr>
            <w:r>
              <w:rPr>
                <w:rFonts w:ascii="Arial" w:cs="Arial" w:eastAsia="Arial" w:hAnsi="Arial"/>
                <w:sz w:val="18"/>
                <w:szCs w:val="18"/>
                <w:color w:val="auto"/>
              </w:rPr>
              <w:t>Fourth Quarter</w:t>
            </w:r>
          </w:p>
        </w:tc>
        <w:tc>
          <w:tcPr>
            <w:tcW w:w="3520" w:type="dxa"/>
            <w:vAlign w:val="bottom"/>
            <w:gridSpan w:val="2"/>
          </w:tcPr>
          <w:p>
            <w:pPr>
              <w:jc w:val="center"/>
              <w:ind w:left="2932"/>
              <w:spacing w:after="0"/>
              <w:rPr>
                <w:sz w:val="20"/>
                <w:szCs w:val="20"/>
                <w:color w:val="auto"/>
              </w:rPr>
            </w:pPr>
            <w:r>
              <w:rPr>
                <w:rFonts w:ascii="Arial" w:cs="Arial" w:eastAsia="Arial" w:hAnsi="Arial"/>
                <w:sz w:val="18"/>
                <w:szCs w:val="18"/>
                <w:color w:val="auto"/>
                <w:w w:val="90"/>
              </w:rPr>
              <w:t>$17.35</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$14.12</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As of December 31, 2012, there were approximately 203 registered holders of record of common stock. A substantially greater number of holders of common stock are “street name” or beneficial holders, whose shares are held of record by banks, brokers and other financial institutions.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do not anticipate paying cash dividends on our common stock in the foreseeable future.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The information required by Item 201(d) of Regulation S-K is provided under Item 12, </w:t>
      </w:r>
      <w:r>
        <w:rPr>
          <w:rFonts w:ascii="Arial" w:cs="Arial" w:eastAsia="Arial" w:hAnsi="Arial"/>
          <w:sz w:val="18"/>
          <w:szCs w:val="18"/>
          <w:i w:val="1"/>
          <w:iCs w:val="1"/>
          <w:color w:val="auto"/>
        </w:rPr>
        <w:t>Security Ownership of Certain Beneficial Owners and Management</w:t>
      </w:r>
      <w:r>
        <w:rPr>
          <w:rFonts w:ascii="Arial" w:cs="Arial" w:eastAsia="Arial" w:hAnsi="Arial"/>
          <w:sz w:val="18"/>
          <w:szCs w:val="18"/>
          <w:color w:val="auto"/>
        </w:rPr>
        <w:t xml:space="preserve"> </w:t>
      </w:r>
      <w:r>
        <w:rPr>
          <w:rFonts w:ascii="Arial" w:cs="Arial" w:eastAsia="Arial" w:hAnsi="Arial"/>
          <w:sz w:val="18"/>
          <w:szCs w:val="18"/>
          <w:i w:val="1"/>
          <w:iCs w:val="1"/>
          <w:color w:val="auto"/>
        </w:rPr>
        <w:t>and Related Stockholder Matters</w:t>
      </w:r>
      <w:r>
        <w:rPr>
          <w:rFonts w:ascii="Arial" w:cs="Arial" w:eastAsia="Arial" w:hAnsi="Arial"/>
          <w:sz w:val="18"/>
          <w:szCs w:val="18"/>
          <w:color w:val="auto"/>
        </w:rPr>
        <w:t>, “Equity Compensation Plan Information,” which is incorporated herein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August 16, 2010, our Board of Directors authorized the University to repurchase $25.0 million of common stock, from time to time, depending on market conditions and other considerations. On July 28, 2011, our Board of Directors authorized us to repurchase an additional $25.0 million ($50.0 million total) of common stock, from time to time, depending on market conditions and other considerations. On July 26, 2012, our Board of Directors extended the expiration date on the repurchase authorization to September 30, 2013. Repurchases occur at our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the approval of our share repurchase plan, we have purchased 2.4 million shares of common stock at an aggregate cost of $39.1 million, which includes 0.8 million shares of common stock at an aggregate cost of $15.2 million during the year ended December 31, 2012, which are recorded at cost in the accompanying December 31, 2012 consolidated balance sheet and statement of stockholders’ equity. At December 31, 2012, there remained $10.9 million available under our current share repurchase authorization. During the fourth quarter of 2012, we repurchased 455,265 shares of common stock at an aggregate cost of $10.3 million.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share repurchases of common stock during each period in the fourth quarter of fiscal 2012:</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Total Number of</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Maximum Dollar</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as Part of</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Value of Shares</w:t>
            </w: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6"/>
              </w:rPr>
              <w:t>Total Number</w:t>
            </w:r>
          </w:p>
        </w:tc>
        <w:tc>
          <w:tcPr>
            <w:tcW w:w="600" w:type="dxa"/>
            <w:vAlign w:val="bottom"/>
          </w:tcPr>
          <w:p>
            <w:pPr>
              <w:spacing w:after="0"/>
              <w:rPr>
                <w:sz w:val="12"/>
                <w:szCs w:val="12"/>
                <w:color w:val="auto"/>
              </w:rPr>
            </w:pPr>
          </w:p>
        </w:tc>
        <w:tc>
          <w:tcPr>
            <w:tcW w:w="12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Average</w:t>
            </w:r>
          </w:p>
        </w:tc>
        <w:tc>
          <w:tcPr>
            <w:tcW w:w="16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Publicly</w:t>
            </w: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87"/>
              </w:rPr>
              <w:t>Period</w:t>
            </w:r>
          </w:p>
        </w:tc>
        <w:tc>
          <w:tcPr>
            <w:tcW w:w="4680" w:type="dxa"/>
            <w:vAlign w:val="bottom"/>
            <w:vMerge w:val="restart"/>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of Shares</w:t>
            </w:r>
          </w:p>
        </w:tc>
        <w:tc>
          <w:tcPr>
            <w:tcW w:w="6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6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Announced</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68"/>
        </w:trPr>
        <w:tc>
          <w:tcPr>
            <w:tcW w:w="400" w:type="dxa"/>
            <w:vAlign w:val="bottom"/>
            <w:tcBorders>
              <w:bottom w:val="single" w:sz="8" w:color="auto"/>
            </w:tcBorders>
            <w:vMerge w:val="continue"/>
          </w:tcPr>
          <w:p>
            <w:pPr>
              <w:spacing w:after="0"/>
              <w:rPr>
                <w:sz w:val="14"/>
                <w:szCs w:val="14"/>
                <w:color w:val="auto"/>
              </w:rPr>
            </w:pPr>
          </w:p>
        </w:tc>
        <w:tc>
          <w:tcPr>
            <w:tcW w:w="4680" w:type="dxa"/>
            <w:vAlign w:val="bottom"/>
            <w:vMerge w:val="continue"/>
          </w:tcPr>
          <w:p>
            <w:pPr>
              <w:spacing w:after="0"/>
              <w:rPr>
                <w:sz w:val="14"/>
                <w:szCs w:val="14"/>
                <w:color w:val="auto"/>
              </w:rPr>
            </w:pPr>
          </w:p>
        </w:tc>
        <w:tc>
          <w:tcPr>
            <w:tcW w:w="820" w:type="dxa"/>
            <w:vAlign w:val="bottom"/>
            <w:gridSpan w:val="2"/>
          </w:tcPr>
          <w:p>
            <w:pPr>
              <w:jc w:val="right"/>
              <w:ind w:right="120"/>
              <w:spacing w:after="0" w:line="148" w:lineRule="exact"/>
              <w:rPr>
                <w:sz w:val="20"/>
                <w:szCs w:val="20"/>
                <w:color w:val="auto"/>
              </w:rPr>
            </w:pPr>
            <w:r>
              <w:rPr>
                <w:rFonts w:ascii="Arial" w:cs="Arial" w:eastAsia="Arial" w:hAnsi="Arial"/>
                <w:sz w:val="14"/>
                <w:szCs w:val="14"/>
                <w:b w:val="1"/>
                <w:bCs w:val="1"/>
                <w:color w:val="auto"/>
                <w:w w:val="94"/>
              </w:rPr>
              <w:t>Purchased</w:t>
            </w:r>
          </w:p>
        </w:tc>
        <w:tc>
          <w:tcPr>
            <w:tcW w:w="600" w:type="dxa"/>
            <w:vAlign w:val="bottom"/>
          </w:tcPr>
          <w:p>
            <w:pPr>
              <w:spacing w:after="0"/>
              <w:rPr>
                <w:sz w:val="14"/>
                <w:szCs w:val="14"/>
                <w:color w:val="auto"/>
              </w:rPr>
            </w:pPr>
          </w:p>
        </w:tc>
        <w:tc>
          <w:tcPr>
            <w:tcW w:w="12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Per Share</w:t>
            </w:r>
          </w:p>
        </w:tc>
        <w:tc>
          <w:tcPr>
            <w:tcW w:w="166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6"/>
              </w:rPr>
              <w:t>Program</w:t>
            </w:r>
          </w:p>
        </w:tc>
        <w:tc>
          <w:tcPr>
            <w:tcW w:w="100" w:type="dxa"/>
            <w:vAlign w:val="bottom"/>
          </w:tcPr>
          <w:p>
            <w:pPr>
              <w:spacing w:after="0"/>
              <w:rPr>
                <w:sz w:val="14"/>
                <w:szCs w:val="14"/>
                <w:color w:val="auto"/>
              </w:rPr>
            </w:pPr>
          </w:p>
        </w:tc>
        <w:tc>
          <w:tcPr>
            <w:tcW w:w="10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the Program</w:t>
            </w: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1, 2012 – October 31, 2012</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225,000</w:t>
            </w: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22.76</w:t>
            </w:r>
          </w:p>
        </w:tc>
        <w:tc>
          <w:tcPr>
            <w:tcW w:w="6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225,000</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16,059,000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November 1, 2012 – November 30, 2012</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230,265</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22.56</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230,265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10,864,000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2012 – December 31, 2012</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10,864,000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455,265</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22.66</w:t>
            </w: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455,265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10,864,000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Stock Performance</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graph compares the cumulative 49-month return of holders of our common stock with the cumulative total returns of the S&amp;P 500 Index, the NASDAQ Composite index, our peer group of six companies that includes: Capella Education Company, American Public Education, Inc., Apollo Group Inc., Strayer Education Inc., Education Management Corporation and Bridgepoint Education, Inc. This chart assumes that an investment of $100 was made in our common stock, in the index, and in the peer group on November 20, 2008 and that all dividends paid by us (subsequent to our initial public offering) and such companies were reinvested, and tracks the relative performance of such investments through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207645</wp:posOffset>
            </wp:positionV>
            <wp:extent cx="5034280" cy="32416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34280"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11/08</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12/08</w:t>
            </w: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3/09</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6/09</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9/09</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12/09</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3/10</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6/10</w:t>
            </w:r>
          </w:p>
        </w:tc>
        <w:tc>
          <w:tcPr>
            <w:tcW w:w="100" w:type="dxa"/>
            <w:vAlign w:val="bottom"/>
            <w:tcBorders>
              <w:bottom w:val="single" w:sz="8" w:color="CCEEFF"/>
            </w:tcBorders>
          </w:tcPr>
          <w:p>
            <w:pPr>
              <w:spacing w:after="0"/>
              <w:rPr>
                <w:sz w:val="14"/>
                <w:szCs w:val="14"/>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Grand Canyon Education, Inc.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100.00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158.48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145.65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141.60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150.46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160.42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220.59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197.72</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S&amp;P 500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100.00</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93.81</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83.48</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96.78</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111.88</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118.64</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125.03</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110.74</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NASDAQ Composite</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4"/>
              </w:rPr>
              <w:t>100.00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96.92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91.10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109.64</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127.82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135.03</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140.81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125.93</w:t>
            </w:r>
          </w:p>
        </w:tc>
        <w:tc>
          <w:tcPr>
            <w:tcW w:w="100" w:type="dxa"/>
            <w:vAlign w:val="bottom"/>
            <w:shd w:val="clear" w:color="auto" w:fill="CCEEFF"/>
          </w:tcPr>
          <w:p>
            <w:pPr>
              <w:spacing w:after="0"/>
              <w:rPr>
                <w:sz w:val="18"/>
                <w:szCs w:val="18"/>
                <w:color w:val="auto"/>
              </w:rPr>
            </w:pPr>
          </w:p>
        </w:tc>
      </w:tr>
      <w:tr>
        <w:trPr>
          <w:trHeight w:val="228"/>
        </w:trPr>
        <w:tc>
          <w:tcPr>
            <w:tcW w:w="5580" w:type="dxa"/>
            <w:vAlign w:val="bottom"/>
          </w:tcPr>
          <w:p>
            <w:pPr>
              <w:spacing w:after="0"/>
              <w:rPr>
                <w:sz w:val="20"/>
                <w:szCs w:val="20"/>
                <w:color w:val="auto"/>
              </w:rPr>
            </w:pPr>
            <w:r>
              <w:rPr>
                <w:rFonts w:ascii="Arial" w:cs="Arial" w:eastAsia="Arial" w:hAnsi="Arial"/>
                <w:sz w:val="18"/>
                <w:szCs w:val="18"/>
                <w:b w:val="1"/>
                <w:bCs w:val="1"/>
                <w:color w:val="auto"/>
              </w:rPr>
              <w:t>Peer Group</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100.00</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110.36</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91.26</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88.36</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90.15</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79.74</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86.62</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64.43</w:t>
            </w:r>
          </w:p>
        </w:tc>
        <w:tc>
          <w:tcPr>
            <w:tcW w:w="100" w:type="dxa"/>
            <w:vAlign w:val="bottom"/>
          </w:tcPr>
          <w:p>
            <w:pPr>
              <w:spacing w:after="0"/>
              <w:rPr>
                <w:sz w:val="19"/>
                <w:szCs w:val="19"/>
                <w:color w:val="auto"/>
              </w:rPr>
            </w:pPr>
          </w:p>
        </w:tc>
      </w:tr>
      <w:tr>
        <w:trPr>
          <w:trHeight w:val="339"/>
        </w:trPr>
        <w:tc>
          <w:tcPr>
            <w:tcW w:w="55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9/10</w:t>
            </w:r>
          </w:p>
        </w:tc>
        <w:tc>
          <w:tcPr>
            <w:tcW w:w="2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12/10</w:t>
            </w:r>
          </w:p>
        </w:tc>
        <w:tc>
          <w:tcPr>
            <w:tcW w:w="2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3/11</w:t>
            </w:r>
          </w:p>
        </w:tc>
        <w:tc>
          <w:tcPr>
            <w:tcW w:w="2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6/11</w:t>
            </w:r>
          </w:p>
        </w:tc>
        <w:tc>
          <w:tcPr>
            <w:tcW w:w="2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9/11</w:t>
            </w:r>
          </w:p>
        </w:tc>
        <w:tc>
          <w:tcPr>
            <w:tcW w:w="2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12/11</w:t>
            </w:r>
          </w:p>
        </w:tc>
        <w:tc>
          <w:tcPr>
            <w:tcW w:w="2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3/12</w:t>
            </w:r>
          </w:p>
        </w:tc>
        <w:tc>
          <w:tcPr>
            <w:tcW w:w="100" w:type="dxa"/>
            <w:vAlign w:val="bottom"/>
            <w:tcBorders>
              <w:bottom w:val="single" w:sz="8" w:color="CCEEFF"/>
            </w:tcBorders>
          </w:tcPr>
          <w:p>
            <w:pPr>
              <w:spacing w:after="0"/>
              <w:rPr>
                <w:sz w:val="24"/>
                <w:szCs w:val="24"/>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Grand Canyon Education, Inc.</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185.06</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165.32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122.36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119.66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136.29</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134.68</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149.87</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S&amp;P 500</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123.25</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136.51</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144.59</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144.73</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124.66</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139.39</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156.94</w:t>
            </w:r>
          </w:p>
        </w:tc>
        <w:tc>
          <w:tcPr>
            <w:tcW w:w="10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NASDAQ Composite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144.71</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159.76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166.55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166.32</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144.74</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156.71</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184.93</w:t>
            </w:r>
          </w:p>
        </w:tc>
        <w:tc>
          <w:tcPr>
            <w:tcW w:w="100" w:type="dxa"/>
            <w:vAlign w:val="bottom"/>
            <w:shd w:val="clear" w:color="auto" w:fill="CCEEFF"/>
          </w:tcPr>
          <w:p>
            <w:pPr>
              <w:spacing w:after="0"/>
              <w:rPr>
                <w:sz w:val="18"/>
                <w:szCs w:val="18"/>
                <w:color w:val="auto"/>
              </w:rPr>
            </w:pPr>
          </w:p>
        </w:tc>
      </w:tr>
      <w:tr>
        <w:trPr>
          <w:trHeight w:val="228"/>
        </w:trPr>
        <w:tc>
          <w:tcPr>
            <w:tcW w:w="5580" w:type="dxa"/>
            <w:vAlign w:val="bottom"/>
          </w:tcPr>
          <w:p>
            <w:pPr>
              <w:spacing w:after="0"/>
              <w:rPr>
                <w:sz w:val="20"/>
                <w:szCs w:val="20"/>
                <w:color w:val="auto"/>
              </w:rPr>
            </w:pPr>
            <w:r>
              <w:rPr>
                <w:rFonts w:ascii="Arial" w:cs="Arial" w:eastAsia="Arial" w:hAnsi="Arial"/>
                <w:sz w:val="18"/>
                <w:szCs w:val="18"/>
                <w:b w:val="1"/>
                <w:bCs w:val="1"/>
                <w:color w:val="auto"/>
              </w:rPr>
              <w:t>Peer Group</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66.76</w:t>
            </w: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60.17</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60.83</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65.66</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50.25</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72.38</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52.80</w:t>
            </w:r>
          </w:p>
        </w:tc>
        <w:tc>
          <w:tcPr>
            <w:tcW w:w="100" w:type="dxa"/>
            <w:vAlign w:val="bottom"/>
          </w:tcPr>
          <w:p>
            <w:pPr>
              <w:spacing w:after="0"/>
              <w:rPr>
                <w:sz w:val="19"/>
                <w:szCs w:val="19"/>
                <w:color w:val="auto"/>
              </w:rPr>
            </w:pPr>
          </w:p>
        </w:tc>
      </w:tr>
    </w:tbl>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6/12</w:t>
            </w:r>
          </w:p>
        </w:tc>
        <w:tc>
          <w:tcPr>
            <w:tcW w:w="3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9/12</w:t>
            </w:r>
          </w:p>
        </w:tc>
        <w:tc>
          <w:tcPr>
            <w:tcW w:w="3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12/12</w:t>
            </w:r>
          </w:p>
        </w:tc>
        <w:tc>
          <w:tcPr>
            <w:tcW w:w="100" w:type="dxa"/>
            <w:vAlign w:val="bottom"/>
            <w:tcBorders>
              <w:bottom w:val="single" w:sz="8" w:color="CCEEFF"/>
            </w:tcBorders>
          </w:tcPr>
          <w:p>
            <w:pPr>
              <w:spacing w:after="0"/>
              <w:rPr>
                <w:sz w:val="14"/>
                <w:szCs w:val="14"/>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Grand Canyon Education, Inc.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176.71</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198.57</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198.06</w:t>
            </w: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b w:val="1"/>
                <w:bCs w:val="1"/>
                <w:color w:val="auto"/>
              </w:rPr>
              <w:t>S&amp;P 500</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152.62</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162.31</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4"/>
              </w:rPr>
              <w:t>161.70</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NASDAQ Composite</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4"/>
              </w:rPr>
              <w:t>179.79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189.18</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181.87</w:t>
            </w:r>
          </w:p>
        </w:tc>
        <w:tc>
          <w:tcPr>
            <w:tcW w:w="100" w:type="dxa"/>
            <w:vAlign w:val="bottom"/>
            <w:shd w:val="clear" w:color="auto" w:fill="CCEEFF"/>
          </w:tcPr>
          <w:p>
            <w:pPr>
              <w:spacing w:after="0"/>
              <w:rPr>
                <w:sz w:val="18"/>
                <w:szCs w:val="18"/>
                <w:color w:val="auto"/>
              </w:rPr>
            </w:pPr>
          </w:p>
        </w:tc>
      </w:tr>
      <w:tr>
        <w:trPr>
          <w:trHeight w:val="228"/>
        </w:trPr>
        <w:tc>
          <w:tcPr>
            <w:tcW w:w="7140" w:type="dxa"/>
            <w:vAlign w:val="bottom"/>
          </w:tcPr>
          <w:p>
            <w:pPr>
              <w:spacing w:after="0"/>
              <w:rPr>
                <w:sz w:val="20"/>
                <w:szCs w:val="20"/>
                <w:color w:val="auto"/>
              </w:rPr>
            </w:pPr>
            <w:r>
              <w:rPr>
                <w:rFonts w:ascii="Arial" w:cs="Arial" w:eastAsia="Arial" w:hAnsi="Arial"/>
                <w:sz w:val="18"/>
                <w:szCs w:val="18"/>
                <w:b w:val="1"/>
                <w:bCs w:val="1"/>
                <w:color w:val="auto"/>
              </w:rPr>
              <w:t>Peer Group</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46.26</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33.47</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28.36</w:t>
            </w:r>
          </w:p>
        </w:tc>
        <w:tc>
          <w:tcPr>
            <w:tcW w:w="100" w:type="dxa"/>
            <w:vAlign w:val="bottom"/>
          </w:tcPr>
          <w:p>
            <w:pPr>
              <w:spacing w:after="0"/>
              <w:rPr>
                <w:sz w:val="19"/>
                <w:szCs w:val="19"/>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Copyright</w:t>
      </w:r>
      <w:r>
        <w:rPr>
          <w:rFonts w:ascii="Arial" w:cs="Arial" w:eastAsia="Arial" w:hAnsi="Arial"/>
          <w:sz w:val="10"/>
          <w:szCs w:val="10"/>
          <w:b w:val="1"/>
          <w:bCs w:val="1"/>
          <w:color w:val="auto"/>
        </w:rPr>
        <w:t>©</w:t>
      </w:r>
      <w:r>
        <w:rPr>
          <w:rFonts w:ascii="Arial" w:cs="Arial" w:eastAsia="Arial" w:hAnsi="Arial"/>
          <w:sz w:val="16"/>
          <w:szCs w:val="16"/>
          <w:b w:val="1"/>
          <w:bCs w:val="1"/>
          <w:color w:val="auto"/>
        </w:rPr>
        <w:t xml:space="preserve"> 2013 Standard &amp; Poor’s, a division of The McGraw-Hill Companies Inc. All rights reserved. (www.researchdatagroup.com/S&amp;P.htm)</w:t>
      </w:r>
    </w:p>
    <w:p>
      <w:pPr>
        <w:spacing w:after="0" w:line="20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 price performance included in this graph is not necessarily indicative of future stock price performance.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Consolidated Financial and Other Data</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The following selected consolidated financial and other data should be read in conjunction with Item 8, </w:t>
      </w:r>
      <w:r>
        <w:rPr>
          <w:rFonts w:ascii="Arial" w:cs="Arial" w:eastAsia="Arial" w:hAnsi="Arial"/>
          <w:sz w:val="16"/>
          <w:szCs w:val="16"/>
          <w:i w:val="1"/>
          <w:iCs w:val="1"/>
          <w:color w:val="auto"/>
        </w:rPr>
        <w:t>Consolidated Financial Statements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Supplementary Data</w:t>
      </w:r>
      <w:r>
        <w:rPr>
          <w:rFonts w:ascii="Arial" w:cs="Arial" w:eastAsia="Arial" w:hAnsi="Arial"/>
          <w:sz w:val="16"/>
          <w:szCs w:val="16"/>
          <w:color w:val="auto"/>
        </w:rPr>
        <w:t>, and Item 7,</w:t>
      </w:r>
      <w:r>
        <w:rPr>
          <w:rFonts w:ascii="Arial" w:cs="Arial" w:eastAsia="Arial" w:hAnsi="Arial"/>
          <w:sz w:val="16"/>
          <w:szCs w:val="16"/>
          <w:i w:val="1"/>
          <w:iCs w:val="1"/>
          <w:color w:val="auto"/>
        </w:rPr>
        <w:t xml:space="preserve"> Management’s Discussion and Analysis of Financial Condition and Results of Operations</w:t>
      </w:r>
      <w:r>
        <w:rPr>
          <w:rFonts w:ascii="Arial" w:cs="Arial" w:eastAsia="Arial" w:hAnsi="Arial"/>
          <w:sz w:val="16"/>
          <w:szCs w:val="16"/>
          <w:color w:val="auto"/>
        </w:rPr>
        <w:t>, to fully understand the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presented below. The selected consolidated income statement data and other data, excluding period end enrollment, for the years ended December 31, 2012, 2011, and 2010, and the selected consolidated balance sheet data as of December 31, 2012, and 2011, have been derived from our audited consolidated financial statements for such years, which are included herein. The selected consolidated income statement data and other data, excluding period end enrollment, for the years ended December 31, 2009 and 2008, and the selected consolidated balance sheet data as of December 31, 2010, 2009, and 2008, have been derived from our audited consolidated financial statements for such years, which are not included herein. Our historical results are not necessarily indicative of our results for any future period.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76"/>
              </w:rPr>
              <w:t>2010</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83"/>
              </w:rPr>
              <w:t>2009</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7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10"/>
          </w:tcPr>
          <w:p>
            <w:pPr>
              <w:jc w:val="right"/>
              <w:ind w:right="300"/>
              <w:spacing w:after="0" w:line="142" w:lineRule="exact"/>
              <w:rPr>
                <w:sz w:val="20"/>
                <w:szCs w:val="20"/>
                <w:color w:val="auto"/>
              </w:rPr>
            </w:pPr>
            <w:r>
              <w:rPr>
                <w:rFonts w:ascii="Arial" w:cs="Arial" w:eastAsia="Arial" w:hAnsi="Arial"/>
                <w:sz w:val="14"/>
                <w:szCs w:val="14"/>
                <w:b w:val="1"/>
                <w:bCs w:val="1"/>
                <w:color w:val="auto"/>
                <w:w w:val="87"/>
              </w:rPr>
              <w:t>(In thousands, except per share data)</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revenue</w:t>
            </w:r>
          </w:p>
        </w:tc>
        <w:tc>
          <w:tcPr>
            <w:tcW w:w="2960" w:type="dxa"/>
            <w:vAlign w:val="bottom"/>
            <w:gridSpan w:val="5"/>
          </w:tcPr>
          <w:p>
            <w:pPr>
              <w:jc w:val="right"/>
              <w:ind w:right="140"/>
              <w:spacing w:after="0"/>
              <w:rPr>
                <w:sz w:val="20"/>
                <w:szCs w:val="20"/>
                <w:color w:val="auto"/>
              </w:rPr>
            </w:pPr>
            <w:r>
              <w:rPr>
                <w:rFonts w:ascii="Arial" w:cs="Arial" w:eastAsia="Arial" w:hAnsi="Arial"/>
                <w:sz w:val="18"/>
                <w:szCs w:val="18"/>
                <w:color w:val="auto"/>
              </w:rPr>
              <w:t>$ 511,257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426,741</w:t>
            </w:r>
          </w:p>
        </w:tc>
        <w:tc>
          <w:tcPr>
            <w:tcW w:w="8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$385,625</w:t>
            </w:r>
          </w:p>
        </w:tc>
        <w:tc>
          <w:tcPr>
            <w:tcW w:w="2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$261,902</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8"/>
              </w:rPr>
              <w:t>$161,309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Instructional costs and services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220,403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194,801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2"/>
              </w:rPr>
              <w:t>178,844</w:t>
            </w:r>
          </w:p>
        </w:tc>
        <w:tc>
          <w:tcPr>
            <w:tcW w:w="2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101,904</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64,601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promotional</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141,300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119,955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112,493</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85,405</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35,502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26,621</w:t>
            </w:r>
          </w:p>
        </w:tc>
        <w:tc>
          <w:tcPr>
            <w:tcW w:w="2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21,603</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18,360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Contract termination fees to related party</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9,233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Litigation loss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5,200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Lease termination costs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Estimated exit costs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1,218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costs and expenses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397,205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344,581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327,449</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215,330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gridSpan w:val="2"/>
            <w:vMerge w:val="continue"/>
          </w:tcPr>
          <w:p>
            <w:pPr>
              <w:spacing w:after="0"/>
              <w:rPr>
                <w:sz w:val="19"/>
                <w:szCs w:val="19"/>
                <w:color w:val="auto"/>
              </w:rPr>
            </w:pP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114,052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82,160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58,176</w:t>
            </w:r>
          </w:p>
        </w:tc>
        <w:tc>
          <w:tcPr>
            <w:tcW w:w="220" w:type="dxa"/>
            <w:vAlign w:val="bottom"/>
          </w:tcPr>
          <w:p>
            <w:pPr>
              <w:spacing w:after="0"/>
              <w:rPr>
                <w:sz w:val="19"/>
                <w:szCs w:val="19"/>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46,572</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12,797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(889)</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(1,613)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Interest income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113,424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57,455</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45,283</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Income tax expense</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43,977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22,249</w:t>
            </w:r>
          </w:p>
        </w:tc>
        <w:tc>
          <w:tcPr>
            <w:tcW w:w="2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17,979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35,206</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27,304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Preferred dividends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69,447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50,546</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35,206</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$ 27,304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2"/>
            <w:vMerge w:val="continue"/>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Diluted</w:t>
            </w: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0.76</w:t>
            </w:r>
          </w:p>
        </w:tc>
        <w:tc>
          <w:tcPr>
            <w:tcW w:w="2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0.60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earnings per common share</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Basic</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44,332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44,631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45,722</w:t>
            </w:r>
          </w:p>
        </w:tc>
        <w:tc>
          <w:tcPr>
            <w:tcW w:w="2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45,184</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22,185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45,251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46,396</w:t>
            </w:r>
          </w:p>
        </w:tc>
        <w:tc>
          <w:tcPr>
            <w:tcW w:w="2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45,503</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5"/>
          </w:tcPr>
          <w:p>
            <w:pPr>
              <w:jc w:val="right"/>
              <w:ind w:right="1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Capital expenditures</w:t>
            </w:r>
          </w:p>
        </w:tc>
        <w:tc>
          <w:tcPr>
            <w:tcW w:w="2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97,653</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80,545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62,627</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$60,265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Purchase of land and building related to future development</w:t>
            </w:r>
          </w:p>
        </w:tc>
        <w:tc>
          <w:tcPr>
            <w:tcW w:w="2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21,627</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16,738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83"/>
              </w:rPr>
              <w:t>11,812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7,664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(unaudited)</w:t>
            </w:r>
            <w:r>
              <w:rPr>
                <w:rFonts w:ascii="Arial" w:cs="Arial" w:eastAsia="Arial" w:hAnsi="Arial"/>
                <w:sz w:val="11"/>
                <w:szCs w:val="11"/>
                <w:color w:val="auto"/>
              </w:rPr>
              <w:t>(1)</w:t>
            </w:r>
          </w:p>
        </w:tc>
        <w:tc>
          <w:tcPr>
            <w:tcW w:w="2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$149,593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107,428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85,824</w:t>
            </w:r>
          </w:p>
        </w:tc>
        <w:tc>
          <w:tcPr>
            <w:tcW w:w="8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$65,119</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Period end enrollment</w:t>
            </w:r>
            <w:r>
              <w:rPr>
                <w:rFonts w:ascii="Arial" w:cs="Arial" w:eastAsia="Arial" w:hAnsi="Arial"/>
                <w:sz w:val="11"/>
                <w:szCs w:val="11"/>
                <w:color w:val="auto"/>
              </w:rPr>
              <w:t>(2)</w:t>
            </w:r>
            <w:r>
              <w:rPr>
                <w:rFonts w:ascii="Arial" w:cs="Arial" w:eastAsia="Arial" w:hAnsi="Arial"/>
                <w:sz w:val="18"/>
                <w:szCs w:val="18"/>
                <w:color w:val="auto"/>
              </w:rPr>
              <w:t>:</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Online</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44,690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37,734</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34,596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21,955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Ground</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4,999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3,748</w:t>
            </w:r>
          </w:p>
        </w:tc>
        <w:tc>
          <w:tcPr>
            <w:tcW w:w="20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3,113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080" w:type="dxa"/>
            <w:vAlign w:val="bottom"/>
          </w:tcPr>
          <w:p>
            <w:pPr>
              <w:jc w:val="right"/>
              <w:ind w:right="1112"/>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As of December 31,</w:t>
            </w:r>
          </w:p>
        </w:tc>
        <w:tc>
          <w:tcPr>
            <w:tcW w:w="8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2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2012</w:t>
            </w:r>
          </w:p>
        </w:tc>
        <w:tc>
          <w:tcPr>
            <w:tcW w:w="8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2011</w:t>
            </w:r>
          </w:p>
        </w:tc>
        <w:tc>
          <w:tcPr>
            <w:tcW w:w="11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88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2009</w:t>
            </w:r>
          </w:p>
        </w:tc>
        <w:tc>
          <w:tcPr>
            <w:tcW w:w="8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8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Cash and cash equivalents and marketable securities</w:t>
            </w:r>
          </w:p>
        </w:tc>
        <w:tc>
          <w:tcPr>
            <w:tcW w:w="820" w:type="dxa"/>
            <w:vAlign w:val="bottom"/>
          </w:tcPr>
          <w:p>
            <w:pPr>
              <w:jc w:val="right"/>
              <w:ind w:right="75"/>
              <w:spacing w:after="0"/>
              <w:rPr>
                <w:sz w:val="20"/>
                <w:szCs w:val="20"/>
                <w:color w:val="auto"/>
              </w:rPr>
            </w:pPr>
            <w:r>
              <w:rPr>
                <w:rFonts w:ascii="Arial" w:cs="Arial" w:eastAsia="Arial" w:hAnsi="Arial"/>
                <w:sz w:val="18"/>
                <w:szCs w:val="18"/>
                <w:color w:val="auto"/>
                <w:w w:val="79"/>
              </w:rPr>
              <w:t>$ 105,111</w:t>
            </w:r>
          </w:p>
        </w:tc>
        <w:tc>
          <w:tcPr>
            <w:tcW w:w="860" w:type="dxa"/>
            <w:vAlign w:val="bottom"/>
          </w:tcPr>
          <w:p>
            <w:pPr>
              <w:jc w:val="right"/>
              <w:spacing w:after="0"/>
              <w:rPr>
                <w:sz w:val="20"/>
                <w:szCs w:val="20"/>
                <w:color w:val="auto"/>
              </w:rPr>
            </w:pPr>
            <w:r>
              <w:rPr>
                <w:rFonts w:ascii="Arial" w:cs="Arial" w:eastAsia="Arial" w:hAnsi="Arial"/>
                <w:sz w:val="18"/>
                <w:szCs w:val="18"/>
                <w:color w:val="auto"/>
              </w:rPr>
              <w:t>$ 21,189</w:t>
            </w:r>
          </w:p>
        </w:tc>
        <w:tc>
          <w:tcPr>
            <w:tcW w:w="1180" w:type="dxa"/>
            <w:vAlign w:val="bottom"/>
          </w:tcPr>
          <w:p>
            <w:pPr>
              <w:jc w:val="right"/>
              <w:ind w:right="159"/>
              <w:spacing w:after="0"/>
              <w:rPr>
                <w:sz w:val="20"/>
                <w:szCs w:val="20"/>
                <w:color w:val="auto"/>
              </w:rPr>
            </w:pPr>
            <w:r>
              <w:rPr>
                <w:rFonts w:ascii="Arial" w:cs="Arial" w:eastAsia="Arial" w:hAnsi="Arial"/>
                <w:sz w:val="18"/>
                <w:szCs w:val="18"/>
                <w:color w:val="auto"/>
              </w:rPr>
              <w:t>$ 33,637</w:t>
            </w:r>
          </w:p>
        </w:tc>
        <w:tc>
          <w:tcPr>
            <w:tcW w:w="880" w:type="dxa"/>
            <w:vAlign w:val="bottom"/>
          </w:tcPr>
          <w:p>
            <w:pPr>
              <w:jc w:val="right"/>
              <w:ind w:right="75"/>
              <w:spacing w:after="0"/>
              <w:rPr>
                <w:sz w:val="20"/>
                <w:szCs w:val="20"/>
                <w:color w:val="auto"/>
              </w:rPr>
            </w:pPr>
            <w:r>
              <w:rPr>
                <w:rFonts w:ascii="Arial" w:cs="Arial" w:eastAsia="Arial" w:hAnsi="Arial"/>
                <w:sz w:val="18"/>
                <w:szCs w:val="18"/>
                <w:color w:val="auto"/>
                <w:w w:val="99"/>
              </w:rPr>
              <w:t>$ 63,101</w:t>
            </w:r>
          </w:p>
        </w:tc>
        <w:tc>
          <w:tcPr>
            <w:tcW w:w="800" w:type="dxa"/>
            <w:vAlign w:val="bottom"/>
          </w:tcPr>
          <w:p>
            <w:pPr>
              <w:jc w:val="right"/>
              <w:spacing w:after="0"/>
              <w:rPr>
                <w:sz w:val="20"/>
                <w:szCs w:val="20"/>
                <w:color w:val="auto"/>
              </w:rPr>
            </w:pPr>
            <w:r>
              <w:rPr>
                <w:rFonts w:ascii="Arial" w:cs="Arial" w:eastAsia="Arial" w:hAnsi="Arial"/>
                <w:sz w:val="18"/>
                <w:szCs w:val="18"/>
                <w:color w:val="auto"/>
              </w:rPr>
              <w:t>$ 35,627</w:t>
            </w: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cash equivalents and investments</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56,189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56,670</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52,938</w:t>
            </w: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3,233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820" w:type="dxa"/>
            <w:vAlign w:val="bottom"/>
          </w:tcPr>
          <w:p>
            <w:pPr>
              <w:jc w:val="right"/>
              <w:ind w:right="75"/>
              <w:spacing w:after="0"/>
              <w:rPr>
                <w:sz w:val="20"/>
                <w:szCs w:val="20"/>
                <w:color w:val="auto"/>
              </w:rPr>
            </w:pPr>
            <w:r>
              <w:rPr>
                <w:rFonts w:ascii="Arial" w:cs="Arial" w:eastAsia="Arial" w:hAnsi="Arial"/>
                <w:sz w:val="18"/>
                <w:szCs w:val="18"/>
                <w:color w:val="auto"/>
                <w:w w:val="98"/>
              </w:rPr>
              <w:t>494,923</w:t>
            </w:r>
          </w:p>
        </w:tc>
        <w:tc>
          <w:tcPr>
            <w:tcW w:w="860" w:type="dxa"/>
            <w:vAlign w:val="bottom"/>
          </w:tcPr>
          <w:p>
            <w:pPr>
              <w:jc w:val="right"/>
              <w:spacing w:after="0"/>
              <w:rPr>
                <w:sz w:val="20"/>
                <w:szCs w:val="20"/>
                <w:color w:val="auto"/>
              </w:rPr>
            </w:pPr>
            <w:r>
              <w:rPr>
                <w:rFonts w:ascii="Arial" w:cs="Arial" w:eastAsia="Arial" w:hAnsi="Arial"/>
                <w:sz w:val="18"/>
                <w:szCs w:val="18"/>
                <w:color w:val="auto"/>
              </w:rPr>
              <w:t>317,847</w:t>
            </w:r>
          </w:p>
        </w:tc>
        <w:tc>
          <w:tcPr>
            <w:tcW w:w="1180" w:type="dxa"/>
            <w:vAlign w:val="bottom"/>
          </w:tcPr>
          <w:p>
            <w:pPr>
              <w:jc w:val="right"/>
              <w:ind w:right="159"/>
              <w:spacing w:after="0"/>
              <w:rPr>
                <w:sz w:val="20"/>
                <w:szCs w:val="20"/>
                <w:color w:val="auto"/>
              </w:rPr>
            </w:pPr>
            <w:r>
              <w:rPr>
                <w:rFonts w:ascii="Arial" w:cs="Arial" w:eastAsia="Arial" w:hAnsi="Arial"/>
                <w:sz w:val="18"/>
                <w:szCs w:val="18"/>
                <w:color w:val="auto"/>
              </w:rPr>
              <w:t>275,096</w:t>
            </w: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174,738</w:t>
            </w:r>
          </w:p>
        </w:tc>
        <w:tc>
          <w:tcPr>
            <w:tcW w:w="800" w:type="dxa"/>
            <w:vAlign w:val="bottom"/>
          </w:tcPr>
          <w:p>
            <w:pPr>
              <w:jc w:val="right"/>
              <w:spacing w:after="0"/>
              <w:rPr>
                <w:sz w:val="20"/>
                <w:szCs w:val="20"/>
                <w:color w:val="auto"/>
              </w:rPr>
            </w:pPr>
            <w:r>
              <w:rPr>
                <w:rFonts w:ascii="Arial" w:cs="Arial" w:eastAsia="Arial" w:hAnsi="Arial"/>
                <w:sz w:val="18"/>
                <w:szCs w:val="18"/>
                <w:color w:val="auto"/>
              </w:rPr>
              <w:t>116,990</w:t>
            </w: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(including short-term)</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674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1,824</w:t>
            </w: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1,619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30,509</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Notes payable (including short-term)</w:t>
            </w:r>
          </w:p>
        </w:tc>
        <w:tc>
          <w:tcPr>
            <w:tcW w:w="820" w:type="dxa"/>
            <w:vAlign w:val="bottom"/>
          </w:tcPr>
          <w:p>
            <w:pPr>
              <w:jc w:val="right"/>
              <w:ind w:right="75"/>
              <w:spacing w:after="0"/>
              <w:rPr>
                <w:sz w:val="20"/>
                <w:szCs w:val="20"/>
                <w:color w:val="auto"/>
              </w:rPr>
            </w:pPr>
            <w:r>
              <w:rPr>
                <w:rFonts w:ascii="Arial" w:cs="Arial" w:eastAsia="Arial" w:hAnsi="Arial"/>
                <w:sz w:val="18"/>
                <w:szCs w:val="18"/>
                <w:color w:val="auto"/>
              </w:rPr>
              <w:t>99,701</w:t>
            </w:r>
          </w:p>
        </w:tc>
        <w:tc>
          <w:tcPr>
            <w:tcW w:w="860" w:type="dxa"/>
            <w:vAlign w:val="bottom"/>
          </w:tcPr>
          <w:p>
            <w:pPr>
              <w:jc w:val="right"/>
              <w:spacing w:after="0"/>
              <w:rPr>
                <w:sz w:val="20"/>
                <w:szCs w:val="20"/>
                <w:color w:val="auto"/>
              </w:rPr>
            </w:pPr>
            <w:r>
              <w:rPr>
                <w:rFonts w:ascii="Arial" w:cs="Arial" w:eastAsia="Arial" w:hAnsi="Arial"/>
                <w:sz w:val="18"/>
                <w:szCs w:val="18"/>
                <w:color w:val="auto"/>
              </w:rPr>
              <w:t>21,640</w:t>
            </w:r>
          </w:p>
        </w:tc>
        <w:tc>
          <w:tcPr>
            <w:tcW w:w="1180" w:type="dxa"/>
            <w:vAlign w:val="bottom"/>
          </w:tcPr>
          <w:p>
            <w:pPr>
              <w:jc w:val="right"/>
              <w:ind w:right="159"/>
              <w:spacing w:after="0"/>
              <w:rPr>
                <w:sz w:val="20"/>
                <w:szCs w:val="20"/>
                <w:color w:val="auto"/>
              </w:rPr>
            </w:pPr>
            <w:r>
              <w:rPr>
                <w:rFonts w:ascii="Arial" w:cs="Arial" w:eastAsia="Arial" w:hAnsi="Arial"/>
                <w:sz w:val="18"/>
                <w:szCs w:val="18"/>
                <w:color w:val="auto"/>
              </w:rPr>
              <w:t>23,907</w:t>
            </w: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26,088</w:t>
            </w:r>
          </w:p>
        </w:tc>
        <w:tc>
          <w:tcPr>
            <w:tcW w:w="80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8"/>
              </w:rPr>
              <w:t>234,059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163,293</w:t>
            </w:r>
          </w:p>
        </w:tc>
        <w:tc>
          <w:tcPr>
            <w:tcW w:w="1180" w:type="dxa"/>
            <w:vAlign w:val="bottom"/>
            <w:shd w:val="clear" w:color="auto" w:fill="CCEEFF"/>
          </w:tcPr>
          <w:p>
            <w:pPr>
              <w:jc w:val="right"/>
              <w:ind w:right="159"/>
              <w:spacing w:after="0"/>
              <w:rPr>
                <w:sz w:val="20"/>
                <w:szCs w:val="20"/>
                <w:color w:val="auto"/>
              </w:rPr>
            </w:pPr>
            <w:r>
              <w:rPr>
                <w:rFonts w:ascii="Arial" w:cs="Arial" w:eastAsia="Arial" w:hAnsi="Arial"/>
                <w:sz w:val="18"/>
                <w:szCs w:val="18"/>
                <w:color w:val="auto"/>
              </w:rPr>
              <w:t>127,501</w:t>
            </w: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86,028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53,590</w:t>
            </w:r>
          </w:p>
        </w:tc>
        <w:tc>
          <w:tcPr>
            <w:tcW w:w="100" w:type="dxa"/>
            <w:vAlign w:val="bottom"/>
            <w:shd w:val="clear" w:color="auto" w:fill="CCEEFF"/>
          </w:tcPr>
          <w:p>
            <w:pPr>
              <w:spacing w:after="0"/>
              <w:rPr>
                <w:sz w:val="18"/>
                <w:szCs w:val="18"/>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5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100" w:lineRule="exact"/>
        <w:rPr>
          <w:sz w:val="20"/>
          <w:szCs w:val="20"/>
          <w:color w:val="auto"/>
        </w:rPr>
      </w:pPr>
    </w:p>
    <w:p>
      <w:pPr>
        <w:ind w:left="460" w:right="60" w:hanging="452"/>
        <w:spacing w:after="0" w:line="25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Adjusted EBITDA is defined as net income plus interest expense net of interest income, plus income tax expense, and plus depreciation and amortization (EBITDA), as adjusted for (i) the amortization of prepaid royalty payments recorded in conjunction with a settlement of a dispute with our former owner, as discussed in Note 2 to our consolidated financial statements that are included in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 (ii) contributions made to Arizona school tuition organizations in lieu of the payment of state income taxes, which we typically make in the fourth quarter of a fiscal year; (iii) litigation and regulatory reserves, if any; (iv) exit costs, if any; (v) contract termination fees, if any; (vi) lease termination costs, if any; and (vii) share-based compensation.</w:t>
      </w:r>
    </w:p>
    <w:p>
      <w:pPr>
        <w:spacing w:after="0" w:line="4" w:lineRule="exact"/>
        <w:rPr>
          <w:rFonts w:ascii="Arial" w:cs="Arial" w:eastAsia="Arial" w:hAnsi="Arial"/>
          <w:sz w:val="18"/>
          <w:szCs w:val="18"/>
          <w:color w:val="auto"/>
        </w:rPr>
      </w:pPr>
    </w:p>
    <w:p>
      <w:pPr>
        <w:ind w:left="460" w:right="60" w:hanging="452"/>
        <w:spacing w:after="0" w:line="255"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Enrollment at December 31, 2012, 2011 and 2010 represents individual students who attended a course during the last two months of the calendar quarter. Prior to our transition to a BBAY environment, enrollment had been defined as individual students that attended a course in a term that was in session as of the end of the quarter.</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color w:val="auto"/>
        </w:rPr>
        <w:t>We present Adjusted EBITDA because we consider it to be an important supplemental measure of our operating performance. We also make certain compensation decisions based, in part, on our operating performance, as measured by Adjusted EBITDA, and our loan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Royalty expenses paid to our former owner, contributions made to Arizona school tuition organizations in lieu of the payment of state income taxes, estimated litigation and regulatory reserves, exit costs, contract and lease termination fees, and share-based compensation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1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Some of these limitations are that it does not reflect:</w:t>
      </w:r>
    </w:p>
    <w:p>
      <w:pPr>
        <w:spacing w:after="0" w:line="26" w:lineRule="exact"/>
        <w:rPr>
          <w:sz w:val="20"/>
          <w:szCs w:val="20"/>
          <w:color w:val="auto"/>
        </w:rPr>
      </w:pPr>
    </w:p>
    <w:p>
      <w:pPr>
        <w:ind w:left="1480" w:hanging="567"/>
        <w:spacing w:after="0"/>
        <w:tabs>
          <w:tab w:leader="none" w:pos="14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cash expenditures for capital expenditures or contractual commitments;</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changes in, or cash requirements for, our working capital requirements;</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interest expense, or the cash required to replace assets that are being depreciated or amortized; and</w:t>
      </w:r>
    </w:p>
    <w:p>
      <w:pPr>
        <w:spacing w:after="0" w:line="90" w:lineRule="exact"/>
        <w:rPr>
          <w:rFonts w:ascii="Arial" w:cs="Arial" w:eastAsia="Arial" w:hAnsi="Arial"/>
          <w:sz w:val="18"/>
          <w:szCs w:val="18"/>
          <w:b w:val="1"/>
          <w:bCs w:val="1"/>
          <w:color w:val="auto"/>
        </w:rPr>
      </w:pPr>
    </w:p>
    <w:p>
      <w:pPr>
        <w:ind w:left="1480" w:right="600" w:hanging="567"/>
        <w:spacing w:after="0" w:line="268" w:lineRule="auto"/>
        <w:tabs>
          <w:tab w:leader="none" w:pos="148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 For more information, see our consolidated financial statements and the notes to those statements included elsewhere in this Annual Report on Form 10-K.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Adjusted EBITDA to net income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4400" w:type="dxa"/>
            <w:vAlign w:val="bottom"/>
            <w:vMerge w:val="restart"/>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w w:val="90"/>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440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29"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58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52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69,447</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50,546</w:t>
            </w:r>
          </w:p>
        </w:tc>
        <w:tc>
          <w:tcPr>
            <w:tcW w:w="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$35,206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Plus: interest expense net of interest income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w:t>
            </w:r>
          </w:p>
        </w:tc>
        <w:tc>
          <w:tcPr>
            <w:tcW w:w="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30,982</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Plus: depreciation and amortization</w:t>
            </w:r>
          </w:p>
        </w:tc>
        <w:tc>
          <w:tcPr>
            <w:tcW w:w="1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21,627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16,738</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EBITDA</w:t>
            </w:r>
          </w:p>
        </w:tc>
        <w:tc>
          <w:tcPr>
            <w:tcW w:w="1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135,679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98,898</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1"/>
                <w:szCs w:val="11"/>
                <w:color w:val="auto"/>
              </w:rPr>
              <w:t>(a)</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296</w:t>
            </w: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contributions made in lieu of state income taxes</w:t>
            </w:r>
            <w:r>
              <w:rPr>
                <w:rFonts w:ascii="Arial" w:cs="Arial" w:eastAsia="Arial" w:hAnsi="Arial"/>
                <w:sz w:val="11"/>
                <w:szCs w:val="11"/>
                <w:color w:val="auto"/>
              </w:rPr>
              <w:t>(b)</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Plus: estimated litigation and regulatory reserves</w:t>
            </w:r>
            <w:r>
              <w:rPr>
                <w:rFonts w:ascii="Arial" w:cs="Arial" w:eastAsia="Arial" w:hAnsi="Arial"/>
                <w:sz w:val="11"/>
                <w:szCs w:val="11"/>
                <w:color w:val="auto"/>
              </w:rPr>
              <w:t>(c)</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3,807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exit costs</w:t>
            </w:r>
            <w:r>
              <w:rPr>
                <w:rFonts w:ascii="Arial" w:cs="Arial" w:eastAsia="Arial" w:hAnsi="Arial"/>
                <w:sz w:val="11"/>
                <w:szCs w:val="11"/>
                <w:color w:val="auto"/>
              </w:rPr>
              <w:t>(d)</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Plus: contract termination fees to a related party</w:t>
            </w:r>
            <w:r>
              <w:rPr>
                <w:rFonts w:ascii="Arial" w:cs="Arial" w:eastAsia="Arial" w:hAnsi="Arial"/>
                <w:sz w:val="11"/>
                <w:szCs w:val="11"/>
                <w:color w:val="auto"/>
              </w:rPr>
              <w:t>(e)</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lease termination costs</w:t>
            </w:r>
            <w:r>
              <w:rPr>
                <w:rFonts w:ascii="Arial" w:cs="Arial" w:eastAsia="Arial" w:hAnsi="Arial"/>
                <w:sz w:val="11"/>
                <w:szCs w:val="11"/>
                <w:color w:val="auto"/>
              </w:rPr>
              <w:t>(f)</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Plus: share-based compensation</w:t>
            </w:r>
            <w:r>
              <w:rPr>
                <w:rFonts w:ascii="Arial" w:cs="Arial" w:eastAsia="Arial" w:hAnsi="Arial"/>
                <w:sz w:val="11"/>
                <w:szCs w:val="11"/>
                <w:color w:val="auto"/>
              </w:rPr>
              <w:t>(g)</w:t>
            </w:r>
          </w:p>
        </w:tc>
        <w:tc>
          <w:tcPr>
            <w:tcW w:w="1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6,452</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149,593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107,428</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4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8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Represents the amortization of prepaid royalty payments, as discussed in Note 2 to our consolidated financial statements that are included in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w:t>
      </w:r>
    </w:p>
    <w:p>
      <w:pPr>
        <w:ind w:left="460" w:right="40" w:hanging="452"/>
        <w:spacing w:after="0" w:line="28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Reflects contributions made to various Arizona school tuition organizations to assist with funding for education. In connection with such contributions made we received a dollar-for-dollar state income tax credit, which resulted in a reduction in our effective income tax rate to 38.8%, 38.0% and 38.7% for the years ended December 31, 2012, 2011 and 2010, respectively. Had these contributions not been made, our effective tax rate would have been 39.8%, 38.7% and 39.8%, for 2012, 2011 and 2010, respectively. Such contributions are viewed by our management to be made in lieu of payments of state income taxes and are therefore excluded from evaluation of our core operating performance.</w:t>
      </w:r>
    </w:p>
    <w:p>
      <w:pPr>
        <w:spacing w:after="0" w:line="3"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Reflects $3.5 million for the program review reserve and $0.3 million for estimated litigation reserves. See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w:t>
      </w:r>
    </w:p>
    <w:p>
      <w:pPr>
        <w:ind w:left="460" w:right="22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exit costs related to the closure of a student services facility in Utah, including termination benefits, relocation expenses and the future lease payments, plus the write off of leasehold improvements associated with the leased space.</w:t>
      </w:r>
    </w:p>
    <w:p>
      <w:pPr>
        <w:ind w:left="460" w:right="68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Represents contract termination fees related to the termination of our Mind Streams revenue sharing arrangement in December 2010. See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w:t>
      </w: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Reflects termination costs incurred related to the early termination of leased space, removal of deferred rent and leasehold improvements.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share-based compensation expense relating to restricted stock awards and option grants made to employees and directors.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20"/>
          </w:cols>
          <w:pgMar w:left="240" w:top="459" w:right="3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The following discussion and analysis of our financial condition and results of operations for the year ended December 31, 2012 should be read in conjunction with our consolidated financial statements and related notes that appear in Item 8, </w:t>
      </w:r>
      <w:r>
        <w:rPr>
          <w:rFonts w:ascii="Arial" w:cs="Arial" w:eastAsia="Arial" w:hAnsi="Arial"/>
          <w:sz w:val="16"/>
          <w:szCs w:val="16"/>
          <w:i w:val="1"/>
          <w:iCs w:val="1"/>
          <w:color w:val="auto"/>
        </w:rPr>
        <w:t>Consolidated Financial Statements and Supplementary Data</w:t>
      </w:r>
      <w:r>
        <w:rPr>
          <w:rFonts w:ascii="Arial" w:cs="Arial" w:eastAsia="Arial" w:hAnsi="Arial"/>
          <w:sz w:val="16"/>
          <w:szCs w:val="16"/>
          <w:color w:val="auto"/>
        </w:rPr>
        <w:t xml:space="preserve">. In addition to historical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w:t>
      </w:r>
      <w:r>
        <w:rPr>
          <w:rFonts w:ascii="Arial" w:cs="Arial" w:eastAsia="Arial" w:hAnsi="Arial"/>
          <w:sz w:val="16"/>
          <w:szCs w:val="16"/>
          <w:i w:val="1"/>
          <w:iCs w:val="1"/>
          <w:color w:val="auto"/>
        </w:rPr>
        <w:t>Forward-Looking Statements</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are a regionally accredited provider of postsecondary education services focused on offering graduate and undergraduate degree programs in our core disciplines of education, healthcare, business and liberal arts. We offer programs online, on ground at our approximately 115-acre traditional campus in Phoenix, Arizona and onsite at facilities we lease and at facilities owned by third party employers. At December 31, 2012, we had approximately 52,300 students. At December 31, 2012, 85.5% of our students were enrolled in our online programs and, of our online and professional studies students, 41.9% were pursuing master’s or doctoral degrees.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circumstances and trends present opportunities, challenges and risks.</w:t>
      </w:r>
    </w:p>
    <w:p>
      <w:pPr>
        <w:spacing w:after="0" w:line="84"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Evolving Postsecondary Education Market</w:t>
      </w:r>
      <w:r>
        <w:rPr>
          <w:rFonts w:ascii="Arial" w:cs="Arial" w:eastAsia="Arial" w:hAnsi="Arial"/>
          <w:sz w:val="16"/>
          <w:szCs w:val="16"/>
          <w:color w:val="auto"/>
        </w:rPr>
        <w:t>. We believe the number of non-traditional students who work, are raising a family, or are doing both while trying to</w:t>
      </w:r>
      <w:r>
        <w:rPr>
          <w:rFonts w:ascii="Arial" w:cs="Arial" w:eastAsia="Arial" w:hAnsi="Arial"/>
          <w:sz w:val="16"/>
          <w:szCs w:val="16"/>
          <w:b w:val="1"/>
          <w:bCs w:val="1"/>
          <w:color w:val="auto"/>
        </w:rPr>
        <w:t xml:space="preserve"> </w:t>
      </w:r>
      <w:r>
        <w:rPr>
          <w:rFonts w:ascii="Arial" w:cs="Arial" w:eastAsia="Arial" w:hAnsi="Arial"/>
          <w:sz w:val="16"/>
          <w:szCs w:val="16"/>
          <w:color w:val="auto"/>
        </w:rPr>
        <w:t>earn a college degree continues to grow. The continued economic environment in the U.S., however, has caused an increased number of potential students and/or their parents to consider the cost of education as a primary factor in choosing the school that they will attend. Given these trends, we believe that many individuals will be attracted to our high quality academic programs at affordable tuition rates. We also believe that competition for students continues to increase. We compete primarily with traditional public and four-year degree-granting regionally accredited colleges and universities and other proprietary degree-granting regionally accredited schools. An increasing number of traditional colleges and universities and community colleges are offering distance learning and other online education programs, including programs that are geared towards the needs of working adult students. This trend has been accelerated by private companies that provide and/or manage online learning platforms for traditional colleges and universities. As the proportion of traditional colleges and universities providing alternative learning modalities increases, we will face increasing competition for students from such institutions, including those with well-established reputations for excellence. In addition, it is likely that we will begin to face competition from various emerging nontraditional, credit-bearing and noncredit-bearing education programs, provided by both proprietary and not-for-profit providers, including massive open online courses (MOOCs) offered worldwide without charge by traditional educational institutions and other direct-to-consumer education services.</w:t>
      </w:r>
    </w:p>
    <w:p>
      <w:pPr>
        <w:spacing w:after="0" w:line="11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Regulation and Oversight. </w:t>
      </w:r>
      <w:r>
        <w:rPr>
          <w:rFonts w:ascii="Arial" w:cs="Arial" w:eastAsia="Arial" w:hAnsi="Arial"/>
          <w:sz w:val="16"/>
          <w:szCs w:val="16"/>
          <w:color w:val="auto"/>
        </w:rPr>
        <w:t>We are subject to extensive regulation by federal and state governmental agencies and accrediting bodies. In particular, the Higher</w:t>
      </w:r>
      <w:r>
        <w:rPr>
          <w:rFonts w:ascii="Arial" w:cs="Arial" w:eastAsia="Arial" w:hAnsi="Arial"/>
          <w:sz w:val="16"/>
          <w:szCs w:val="16"/>
          <w:b w:val="1"/>
          <w:bCs w:val="1"/>
          <w:color w:val="auto"/>
        </w:rPr>
        <w:t xml:space="preserve"> </w:t>
      </w:r>
      <w:r>
        <w:rPr>
          <w:rFonts w:ascii="Arial" w:cs="Arial" w:eastAsia="Arial" w:hAnsi="Arial"/>
          <w:sz w:val="16"/>
          <w:szCs w:val="16"/>
          <w:color w:val="auto"/>
        </w:rPr>
        <w:t>Education Act of 1965, as amended (the “Higher Education Act”), and the regulations promulgated thereunder by the Department of Education subject us to significant regulatory scrutiny on the basis of numerous standards that schools must satisfy in order to participate in the various federal student financial assistance programs under Title IV of the Higher Education Act. See Item 1. Business – Regulation. Recent regulations have imposed new reporting and disclosure requirements that have caused increased administrative burden and costs and may have a negative effect on our growth and enrollments. In addition, in recent years, there has been increased focus by Congress on the role that proprietary educational institutions play in higher education and various proposals to modify the laws to which proprietary educational institutions are subject, including, for example, proposals to change the 90/10 Rule to an 85/15 rule and to require that colleges count GI Bill benefits, military tuition assistance, and several other sources of federal funds as student financial aid revenue for purposes of the 90/10 Rule. We cannot predict what legislation, if any, may result from these Congressional proposals or what impact any such legislation might have on the proprietary education sector generally or our business in particular.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11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color w:val="auto"/>
        </w:rPr>
        <w:t>Department of Education Program Review</w:t>
      </w:r>
      <w:r>
        <w:rPr>
          <w:rFonts w:ascii="Arial" w:cs="Arial" w:eastAsia="Arial" w:hAnsi="Arial"/>
          <w:sz w:val="16"/>
          <w:szCs w:val="16"/>
          <w:color w:val="auto"/>
        </w:rPr>
        <w:t>. We remain subject to an ongoing program review that was initiated by the Department of Education in July 2010</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the subject of a preliminary program review report that we received on August 24, 2011. See Item 1. </w:t>
      </w:r>
      <w:r>
        <w:rPr>
          <w:rFonts w:ascii="Arial" w:cs="Arial" w:eastAsia="Arial" w:hAnsi="Arial"/>
          <w:sz w:val="16"/>
          <w:szCs w:val="16"/>
          <w:i w:val="1"/>
          <w:iCs w:val="1"/>
          <w:color w:val="auto"/>
        </w:rPr>
        <w:t>Business – Regulation – Compliance Reviews</w:t>
      </w:r>
      <w:r>
        <w:rPr>
          <w:rFonts w:ascii="Arial" w:cs="Arial" w:eastAsia="Arial" w:hAnsi="Arial"/>
          <w:sz w:val="16"/>
          <w:szCs w:val="16"/>
          <w:color w:val="auto"/>
        </w:rPr>
        <w:t xml:space="preserve">, and Item 1A. </w:t>
      </w:r>
      <w:r>
        <w:rPr>
          <w:rFonts w:ascii="Arial" w:cs="Arial" w:eastAsia="Arial" w:hAnsi="Arial"/>
          <w:sz w:val="16"/>
          <w:szCs w:val="16"/>
          <w:i w:val="1"/>
          <w:iCs w:val="1"/>
          <w:color w:val="auto"/>
        </w:rPr>
        <w:t>Risk Factors–The Department of Education is conducting a program review of Grand Canyon University, which may result in the repayment of a</w:t>
      </w:r>
      <w:r>
        <w:rPr>
          <w:rFonts w:ascii="Arial" w:cs="Arial" w:eastAsia="Arial" w:hAnsi="Arial"/>
          <w:sz w:val="16"/>
          <w:szCs w:val="16"/>
          <w:color w:val="auto"/>
        </w:rPr>
        <w:t xml:space="preserve"> </w:t>
      </w:r>
      <w:r>
        <w:rPr>
          <w:rFonts w:ascii="Arial" w:cs="Arial" w:eastAsia="Arial" w:hAnsi="Arial"/>
          <w:sz w:val="16"/>
          <w:szCs w:val="16"/>
          <w:i w:val="1"/>
          <w:iCs w:val="1"/>
          <w:color w:val="auto"/>
        </w:rPr>
        <w:t>substantial amount of Title IV funds and may lead to fines, penalties, or other sanctions, and damage to our reputation in the industry.</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2012 Events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experienced the following significant events in 2012:</w:t>
      </w:r>
    </w:p>
    <w:p>
      <w:pPr>
        <w:spacing w:after="0" w:line="90" w:lineRule="exact"/>
        <w:rPr>
          <w:sz w:val="20"/>
          <w:szCs w:val="20"/>
          <w:color w:val="auto"/>
        </w:rPr>
      </w:pPr>
    </w:p>
    <w:p>
      <w:pPr>
        <w:ind w:left="1480" w:hanging="567"/>
        <w:spacing w:after="0" w:line="301" w:lineRule="auto"/>
        <w:tabs>
          <w:tab w:leader="none" w:pos="1480" w:val="left"/>
        </w:tabs>
        <w:numPr>
          <w:ilvl w:val="0"/>
          <w:numId w:val="33"/>
        </w:numPr>
        <w:rPr>
          <w:rFonts w:ascii="Arial" w:cs="Arial" w:eastAsia="Arial" w:hAnsi="Arial"/>
          <w:sz w:val="15"/>
          <w:szCs w:val="15"/>
          <w:b w:val="1"/>
          <w:bCs w:val="1"/>
          <w:color w:val="auto"/>
        </w:rPr>
      </w:pPr>
      <w:r>
        <w:rPr>
          <w:rFonts w:ascii="Arial" w:cs="Arial" w:eastAsia="Arial" w:hAnsi="Arial"/>
          <w:sz w:val="15"/>
          <w:szCs w:val="15"/>
          <w:i w:val="1"/>
          <w:iCs w:val="1"/>
          <w:u w:val="single" w:color="auto"/>
          <w:color w:val="auto"/>
        </w:rPr>
        <w:t>Enrollment, Net Revenue, and Operating Income Growth.</w:t>
      </w:r>
      <w:r>
        <w:rPr>
          <w:rFonts w:ascii="Arial" w:cs="Arial" w:eastAsia="Arial" w:hAnsi="Arial"/>
          <w:sz w:val="15"/>
          <w:szCs w:val="15"/>
          <w:i w:val="1"/>
          <w:iCs w:val="1"/>
          <w:color w:val="auto"/>
        </w:rPr>
        <w:t xml:space="preserve"> </w:t>
      </w:r>
      <w:r>
        <w:rPr>
          <w:rFonts w:ascii="Arial" w:cs="Arial" w:eastAsia="Arial" w:hAnsi="Arial"/>
          <w:sz w:val="15"/>
          <w:szCs w:val="15"/>
          <w:color w:val="auto"/>
        </w:rPr>
        <w:t>We achieved enrollment growth for the fiscal year ended December 31, 2012 as</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fiscal year ended December 31, 2011, as ground enrollment increased 52.1% and online enrollment increased 14.8%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tuition, room, board, and fees in an amount that is often half to a third of what it costs to attend a private, traditional university in another state and an amount comparable to what it costs to attend the public universities in the state of Arizona as an in-state student. Another factor contributing to the 19.8% increase in net revenue over the same period was the increase in the revenue per student for our online and professional studies students as a result of improved retention, selective tuition price increases, and an increase in student fees between years. In this regard, we increased tuition prices for students in our online and professional studies programs by amounts up to</w:t>
      </w:r>
    </w:p>
    <w:p>
      <w:pPr>
        <w:spacing w:after="0" w:line="4" w:lineRule="exact"/>
        <w:rPr>
          <w:rFonts w:ascii="Arial" w:cs="Arial" w:eastAsia="Arial" w:hAnsi="Arial"/>
          <w:sz w:val="15"/>
          <w:szCs w:val="15"/>
          <w:b w:val="1"/>
          <w:bCs w:val="1"/>
          <w:color w:val="auto"/>
        </w:rPr>
      </w:pPr>
    </w:p>
    <w:p>
      <w:pPr>
        <w:ind w:left="1480" w:right="20"/>
        <w:spacing w:after="0" w:line="287" w:lineRule="auto"/>
        <w:rPr>
          <w:rFonts w:ascii="Arial" w:cs="Arial" w:eastAsia="Arial" w:hAnsi="Arial"/>
          <w:sz w:val="15"/>
          <w:szCs w:val="15"/>
          <w:b w:val="1"/>
          <w:bCs w:val="1"/>
          <w:color w:val="auto"/>
        </w:rPr>
      </w:pPr>
      <w:r>
        <w:rPr>
          <w:rFonts w:ascii="Arial" w:cs="Arial" w:eastAsia="Arial" w:hAnsi="Arial"/>
          <w:sz w:val="16"/>
          <w:szCs w:val="16"/>
          <w:color w:val="auto"/>
        </w:rPr>
        <w:t>5.9%, depending on the program, with an estimated blended rate increase of 2.5% for our 2012-13 academic year, as compared to tuition price increases for students in our online and professional studies programs of amounts up to 6.5%, depending on the program, with an estimated blended rate increase of 3.2% for our 2011-12 academic year. Although we did not raise our tuition for our traditional ground programs during either our 2012-13 or 2011-12 academic years, we did recognize an increase in revenue per student for our traditional ground programs as we recognized a higher amount of revenue from room and board and student fees. Tuition increases have not historically been, and may not in the future be, consistent across our programs due to market conditions and differences in operating costs of individual programs. Operating income was $114.1 million for the fiscal year ended December 31, 2012, an increase of 38.8% over the $82.2 million in operating income for 2011.</w:t>
      </w:r>
    </w:p>
    <w:p>
      <w:pPr>
        <w:spacing w:after="0" w:line="43" w:lineRule="exact"/>
        <w:rPr>
          <w:rFonts w:ascii="Arial" w:cs="Arial" w:eastAsia="Arial" w:hAnsi="Arial"/>
          <w:sz w:val="15"/>
          <w:szCs w:val="15"/>
          <w:b w:val="1"/>
          <w:bCs w:val="1"/>
          <w:color w:val="auto"/>
        </w:rPr>
      </w:pPr>
    </w:p>
    <w:p>
      <w:pPr>
        <w:ind w:left="1480" w:right="160" w:hanging="567"/>
        <w:spacing w:after="0" w:line="291" w:lineRule="auto"/>
        <w:tabs>
          <w:tab w:leader="none" w:pos="1480" w:val="left"/>
        </w:tabs>
        <w:numPr>
          <w:ilvl w:val="0"/>
          <w:numId w:val="33"/>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Increased Brand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Our brand recognition through our traditional campus was highlighted throughout 2012 due to highly visible</w:t>
      </w:r>
      <w:r>
        <w:rPr>
          <w:rFonts w:ascii="Arial" w:cs="Arial" w:eastAsia="Arial" w:hAnsi="Arial"/>
          <w:sz w:val="16"/>
          <w:szCs w:val="16"/>
          <w:i w:val="1"/>
          <w:iCs w:val="1"/>
          <w:color w:val="auto"/>
        </w:rPr>
        <w:t xml:space="preserve"> </w:t>
      </w:r>
      <w:r>
        <w:rPr>
          <w:rFonts w:ascii="Arial" w:cs="Arial" w:eastAsia="Arial" w:hAnsi="Arial"/>
          <w:sz w:val="16"/>
          <w:szCs w:val="16"/>
          <w:color w:val="auto"/>
        </w:rPr>
        <w:t>awards and invitations we received. Following the recognition we received for winning the 2011-12 Learfield Sports Directors Cup as the top overall NCAA Division II intercollegiate athletic program, we accepted an invitation to be a member of the NCAA Division I Western Athletic Conference beginning with the 2013-14 academic year and we have started the four-year process to reclassify NCAA membership from Division II to Division I. We believe this increased brand recognition has been the primary factor behind our increased enrollment, especially in Arizona and bordering states.</w:t>
      </w:r>
    </w:p>
    <w:p>
      <w:pPr>
        <w:spacing w:after="0" w:line="39" w:lineRule="exact"/>
        <w:rPr>
          <w:rFonts w:ascii="Arial" w:cs="Arial" w:eastAsia="Arial" w:hAnsi="Arial"/>
          <w:sz w:val="16"/>
          <w:szCs w:val="16"/>
          <w:b w:val="1"/>
          <w:bCs w:val="1"/>
          <w:color w:val="auto"/>
        </w:rPr>
      </w:pPr>
    </w:p>
    <w:p>
      <w:pPr>
        <w:ind w:left="1480" w:right="20" w:hanging="567"/>
        <w:spacing w:after="0" w:line="290" w:lineRule="auto"/>
        <w:tabs>
          <w:tab w:leader="none" w:pos="1480" w:val="left"/>
        </w:tabs>
        <w:numPr>
          <w:ilvl w:val="0"/>
          <w:numId w:val="33"/>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Capital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Our capital expenditures in 2012 of $97.7 million were primarily related to the expansion of our physical campus and</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investments in technology innovation to support our students and staff. In 2012, we completed two additional dormitories, an Arts and Sciences classroom building, a remodel of our student union, and a parking garage to support our increasing traditional student enrollment as well as purchases of computer equipment, internal use software projects and furniture and equipment. In addition during 2012 we purchased an on campus dormitory that was previously leased. The Arts and Sciences classroom building has 21 traditional classrooms, five science labs, two computer labs, a simulation laboratory, and a skills laboratory. These investments are to support our growing on-campus student population as well as enhance the brand of the University.</w:t>
      </w:r>
    </w:p>
    <w:p>
      <w:pPr>
        <w:spacing w:after="0" w:line="37" w:lineRule="exact"/>
        <w:rPr>
          <w:rFonts w:ascii="Arial" w:cs="Arial" w:eastAsia="Arial" w:hAnsi="Arial"/>
          <w:sz w:val="16"/>
          <w:szCs w:val="16"/>
          <w:b w:val="1"/>
          <w:bCs w:val="1"/>
          <w:color w:val="auto"/>
        </w:rPr>
      </w:pPr>
    </w:p>
    <w:p>
      <w:pPr>
        <w:ind w:left="1480" w:right="40" w:hanging="567"/>
        <w:spacing w:after="0" w:line="291" w:lineRule="auto"/>
        <w:tabs>
          <w:tab w:leader="none" w:pos="1480" w:val="left"/>
        </w:tabs>
        <w:numPr>
          <w:ilvl w:val="0"/>
          <w:numId w:val="33"/>
        </w:numPr>
        <w:rPr>
          <w:rFonts w:ascii="Arial" w:cs="Arial" w:eastAsia="Arial" w:hAnsi="Arial"/>
          <w:sz w:val="16"/>
          <w:szCs w:val="16"/>
          <w:b w:val="1"/>
          <w:bCs w:val="1"/>
          <w:color w:val="auto"/>
        </w:rPr>
      </w:pPr>
      <w:r>
        <w:rPr>
          <w:rFonts w:ascii="Arial" w:cs="Arial" w:eastAsia="Arial" w:hAnsi="Arial"/>
          <w:sz w:val="16"/>
          <w:szCs w:val="16"/>
          <w:i w:val="1"/>
          <w:iCs w:val="1"/>
          <w:u w:val="single" w:color="auto"/>
          <w:color w:val="auto"/>
        </w:rPr>
        <w:t>Enhanced Liquidity</w:t>
      </w:r>
      <w:r>
        <w:rPr>
          <w:rFonts w:ascii="Arial" w:cs="Arial" w:eastAsia="Arial" w:hAnsi="Arial"/>
          <w:sz w:val="16"/>
          <w:szCs w:val="16"/>
          <w:i w:val="1"/>
          <w:iCs w:val="1"/>
          <w:color w:val="auto"/>
        </w:rPr>
        <w:t xml:space="preserve">. </w:t>
      </w:r>
      <w:r>
        <w:rPr>
          <w:rFonts w:ascii="Arial" w:cs="Arial" w:eastAsia="Arial" w:hAnsi="Arial"/>
          <w:sz w:val="16"/>
          <w:szCs w:val="16"/>
          <w:color w:val="auto"/>
        </w:rPr>
        <w:t>In December 2012, we entered into a new credit agreement with Bank of America, N.A. as Administrative Agent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 lenders (the “Agreement”), which refinances our prior loan agreement with Bank of America, N.A. dated April 8, 2011. The Agreement (a) increases the term loan to $100 million with a maturity date of December 2019 and decreases the interest rate on the outstanding balance from the BBA Libor Rate plus 200 basis points to the BBA Libor Rate plus 175 basis points, with monthly principal and interest payments, and (b) provides a revolving line of credit in the amount of $50 million through December 2017 to be utilized for working capital, capital expenditures, share repurchases and other general corporate purposes.</w:t>
      </w:r>
    </w:p>
    <w:p>
      <w:pPr>
        <w:spacing w:after="0" w:line="39" w:lineRule="exact"/>
        <w:rPr>
          <w:rFonts w:ascii="Arial" w:cs="Arial" w:eastAsia="Arial" w:hAnsi="Arial"/>
          <w:sz w:val="16"/>
          <w:szCs w:val="16"/>
          <w:b w:val="1"/>
          <w:bCs w:val="1"/>
          <w:color w:val="auto"/>
        </w:rPr>
      </w:pPr>
    </w:p>
    <w:p>
      <w:pPr>
        <w:ind w:left="1480" w:right="60" w:hanging="567"/>
        <w:spacing w:after="0" w:line="254" w:lineRule="auto"/>
        <w:tabs>
          <w:tab w:leader="none" w:pos="1480" w:val="left"/>
        </w:tabs>
        <w:numPr>
          <w:ilvl w:val="0"/>
          <w:numId w:val="33"/>
        </w:numPr>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Investing in Innovative Educational Tools.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2010, we entered into an agreement with an affiliated entity to develop a new learning</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system (called LoudCloud) for our use. Through this agreement we prepaid perpetual license fees, acquired source code rights for the software developed, and prepaid maintenance and service fees for the first seven years of use, for an aggregate amount of $4.9 million. During October 2011, we began converting our students to the LoudCloud platform for our online delivered coursework. By August 2012 all online nontraditional students had migrated to the LoudCloud platform. We anticipate the remaining ground students and cohorts will fully transition by May of 2013.</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metrics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Net revenue consists principally of tuition, room and board charges attributable to students residing on our ground campus, application and graduation fees, and fees from educational resources such as access to online materials or commissions we earn from bookstore and publication sales, less scholarships. Factors affecting our net revenue include: (i) the number of students who are enrolled and who remain enrolled in our courses; (ii) the number of credit hours per student;</w:t>
      </w:r>
    </w:p>
    <w:p>
      <w:pPr>
        <w:spacing w:after="0" w:line="1" w:lineRule="exact"/>
        <w:rPr>
          <w:sz w:val="20"/>
          <w:szCs w:val="20"/>
          <w:color w:val="auto"/>
        </w:rPr>
      </w:pPr>
    </w:p>
    <w:p>
      <w:pPr>
        <w:ind w:right="40" w:firstLine="8"/>
        <w:spacing w:after="0" w:line="261" w:lineRule="auto"/>
        <w:tabs>
          <w:tab w:leader="none" w:pos="307"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degree and program mix; (iv) changes in our tuition rates; (v) the amount of the scholarships that we offer; and (vi) the number of students housed in, and the rent charged for, our on-campus student apartments and dormitories.</w:t>
      </w:r>
    </w:p>
    <w:p>
      <w:pPr>
        <w:spacing w:after="0" w:line="13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define enrollment as individual students who attended a course during the last two months of the calendar quarter. We offer three 16-week semesters in a calendar year with one start available per semester for our traditional ground students. Online and professional studies students have more frequent class starts in five-, seven- or eight-week courses through the calendar year. Enrollments are a function of the number of continuing students at the beginning of each period and new enrollments during the period, which are offset by graduations, withdrawals, and inactive students during the period. Inactive students for a particular period include students who are not registered in a class and, therefore, are not generating net revenue for that period, but who have not withdrawn from Grand Canyon University.</w:t>
      </w:r>
    </w:p>
    <w:p>
      <w:pPr>
        <w:spacing w:after="0" w:line="14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the number and seniority of our enrollment counselors and other recruiting personnel; the quality of our academic programs and student services; the pricing of comparable programs; our brand strength;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is a summary of our student enrollment at December 31, 2012, 2011, and 2010 (which included fewer than 700 students pursuing non-degree certificates in each period) by degree type and by instructional delivery method: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tcPr>
          <w:p>
            <w:pPr>
              <w:jc w:val="right"/>
              <w:ind w:right="60"/>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3"/>
          </w:tcPr>
          <w:p>
            <w:pPr>
              <w:jc w:val="right"/>
              <w:ind w:right="60"/>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tcPr>
          <w:p>
            <w:pPr>
              <w:jc w:val="center"/>
              <w:ind w:right="40"/>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5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0"/>
              </w:rPr>
              <w:t>% of Total</w:t>
            </w:r>
          </w:p>
        </w:tc>
        <w:tc>
          <w:tcPr>
            <w:tcW w:w="500" w:type="dxa"/>
            <w:vAlign w:val="bottom"/>
          </w:tcPr>
          <w:p>
            <w:pPr>
              <w:spacing w:after="0"/>
              <w:rPr>
                <w:sz w:val="12"/>
                <w:szCs w:val="12"/>
                <w:color w:val="auto"/>
              </w:rPr>
            </w:pPr>
          </w:p>
        </w:tc>
        <w:tc>
          <w:tcPr>
            <w:tcW w:w="1140" w:type="dxa"/>
            <w:vAlign w:val="bottom"/>
            <w:tcBorders>
              <w:top w:val="single" w:sz="8" w:color="auto"/>
            </w:tcBorders>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83"/>
              </w:rPr>
              <w:t># of Students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 of Total</w:t>
            </w:r>
          </w:p>
        </w:tc>
        <w:tc>
          <w:tcPr>
            <w:tcW w:w="480" w:type="dxa"/>
            <w:vAlign w:val="bottom"/>
          </w:tcPr>
          <w:p>
            <w:pPr>
              <w:spacing w:after="0"/>
              <w:rPr>
                <w:sz w:val="12"/>
                <w:szCs w:val="12"/>
                <w:color w:val="auto"/>
              </w:rPr>
            </w:pPr>
          </w:p>
        </w:tc>
        <w:tc>
          <w:tcPr>
            <w:tcW w:w="11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 of Students</w:t>
            </w:r>
          </w:p>
        </w:tc>
        <w:tc>
          <w:tcPr>
            <w:tcW w:w="6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Graduate degree</w:t>
            </w:r>
            <w:r>
              <w:rPr>
                <w:rFonts w:ascii="Arial" w:cs="Arial" w:eastAsia="Arial" w:hAnsi="Arial"/>
                <w:sz w:val="11"/>
                <w:szCs w:val="11"/>
                <w:color w:val="auto"/>
              </w:rPr>
              <w:t>(2)</w:t>
            </w:r>
          </w:p>
        </w:tc>
        <w:tc>
          <w:tcPr>
            <w:tcW w:w="4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Borders>
              <w:left w:val="single" w:sz="8" w:color="auto"/>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tcBorders>
              <w:right w:val="single" w:sz="8" w:color="CCEEFF"/>
            </w:tcBorders>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vMerge w:val="continue"/>
            <w:shd w:val="clear" w:color="auto" w:fill="CCEEFF"/>
          </w:tcPr>
          <w:p>
            <w:pPr>
              <w:spacing w:after="0"/>
              <w:rPr>
                <w:sz w:val="18"/>
                <w:szCs w:val="18"/>
                <w:color w:val="auto"/>
              </w:rPr>
            </w:pPr>
          </w:p>
        </w:tc>
        <w:tc>
          <w:tcPr>
            <w:tcW w:w="4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19,395</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17,175</w:t>
            </w:r>
          </w:p>
        </w:tc>
        <w:tc>
          <w:tcPr>
            <w:tcW w:w="380" w:type="dxa"/>
            <w:vAlign w:val="bottom"/>
            <w:tcBorders>
              <w:right w:val="single" w:sz="8" w:color="CCEEFF"/>
            </w:tcBorders>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17,732</w:t>
            </w:r>
          </w:p>
        </w:tc>
        <w:tc>
          <w:tcPr>
            <w:tcW w:w="38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Undergraduate degree</w:t>
            </w: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32,897</w:t>
            </w:r>
          </w:p>
        </w:tc>
        <w:tc>
          <w:tcPr>
            <w:tcW w:w="4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62.9%</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26,742</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60.9%</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23,750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52,292</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1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43,917</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41,482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60" w:type="dxa"/>
            <w:vAlign w:val="bottom"/>
            <w:tcBorders>
              <w:bottom w:val="single" w:sz="8" w:color="auto"/>
            </w:tcBorders>
            <w:gridSpan w:val="3"/>
          </w:tcPr>
          <w:p>
            <w:pPr>
              <w:jc w:val="right"/>
              <w:ind w:right="100"/>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58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1"/>
                <w:szCs w:val="11"/>
                <w:b w:val="1"/>
                <w:bCs w:val="1"/>
                <w:color w:val="auto"/>
              </w:rPr>
              <w:t>2011</w:t>
            </w:r>
            <w:r>
              <w:rPr>
                <w:rFonts w:ascii="Arial" w:cs="Arial" w:eastAsia="Arial" w:hAnsi="Arial"/>
                <w:sz w:val="16"/>
                <w:szCs w:val="16"/>
                <w:b w:val="1"/>
                <w:bCs w:val="1"/>
                <w:color w:val="auto"/>
                <w:vertAlign w:val="superscript"/>
              </w:rPr>
              <w:t>(1)</w:t>
            </w:r>
          </w:p>
        </w:tc>
        <w:tc>
          <w:tcPr>
            <w:tcW w:w="60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160" w:type="dxa"/>
            <w:vAlign w:val="bottom"/>
            <w:gridSpan w:val="3"/>
          </w:tcPr>
          <w:p>
            <w:pPr>
              <w:jc w:val="right"/>
              <w:ind w:right="420"/>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0"/>
              </w:rPr>
              <w:t>% of Total</w:t>
            </w:r>
          </w:p>
        </w:tc>
        <w:tc>
          <w:tcPr>
            <w:tcW w:w="500" w:type="dxa"/>
            <w:vAlign w:val="bottom"/>
          </w:tcPr>
          <w:p>
            <w:pPr>
              <w:spacing w:after="0"/>
              <w:rPr>
                <w:sz w:val="12"/>
                <w:szCs w:val="12"/>
                <w:color w:val="auto"/>
              </w:rPr>
            </w:pPr>
          </w:p>
        </w:tc>
        <w:tc>
          <w:tcPr>
            <w:tcW w:w="114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 of Total</w:t>
            </w:r>
          </w:p>
        </w:tc>
        <w:tc>
          <w:tcPr>
            <w:tcW w:w="48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of Students</w:t>
            </w:r>
          </w:p>
        </w:tc>
        <w:tc>
          <w:tcPr>
            <w:tcW w:w="620" w:type="dxa"/>
            <w:vAlign w:val="bottom"/>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1"/>
                <w:szCs w:val="11"/>
                <w:color w:val="auto"/>
              </w:rPr>
              <w:t>(3)</w:t>
            </w:r>
          </w:p>
        </w:tc>
        <w:tc>
          <w:tcPr>
            <w:tcW w:w="74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44,690</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85.5%</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38,918</w:t>
            </w:r>
          </w:p>
        </w:tc>
        <w:tc>
          <w:tcPr>
            <w:tcW w:w="20" w:type="dxa"/>
            <w:vAlign w:val="bottom"/>
            <w:vMerge w:val="continue"/>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37,734</w:t>
            </w:r>
          </w:p>
        </w:tc>
        <w:tc>
          <w:tcPr>
            <w:tcW w:w="38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1"/>
                <w:szCs w:val="11"/>
                <w:color w:val="auto"/>
              </w:rPr>
              <w:t>(4)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7,602</w:t>
            </w:r>
          </w:p>
        </w:tc>
        <w:tc>
          <w:tcPr>
            <w:tcW w:w="4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14.5%</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4,999</w:t>
            </w:r>
          </w:p>
        </w:tc>
        <w:tc>
          <w:tcPr>
            <w:tcW w:w="3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11.4%</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3,748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52,292</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43,917</w:t>
            </w:r>
          </w:p>
        </w:tc>
        <w:tc>
          <w:tcPr>
            <w:tcW w:w="380" w:type="dxa"/>
            <w:vAlign w:val="bottom"/>
            <w:tcBorders>
              <w:right w:val="single" w:sz="8" w:color="CCEEFF"/>
            </w:tcBorders>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41,482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9"/>
          <w:szCs w:val="19"/>
          <w:color w:val="auto"/>
          <w:vertAlign w:val="superscript"/>
        </w:rPr>
      </w:pPr>
      <w:r>
        <w:rPr>
          <w:rFonts w:ascii="Arial" w:cs="Arial" w:eastAsia="Arial" w:hAnsi="Arial"/>
          <w:sz w:val="15"/>
          <w:szCs w:val="15"/>
          <w:color w:val="auto"/>
        </w:rPr>
        <w:t>Enrollment at December 31, 2012, 2011 and 2010 represents individual students who attended a course during the last two months of the calendar quarter.</w:t>
      </w:r>
    </w:p>
    <w:p>
      <w:pPr>
        <w:spacing w:after="0" w:line="11" w:lineRule="exact"/>
        <w:rPr>
          <w:rFonts w:ascii="Arial" w:cs="Arial" w:eastAsia="Arial" w:hAnsi="Arial"/>
          <w:sz w:val="19"/>
          <w:szCs w:val="19"/>
          <w:color w:val="auto"/>
          <w:vertAlign w:val="superscript"/>
        </w:rPr>
      </w:pPr>
    </w:p>
    <w:p>
      <w:pPr>
        <w:ind w:left="460" w:hanging="452"/>
        <w:spacing w:after="0" w:line="197" w:lineRule="auto"/>
        <w:tabs>
          <w:tab w:leader="none" w:pos="46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Includes 3,065, 1,924 and 1,186 students pursuing doctoral degrees at December 31, 2012, 2011 and 2010, respectively.</w:t>
      </w:r>
    </w:p>
    <w:p>
      <w:pPr>
        <w:spacing w:after="0" w:line="8" w:lineRule="exact"/>
        <w:rPr>
          <w:rFonts w:ascii="Arial" w:cs="Arial" w:eastAsia="Arial" w:hAnsi="Arial"/>
          <w:sz w:val="22"/>
          <w:szCs w:val="22"/>
          <w:color w:val="auto"/>
          <w:vertAlign w:val="superscript"/>
        </w:rPr>
      </w:pPr>
    </w:p>
    <w:p>
      <w:pPr>
        <w:ind w:left="460" w:hanging="452"/>
        <w:spacing w:after="0" w:line="221" w:lineRule="auto"/>
        <w:tabs>
          <w:tab w:leader="none" w:pos="46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As of December 31, 2012, 2011 and 2010, 41.9%, 42.8% and 45.7%, respectively, of our online and professional studies students were pursuing graduate or doctoral degrees.</w:t>
      </w:r>
    </w:p>
    <w:p>
      <w:pPr>
        <w:ind w:left="460" w:hanging="452"/>
        <w:spacing w:after="0" w:line="205" w:lineRule="auto"/>
        <w:tabs>
          <w:tab w:leader="none" w:pos="460" w:val="left"/>
        </w:tabs>
        <w:numPr>
          <w:ilvl w:val="0"/>
          <w:numId w:val="35"/>
        </w:numPr>
        <w:rPr>
          <w:rFonts w:ascii="Arial" w:cs="Arial" w:eastAsia="Arial" w:hAnsi="Arial"/>
          <w:sz w:val="22"/>
          <w:szCs w:val="22"/>
          <w:color w:val="auto"/>
          <w:vertAlign w:val="superscript"/>
        </w:rPr>
      </w:pPr>
      <w:r>
        <w:rPr>
          <w:rFonts w:ascii="Arial" w:cs="Arial" w:eastAsia="Arial" w:hAnsi="Arial"/>
          <w:sz w:val="18"/>
          <w:szCs w:val="18"/>
          <w:color w:val="auto"/>
        </w:rPr>
        <w:t>Includes our traditional on-campus students, as well as our professional studies students.</w:t>
      </w:r>
    </w:p>
    <w:p>
      <w:pPr>
        <w:spacing w:after="0" w:line="156" w:lineRule="exact"/>
        <w:rPr>
          <w:sz w:val="20"/>
          <w:szCs w:val="20"/>
          <w:color w:val="auto"/>
        </w:rPr>
      </w:pPr>
    </w:p>
    <w:p>
      <w:pPr>
        <w:ind w:right="120" w:firstLine="456"/>
        <w:spacing w:after="0" w:line="310" w:lineRule="auto"/>
        <w:rPr>
          <w:sz w:val="20"/>
          <w:szCs w:val="20"/>
          <w:color w:val="auto"/>
        </w:rPr>
      </w:pPr>
      <w:r>
        <w:rPr>
          <w:rFonts w:ascii="Arial" w:cs="Arial" w:eastAsia="Arial" w:hAnsi="Arial"/>
          <w:sz w:val="15"/>
          <w:szCs w:val="15"/>
          <w:color w:val="auto"/>
        </w:rPr>
        <w:t>For the 2012-13 academic year (the academic year that began in May 2012), our prices per credit hour range from $350 to $465 for undergraduate online and professional studies courses, $495 to $600 for graduate online courses, $630 for doctoral online programs, and $688 for undergraduate courses for ground students. For our active duty and active reserve online and professional studies students, our prices per credit hour are $250 for undergraduate, $400 for graduate courses and $599 for doctoral courses. The overall price of each course varies based upon the number of credit hours per course (with most courses representing four credit hours), the degree level of the program, and the discipline. In addition, we charge a fixed $8,250 “block tuition” for undergraduate ground students taking between 12 and 18 credit hours per semester, with an additional $688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The doctoral program requires approximately 60 credit hours.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Based on current tuition rates, tuition for a full program would generally equate to between $17,340 and $24,480 for an online master’s program, between $42,000 and $55,800 for a full four-year online bachelor’s program, $37,800 and $39,700 for a full doctoral program, and approximately $66,000 for a full four-year bachelor’s program taken on our ground campus. The tuition amounts referred to above assume no reductions for transfer credits or scholarships, which many of our students utilize to reduce their total program costs. For the years ended December 31, 2012, 2011 and 2010, our revenue was reduced by approximately $94.3 million, $73.6 million and $55.8 million, respectively, as a result of scholarships that we offered to our students. The increase in scholarships reflects our increased revenues and our resulting increased use of scholarships (especially academic scholarships), to attract high performing students to our ground traditional campus.</w:t>
      </w:r>
    </w:p>
    <w:p>
      <w:pPr>
        <w:spacing w:after="0" w:line="14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Revenue per student increased between periods as a result of improved retention as well as selective tuition price increases for students in our online and professional studies programs of up to 5.9%, depending on the program, with an estimated blended rate increase of 2.5% for our 2012-13 academic year, as compared to selective tuition price increases for students in our online and professional studies programs of up to 6.5%, depending on the program, with a blended rate increase of 3.2% for the prior academic year. Tuition for our traditional ground programs had no increase for our 2012-13 or 2011-12 academic years. Tuition increases have not historically been, and may not in the future be, consistent across our programs due to market conditions and differences in operating costs of individual programs. The lower increases for our programs for the current academic year generally reflect a concerted effort to control tuition pricing for students so that debt levels assumed by our students are reasonable.</w:t>
      </w:r>
    </w:p>
    <w:p>
      <w:pPr>
        <w:spacing w:after="0" w:line="118"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We derive a majority of our net revenues from tuition financed by the Title IV programs. For the years ended December 31, 2012, 2011 and 2010, we derived cash receipts equal to approximately 80.3%, 80.2%, and 84.9%, respectively, of our net revenues from Title IV programs. Our students also rely on scholarships, personal savings, private loans, and employer tuition reimbursements to pay a portion of their tuition and related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90"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i w:val="1"/>
          <w:iCs w:val="1"/>
          <w:color w:val="auto"/>
        </w:rPr>
        <w:t>Instructional costs and services</w:t>
      </w:r>
      <w:r>
        <w:rPr>
          <w:rFonts w:ascii="Arial" w:cs="Arial" w:eastAsia="Arial" w:hAnsi="Arial"/>
          <w:sz w:val="16"/>
          <w:szCs w:val="16"/>
          <w:color w:val="auto"/>
        </w:rPr>
        <w:t>. Instructional costs and services consist primarily of costs related to the administration and delivery of our educational</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including electronic media. This expense category includes salaries and benefits for full-time and adjunct faculty and administrative personnel, information technology costs, bad debt expense, curriculum and new program development costs, and costs associated with other support groups that provide service directly to the students. This category also includes an allocation of depreciation, amortization, rent, and occupancy costs attributable to the provision of educational services. Classroom facilities are leased or, in some cases, are provided by the students’ employers at no charge to us. We continue to increase our spending on student and academic services, and we expect instructional costs and services as a percentage of tuition and other net revenue to remain relatively consistent as these additional costs are offset by leverage of our support services that are in place over a larger tuition and enrollment base.</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Selling and promotional</w:t>
      </w:r>
      <w:r>
        <w:rPr>
          <w:rFonts w:ascii="Arial" w:cs="Arial" w:eastAsia="Arial" w:hAnsi="Arial"/>
          <w:sz w:val="18"/>
          <w:szCs w:val="18"/>
          <w:color w:val="auto"/>
        </w:rPr>
        <w:t>. Selling and promotional expenses include salaries and benefits of personnel engaged in the marketing, recruitment, and retention</w:t>
      </w:r>
      <w:r>
        <w:rPr>
          <w:rFonts w:ascii="Arial" w:cs="Arial" w:eastAsia="Arial" w:hAnsi="Arial"/>
          <w:sz w:val="18"/>
          <w:szCs w:val="18"/>
          <w:i w:val="1"/>
          <w:iCs w:val="1"/>
          <w:color w:val="auto"/>
        </w:rPr>
        <w:t xml:space="preserve"> </w:t>
      </w:r>
      <w:r>
        <w:rPr>
          <w:rFonts w:ascii="Arial" w:cs="Arial" w:eastAsia="Arial" w:hAnsi="Arial"/>
          <w:sz w:val="18"/>
          <w:szCs w:val="18"/>
          <w:color w:val="auto"/>
        </w:rPr>
        <w:t>of students, as well as advertising costs associated with purchasing leads, hosting events and seminars, producing marketing materials, and our branding campaigns. Our selling and promotional expenses are generally affected by the cost of advertising media and leads, the efficiency of our marketing and recruiting efforts, salaries, and benefits for our enrollment personnel, and expenditures on advertising initiatives for new and existing academic programs. This category also includes an allocation of depreciation, amortization, rent, and occupancy costs attributable to selling and promotional activities. Selling and promotional costs are expensed as incurred.</w:t>
      </w:r>
    </w:p>
    <w:p>
      <w:pPr>
        <w:spacing w:after="0" w:line="14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include salaries, benefits, and share-based compensation of employees engaged in</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management, finance, human resources, facilities, compliance, insurance, audit fees and other corporate functions. General and administrative expenses also include an allocation of depreciation, amortization, rent and occupancy costs attributable to general and administrative functions.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consists primarily of interest charges on our notes payable and capital lease obligations.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discussion of our financial condition and results of operations is based upon our consolidated financial statements, which have been prepared in accordance with U.S. generally accepted accounting principles, or GAAP. During the preparation of these consolidated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believe that the following critical accounting policies involve our more significant judgments and estimates used in the preparation of our consolidated financial statements:</w:t>
      </w:r>
    </w:p>
    <w:p>
      <w:pPr>
        <w:spacing w:after="0" w:line="13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 Net revenues consist primarily of tuition and fees derived from courses taught by us online, at our approximately 115-acre traditional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campus in Phoenix, Arizona, and onsite at facilities we lease or those of employers, as well as from related educational resources such as access to online materials. Tuition revenue and most fees and related educational resources are recognized pro-rata over the applicable period of instruction, net of scholarships awarded by us. Generally, we will refund all or a portion of tuition already paid pursuant to our refund policy, dependent upon length of course and modality and subject to certain state specific refund requirements. If a student withdraws at a time when only a portion, or none of the tuition is refundable, then we continue to recognize the tuition that was not refunded pro-rata over the term of the course and as the amount subject to refund is never greater than the amount of revenue that has been deferred, under our accounting policies revenue is not recognized with respect to amounts that could potentially be refunded. Sales tax collected from students is excluded from net revenues. We also charge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statement of operations and are reflected as current liabilities in the accompanying balance sheet. Our educational programs have starting and ending dates that differ from our quarters. Therefore, at the end of each fiscal quarter, a portion of revenue from these programs is not yet earned. Other revenues may be recognized as sales occur or services are performed.</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Allowance for doubtful accounts</w:t>
      </w:r>
      <w:r>
        <w:rPr>
          <w:rFonts w:ascii="Arial" w:cs="Arial" w:eastAsia="Arial" w:hAnsi="Arial"/>
          <w:sz w:val="16"/>
          <w:szCs w:val="16"/>
          <w:color w:val="auto"/>
        </w:rPr>
        <w:t>. In accordance with our policy, all prospective students are required to select both a primary and secondary payment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with respect to amounts due to us for tuition, fees and other expenses. The most common payment option for our students is financial aid but students may also choose personal cash, tuition reimbursement, or direct bill to their employer. Financial aid loan funds are generally provided by the Federal Direct Loan Program in two disbursements for each academic year. The disbursements are usually received two to four weeks after the start of the first course in a payment period. These factors, together with the timing of students’ beginning their programs, affect our operating cash flow including our accounts receivable balance. In instances where a student selects financial aid as the primary payment option, he or she often selects personal cash as the secondary option. If a student that has selected financial aid as his or her primary payment option withdraws prior to the end of a course but after the date that our institutional refund period has expired, the student will have incurred the obligation to pay the full cost of the course. If the withdrawal occurs before the date at which the student has earned 100% of his or her financial aid, we will have a return to Title IV requirement and the student will owe us all amounts incurred that are in excess of the amount of financial aid that the student earned and that we are entitled to retain. In this case, we must collect the receivable using the student’s second payment option. In instances in which the student chose to receive living expense funds as part of his or her financial aid disbursement, we are required to return the unearned portion of these funds as well and then collect these amounts from the student.</w:t>
      </w:r>
    </w:p>
    <w:p>
      <w:pPr>
        <w:spacing w:after="0" w:line="12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record an allowance for doubtful accounts for estimated losses resulting from the inability, failure or refusal of our students to make required payments, which includes the recovery of financial aid funds advanced to a student for amounts in excess of the student’s cost of tuition and related fees. We determine the adequacy of our allowance for doubtful accounts based on an analysis of our historical bad debt experience, current economic trends, and the aging of the accounts receivable and student status. We apply a reserve to our receivables based upon an estimate of the risk presented by the age of the receivables and student status. We have historically written off accounts receivable at the earlier of the time the balance is deemed uncollectible, or one year after the revenue is generated. In the third quarter of 2011, we accelerated the way we reserve for receivables due from inactive students and write off inactive student accounts at 150 days, while maintaining our historical reserve and write off policies for active student accounts as based on our historical experience, amounts due from inactive students are much more difficult to collect than amounts due from active students. We monitor our collections and write-off experience to assess whether adjustments are necessary.</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Long-Lived Assets (other than goodwill)</w:t>
      </w:r>
      <w:r>
        <w:rPr>
          <w:rFonts w:ascii="Arial" w:cs="Arial" w:eastAsia="Arial" w:hAnsi="Arial"/>
          <w:sz w:val="16"/>
          <w:szCs w:val="16"/>
          <w:color w:val="auto"/>
        </w:rPr>
        <w:t>. We evaluate the recoverability of our long-lived assets for impairment whenever events or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i w:val="1"/>
          <w:iCs w:val="1"/>
          <w:color w:val="auto"/>
        </w:rPr>
        <w:t>Loss Contingencies</w:t>
      </w:r>
      <w:r>
        <w:rPr>
          <w:rFonts w:ascii="Arial" w:cs="Arial" w:eastAsia="Arial" w:hAnsi="Arial"/>
          <w:sz w:val="16"/>
          <w:szCs w:val="16"/>
          <w:color w:val="auto"/>
        </w:rPr>
        <w:t>. We are subject to various claims and contingencies in the ordinary course of business and incidental to our industry, including those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regulation, litigation, business transactions and taxes, among others. We accrue for contingent obligations when it is probable that a liability has been incurred and the amount is reasonably estimable. When we become aware of a claim or potential claim, the likelihood of any loss exposure is assessed. If it is probable that a loss will result and the amount of the loss is estimable, we accrue for the estimated amount of the loss. If the loss is not probable or the amount of the potential loss is not estimable, we disclose the claim if the likelihood of a potential loss is reasonably possible and that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We recognize the amount of taxes payable or refundable for the current year and deferred tax assets and liabilities for future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consequences of events that have been recognized in our consolidated financial statements or tax returns. Deferred tax assets and liabilities are measured using enacted tax rates in effect for the year in which the temporary differences are expect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Commencing in January 2008, we evaluate and account for uncertain tax positions using a two step approach. Recognition occurs when we conclude that a tax 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statements of operations data as a percentage of net revenue for each of the periods indicated:</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Year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9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6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revenue</w:t>
            </w:r>
          </w:p>
        </w:tc>
        <w:tc>
          <w:tcPr>
            <w:tcW w:w="10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98"/>
              </w:rPr>
              <w:t>100.0%</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Instructional cost and services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45.6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0" w:type="dxa"/>
            <w:vAlign w:val="bottom"/>
            <w:shd w:val="clear" w:color="auto" w:fill="CCEEFF"/>
          </w:tcPr>
          <w:p>
            <w:pPr>
              <w:spacing w:after="0"/>
              <w:rPr>
                <w:sz w:val="18"/>
                <w:szCs w:val="18"/>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Selling and promotional</w:t>
            </w:r>
          </w:p>
        </w:tc>
        <w:tc>
          <w:tcPr>
            <w:tcW w:w="460" w:type="dxa"/>
            <w:vAlign w:val="bottom"/>
          </w:tcPr>
          <w:p>
            <w:pPr>
              <w:jc w:val="right"/>
              <w:spacing w:after="0"/>
              <w:rPr>
                <w:sz w:val="20"/>
                <w:szCs w:val="20"/>
                <w:color w:val="auto"/>
              </w:rPr>
            </w:pPr>
            <w:r>
              <w:rPr>
                <w:rFonts w:ascii="Arial" w:cs="Arial" w:eastAsia="Arial" w:hAnsi="Arial"/>
                <w:sz w:val="18"/>
                <w:szCs w:val="18"/>
                <w:color w:val="auto"/>
              </w:rPr>
              <w:t>27.6</w:t>
            </w:r>
          </w:p>
        </w:tc>
        <w:tc>
          <w:tcPr>
            <w:tcW w:w="54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28.1</w:t>
            </w:r>
          </w:p>
        </w:tc>
        <w:tc>
          <w:tcPr>
            <w:tcW w:w="460" w:type="dxa"/>
            <w:vAlign w:val="bottom"/>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spacing w:after="0"/>
              <w:rPr>
                <w:sz w:val="18"/>
                <w:szCs w:val="18"/>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18"/>
                <w:szCs w:val="18"/>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Contract termination fees to related party</w:t>
            </w:r>
          </w:p>
        </w:tc>
        <w:tc>
          <w:tcPr>
            <w:tcW w:w="460" w:type="dxa"/>
            <w:vAlign w:val="bottom"/>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8"/>
                <w:szCs w:val="18"/>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0.0</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Exit costs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r>
      <w:tr>
        <w:trPr>
          <w:trHeight w:val="223"/>
        </w:trPr>
        <w:tc>
          <w:tcPr>
            <w:tcW w:w="6940" w:type="dxa"/>
            <w:vAlign w:val="bottom"/>
          </w:tcPr>
          <w:p>
            <w:pPr>
              <w:ind w:left="440"/>
              <w:spacing w:after="0"/>
              <w:rPr>
                <w:sz w:val="20"/>
                <w:szCs w:val="20"/>
                <w:color w:val="auto"/>
              </w:rPr>
            </w:pPr>
            <w:r>
              <w:rPr>
                <w:rFonts w:ascii="Arial" w:cs="Arial" w:eastAsia="Arial" w:hAnsi="Arial"/>
                <w:sz w:val="18"/>
                <w:szCs w:val="18"/>
                <w:color w:val="auto"/>
              </w:rPr>
              <w:t>Lease termination costs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5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r>
      <w:tr>
        <w:trPr>
          <w:trHeight w:val="216"/>
        </w:trPr>
        <w:tc>
          <w:tcPr>
            <w:tcW w:w="6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5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5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00" w:type="dxa"/>
            <w:vAlign w:val="bottom"/>
            <w:shd w:val="clear" w:color="auto" w:fill="CCEEFF"/>
          </w:tcPr>
          <w:p>
            <w:pPr>
              <w:spacing w:after="0"/>
              <w:rPr>
                <w:sz w:val="18"/>
                <w:szCs w:val="18"/>
                <w:color w:val="auto"/>
              </w:rPr>
            </w:pP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Operating income</w:t>
            </w:r>
          </w:p>
        </w:tc>
        <w:tc>
          <w:tcPr>
            <w:tcW w:w="460" w:type="dxa"/>
            <w:vAlign w:val="bottom"/>
          </w:tcPr>
          <w:p>
            <w:pPr>
              <w:jc w:val="right"/>
              <w:spacing w:after="0"/>
              <w:rPr>
                <w:sz w:val="20"/>
                <w:szCs w:val="20"/>
                <w:color w:val="auto"/>
              </w:rPr>
            </w:pPr>
            <w:r>
              <w:rPr>
                <w:rFonts w:ascii="Arial" w:cs="Arial" w:eastAsia="Arial" w:hAnsi="Arial"/>
                <w:sz w:val="18"/>
                <w:szCs w:val="18"/>
                <w:color w:val="auto"/>
              </w:rPr>
              <w:t>22.3</w:t>
            </w:r>
          </w:p>
        </w:tc>
        <w:tc>
          <w:tcPr>
            <w:tcW w:w="540" w:type="dxa"/>
            <w:vAlign w:val="bottom"/>
          </w:tcPr>
          <w:p>
            <w:pPr>
              <w:spacing w:after="0"/>
              <w:rPr>
                <w:sz w:val="19"/>
                <w:szCs w:val="19"/>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color w:val="auto"/>
              </w:rPr>
              <w:t>19.3</w:t>
            </w:r>
          </w:p>
        </w:tc>
        <w:tc>
          <w:tcPr>
            <w:tcW w:w="46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9"/>
                <w:szCs w:val="19"/>
                <w:color w:val="auto"/>
              </w:rPr>
            </w:pPr>
          </w:p>
        </w:tc>
      </w:tr>
      <w:tr>
        <w:trPr>
          <w:trHeight w:val="217"/>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(0.1)</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Interest income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5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5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5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5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5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2012 Compared to Year Ended December 31, 2011</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year ended December 31, 2012 was $511.3 million, an increase of $84.6 million, or 19.8%,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$426.7 million for the year ended December 31, 2011. This increase was primarily due to an increase in ground and online enrollment and, to a lesser extent, increases in the average tuition per student as a result of improved retention, selective tuition price increases and an increase in room and board and other student fees, partially offset by an increase in institutional scholarships. End-of-period enrollment increased 19.1% between December 31, 2012 and 2011, as ground enrollment increased 52.1% and online enrollment increased 14.8%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the public universities in the state of Arizona as an in-state student. We are anticipating increased pressure on new and continuing online enrollments due primarily to increased competition as the proportion of traditional colleges and universities providing alternative learning modalities increases, we will face increasing competition for students from such institutions, including those with well-established reputations for excellence.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year ended December 31, 2012 were $220.4 million,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increase of $25.6 million, or 13.1%, as compared to instructional costs and services expenses of $194.8 million for the year ended December 31, 2011.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was primarily due to increases in instructional compensation and related expenses, faculty compensation, depreciation and amortization, instructional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supplies, program review reserve, arena expense and other miscellaneous instructional costs and services of $14.9 million, $7.4 million, $4.7 million, $4.4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$3.5 million, $1.3 million and $5.8 million. These increases were partially offset by a decrease in bad debt expense of $16.4 million. The increases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instructional and faculty compensation are primarily attributable to the increase in headcount (both staff and faculty) needed to provide student instruction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support services to support the increase in enrollments as well as increased benefit expenses such as medical costs and education benefits. Additionally, in 2011 a</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reversal of $0.7 million was recorded in employee compensation for amounts accrued in previous periods that were to be paid to non-enrollment employees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students they previously recruited and for which bonuses were to be paid when those students completed 24 credit hours. As a result of new compensation rules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became effective on July 1, 2011, these amounts could no longer be paid. The increase in depreciation and amortization is the result of our continued growth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expansion of the ground traditional campus in order to accommodate the growth in our traditional ground enrollment. The reserve for our program review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represents the estimated amounts that will likely be returned related to certain Pell grants. We also incurred an increase in dues, fees, subscriptions and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instructional supplies due to increased licensing fees related to educational resources and increased food costs associated with a higher number of residential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students. Arena expenses are higher in 2012 since we were only open for four months in 2011 compared to a full year of expenses in 2012. Our instructional costs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services expenses as a percentage of net revenue decreased by 2.5% to 43.1% for the year ended December 31, 2012, as compared to 45.6%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2011. This decrease was a result of a decrease in bad debt expense as a percentage of net revenues from 8.1% in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2011 to 3.5% for the year ended December 31, 2012. This decrease was partially offset by increases as a percentage of net revenues in instructional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employee compensation and related expenses, depreciation expense, program review reserve, dues, fees and other instructional supplies, share-based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arena expenses. Bad debt expense decreased to $18.0 million or 3.5% of net revenues for the year ended December 31, 2012 from $34.4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or 8.1% of net revenues for the year ended December 31, 2011 as a result of improved collections of receivables due from current students between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periods due to operational improvements made during 2011 and a reduction in receivables due from former students, primarily due to improved retention.</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Selling and promotional expenses</w:t>
      </w:r>
      <w:r>
        <w:rPr>
          <w:rFonts w:ascii="Arial" w:cs="Arial" w:eastAsia="Arial" w:hAnsi="Arial"/>
          <w:sz w:val="16"/>
          <w:szCs w:val="16"/>
          <w:color w:val="auto"/>
        </w:rPr>
        <w:t>. Our selling and promotional expenses for the year ended December 31, 2012 were $141.3 million, an increase of $21.3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17.8%, as compared to selling and promotional expenses of $120.0 million for the year ended December 31, 2011. This increase was primarily due to increases in selling and promotional employee compensation and related expenses, advertising, and other selling and promotional expenses of $13.1 million, $7.3 million and $0.9 million, respectively. Employee compensation and related expenses increased as a result of increasing the number of enrollment counselors between years as well as increases in benefit expenses between years such as medical costs and education benefits. Additionally, during the second quarter of 2011, we reversed $1.5 million of amounts accrued in previous periods that were to be paid to enrollment employees for students they previously recruited and for which bonuses were to be paid when those students completed 24 credit hours. Due to the compensation rule changes effective July 1, 2011 these amounts could no longer be paid. The advertising expense increased due to us entering into a new revenue sharing agreement with MindStreams, L.L.C. in the third quarter of 2011 and increased brand advertising. Our selling and promotional expenses as a percentage of net revenue decreased by 0.5% to 27.6% for the year ended December 31, 2012, from 28.1% for the year ended December 31, 2011. We plan to continue to add additional enrollment counselors in the future, although the number of additional hires as a percentage of the total headcount is expected to remain flat or decrease.</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year ended December 31, 2012 were $35.5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$6.5 million, or 22.2%, as compared to general and administrative expenses of $29.0 million for the year ended December 31, 2011. This increase was primarily due to increases in employee compensation, contributions made in lieu of state income taxes, debt issuance costs, occupancy expenses, share based compensation, and other general and administrative expenses of $3.3 million, $1.0 million, $0.8 million, $0.5 million, $0.4 million and $0.5 million, respectively. Employee compensation increased primarily due to increased headcount as well as increases in benefit expenses between years such as medical costs and education benefits. Our general and administrative expenses as a percentage of net revenue increased by 0.1% to 6.9% for the year ended December 31, 2012, from 6.8% for the year ended December 31, 2011.</w:t>
      </w:r>
    </w:p>
    <w:p>
      <w:pPr>
        <w:spacing w:after="0" w:line="11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Our interest expense for the year ended December 31, 2012 and 2011 was $0.7 million. Interest expense was slightly lower in 2012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2011 due to the modification of our interest rate in April 2011, partially offset by the increase in the term loan in December 2012.</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year ended December 31, 2012 was $44.0 million, an increase of $13.0 million from $31.0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2011. This increase was primarily attributable to increased income before income taxes. Our effective tax rate was 38.8% during the year ended December 31, 2012 compared to 38.0% during the year ended December 31, 2011.</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year ended December 31, 2012 was $69.4 million, an increase of $18.9 million, as compared to $50.5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2011, due to the factors discussed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Compared to Year Ended December 31, 2010</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year ended December 31, 2011 was $426.7 million, an increase of $41.1 million, or 10.7%,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$385.6 million for the year ended December 31, 2010. This increase was primarily due to increased enrollment and, to a lesser extent, increases in the average tuition per student as a result of tuition price increases and an increase in room and board and other student fees, partially offset by an increase in institutional scholarships and reduced revenue caused by our transition to BBAY from a term-based financial aid system during 2010. End-of-period enrollment increased 5.9% between December 30, 2011 and 2010, as ground enrollment increased 33.4% and online enrollment increased 3.1%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the public universities in the state of Arizona as an in-state student.</w:t>
      </w:r>
    </w:p>
    <w:p>
      <w:pPr>
        <w:spacing w:after="0" w:line="12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year ended December 31, 2011 were $194.8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$16.0 million, or 8.9%, as compared to instructional costs and services expenses of $178.8 million for the year ended December 31, 2010. This increase was primarily due to increases in instructional compensation and related expenses, faculty compensation, depreciation and amortization, instructional supplies and other miscellaneous instructional costs and services of $10.3 million, $5.0 million, $4.0 million, $3.7 million, and $1.1 million, respectively, partially offset by a decrease in bad debt expense and non-capitalizable system conversion costs of $4.1 million and $4.0 million, respectively. The increases in instructional and faculty compensation are primarily attributable to the increase in headcount (both staff and faculty) needed to provide student instruction and support services to support the increase in enrollments. The increase in depreciation and amortization is the result of us placing into service $70.1 million of new buildings for our ground traditional campus in the last twelve months as well as investments in technology innovation to support our students and staff. Bad debt expense decreased to $34.4 million or 8.1% of net revenues for the year ended December 31, 2011 from $38.5 million or 10.0% of net revenues for the year ended December 31, 2010 as a result of improved collections of receivables due from current students between periods due to operational improvements made during 2011 and a reduction in receivables due from former students during the second half of 2011 as a result of us moving further away from our transition to BBAY. The non-capitalizable system conversion costs were incurred in the second quarter of 2010 as we converted our back office systems to support our transition to BBAY. In connection with this conversion, we incurred $4.0 million of costs due to unanticipated delays in information processing. Our instructional costs and services expenses as a percentage of net revenue decreased by 0.8% to 45.6% for the year ended December 31, 2011, as compared to 46.4% for the year ended December 31, 2010. This decrease was a result of a decrease in bad debt expense as a percentage of net revenues from 10.0% in the year ended December 31, 2010 to 8.1% for the year ended December 31, 2011, as well as the decrease related to non-capitalizable system conversion costs. These decreases were partially offset by an increase in instructional employee compensation and related expenses as a percentage of revenue as we have hired additional staff to improve our student to staff ratios, faculty compensation as a percentage of revenue as we have seen decreases in class size as the result of increasing the number of starts, increased occupancy and depreciation expense as a percentage of revenue, and increased instructional supplies and miscellaneous instructional costs due to increased licensing fees related to educational resources, and continued improvement in curriculum development and new and enhanced innovative educational tools.</w:t>
      </w:r>
    </w:p>
    <w:p>
      <w:pPr>
        <w:spacing w:after="0" w:line="128"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Selling and promotional expenses</w:t>
      </w:r>
      <w:r>
        <w:rPr>
          <w:rFonts w:ascii="Arial" w:cs="Arial" w:eastAsia="Arial" w:hAnsi="Arial"/>
          <w:sz w:val="16"/>
          <w:szCs w:val="16"/>
          <w:color w:val="auto"/>
        </w:rPr>
        <w:t>. Our selling and promotional expenses for the year ended December 31, 2011 were $120.0 million, an increase of $7.5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6.6%, as compared to selling and promotional expenses of $112.5 million for the year ended December 31, 2010. This increase was primarily due to increases in selling and promotional employee compensation and related expenses and advertising, partially offset by lower other selling and promotional expenses of $5.8 million, $2.5 million and $0.8 million, respectively. The increases in compensation and related expenses and advertising were driven by a continued expansion in our marketing efforts, which resulted in an increase in recruitment, marketing, and enrollment staffing especially for our ground traditional campus, partially offset by the termination of a revenue sharing arrangement in December 2010. Our selling and promotional expenses as a percentage of net revenue decreased by 1.1% to 28.1% for the year ended December 31, 2011, from 29.2% for the year ended December 31, 2010. This decrease occurred primarily due to the termination of the revenue sharing arrangement in December 2010. Additionally, we entered into a new revenue sharing arrangement in 2011 although the amounts to be paid under this new arrangement will be less than amounts paid under the original arrangement.</w:t>
      </w:r>
    </w:p>
    <w:p>
      <w:pPr>
        <w:spacing w:after="0" w:line="12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year ended December 31, 2011 were $29.0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$2.4 million, or 9.1%, as compared to general and administrative expenses of $26.6 million for the year ended December 31, 2010. This increase was primarily due to increases in employee compensation, share based compensation, and other general and administrative expenses of $1.6 million, $0.4 million, and $0.4 million, respectively. Employee compensation increased primarily as a result of headcount increases in departments such as accounting and human resources to support the increasing number of students and staff. Our general and administrative expenses as a percentage of net revenue decreased by 0.1% to 6.8% for the year ended December 31, 2011, from 6.9% for the year ended December 31, 2010.</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Lease termination costs. </w:t>
      </w:r>
      <w:r>
        <w:rPr>
          <w:rFonts w:ascii="Arial" w:cs="Arial" w:eastAsia="Arial" w:hAnsi="Arial"/>
          <w:sz w:val="16"/>
          <w:szCs w:val="16"/>
          <w:color w:val="auto"/>
        </w:rPr>
        <w:t>In July 2011, we notified a current landlord of its intent to vacate leased space by the fourth quarter of 2011. As a result, we were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pay a termination fee to terminate the lease resulting in $0.8 million of expense in the year ended December 31, 2011. The termination fee was paid on our behalf by our new landlord. This payment was recorded as an expense in the third quarter of 2011 with the offset being to a deferred liability. The remainder of the leasehold improvements and deferred rent from the old lease were removed in the fourth quarter of 2011 when the space was vacated.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year ended December 31, 2011 was $0.7 million, a decrease of $0.2 million from $0.9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2010, as a higher amount of interest expense was capitalized in 2011 as compared to 2010 as a result of our continuing expansion of our ground infrastructure. Additionally, in April 2011 the loan agreement was amended to reduce the interest rate on unpaid amounts to 30-day LIBOR plus 2.00% from 30-day LIBOR plus 2.25%.</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year ended December 31, 2011 was $31.0 million, an increase of $8.8 million from $22.2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2010. This increase was primarily attributable to increased income before income taxes. Our effective tax rate was 38.0% during the year ended December 31, 2011 compared to 38.7% during the year ended December 31, 2010.</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year ended December 31, 2011 was $50.5 million, an increase of $15.3 million, as compared to $35.2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2010, due to the factors discussed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As we increased the relative proportion of our online students during the past few years, this summer effect lessened. However, it is our intent to continue to increase the number of ground traditional students during the next few years. Thus, we expect this summer effect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9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During 2012, we financed our operating activities and capital expenditures primarily through cash provided by operating activities. Our</w:t>
      </w:r>
      <w:r>
        <w:rPr>
          <w:rFonts w:ascii="Arial" w:cs="Arial" w:eastAsia="Arial" w:hAnsi="Arial"/>
          <w:sz w:val="18"/>
          <w:szCs w:val="18"/>
          <w:i w:val="1"/>
          <w:iCs w:val="1"/>
          <w:color w:val="auto"/>
        </w:rPr>
        <w:t xml:space="preserve"> </w:t>
      </w:r>
      <w:r>
        <w:rPr>
          <w:rFonts w:ascii="Arial" w:cs="Arial" w:eastAsia="Arial" w:hAnsi="Arial"/>
          <w:sz w:val="18"/>
          <w:szCs w:val="18"/>
          <w:color w:val="auto"/>
        </w:rPr>
        <w:t>unrestricted cash, and cash equivalents were $105.1 million at December 31, 2012 and our restricted cash and cash equivalents were $56.2 million. In December 2012, we entered into a new credit agreement, which refinanced our prior indebtedness, with multiple lenders. This credit facility increased our term loan to $100 million with a maturity date of December 2019 and decreased the interest rate on the outstanding balance from the BBA Libor Rate plus 200 basis points to the BBA Libor Rate plus 175 basis points, with monthly principal and interest payments. Additionally, this facility provides a revolving line of credit in the amount of $50 million through December 2017 to be utilized for working capital, capital expenditures, share repurchases and other general corporate purposes. Indebtedness under the credit facility is secured by our assets and is guaranteed by certain of our subsidiaries. No amounts were drawn on the revolver as of December 31, 2012.</w:t>
      </w:r>
    </w:p>
    <w:p>
      <w:pPr>
        <w:spacing w:after="0" w:line="14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2012, we completed construction of two additional dormitories, an Arts and Science classroom building, a remodel of our student union, and a parking garage to support our increasing traditional student enrollment, and also purchased computer equipment, internal use software projects and furniture and equipment. In addition during 2012 we purchased an on campus dormitory that was previously leased. The Arts and Sciences classroom building has 21 traditional classrooms, five science labs, two computer labs, a simulation laboratory, and a skills laboratory.</w:t>
      </w:r>
    </w:p>
    <w:p>
      <w:pPr>
        <w:spacing w:after="0" w:line="11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August 16, 2010, our Board of Directors authorized the University to repurchase up to $25 million of common stock, from time to time, depending on market conditions and other considerations. On July 28, 2011, our Board of Directors authorized the University to repurchase up to an additional $25.0 million ($50.0 million total) of common stock. On July 26, 2012, the Board of Directors extended the expiration date on the repurchase authorization to September 30, 2013. Repurchases occur at our discretion. The 2011 repurchase authorization is an expansion of, and does not replace the 2010 purchase authorization.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Since the approval of the initial share repurchase plan, the University has purchased 2,409,790 shares of common stock at an aggregate cost of $39.1 million which includes 752,490 shares of common stock at an aggregate cost of $15.2 million during the year ended December 31, 2012. At December 31, 2012, there remains $10.9 million available under our current share repurchase authorization.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provided by operating activities for the year ended December 31, 2012, 2011 and 2010 was $144.2 million, $88.0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$40.4 million, respectively. Cash provided by operations in 2012, 2011 and 2010 resulted from our net income plus non-cash charges for provision for bad debts, depreciation and amortization, estimated settlement loss, exit costs, share-based compensation and changes in our working capital.</w:t>
      </w:r>
    </w:p>
    <w:p>
      <w:pPr>
        <w:spacing w:after="0" w:line="10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$131.5 million, $75.1 million, and $68.1 million for the years ended December 31, 2012,</w:t>
      </w:r>
      <w:r>
        <w:rPr>
          <w:rFonts w:ascii="Arial" w:cs="Arial" w:eastAsia="Arial" w:hAnsi="Arial"/>
          <w:sz w:val="16"/>
          <w:szCs w:val="16"/>
          <w:i w:val="1"/>
          <w:iCs w:val="1"/>
          <w:color w:val="auto"/>
        </w:rPr>
        <w:t xml:space="preserve"> </w:t>
      </w:r>
      <w:r>
        <w:rPr>
          <w:rFonts w:ascii="Arial" w:cs="Arial" w:eastAsia="Arial" w:hAnsi="Arial"/>
          <w:sz w:val="16"/>
          <w:szCs w:val="16"/>
          <w:color w:val="auto"/>
        </w:rPr>
        <w:t>2011, and 2010, respectively. Our cash used in investing activities is primarily related to the purchase of property and equipment, leasehold improvements, changes in non-operating restricted cash and cash equivalents related to collateral on our derivative instruments, and the purchase of two real estate related assets that we plan to develop and then sell to third parties during the next six months. Other capital expenditures were $97.7 million, $80.5 million and $62.6 million for the years ended December 31, 2012, 2011, and 2010, respectively. In 2012, capital expenditures primarily consisted of construction costs associated with two additional dormitories, an Arts and Science classroom building, a remodel of our student union, and a parking garage to support our increasing traditional student enrollment as well as purchases of computer equipment, internal use software projects and furniture and equipment. Also in 2012, we purchased an on campus dormitory that was previously leased. In 2011, capital expenditures completed consisted of a 140,000 square foot/5,000 seat basketball and entertainment arena, a student activity center that contains a food court, a bowling alley, and other student services, and a new dormitory, as well as campus improvements to support our growing on-campus student population, purchases of computer equipment, leasehold improvements, infrastructure licenses and software development costs, and office furniture and fixtures to support our increasing employee headcounts. In addition in 2011, we began construction of two new dormitories and a new Arts and Sciences classroom building that were completed in 2012. In 2010, capital expenditures primarily consisted of campus improvements to support our growing on-campus student population such as a new dormitory and a 55,000 square foot recreation center for both student-athletes and on-campus students as well as completion of the College of Education classroom building, purchases of computer equipment, leasehold improvements, infrastructure licenses and software development costs to facilitate our transition from Datatel to CampusVue and Great Plains, and office furniture and fixtures to support our increasing employee headcounts. In 2013, in order to accommodate our continued growth and expansion needs for our traditional ground students, we expect to build two dormitories and to expand our food service facilities and library.</w:t>
      </w:r>
    </w:p>
    <w:p>
      <w:pPr>
        <w:spacing w:after="0" w:line="121"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provided by (used in) financing activities was $71.3 million, $(25.3) million, and $(1.2) million for the years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2012, 2011, and 2010, respectively. During 2012, we received $99.2 million from our new credit facility, $8.0 million from the exercise of stock options partially offset by $15.2 million utilized to repurchase our common stock and $21.7 million used for payments on notes payable and capital lease obligations. During 2011, $23.1 million was used to purchase treasury stock in accordance with our share repurchase program and principal payments on notes payable and capital leases totaled $3.7 million. These uses of cash were partially offset by proceeds of $1.7 million from the exercise of stock options. During 2010, principal payments on notes payable and capital lease obligation and the repurchase of our common stock were partially offset by proceeds from the exercise of stock options and the excess tax benefits from share-based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as of December 31, 2012, the aggregate amounts of our significant contractual obligations and commitments with definitive payment terms due in each of the periods presented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Payments Due by Period</w:t>
            </w: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79"/>
              </w:rPr>
              <w:t>Less than</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3"/>
              </w:rPr>
              <w:t>Total</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85"/>
              </w:rPr>
              <w:t>1 Year</w:t>
            </w:r>
          </w:p>
        </w:tc>
        <w:tc>
          <w:tcPr>
            <w:tcW w:w="40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3"/>
              </w:rPr>
              <w:t>2-3 Years</w:t>
            </w:r>
          </w:p>
        </w:tc>
        <w:tc>
          <w:tcPr>
            <w:tcW w:w="4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4-5 Years</w:t>
            </w: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Long term notes payable</w:t>
            </w:r>
            <w:r>
              <w:rPr>
                <w:rFonts w:ascii="Arial" w:cs="Arial" w:eastAsia="Arial" w:hAnsi="Arial"/>
                <w:sz w:val="11"/>
                <w:szCs w:val="11"/>
                <w:color w:val="auto"/>
              </w:rPr>
              <w:t>(1)</w:t>
            </w:r>
          </w:p>
        </w:tc>
        <w:tc>
          <w:tcPr>
            <w:tcW w:w="3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Capital lease obligations</w:t>
            </w:r>
            <w:r>
              <w:rPr>
                <w:rFonts w:ascii="Arial" w:cs="Arial" w:eastAsia="Arial" w:hAnsi="Arial"/>
                <w:sz w:val="11"/>
                <w:szCs w:val="11"/>
                <w:color w:val="auto"/>
              </w:rPr>
              <w:t>(2)</w:t>
            </w: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1"/>
                <w:szCs w:val="11"/>
                <w:color w:val="auto"/>
              </w:rPr>
              <w:t>(3)</w:t>
            </w: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1"/>
                <w:szCs w:val="11"/>
                <w:color w:val="auto"/>
              </w:rPr>
              <w:t>(4)</w:t>
            </w:r>
          </w:p>
        </w:tc>
        <w:tc>
          <w:tcPr>
            <w:tcW w:w="3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179.3</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5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160" w:type="dxa"/>
            <w:vAlign w:val="bottom"/>
            <w:vMerge w:val="restart"/>
          </w:tcPr>
          <w:p>
            <w:pPr>
              <w:jc w:val="right"/>
              <w:ind w:right="1112"/>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80" w:hanging="452"/>
        <w:spacing w:after="0" w:line="286"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See Note 5, “Notes Payable and Other Noncurrent Liabilities,” to our consolidated financial statements, included in Item 8, </w:t>
      </w:r>
      <w:r>
        <w:rPr>
          <w:rFonts w:ascii="Arial" w:cs="Arial" w:eastAsia="Arial" w:hAnsi="Arial"/>
          <w:sz w:val="16"/>
          <w:szCs w:val="16"/>
          <w:i w:val="1"/>
          <w:iCs w:val="1"/>
          <w:color w:val="auto"/>
        </w:rPr>
        <w:t>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and Supplementary Data</w:t>
      </w:r>
      <w:r>
        <w:rPr>
          <w:rFonts w:ascii="Arial" w:cs="Arial" w:eastAsia="Arial" w:hAnsi="Arial"/>
          <w:sz w:val="16"/>
          <w:szCs w:val="16"/>
          <w:color w:val="auto"/>
        </w:rPr>
        <w:t>, for a discussion of our long term notes payable and other obligations.</w:t>
      </w:r>
    </w:p>
    <w:p>
      <w:pPr>
        <w:ind w:left="460" w:right="100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See Note 6, “Capital Lease Obligations,” to our consolidated financial statements, included in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 for a discussion of our capital lease obligations.</w:t>
      </w: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unconditional purchase obligations and other obligations.</w:t>
      </w:r>
    </w:p>
    <w:p>
      <w:pPr>
        <w:spacing w:after="0" w:line="9" w:lineRule="exact"/>
        <w:rPr>
          <w:rFonts w:ascii="Arial" w:cs="Arial" w:eastAsia="Arial" w:hAnsi="Arial"/>
          <w:sz w:val="18"/>
          <w:szCs w:val="18"/>
          <w:color w:val="auto"/>
        </w:rPr>
      </w:pPr>
    </w:p>
    <w:p>
      <w:pPr>
        <w:ind w:left="460" w:right="480" w:hanging="452"/>
        <w:spacing w:after="0" w:line="261"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See Note 7, “Commitments and Contingencies,” to our consolidated financial statements, included in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 for a discussion of our operating lease obligations.</w:t>
      </w:r>
    </w:p>
    <w:p>
      <w:pPr>
        <w:spacing w:after="0" w:line="13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foregoing obligations exclude potential royalty payments to Blanchard Education, LLC under our license agreement, the amounts of which are contingent on tuition revenue from certain of our business programs.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 See Item 6, </w:t>
      </w:r>
      <w:r>
        <w:rPr>
          <w:rFonts w:ascii="Arial" w:cs="Arial" w:eastAsia="Arial" w:hAnsi="Arial"/>
          <w:sz w:val="16"/>
          <w:szCs w:val="16"/>
          <w:i w:val="1"/>
          <w:iCs w:val="1"/>
          <w:color w:val="auto"/>
        </w:rPr>
        <w:t>Selected Consolidated Financial and Other Data,</w:t>
      </w:r>
      <w:r>
        <w:rPr>
          <w:rFonts w:ascii="Arial" w:cs="Arial" w:eastAsia="Arial" w:hAnsi="Arial"/>
          <w:sz w:val="16"/>
          <w:szCs w:val="16"/>
          <w:color w:val="auto"/>
        </w:rPr>
        <w:t xml:space="preserve"> for a discussion of our Adjusted EBITDA computation and reconciliation.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See Note 2, Summary of Significant Accounting Policies, in Item 8, </w:t>
      </w:r>
      <w:r>
        <w:rPr>
          <w:rFonts w:ascii="Arial" w:cs="Arial" w:eastAsia="Arial" w:hAnsi="Arial"/>
          <w:sz w:val="18"/>
          <w:szCs w:val="18"/>
          <w:i w:val="1"/>
          <w:iCs w:val="1"/>
          <w:color w:val="auto"/>
        </w:rPr>
        <w:t>Consolidated Financial Statements and Supplementary Data</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i w:val="1"/>
          <w:iCs w:val="1"/>
          <w:color w:val="auto"/>
        </w:rPr>
        <w:t xml:space="preserve">Impact of inflation. </w:t>
      </w:r>
      <w:r>
        <w:rPr>
          <w:rFonts w:ascii="Arial" w:cs="Arial" w:eastAsia="Arial" w:hAnsi="Arial"/>
          <w:sz w:val="16"/>
          <w:szCs w:val="16"/>
          <w:color w:val="auto"/>
        </w:rPr>
        <w:t>We believe that inflation has not had a material impact on our results of operations for the years ended December 31, 2012, 2011, or</w:t>
      </w:r>
      <w:r>
        <w:rPr>
          <w:rFonts w:ascii="Arial" w:cs="Arial" w:eastAsia="Arial" w:hAnsi="Arial"/>
          <w:sz w:val="16"/>
          <w:szCs w:val="16"/>
          <w:i w:val="1"/>
          <w:iCs w:val="1"/>
          <w:color w:val="auto"/>
        </w:rPr>
        <w:t xml:space="preserve"> </w:t>
      </w:r>
      <w:r>
        <w:rPr>
          <w:rFonts w:ascii="Arial" w:cs="Arial" w:eastAsia="Arial" w:hAnsi="Arial"/>
          <w:sz w:val="16"/>
          <w:szCs w:val="16"/>
          <w:color w:val="auto"/>
        </w:rPr>
        <w:t>2010. There can be no assurance that future inflation will not have an adverse impact on our operating results and financial condition.</w:t>
      </w:r>
    </w:p>
    <w:p>
      <w:pPr>
        <w:spacing w:after="0" w:line="8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June 30, 2009, we entered into two derivative agreements to manage our 30-day LIBOR interest exposure from the variable rate note</w:t>
      </w:r>
      <w:r>
        <w:rPr>
          <w:rFonts w:ascii="Arial" w:cs="Arial" w:eastAsia="Arial" w:hAnsi="Arial"/>
          <w:sz w:val="16"/>
          <w:szCs w:val="16"/>
          <w:i w:val="1"/>
          <w:iCs w:val="1"/>
          <w:color w:val="auto"/>
        </w:rPr>
        <w:t xml:space="preserve"> </w:t>
      </w:r>
      <w:r>
        <w:rPr>
          <w:rFonts w:ascii="Arial" w:cs="Arial" w:eastAsia="Arial" w:hAnsi="Arial"/>
          <w:sz w:val="16"/>
          <w:szCs w:val="16"/>
          <w:color w:val="auto"/>
        </w:rPr>
        <w:t>payable. A corridor instrument hedges our variable interest rate risk from July 1, 2009 through April 30, 2014 with a notional amount of $9.8 million as of December 31, 2012 and permits us to hedge our interest rate risk at several thresholds. Under this arrangement, in addition to the credit spread we will pay variable interest rates based on the 30-day LIBOR rates monthly until that index reaches 4%. If 30-day LIBOR is equal to 4% through 6%, we will continue to pay 4%. If the 30-day LIBOR exceeds 6%, we will pay actual 30-day LIBOR less 2%. In addition, an interest rate swap commenced on May 1, 2010, continues each month thereafter until April 30, 2014, and has a notional amount of $9.8 million as of December 31, 2012. Under this arrangement, we will receive 30-day LIBOR and pay 3.245% fixed rate on the amortizing notional amount plus the credit spread.</w:t>
      </w:r>
    </w:p>
    <w:p>
      <w:pPr>
        <w:spacing w:after="0" w:line="11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through the instruments noted above and by investing excess funds in cash equivalents and AAA rated</w:t>
      </w:r>
      <w:r>
        <w:rPr>
          <w:rFonts w:ascii="Arial" w:cs="Arial" w:eastAsia="Arial" w:hAnsi="Arial"/>
          <w:sz w:val="16"/>
          <w:szCs w:val="16"/>
          <w:i w:val="1"/>
          <w:iCs w:val="1"/>
          <w:color w:val="auto"/>
        </w:rPr>
        <w:t xml:space="preserve"> </w:t>
      </w:r>
      <w:r>
        <w:rPr>
          <w:rFonts w:ascii="Arial" w:cs="Arial" w:eastAsia="Arial" w:hAnsi="Arial"/>
          <w:sz w:val="16"/>
          <w:szCs w:val="16"/>
          <w:color w:val="auto"/>
        </w:rPr>
        <w:t>marketable securities bearing variable interest 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December 31, 2012, a 10% increase or decrease in interest rates would not have a material impact on our future earnings, fair values, or cash flows. For information regarding our variable rate notes payable, see “Market risk” above.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60" w:type="dxa"/>
            <w:vAlign w:val="bottom"/>
            <w:gridSpan w:val="8"/>
          </w:tcPr>
          <w:p>
            <w:pPr>
              <w:ind w:left="260"/>
              <w:spacing w:after="0"/>
              <w:rPr>
                <w:sz w:val="20"/>
                <w:szCs w:val="20"/>
                <w:color w:val="auto"/>
              </w:rPr>
            </w:pPr>
            <w:r>
              <w:rPr>
                <w:rFonts w:ascii="Arial" w:cs="Arial" w:eastAsia="Arial" w:hAnsi="Arial"/>
                <w:sz w:val="18"/>
                <w:szCs w:val="18"/>
                <w:b w:val="1"/>
                <w:bCs w:val="1"/>
                <w:i w:val="1"/>
                <w:iCs w:val="1"/>
                <w:color w:val="auto"/>
              </w:rPr>
              <w:t>Consolidated Financial Statements and Supplementary Data</w:t>
            </w:r>
          </w:p>
        </w:tc>
        <w:tc>
          <w:tcPr>
            <w:tcW w:w="280" w:type="dxa"/>
            <w:vAlign w:val="bottom"/>
          </w:tcPr>
          <w:p>
            <w:pPr>
              <w:spacing w:after="0"/>
              <w:rPr>
                <w:sz w:val="19"/>
                <w:szCs w:val="19"/>
                <w:color w:val="auto"/>
              </w:rPr>
            </w:pPr>
          </w:p>
        </w:tc>
      </w:tr>
      <w:tr>
        <w:trPr>
          <w:trHeight w:val="353"/>
        </w:trPr>
        <w:tc>
          <w:tcPr>
            <w:tcW w:w="7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64"/>
        </w:trPr>
        <w:tc>
          <w:tcPr>
            <w:tcW w:w="42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Report of Independent Registered Public Accounting Firms</w:t>
              </w:r>
            </w:hyperlink>
          </w:p>
        </w:tc>
        <w:tc>
          <w:tcPr>
            <w:tcW w:w="6840" w:type="dxa"/>
            <w:vAlign w:val="bottom"/>
            <w:gridSpan w:val="6"/>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04"/>
        </w:trPr>
        <w:tc>
          <w:tcPr>
            <w:tcW w:w="45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73">
              <w:r>
                <w:rPr>
                  <w:rFonts w:ascii="Arial" w:cs="Arial" w:eastAsia="Arial" w:hAnsi="Arial"/>
                  <w:sz w:val="18"/>
                  <w:szCs w:val="18"/>
                  <w:color w:val="0000EE"/>
                  <w:w w:val="86"/>
                </w:rPr>
                <w:t>Consolidated Balance Sheets as of December 31, 2012 and 2011</w:t>
              </w:r>
            </w:hyperlink>
          </w:p>
        </w:tc>
        <w:tc>
          <w:tcPr>
            <w:tcW w:w="65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626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74">
              <w:r>
                <w:rPr>
                  <w:rFonts w:ascii="Arial" w:cs="Arial" w:eastAsia="Arial" w:hAnsi="Arial"/>
                  <w:sz w:val="18"/>
                  <w:szCs w:val="18"/>
                  <w:color w:val="0000EE"/>
                  <w:w w:val="86"/>
                </w:rPr>
                <w:t>Consolidated Income Statements for the years ended December 31, 2012, 2011 and 2010</w:t>
              </w:r>
            </w:hyperlink>
          </w:p>
        </w:tc>
        <w:tc>
          <w:tcPr>
            <w:tcW w:w="47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04"/>
        </w:trPr>
        <w:tc>
          <w:tcPr>
            <w:tcW w:w="11040" w:type="dxa"/>
            <w:vAlign w:val="bottom"/>
            <w:gridSpan w:val="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Comprehensive Income for the years ended December 31, 2012,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04"/>
        </w:trPr>
        <w:tc>
          <w:tcPr>
            <w:tcW w:w="7580" w:type="dxa"/>
            <w:vAlign w:val="bottom"/>
            <w:tcBorders>
              <w:top w:val="single" w:sz="8" w:color="0000EE"/>
            </w:tcBorders>
            <w:gridSpan w:val="8"/>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Stockholders’ Equity for the years ended December 31, 2012, 2011 and 2010</w:t>
              </w:r>
            </w:hyperlink>
          </w:p>
        </w:tc>
        <w:tc>
          <w:tcPr>
            <w:tcW w:w="34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67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77">
              <w:r>
                <w:rPr>
                  <w:rFonts w:ascii="Arial" w:cs="Arial" w:eastAsia="Arial" w:hAnsi="Arial"/>
                  <w:sz w:val="18"/>
                  <w:szCs w:val="18"/>
                  <w:color w:val="0000EE"/>
                  <w:w w:val="86"/>
                </w:rPr>
                <w:t>Consolidated Statements of Cash Flows for the years ended December 31, 2012, 2011 and 2010</w:t>
              </w:r>
            </w:hyperlink>
          </w:p>
        </w:tc>
        <w:tc>
          <w:tcPr>
            <w:tcW w:w="700" w:type="dxa"/>
            <w:vAlign w:val="bottom"/>
            <w:tcBorders>
              <w:top w:val="single" w:sz="8" w:color="0000EE"/>
            </w:tcBorders>
          </w:tcPr>
          <w:p>
            <w:pPr>
              <w:spacing w:after="0"/>
              <w:rPr>
                <w:sz w:val="24"/>
                <w:szCs w:val="24"/>
                <w:color w:val="auto"/>
              </w:rPr>
            </w:pPr>
          </w:p>
        </w:tc>
        <w:tc>
          <w:tcPr>
            <w:tcW w:w="36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04"/>
        </w:trPr>
        <w:tc>
          <w:tcPr>
            <w:tcW w:w="11040" w:type="dxa"/>
            <w:vAlign w:val="bottom"/>
            <w:gridSpan w:val="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Notes to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83"/>
        </w:trPr>
        <w:tc>
          <w:tcPr>
            <w:tcW w:w="780" w:type="dxa"/>
            <w:vAlign w:val="bottom"/>
            <w:tcBorders>
              <w:top w:val="single" w:sz="8" w:color="0000EE"/>
            </w:tcBorders>
          </w:tcPr>
          <w:p>
            <w:pPr>
              <w:spacing w:after="0"/>
              <w:rPr>
                <w:sz w:val="24"/>
                <w:szCs w:val="24"/>
                <w:color w:val="auto"/>
              </w:rPr>
            </w:pPr>
          </w:p>
        </w:tc>
        <w:tc>
          <w:tcPr>
            <w:tcW w:w="2300" w:type="dxa"/>
            <w:vAlign w:val="bottom"/>
            <w:tcBorders>
              <w:top w:val="single" w:sz="8" w:color="0000EE"/>
            </w:tcBorders>
          </w:tcPr>
          <w:p>
            <w:pPr>
              <w:spacing w:after="0"/>
              <w:rPr>
                <w:sz w:val="24"/>
                <w:szCs w:val="24"/>
                <w:color w:val="auto"/>
              </w:rPr>
            </w:pPr>
          </w:p>
        </w:tc>
        <w:tc>
          <w:tcPr>
            <w:tcW w:w="3180" w:type="dxa"/>
            <w:vAlign w:val="bottom"/>
            <w:gridSpan w:val="3"/>
          </w:tcPr>
          <w:p>
            <w:pPr>
              <w:jc w:val="right"/>
              <w:ind w:right="460"/>
              <w:spacing w:after="0"/>
              <w:rPr>
                <w:sz w:val="20"/>
                <w:szCs w:val="20"/>
                <w:color w:val="auto"/>
              </w:rPr>
            </w:pPr>
            <w:r>
              <w:rPr>
                <w:rFonts w:ascii="Arial" w:cs="Arial" w:eastAsia="Arial" w:hAnsi="Arial"/>
                <w:sz w:val="18"/>
                <w:szCs w:val="18"/>
                <w:color w:val="auto"/>
              </w:rPr>
              <w:t>69</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 of Grand Canyon Education, Inc. and subsidiaries (the “Company”) as of December 31, 2012, and the related consolidated statements of income, comprehensive income, stockholders’ equity, and cash flows for the year then ended. These consolidated financial statements are the responsibility of the Company’s management. Our responsibility is to express an opinion on these consolidated financial statements based on our audit.</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Grand Canyon Education, Inc. and subsidiaries as of December 31, 2012, and the results of their operations and their cash flows for the year then ended, in conformity with U.S. generally accepted accounting principles.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Grand Canyon Education, Inc.’s internal control over financial reporting as of December 31, 2012,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February 19, 2013 expressed an unqualified opinion on the effectiveness of the Company’s internal control over financial reporting.</w:t>
      </w:r>
    </w:p>
    <w:p>
      <w:pPr>
        <w:spacing w:after="0" w:line="22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165"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 of Grand Canyon Education, Inc. (the “Company”) as of December 31, 2011, and the related consolidated statements of income, comprehensive income, stockholders’ equity, and cash flows for each of the two years in the period ended December 31, 2011. These financial statements are the responsibility of the Company’s management. Our responsibility is to express an opinion on these consolidated financial statements based on our audits.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Grand Canyon Education, Inc. at December 31, 2011, and the consolidated results of its operations and its cash flows for the two years in the period ended December 31, 2011, in conformity with U.S. generally accepted accounting principles.</w:t>
      </w:r>
    </w:p>
    <w:p>
      <w:pPr>
        <w:spacing w:after="0" w:line="140"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21,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8"/>
              </w:rPr>
              <w:t>As of December 31,</w:t>
            </w:r>
          </w:p>
        </w:tc>
        <w:tc>
          <w:tcPr>
            <w:tcW w:w="0" w:type="dxa"/>
            <w:vAlign w:val="bottom"/>
          </w:tcPr>
          <w:p>
            <w:pPr>
              <w:spacing w:after="0"/>
              <w:rPr>
                <w:sz w:val="1"/>
                <w:szCs w:val="1"/>
                <w:color w:val="auto"/>
              </w:rPr>
            </w:pPr>
          </w:p>
        </w:tc>
      </w:tr>
      <w:tr>
        <w:trPr>
          <w:trHeight w:val="136"/>
        </w:trPr>
        <w:tc>
          <w:tcPr>
            <w:tcW w:w="916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2012</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7200" w:type="dxa"/>
            <w:vAlign w:val="bottom"/>
            <w:tcBorders>
              <w:top w:val="single" w:sz="8" w:color="CCEEFF"/>
            </w:tcBorders>
            <w:shd w:val="clear" w:color="auto" w:fill="CCEEFF"/>
          </w:tcPr>
          <w:p>
            <w:pPr>
              <w:jc w:val="center"/>
              <w:ind w:left="112"/>
              <w:spacing w:after="0" w:line="202" w:lineRule="exact"/>
              <w:rPr>
                <w:sz w:val="20"/>
                <w:szCs w:val="20"/>
                <w:color w:val="auto"/>
              </w:rPr>
            </w:pPr>
            <w:r>
              <w:rPr>
                <w:rFonts w:ascii="Arial" w:cs="Arial" w:eastAsia="Arial" w:hAnsi="Arial"/>
                <w:sz w:val="18"/>
                <w:szCs w:val="18"/>
                <w:b w:val="1"/>
                <w:bCs w:val="1"/>
                <w:color w:val="auto"/>
                <w:w w:val="92"/>
              </w:rPr>
              <w:t>ASSETS:</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105,111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Restricted cash and cash equivalents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55,964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3"/>
              </w:rPr>
              <w:t>Accounts receivable, net of allowance for doubtful accounts of $8,657 and $11,706 at December 31, 2012 and 2011,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respectively</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7,951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Note receivable secured by real estate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27,000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5,481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214,174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115,414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269,162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189,947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royalties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2,941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494,923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317,847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7200" w:type="dxa"/>
            <w:vAlign w:val="bottom"/>
            <w:shd w:val="clear" w:color="auto" w:fill="CCEEFF"/>
          </w:tcPr>
          <w:p>
            <w:pPr>
              <w:jc w:val="center"/>
              <w:ind w:left="112"/>
              <w:spacing w:after="0"/>
              <w:rPr>
                <w:sz w:val="20"/>
                <w:szCs w:val="20"/>
                <w:color w:val="auto"/>
              </w:rPr>
            </w:pPr>
            <w:r>
              <w:rPr>
                <w:rFonts w:ascii="Arial" w:cs="Arial" w:eastAsia="Arial" w:hAnsi="Arial"/>
                <w:sz w:val="18"/>
                <w:szCs w:val="18"/>
                <w:b w:val="1"/>
                <w:bCs w:val="1"/>
                <w:color w:val="auto"/>
                <w:w w:val="99"/>
              </w:rPr>
              <w:t>LIABILITIES AND STOCKHOLDERS’ EQUITY:</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14,174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Accrued compensation and benefits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18,812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17,467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Income taxes payable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8,704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Student deposits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57,745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Deferred revenue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28,614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Due to related parties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ind w:left="420"/>
              <w:spacing w:after="0"/>
              <w:rPr>
                <w:sz w:val="20"/>
                <w:szCs w:val="20"/>
                <w:color w:val="auto"/>
              </w:rPr>
            </w:pPr>
            <w:r>
              <w:rPr>
                <w:rFonts w:ascii="Arial" w:cs="Arial" w:eastAsia="Arial" w:hAnsi="Arial"/>
                <w:sz w:val="18"/>
                <w:szCs w:val="18"/>
                <w:color w:val="auto"/>
              </w:rPr>
              <w:t>Current portion of capital lease obligations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Current portion of notes payable</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152,727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121,505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7,405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 non-current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Notes payable, less current portion</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260,864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154,554</w:t>
            </w:r>
          </w:p>
        </w:tc>
        <w:tc>
          <w:tcPr>
            <w:tcW w:w="0" w:type="dxa"/>
            <w:vAlign w:val="bottom"/>
          </w:tcPr>
          <w:p>
            <w:pPr>
              <w:spacing w:after="0"/>
              <w:rPr>
                <w:sz w:val="1"/>
                <w:szCs w:val="1"/>
                <w:color w:val="auto"/>
              </w:rPr>
            </w:pPr>
          </w:p>
        </w:tc>
      </w:tr>
      <w:tr>
        <w:trPr>
          <w:trHeight w:val="221"/>
        </w:trPr>
        <w:tc>
          <w:tcPr>
            <w:tcW w:w="916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w w:val="91"/>
              </w:rPr>
              <w:t>Preferred stock, $0.01 par value, 10,000 shares authorized; 0 shares issued and outstanding at December 31, 2012 and 2011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Common stock, $0.01 par value, 100,000 shares authorized; 47,136 and 45,955 shares issued and 44,716 and 44,298 shares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at December 31, 2012 and 2011, respectively</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Treasury stock, at cost, 2,420 and 1,657 shares of common stock at December 31, 2012 and 2011, respectively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(39,136)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(23,894)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102,133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earnings</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170,814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101,367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Total stockholders’ equity</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234,059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163,293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494,923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317,847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18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3"/>
              <w:spacing w:after="0" w:line="129"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33"/>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Net revenue</w:t>
            </w:r>
          </w:p>
        </w:tc>
        <w:tc>
          <w:tcPr>
            <w:tcW w:w="56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511,257</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426,741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385,625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Instructional costs and services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220,403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194,801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178,844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w w:val="94"/>
              </w:rPr>
              <w:t>Selling and promotional, including $2,328 in 2012; $877 in 2011; and $8,777 in 2010, to related parties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141,300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119,955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112,493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29,043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Contract termination fees to related party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Lease termination costs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Exit costs</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397,205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344,581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327,449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gridSpan w:val="3"/>
          </w:tcPr>
          <w:p>
            <w:pPr>
              <w:spacing w:after="0"/>
              <w:rPr>
                <w:sz w:val="20"/>
                <w:szCs w:val="20"/>
                <w:color w:val="auto"/>
              </w:rPr>
            </w:pPr>
            <w:r>
              <w:rPr>
                <w:rFonts w:ascii="Arial" w:cs="Arial" w:eastAsia="Arial" w:hAnsi="Arial"/>
                <w:sz w:val="18"/>
                <w:szCs w:val="18"/>
                <w:b w:val="1"/>
                <w:bCs w:val="1"/>
                <w:color w:val="auto"/>
              </w:rPr>
              <w:t>Operating income</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114,052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82,160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58,176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ind w:left="42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113,424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81,528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69,447</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50,546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35,206</w:t>
            </w: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8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income per share</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income per share</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gridSpan w:val="3"/>
            <w:vMerge w:val="continue"/>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gridSpan w:val="3"/>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45,251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45,105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80" w:type="dxa"/>
            <w:vAlign w:val="bottom"/>
            <w:gridSpan w:val="6"/>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9"/>
        </w:trPr>
        <w:tc>
          <w:tcPr>
            <w:tcW w:w="8940" w:type="dxa"/>
            <w:vAlign w:val="bottom"/>
            <w:gridSpan w:val="3"/>
            <w:vMerge w:val="continue"/>
          </w:tcPr>
          <w:p>
            <w:pPr>
              <w:spacing w:after="0"/>
              <w:rPr>
                <w:sz w:val="12"/>
                <w:szCs w:val="12"/>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86"/>
              </w:rPr>
              <w:t>Net income</w:t>
            </w:r>
          </w:p>
        </w:tc>
        <w:tc>
          <w:tcPr>
            <w:tcW w:w="80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$69,447</w:t>
            </w: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$50,546</w:t>
            </w:r>
          </w:p>
        </w:tc>
        <w:tc>
          <w:tcPr>
            <w:tcW w:w="3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$35,206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gains (losses) on hedging derivatives, net of taxes of $104, $3, and $273 for the years ended</w:t>
            </w: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December 31, 2012, 2011 and 2010, respectively</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137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w w:val="96"/>
              </w:rPr>
              <w:t>Reclassification of net loss on interest rate corridor, net of taxes of $70 for the year ended December 31, 2011</w:t>
            </w: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Unrealized losses on available for sale securities, net of taxes of $3 for the year ended December 31, 2010</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gridSpan w:val="2"/>
          </w:tcPr>
          <w:p>
            <w:pPr>
              <w:ind w:left="420"/>
              <w:spacing w:after="0"/>
              <w:rPr>
                <w:sz w:val="20"/>
                <w:szCs w:val="20"/>
                <w:color w:val="auto"/>
              </w:rPr>
            </w:pPr>
            <w:r>
              <w:rPr>
                <w:rFonts w:ascii="Arial" w:cs="Arial" w:eastAsia="Arial" w:hAnsi="Arial"/>
                <w:sz w:val="18"/>
                <w:szCs w:val="18"/>
                <w:color w:val="auto"/>
              </w:rPr>
              <w:t>Realized gains on available for sale securities, net of taxes of $12 for the year ended December 31, 2010</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69,584</w:t>
            </w: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50,631</w:t>
            </w: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Additional</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4080" w:type="dxa"/>
            <w:vAlign w:val="bottom"/>
          </w:tcPr>
          <w:p>
            <w:pPr>
              <w:spacing w:after="0"/>
              <w:rPr>
                <w:sz w:val="15"/>
                <w:szCs w:val="15"/>
                <w:color w:val="auto"/>
              </w:rPr>
            </w:pPr>
          </w:p>
        </w:tc>
        <w:tc>
          <w:tcPr>
            <w:tcW w:w="1320" w:type="dxa"/>
            <w:vAlign w:val="bottom"/>
            <w:gridSpan w:val="5"/>
          </w:tcPr>
          <w:p>
            <w:pPr>
              <w:ind w:left="22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5"/>
                <w:szCs w:val="15"/>
                <w:color w:val="auto"/>
              </w:rPr>
            </w:pPr>
          </w:p>
        </w:tc>
        <w:tc>
          <w:tcPr>
            <w:tcW w:w="1700" w:type="dxa"/>
            <w:vAlign w:val="bottom"/>
            <w:gridSpan w:val="6"/>
          </w:tcPr>
          <w:p>
            <w:pPr>
              <w:ind w:left="26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Paid-in</w:t>
            </w:r>
          </w:p>
        </w:tc>
        <w:tc>
          <w:tcPr>
            <w:tcW w:w="280" w:type="dxa"/>
            <w:vAlign w:val="bottom"/>
          </w:tcPr>
          <w:p>
            <w:pPr>
              <w:spacing w:after="0"/>
              <w:rPr>
                <w:sz w:val="15"/>
                <w:szCs w:val="15"/>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3"/>
              </w:rPr>
              <w:t>Comprehensive</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080" w:type="dxa"/>
            <w:vAlign w:val="bottom"/>
          </w:tcPr>
          <w:p>
            <w:pPr>
              <w:spacing w:after="0"/>
              <w:rPr>
                <w:sz w:val="12"/>
                <w:szCs w:val="12"/>
                <w:color w:val="auto"/>
              </w:rPr>
            </w:pPr>
          </w:p>
        </w:tc>
        <w:tc>
          <w:tcPr>
            <w:tcW w:w="5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Amount</w:t>
            </w:r>
          </w:p>
        </w:tc>
        <w:tc>
          <w:tcPr>
            <w:tcW w:w="300" w:type="dxa"/>
            <w:vAlign w:val="bottom"/>
          </w:tcPr>
          <w:p>
            <w:pPr>
              <w:spacing w:after="0"/>
              <w:rPr>
                <w:sz w:val="12"/>
                <w:szCs w:val="12"/>
                <w:color w:val="auto"/>
              </w:rPr>
            </w:pPr>
          </w:p>
        </w:tc>
        <w:tc>
          <w:tcPr>
            <w:tcW w:w="6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280" w:type="dxa"/>
            <w:vAlign w:val="bottom"/>
          </w:tcPr>
          <w:p>
            <w:pPr>
              <w:spacing w:after="0"/>
              <w:rPr>
                <w:sz w:val="12"/>
                <w:szCs w:val="12"/>
                <w:color w:val="auto"/>
              </w:rPr>
            </w:pPr>
          </w:p>
        </w:tc>
        <w:tc>
          <w:tcPr>
            <w:tcW w:w="120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4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December 31, 2009</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45,658</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457</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70,100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35,206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35,206</w:t>
            </w:r>
          </w:p>
        </w:tc>
      </w:tr>
      <w:tr>
        <w:trPr>
          <w:trHeight w:val="208"/>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4"/>
              </w:rPr>
              <w:t>Unrealized losses on hedging derivatives, net of taxes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$273</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r>
      <w:tr>
        <w:trPr>
          <w:trHeight w:val="208"/>
        </w:trPr>
        <w:tc>
          <w:tcPr>
            <w:tcW w:w="4080" w:type="dxa"/>
            <w:vAlign w:val="bottom"/>
          </w:tcPr>
          <w:p>
            <w:pPr>
              <w:spacing w:after="0"/>
              <w:rPr>
                <w:sz w:val="20"/>
                <w:szCs w:val="20"/>
                <w:color w:val="auto"/>
              </w:rPr>
            </w:pPr>
            <w:r>
              <w:rPr>
                <w:rFonts w:ascii="Arial" w:cs="Arial" w:eastAsia="Arial" w:hAnsi="Arial"/>
                <w:sz w:val="18"/>
                <w:szCs w:val="18"/>
                <w:color w:val="auto"/>
                <w:w w:val="95"/>
              </w:rPr>
              <w:t>Unrealized losses on available for-sale securities, net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080" w:type="dxa"/>
            <w:vAlign w:val="bottom"/>
          </w:tcPr>
          <w:p>
            <w:pPr>
              <w:ind w:left="220"/>
              <w:spacing w:after="0"/>
              <w:rPr>
                <w:sz w:val="20"/>
                <w:szCs w:val="20"/>
                <w:color w:val="auto"/>
              </w:rPr>
            </w:pPr>
            <w:r>
              <w:rPr>
                <w:rFonts w:ascii="Arial" w:cs="Arial" w:eastAsia="Arial" w:hAnsi="Arial"/>
                <w:sz w:val="18"/>
                <w:szCs w:val="18"/>
                <w:color w:val="auto"/>
              </w:rPr>
              <w:t>of taxes of $3</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6"/>
              </w:rPr>
              <w:t>Realized gains on available for-sale securities, net of</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taxes of $12</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Common stock purchased for treasury</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(782)</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144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1,747</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554</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Balance at December 31, 2010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45,811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w w:val="79"/>
              </w:rPr>
              <w:t>458</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77,449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(445)</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50,821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127,501</w:t>
            </w:r>
          </w:p>
        </w:tc>
      </w:tr>
      <w:tr>
        <w:trPr>
          <w:trHeight w:val="20"/>
        </w:trPr>
        <w:tc>
          <w:tcPr>
            <w:tcW w:w="4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50,546</w:t>
            </w:r>
          </w:p>
        </w:tc>
      </w:tr>
      <w:tr>
        <w:trPr>
          <w:trHeight w:val="208"/>
        </w:trPr>
        <w:tc>
          <w:tcPr>
            <w:tcW w:w="4080" w:type="dxa"/>
            <w:vAlign w:val="bottom"/>
          </w:tcPr>
          <w:p>
            <w:pPr>
              <w:spacing w:after="0"/>
              <w:rPr>
                <w:sz w:val="20"/>
                <w:szCs w:val="20"/>
                <w:color w:val="auto"/>
              </w:rPr>
            </w:pPr>
            <w:r>
              <w:rPr>
                <w:rFonts w:ascii="Arial" w:cs="Arial" w:eastAsia="Arial" w:hAnsi="Arial"/>
                <w:sz w:val="18"/>
                <w:szCs w:val="18"/>
                <w:color w:val="auto"/>
                <w:w w:val="94"/>
              </w:rPr>
              <w:t>Unrealized losses on hedging derivatives, net of taxes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080" w:type="dxa"/>
            <w:vAlign w:val="bottom"/>
          </w:tcPr>
          <w:p>
            <w:pPr>
              <w:ind w:left="220"/>
              <w:spacing w:after="0"/>
              <w:rPr>
                <w:sz w:val="20"/>
                <w:szCs w:val="20"/>
                <w:color w:val="auto"/>
              </w:rPr>
            </w:pPr>
            <w:r>
              <w:rPr>
                <w:rFonts w:ascii="Arial" w:cs="Arial" w:eastAsia="Arial" w:hAnsi="Arial"/>
                <w:sz w:val="18"/>
                <w:szCs w:val="18"/>
                <w:color w:val="auto"/>
              </w:rPr>
              <w:t>of $3</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6"/>
              </w:rPr>
              <w:t>Reclassification of loss on derivatives, net of taxes of</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$70</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Common stock purchased for treasury</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1,607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(23,112)</w:t>
            </w:r>
          </w:p>
        </w:tc>
        <w:tc>
          <w:tcPr>
            <w:tcW w:w="10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(23,112)</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140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1,681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140</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Balance at December 31, 2011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45,955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w w:val="79"/>
              </w:rPr>
              <w:t>460</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1,657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(23,894)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85,720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101,367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163,293</w:t>
            </w:r>
          </w:p>
        </w:tc>
      </w:tr>
      <w:tr>
        <w:trPr>
          <w:trHeight w:val="20"/>
        </w:trPr>
        <w:tc>
          <w:tcPr>
            <w:tcW w:w="4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69,447</w:t>
            </w:r>
          </w:p>
        </w:tc>
      </w:tr>
      <w:tr>
        <w:trPr>
          <w:trHeight w:val="208"/>
        </w:trPr>
        <w:tc>
          <w:tcPr>
            <w:tcW w:w="4080" w:type="dxa"/>
            <w:vAlign w:val="bottom"/>
          </w:tcPr>
          <w:p>
            <w:pPr>
              <w:spacing w:after="0"/>
              <w:rPr>
                <w:sz w:val="20"/>
                <w:szCs w:val="20"/>
                <w:color w:val="auto"/>
              </w:rPr>
            </w:pPr>
            <w:r>
              <w:rPr>
                <w:rFonts w:ascii="Arial" w:cs="Arial" w:eastAsia="Arial" w:hAnsi="Arial"/>
                <w:sz w:val="18"/>
                <w:szCs w:val="18"/>
                <w:color w:val="auto"/>
                <w:w w:val="96"/>
              </w:rPr>
              <w:t>Unrealized gains on hedging derivatives, net of taxes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080" w:type="dxa"/>
            <w:vAlign w:val="bottom"/>
          </w:tcPr>
          <w:p>
            <w:pPr>
              <w:ind w:left="220"/>
              <w:spacing w:after="0"/>
              <w:rPr>
                <w:sz w:val="20"/>
                <w:szCs w:val="20"/>
                <w:color w:val="auto"/>
              </w:rPr>
            </w:pPr>
            <w:r>
              <w:rPr>
                <w:rFonts w:ascii="Arial" w:cs="Arial" w:eastAsia="Arial" w:hAnsi="Arial"/>
                <w:sz w:val="18"/>
                <w:szCs w:val="18"/>
                <w:color w:val="auto"/>
              </w:rPr>
              <w:t>of $104</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w w:val="86"/>
              </w:rPr>
              <w:t>137</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r>
      <w:tr>
        <w:trPr>
          <w:trHeight w:val="218"/>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753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(15,242)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(15,242)</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570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7,805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7,811</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611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8,044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8,049</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w:t>
            </w: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564</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8"/>
                <w:szCs w:val="18"/>
                <w:color w:val="auto"/>
              </w:rPr>
            </w:pPr>
          </w:p>
        </w:tc>
      </w:tr>
      <w:tr>
        <w:trPr>
          <w:trHeight w:val="222"/>
        </w:trPr>
        <w:tc>
          <w:tcPr>
            <w:tcW w:w="4080" w:type="dxa"/>
            <w:vAlign w:val="bottom"/>
          </w:tcPr>
          <w:p>
            <w:pPr>
              <w:spacing w:after="0"/>
              <w:rPr>
                <w:sz w:val="20"/>
                <w:szCs w:val="20"/>
                <w:color w:val="auto"/>
              </w:rPr>
            </w:pPr>
            <w:r>
              <w:rPr>
                <w:rFonts w:ascii="Arial" w:cs="Arial" w:eastAsia="Arial" w:hAnsi="Arial"/>
                <w:sz w:val="18"/>
                <w:szCs w:val="18"/>
                <w:color w:val="auto"/>
              </w:rPr>
              <w:t>Balance at December 31, 2012</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47,136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w w:val="79"/>
              </w:rPr>
              <w:t>471</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2,420</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(39,136)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102,133</w:t>
            </w:r>
          </w:p>
        </w:tc>
        <w:tc>
          <w:tcPr>
            <w:tcW w:w="4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170,814</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234,059</w:t>
            </w:r>
          </w:p>
        </w:tc>
      </w:tr>
      <w:tr>
        <w:trPr>
          <w:trHeight w:val="20"/>
        </w:trPr>
        <w:tc>
          <w:tcPr>
            <w:tcW w:w="4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29"/>
        </w:trPr>
        <w:tc>
          <w:tcPr>
            <w:tcW w:w="7160" w:type="dxa"/>
            <w:vAlign w:val="bottom"/>
            <w:gridSpan w:val="3"/>
            <w:vMerge w:val="continue"/>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112"/>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71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provided by operating activities:</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69,447</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$ 50,546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$ 35,206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Share-based compensation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7,811</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6,452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Amortization of notes payable issuance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80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for bad debts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18,012</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34,364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21,923</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17,034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12,108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on asset disposal</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Non-capitalizable system conversion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Exit costs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Lease termination fees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(518)</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20,794</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92</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860"/>
              <w:spacing w:after="0"/>
              <w:rPr>
                <w:sz w:val="20"/>
                <w:szCs w:val="20"/>
                <w:color w:val="auto"/>
              </w:rPr>
            </w:pPr>
            <w:r>
              <w:rPr>
                <w:rFonts w:ascii="Arial" w:cs="Arial" w:eastAsia="Arial" w:hAnsi="Arial"/>
                <w:sz w:val="18"/>
                <w:szCs w:val="18"/>
                <w:color w:val="auto"/>
              </w:rPr>
              <w:t>Restricted cash and cash equivalents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(9,137)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(43,706)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(14,148)</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(28,196)</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860"/>
              <w:spacing w:after="0"/>
              <w:rPr>
                <w:sz w:val="20"/>
                <w:szCs w:val="20"/>
                <w:color w:val="auto"/>
              </w:rPr>
            </w:pPr>
            <w:r>
              <w:rPr>
                <w:rFonts w:ascii="Arial" w:cs="Arial" w:eastAsia="Arial" w:hAnsi="Arial"/>
                <w:sz w:val="18"/>
                <w:szCs w:val="18"/>
                <w:color w:val="auto"/>
              </w:rPr>
              <w:t>Prepaid expenses and other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(1,920)</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(6,158)</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Due to/from related parties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(9,244)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860"/>
              <w:spacing w:after="0"/>
              <w:rPr>
                <w:sz w:val="20"/>
                <w:szCs w:val="20"/>
                <w:color w:val="auto"/>
              </w:rPr>
            </w:pPr>
            <w:r>
              <w:rPr>
                <w:rFonts w:ascii="Arial" w:cs="Arial" w:eastAsia="Arial" w:hAnsi="Arial"/>
                <w:sz w:val="18"/>
                <w:szCs w:val="18"/>
                <w:color w:val="auto"/>
              </w:rPr>
              <w:t>Accounts payable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(630)</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3,155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Accrued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15,719</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(3,300)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860"/>
              <w:spacing w:after="0"/>
              <w:rPr>
                <w:sz w:val="20"/>
                <w:szCs w:val="20"/>
                <w:color w:val="auto"/>
              </w:rPr>
            </w:pPr>
            <w:r>
              <w:rPr>
                <w:rFonts w:ascii="Arial" w:cs="Arial" w:eastAsia="Arial" w:hAnsi="Arial"/>
                <w:sz w:val="18"/>
                <w:szCs w:val="18"/>
                <w:color w:val="auto"/>
              </w:rPr>
              <w:t>Accrued litigation loss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(5,200)</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Income taxes receivable/payable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20,593</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(3,599)</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860"/>
              <w:spacing w:after="0"/>
              <w:rPr>
                <w:sz w:val="20"/>
                <w:szCs w:val="20"/>
                <w:color w:val="auto"/>
              </w:rPr>
            </w:pPr>
            <w:r>
              <w:rPr>
                <w:rFonts w:ascii="Arial" w:cs="Arial" w:eastAsia="Arial" w:hAnsi="Arial"/>
                <w:sz w:val="18"/>
                <w:szCs w:val="18"/>
                <w:color w:val="auto"/>
              </w:rPr>
              <w:t>Deferred rent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503</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4,143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6,891</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6,689</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860"/>
              <w:spacing w:after="0"/>
              <w:rPr>
                <w:sz w:val="20"/>
                <w:szCs w:val="20"/>
                <w:color w:val="auto"/>
              </w:rPr>
            </w:pPr>
            <w:r>
              <w:rPr>
                <w:rFonts w:ascii="Arial" w:cs="Arial" w:eastAsia="Arial" w:hAnsi="Arial"/>
                <w:sz w:val="18"/>
                <w:szCs w:val="18"/>
                <w:color w:val="auto"/>
              </w:rPr>
              <w:t>Student deposits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8,729</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43,724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144,196</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87,962</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40,398</w:t>
            </w:r>
          </w:p>
        </w:tc>
        <w:tc>
          <w:tcPr>
            <w:tcW w:w="0" w:type="dxa"/>
            <w:vAlign w:val="bottom"/>
          </w:tcPr>
          <w:p>
            <w:pPr>
              <w:spacing w:after="0"/>
              <w:rPr>
                <w:sz w:val="1"/>
                <w:szCs w:val="1"/>
                <w:color w:val="auto"/>
              </w:rPr>
            </w:pPr>
          </w:p>
        </w:tc>
      </w:tr>
      <w:tr>
        <w:trPr>
          <w:trHeight w:val="222"/>
        </w:trPr>
        <w:tc>
          <w:tcPr>
            <w:tcW w:w="716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(97,653)</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(80,545)</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Purchase of land and building related to future development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(7,223)</w:t>
            </w: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Investment in note receivable secured by real estate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(27,000)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Restricted funds held for derivative collateral and legal matter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330</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5,405</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sale or maturity of investments</w:t>
            </w:r>
          </w:p>
        </w:tc>
        <w:tc>
          <w:tcPr>
            <w:tcW w:w="1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6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(131,546)</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(75,140)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(68,100)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1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(21,744)</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(3,748)</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notes payable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99,210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Notes payable modification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(428)</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of common shares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(15,242)</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(23,112)</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ind w:left="420"/>
              <w:spacing w:after="0"/>
              <w:rPr>
                <w:sz w:val="20"/>
                <w:szCs w:val="20"/>
                <w:color w:val="auto"/>
              </w:rPr>
            </w:pPr>
            <w:r>
              <w:rPr>
                <w:rFonts w:ascii="Arial" w:cs="Arial" w:eastAsia="Arial" w:hAnsi="Arial"/>
                <w:sz w:val="18"/>
                <w:szCs w:val="18"/>
                <w:color w:val="auto"/>
              </w:rPr>
              <w:t>Net proceeds from exercise of stock options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8,049</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1,681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gridSpan w:val="3"/>
            <w:vMerge w:val="continue"/>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71,272</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(25,270)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83,922</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(12,448)</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21,189</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33,637</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62,571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105,111</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$ 21,189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$ 33,637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6780" w:type="dxa"/>
            <w:vAlign w:val="bottom"/>
            <w:vMerge w:val="restart"/>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8"/>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9"/>
        </w:trPr>
        <w:tc>
          <w:tcPr>
            <w:tcW w:w="880" w:type="dxa"/>
            <w:vAlign w:val="bottom"/>
            <w:tcBorders>
              <w:bottom w:val="single" w:sz="8" w:color="auto"/>
            </w:tcBorders>
            <w:vMerge w:val="continue"/>
          </w:tcPr>
          <w:p>
            <w:pPr>
              <w:spacing w:after="0"/>
              <w:rPr>
                <w:sz w:val="12"/>
                <w:szCs w:val="12"/>
                <w:color w:val="auto"/>
              </w:rPr>
            </w:pPr>
          </w:p>
        </w:tc>
        <w:tc>
          <w:tcPr>
            <w:tcW w:w="678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w w:val="96"/>
              </w:rPr>
              <w:t>2012</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6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440"/>
              <w:spacing w:after="0"/>
              <w:rPr>
                <w:sz w:val="20"/>
                <w:szCs w:val="20"/>
                <w:color w:val="auto"/>
              </w:rPr>
            </w:pPr>
            <w:r>
              <w:rPr>
                <w:rFonts w:ascii="Arial" w:cs="Arial" w:eastAsia="Arial" w:hAnsi="Arial"/>
                <w:sz w:val="18"/>
                <w:szCs w:val="18"/>
                <w:color w:val="auto"/>
              </w:rPr>
              <w:t>Cash paid during the year for interest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606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paid during the year for income taxes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32,810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37,703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Purchase of equipment through notes payable and capital lease obligations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440"/>
              <w:spacing w:after="0"/>
              <w:rPr>
                <w:sz w:val="20"/>
                <w:szCs w:val="20"/>
                <w:color w:val="auto"/>
              </w:rPr>
            </w:pPr>
            <w:r>
              <w:rPr>
                <w:rFonts w:ascii="Arial" w:cs="Arial" w:eastAsia="Arial" w:hAnsi="Arial"/>
                <w:sz w:val="18"/>
                <w:szCs w:val="18"/>
                <w:color w:val="auto"/>
              </w:rPr>
              <w:t>Purchases of property and equipment included in accounts payable and deferred rent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3,291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4,421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Shortfall tax expense from share-based compensation</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660" w:type="dxa"/>
            <w:vAlign w:val="bottom"/>
            <w:gridSpan w:val="2"/>
          </w:tcPr>
          <w:p>
            <w:pPr>
              <w:ind w:left="440"/>
              <w:spacing w:after="0"/>
              <w:rPr>
                <w:sz w:val="20"/>
                <w:szCs w:val="20"/>
                <w:color w:val="auto"/>
              </w:rPr>
            </w:pPr>
            <w:r>
              <w:rPr>
                <w:rFonts w:ascii="Arial" w:cs="Arial" w:eastAsia="Arial" w:hAnsi="Arial"/>
                <w:sz w:val="18"/>
                <w:szCs w:val="18"/>
                <w:color w:val="auto"/>
              </w:rPr>
              <w:t>Tax benefit of Spirit warrant intangible</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267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Grand Canyon Education, Inc. (together with its subsidiaries, the “University”) was formed in Delaware in November 2003 as a limited liability company, under the name Significant Education, LLC, for the purpose of acquiring the assets of Grand Canyon University from a non-profit foundation on February 2, 2004. On August 24, 2005, the University converted from a limited liability company to a corporation and changed its name to Significant Education, Inc. On May 9, 2008, the University changed its name to Grand Canyon Education, Inc.</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University is a regionally accredited provider of postsecondary education services focused on offering graduate and undergraduate degree programs in its core disciplines of education, healthcare, business and liberal arts. The University offers courses online, on ground at its approximately 115 acre traditional ground campus in Phoenix, Arizona and onsite at facilities it leases and at facilities owned by third party employers. The University’s wholly-owned subsidiaries are primarily used to facilitate expansion of the University campus. The University is accredited by the Higher Learning Commission of the North Central Association of Colleges and Schools.</w:t>
      </w:r>
    </w:p>
    <w:p>
      <w:pPr>
        <w:spacing w:after="0" w:line="218" w:lineRule="exact"/>
        <w:rPr>
          <w:sz w:val="20"/>
          <w:szCs w:val="20"/>
          <w:color w:val="auto"/>
        </w:rPr>
      </w:pPr>
    </w:p>
    <w:p>
      <w:pPr>
        <w:ind w:right="7880" w:firstLine="8"/>
        <w:spacing w:after="0" w:line="347" w:lineRule="auto"/>
        <w:tabs>
          <w:tab w:leader="none" w:pos="176"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Principles of Consolidation</w:t>
      </w:r>
    </w:p>
    <w:p>
      <w:pPr>
        <w:spacing w:after="0" w:line="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Grand Canyon Education, Inc. and its wholly-owned subsidiaries. Intercompany transactions have been eliminated in consolidation.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preparation of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University invests cash in excess of current operating requirements in short term certificates of deposit and money market instruments. The University considers all highly liquid investments with maturities of three months or less at the time of purchase to be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 significant portion of the University’s revenue is received from students who participate in government financial aid and assistance programs. Restricted cash and cash equivalents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segregated in a separate cash or cash equivalent account until the course begins. The University records all of these amounts as a current asset in restricted cash and cash equivalents until the cash is no longer restricted, at which time such amounts are reclassified as cash and cash equivalents. The majority of these funds remain as restricted cash and cash equivalents for an average of 60 to 90 days from the date of receipt.</w:t>
      </w:r>
    </w:p>
    <w:p>
      <w:pPr>
        <w:spacing w:after="0" w:line="118"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During the second quarter of 2012, the University changed its presentation of changes in restricted cash and cash equivalents related to financial aid program funds to cash flows provided by operating activities on the consolidated statement of cash flows. The University previously presented such changes within cash flows used in investing activities. These restricted funds are a core activity of the University operations and, accordingly, the University believes presentation of changes in such funds as an operating activity more appropriately reflects the nature of the restricted cash. Additionally, the University believes that including both the restricted cash and student deposit changes within operating activities provides better transparency. The University has changed its presentation on the consolidated statement of cash flows for all periods presented. The changes have no other impact on the University’s financial position and results of operations.</w:t>
      </w:r>
    </w:p>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addition, the counterparty to the University’s interest rate swap made a collateral call in 2010 and the pledged collateral is classified as noncurrent restricted cash. The pledged collateral was $225 and $555 as of December 31, 2012 and 2011, respectively. The University had previously classified the $5,200 that it had agreed to pay in connection with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matter that in settled in 2010 as restricted cash; this amount was paid during the second quarter of 2011 in final payment of all amounts due under the settlement agreement. The University reports changes in restricted cash related to legal matters and derivative collateral as investing cash flows in its consolidated statement of cash flows.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University’s consolidated cash flows as previously reported and as changed for the years ended December 31,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20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18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4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64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87"/>
              </w:rPr>
              <w:t>As Reported</w:t>
            </w:r>
          </w:p>
        </w:tc>
        <w:tc>
          <w:tcPr>
            <w:tcW w:w="4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w w:val="84"/>
              </w:rPr>
              <w:t>As Reported</w:t>
            </w:r>
          </w:p>
        </w:tc>
        <w:tc>
          <w:tcPr>
            <w:tcW w:w="4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83"/>
              </w:rPr>
              <w:t>As Changed</w:t>
            </w:r>
          </w:p>
        </w:tc>
        <w:tc>
          <w:tcPr>
            <w:tcW w:w="4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83"/>
              </w:rPr>
              <w:t>As Changed</w:t>
            </w:r>
          </w:p>
        </w:tc>
        <w:tc>
          <w:tcPr>
            <w:tcW w:w="10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operating activities: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(9,137)</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(43,706)</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97,099</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84,104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87,962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40,398</w:t>
            </w:r>
          </w:p>
        </w:tc>
      </w:tr>
      <w:tr>
        <w:trPr>
          <w:trHeight w:val="216"/>
        </w:trPr>
        <w:tc>
          <w:tcPr>
            <w:tcW w:w="644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(3,732)</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(49,666)</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Restricted funds held for derivative collateral and legal matters</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5,405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(5,960)</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(84,277)</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(111,806)</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(75,140)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(68,100)</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Receivable</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University purchased a note receivable from a financial institution at fair market value in the fourth quarter of 2012 for $27,000. The note is collateralized by four Arizona properties in addition to personal guarantees from the borrower. The University leases office space from the borrower in one of the four properties that collateralize the note receivable. The note bears interest at 11%, which represents the 6% rate of the loan plus the 5% default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Internally developed software represents qualifying salary and consulting costs for time spent on developing internal use software and is included in construction in progress until its completion. The University capitalizes interest using its interest rates on the specific borrowings used to finance the improvements, which approximated 2.2% in 2012, 2.3% in 2011, and 3.1% in 2010, given the amount of the specific debt exceeded the in process value of the project at all times. Interest cost capitalized and incurred in the years ended December 31, 2012, 2011, and 2010 are as follows:</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w w:val="89"/>
              </w:rPr>
              <w:t>2012</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incurred</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1,233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1,283</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Interest capitalized</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r>
      <w:tr>
        <w:trPr>
          <w:trHeight w:val="27"/>
        </w:trPr>
        <w:tc>
          <w:tcPr>
            <w:tcW w:w="42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Depreciation is provided using the straight-line method over the estimated useful lives of the assets. Furniture and fixtures, computer equipment, and vehicles generally have estimated useful lives of ten, four, and five years, respectively. Leasehold improvements are depreciated over the shorter of their lease term or their useful life. Land improvements and buildings are depreciated over lives ranging from 10 to 40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University enters into various lease agreements in conducting its business. At the inception of each lease, the University evaluates the lease agreement to determine whether the lease is an operating or capital lease. In addition, many of the lease agreements contain renewal options and tenant improvement allowances. When such items are included in a lease agreement, the University records a deferred liability on the balance sheet and records the rent expense evenly over the term of the lease. Leasehold improvements are included as investing activities and are included as additions to property, plant and equipment. For leases with renewal options, the University records rent expense and amortizes the leasehold improvement on a straight-line basis over the initial non-cancelable lease term unless it intends to exercise the renewal option. Once it extends the renewal option, the University amortizes any tenant improvement allowances over the extended lease period as well as the leasehold improvement asset (unless the extended lease term is longer than the economic life of the asset). The University expenses any additional payments under its operating leases for taxes, insurance or other operating expenses as incurred.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Termination Fee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July 2011, the University notified a current landlord of its intent to vacate leased space by the fourth quarter of 2011. As a result, the University was required to pay a termination fee to its landlord of $1,093, resulting in expense in 2011 of $782, which was net of remaining deferred rent on the leased space plus the disposal of the remaining leasehold improvements. This termination fee was paid on the University’s behalf by the University’s new landlord. This payment was recorded as an expense in the third quarter of 2011 with the offset being to a deferred rent liability. The deferred rent liability is being amortized into income over the new lease term. In the fourth quarter of 2011, the University exited the prior leased space.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During 2010, the University entered into an agreement with an affiliated entity to develop a new learning management system for use by the University. Through this agreement, the University prepaid perpetual license fees, acquired source code rights for the software developed, and prepaid maintenance and service fees for the first seven years of use for an aggregate amount of $4,900, which was paid in full as of December 31, 2011. The University commenced utilization of this software in October 2011. Included in current other assets is the amount that will be amortized in the next twelve month cycle for maintenance and service fees and included in property and equipment is the amount that will be amortized over fifteen years for the perpetual licenses. By August 2012 all online nontraditional students had migrated to the LoudCloud platform. The University anticipates the remaining ground students and cohorts will fully transition to the LoudCloud platform by August of 2013.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University evaluates the recoverability of its long-lived assets for impairment, other than goodwill, for impairment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Royalties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the February 2004 acquisition of the assets of Grand Canyon University from a non-profit foundation, the University entered into a royalty fee arrangement with the former owner in which the University agreed to pay a stated percentage of cash revenue generated by its online programs. The University settled all future royalty obligations with the former owner in April 2008 when it finalized an agreement to pay $22,500 to the former owner. $5,920 of this payment was considered as settlement of the future royalty payment obligation and is included in the accompanying balance sheet as a component of “Prepaid Royalty” and is being amortized over a period of 20 years.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addition, in June 2004, the University entered into a license agreement relating to the University’s use of the Ken Blanchard name for its College of Business. Under the terms of that agreement the University agreed to pay Blanchard a royalty generated on net tuition from certain programs in the University’s College of Business and to issue Blanchard shares of common stock with the actual number of shares issued to be contingent upon the University’s achievement of stated enrollment levels in its College of Business during the term of the agreement. The fair value of the shares issued to Blanchard as part of the license agreement of $3,394 was determined at the date it became probable that shares would then be earned and then adjusted until the date the shares were earned. This amount is also included in the balance sheet as a component of “Prepaid Royalty” and is being amortized over the remaining term of the license agreement. Included in accrued liabilities is $246 and $231 at December 31, 2012 and 2011, respectively, related to the royalty arrangement.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Goodwill represents the excess of the cost over the fair market value of net assets acquired, including identified intangible assets. Goodwill is tested annually or more frequently if circumstances indicate potential impairment. In September 2011, the Financial Accounting Standards Board (“FASB”) issued guidance that simplifies how an entity tests goodwill for impairment. The amendments permit an entity to first assess qualitative factors to determine whether it is necessary to perform the two-step quantitative goodwill impairment test. The University complied with the new guidance in the fourth quarter of 2012, when performing its annual goodwill impairment test, by performing a qualitative assessment. Following this assessment, the University determined that it is more likely than not that its fair value exceeds its carrying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The University measures and recognizes compensation expense for share-based payment awards made to employees, consultants and directors, including employee stock options and restricted stock awards. The University calculates the fair value of share-based awards on the date of grant. The University amortizes the share-based compensation expense over the period that the awards are expected to vest, net of estimated forfeiture rates. If the actual forfeitures differ from management estimates, adjustments to compensation expense are recorded. The University reports cash flows resulting from tax deductions in excess of the compensation cost realized for those options (excess tax benefits) as financing cash flows. The University reports cash flows resulting from tax deductions that are less than the compensation cost realized for those option (tax shortfalls) as a noncash transaction in the consolidated statement of cash flows.</w:t>
      </w:r>
    </w:p>
    <w:p>
      <w:pPr>
        <w:sectPr>
          <w:pgSz w:w="11900" w:h="16838" w:orient="portrait"/>
          <w:cols w:equalWidth="0" w:num="1">
            <w:col w:w="11400"/>
          </w:cols>
          <w:pgMar w:left="240" w:top="459" w:right="259" w:bottom="1440" w:gutter="0" w:footer="0" w:header="0"/>
        </w:sectPr>
      </w:pP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00"/>
          </w:cols>
          <w:pgMar w:left="240" w:top="459" w:right="25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stock options, the University uses the Black-Scholes-Merton option pricing model to estimate fair value. The option pricing model requires the University to estimate certain key assumptions such as expected life, volatility, risk free interest rates, and dividend yield to determine the fair value of share-based awards, based on historical information and management judgment. The University has analyzed the circumstances in which the simplified method is allowed and has utilized the simplified method for all stock options granted since November 2008. The simplified method for estimating the expected life uses the mid-point between the vesting term and the contractual term of the stock option.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 during which the hedged transaction affects earnings. Gains and losses on the derivative representing either hedge ineffectiveness or hedge components excluded from the assessment of effectiveness are recognized in current earnings.</w:t>
      </w:r>
    </w:p>
    <w:p>
      <w:pPr>
        <w:spacing w:after="0" w:line="113" w:lineRule="exact"/>
        <w:rPr>
          <w:sz w:val="20"/>
          <w:szCs w:val="20"/>
          <w:color w:val="auto"/>
        </w:rPr>
      </w:pPr>
    </w:p>
    <w:p>
      <w:pPr>
        <w:ind w:right="580" w:firstLine="456"/>
        <w:spacing w:after="0" w:line="298" w:lineRule="auto"/>
        <w:rPr>
          <w:sz w:val="20"/>
          <w:szCs w:val="20"/>
          <w:color w:val="auto"/>
        </w:rPr>
      </w:pPr>
      <w:r>
        <w:rPr>
          <w:rFonts w:ascii="Arial" w:cs="Arial" w:eastAsia="Arial" w:hAnsi="Arial"/>
          <w:sz w:val="16"/>
          <w:szCs w:val="16"/>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Aa or higher credit ratings, and they are expected to perform fully under the terms of the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carrying value of cash and cash equivalents, accounts receivable, note receivable, accounts payable, accrued compensation and benefits and accrued liabilities expenses approximate their fair value based on the liquidity or the short-term maturities of these instruments. The carrying value of notes payable approximate fair value based on its variable rate index. The carrying value of other notes payable and capital lease obligations approximate fair value based upon market interest rates available to the University for debt of similar risk and maturities. Derivative financial instruments are carried at fair value, determined using Level 2 of the hierarchy of valuation inputs as defined in the FASB Accounting Standards Codification (“Codification”), with the use of inputs other than quoted prices that are observable for the asset or liability. See Note 8, Derivative Instruments.</w:t>
      </w:r>
    </w:p>
    <w:p>
      <w:pPr>
        <w:spacing w:after="0" w:line="12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fair value of the prepaid royalty asset relating to the settlement of future royalty payment obligations to the former owner was determined using an income approach, based on management’s forecasts of revenue to be generated through its online education program using Level 3 of the hierarchy of valuation inputs. The rate utilized to discount net cash flows to their present values was 35%. This discount rate was determined after consideration of the University’s weighted average cost of capital giving effect to estimates of the University’s risk-free rate, beta coefficient, equity risk premium, small size risk premium, and company-specific risk premium.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University accounts for income taxes payable or refundable for the current year and deferred tax assets and liabilities for future tax consequences of events that have been recognized in the University’s consolidated financial statements or tax returns. Deferred tax assets and liabilities are measured using enacted tax rates in effect for the year in which the temporary differences are expected to be realized.</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University applies a more-likely-than-not threshold for financial statement recognition and measurement of an uncertain tax position taken or expected to be taken in a tax return. The University recognizes interest and penalties related to uncertain tax positions in income tax expense. The University reserved approximately $0 and $543 for uncertain tax positions including interest and penalties, which is classified within accrued liabilities on the accompanying consolidated balance sheet as of December 31, 2012 and 2011, respectively.</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University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University accrues for a contingent obligation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revenues consist primarily of tuition and fees derived from courses taught by the University online, at its traditional campus in Phoenix, Arizona,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onsite at facilities it leases or those of employers, as well as from related educational resources that the University provides to its students, such as access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online materials. Tuition revenue and most fees from related educational resources are recognized pro-rata over the applicable period of instruction, net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scholarships provided by the University. For the years ended December 31, 2012, 2011 and 2010, the University’s revenue was reduced by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$94,283, $73,612 and $55,833, respectively, as a result of scholarships that the University offered to students. The University maintains an institutional tuition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refund policy, which provides for all or a portion of tuition to be refunded if a student withdraws during stated refund periods. Certain states in which students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reside impose separate, mandatory refund policies, which override the University’s policy to the extent in conflict. If a student withdraws at a time when only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or none of the tuition is refundable, then in accordance with its revenue recognition policy, the University continues to recognize the tuition that was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refunded pro-rata over the applicable period of instruction. Since the University recognizes revenue pro-rata over the term of the course and because, under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institutional refund policy, the amount subject to refund is never greater than the amount of the revenue that has been deferred, under the University’s accounting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policies revenue is not recognized with respect to amounts that could potentially be refunded. Sales tax collected from students is excluded from net 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Collected but unremitted sales tax is included as an accrued liability in our consolidated balance sheet. The University also charges online students an upfront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learning management fee, which is deferred and recognized over the average expected term of a student. Costs that are direct and incremental to new online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students are also deferred and recognized ratably over the average expected term of a student. Deferred revenue and student deposits in any period represent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excess of tuition, fees, and other student payments received as compared to amounts recognized as revenue on the income statement and are reflected as current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liabilities in the accompanying consolidated balance sheets. The University’s educational programs have starting and ending dates that differ from its fiscal</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quarters. Therefore, at the end of each fiscal quarter, a portion of revenue from these programs is not yet earned. Other revenues may be recognized as sales occur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or services are performed.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All students are required to select both a primary and secondary payment option with respect to amounts due to the University for tuition, fees and other expenses. The most common payment option for the University’s students is financial aid. In instances where a student selects financial aid as the primary payment option, he or she often selects personal cash as the secondary option. If a student who has selected financial aid as his or her primary payment option withdraws prior to the end of a course but after the date that the University’s institutional refund period has expired, the student will have incurred the obligation to pay the full cost of the course. If the withdrawal occurs before the date at which the student has earned 100% of his or her financial aid, the University will have a return to Title IV requirement and the student will owe the University all amounts incurred that are in excess of the amount of financial aid that the student earned and that the University is entitled to retain. In this case, the University must collect the receivable using the student’s second payment option. In instances in which the students chose to receive living expense funds as part of his or her financial aid disbursement, the University is required to return the unearned portion of these funds as well and then collect these amounts from the student.</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The University determines the adequacy of its allowance for doubtful accounts based on an analysis of its historical bad debt experience, current economic trends, and the aging of the accounts receivable and student status. The University applies reserves to its receivables based upon an estimate of the risk presented by the age of the receivables and student status. Historically, the University has written off accounts receivable balances at the earlier of the time the balances were deemed uncollectible, or one year after the revenue is generated. In the third quarter of 2011, the University accelerated the write off of inactive student accounts such that the accounts are written off by day 150, while maintaining its historical write off policy for active student accounts. The University continues to reflect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 In the second quarter of 2010, the University completed the conversion of its student records system from DataTel to CampusVue. In connection with this conversion, the University incurred approximately $4,013 of costs due to unanticipated delays in information processing which are included in instructional costs and services for the year ended December 31, 2010.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Promotional</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Selling and promotional expenses include salaries, benefits and share-based compensation of personnel engaged in the marketing, recruitment, and retention of students, as well as advertising costs associated with purchasing leads, hosting events and seminars, and producing marketing materials. This category also includes an allocation of depreciation, amortization, rent, and occupancy costs attributable to selling and promotional activities at the Company’s facilities in Arizona. Selling and promotional costs are expensed as incurred. Advertising costs, which include marketing leads, events, and promotional materials for the years ended December 31, 2012, 2011, and 2010 were $51,023, $45,587, and $35,550, respectively.</w:t>
      </w:r>
    </w:p>
    <w:p>
      <w:pPr>
        <w:spacing w:after="0" w:line="11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Through December 2010, the University was a party to a revenue sharing arrangement (the Collaboration Agreement) with Mind Streams, L.L.C. (Mind Streams), a related party, pursuant to which the University paid a percentage of the net revenue that it actually received from applicants recruited by Mind Streams that matriculated at the University. Mind Streams bore all costs associated with the recruitment of these applicants. As a result of new rules adopted by the Department of Education in October 2010 and effective July 1, 2011, the University determined late in 2010 that revenue sharing arrangements like the Collaboration Agreement, and the manner in which it paid amounts under the Collaboration Agreement, would most likely no longer be permitted. Accordingly the University and Mind Streams entered into an agreement, in December 2010, pursuant to which the University terminated this arrangement. A payment of $8,500 was made in January 2011 in conjunction with this agreement, which was expensed in 2010. In the aggregate, the University expensed $9,233 in 2010 relating to this agreement.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Leading up to the effective date of the new rules referred to above, the Department of Education made certain clarifications, which the University determined would permit collaboration agreements although on significantly different terms than the prior Mind Streams agreement. Accordingly, commencing in the third quarter of 2011, the University entered into a new Collaboration Agreement with Mind Streams, under which the University, in accordance with applicable Department of Education guidance, pays a percentage of net revenue that it receives from applicants recruited by Mind Streams that matriculate at the University. In 2010, the University entered into an agreement with Lifetime Learning, a related party, under which the University purchases leads on prospective students. For the years ended December 31, 2012, 2011, and 2010, the University expensed approximately $2,328, $877, and $7,694, respectively, pursuant to the agreement with Lifetime Learning and the new agreement with Mind Streams, exclusive of the settlement arrangement discussed above. As of December 31, 2012 and 2011, $523, and $212, respectively, were due to these related parties.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Insurance/Self-Insurance</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University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University’s loss exposure related to self-insurance is limited by stop loss coverage on a per occurrence and aggregate basis. Expected loss accruals are based on estimates, and while the University believes the amounts accrued are adequate, the ultimate loss may differ from the amounts provided.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University may extend credit for tuition to some students. A substantial portion is repaid through the student’s participation in federally funded financial aid programs. Transfers of funds from the financial aid programs to the Company are made in accordance with the U.S. Department of Education (“Department of Education”) requirements. A majority of the University’s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University’s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University.</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University has determined that recently issued accounting standards will not have a material impact on its consolidated financial statements, or do not apply to its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Valuation and Qualifying Accounts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5"/>
              </w:rPr>
              <w:t>Balance at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200" w:type="dxa"/>
            <w:vAlign w:val="bottom"/>
            <w:gridSpan w:val="5"/>
          </w:tcPr>
          <w:p>
            <w:pPr>
              <w:jc w:val="right"/>
              <w:ind w:right="560"/>
              <w:spacing w:after="0" w:line="149" w:lineRule="exact"/>
              <w:rPr>
                <w:sz w:val="20"/>
                <w:szCs w:val="20"/>
                <w:color w:val="auto"/>
              </w:rPr>
            </w:pPr>
            <w:r>
              <w:rPr>
                <w:rFonts w:ascii="Arial" w:cs="Arial" w:eastAsia="Arial" w:hAnsi="Arial"/>
                <w:sz w:val="14"/>
                <w:szCs w:val="14"/>
                <w:b w:val="1"/>
                <w:bCs w:val="1"/>
                <w:color w:val="auto"/>
                <w:w w:val="83"/>
              </w:rPr>
              <w:t>Charged to</w:t>
            </w:r>
          </w:p>
        </w:tc>
        <w:tc>
          <w:tcPr>
            <w:tcW w:w="13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22"/>
                <w:szCs w:val="22"/>
                <w:b w:val="1"/>
                <w:bCs w:val="1"/>
                <w:color w:val="auto"/>
                <w:vertAlign w:val="superscript"/>
              </w:rPr>
              <w:t>(1)</w:t>
            </w:r>
          </w:p>
        </w:tc>
        <w:tc>
          <w:tcPr>
            <w:tcW w:w="10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5"/>
              </w:rPr>
              <w:t>Year</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Expense</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1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 receivable:</w:t>
            </w:r>
          </w:p>
        </w:tc>
        <w:tc>
          <w:tcPr>
            <w:tcW w:w="8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Year ended December 31, 2012</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11,706</w:t>
            </w:r>
          </w:p>
        </w:tc>
        <w:tc>
          <w:tcPr>
            <w:tcW w:w="5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18,012</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(21,061)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30,112</w:t>
            </w:r>
          </w:p>
        </w:tc>
        <w:tc>
          <w:tcPr>
            <w:tcW w:w="5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34,364</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(52,770)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Year ended December 31, 2010</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7,553</w:t>
            </w:r>
          </w:p>
        </w:tc>
        <w:tc>
          <w:tcPr>
            <w:tcW w:w="5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38,511</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(15,952)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5580" w:type="dxa"/>
            <w:vAlign w:val="bottom"/>
            <w:gridSpan w:val="3"/>
          </w:tcPr>
          <w:p>
            <w:pPr>
              <w:spacing w:after="0"/>
              <w:rPr>
                <w:sz w:val="20"/>
                <w:szCs w:val="20"/>
                <w:color w:val="auto"/>
              </w:rPr>
            </w:pPr>
            <w:r>
              <w:rPr>
                <w:rFonts w:ascii="Arial" w:cs="Arial" w:eastAsia="Arial" w:hAnsi="Arial"/>
                <w:sz w:val="18"/>
                <w:szCs w:val="18"/>
                <w:color w:val="auto"/>
              </w:rPr>
              <w:t>(1)   Deductions represent accounts written off, net of recoveries.</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4. Property and Equipment</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80" w:type="dxa"/>
            <w:vAlign w:val="bottom"/>
            <w:gridSpan w:val="3"/>
          </w:tcPr>
          <w:p>
            <w:pPr>
              <w:ind w:left="460"/>
              <w:spacing w:after="0"/>
              <w:rPr>
                <w:sz w:val="20"/>
                <w:szCs w:val="20"/>
                <w:color w:val="auto"/>
              </w:rPr>
            </w:pPr>
            <w:r>
              <w:rPr>
                <w:rFonts w:ascii="Arial" w:cs="Arial" w:eastAsia="Arial" w:hAnsi="Arial"/>
                <w:sz w:val="18"/>
                <w:szCs w:val="18"/>
                <w:color w:val="auto"/>
              </w:rPr>
              <w:t>Property and equipment consist of the following:</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7"/>
          </w:tcPr>
          <w:p>
            <w:pPr>
              <w:ind w:left="14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13,294</w:t>
            </w:r>
          </w:p>
        </w:tc>
        <w:tc>
          <w:tcPr>
            <w:tcW w:w="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9,504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Land improvements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3,439</w:t>
            </w:r>
          </w:p>
        </w:tc>
        <w:tc>
          <w:tcPr>
            <w:tcW w:w="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1,688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180,945</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118,445</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Equipment under capital leases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5,310</w:t>
            </w:r>
          </w:p>
        </w:tc>
        <w:tc>
          <w:tcPr>
            <w:tcW w:w="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5,310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24,930</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17,305</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Computer equipment</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55,734</w:t>
            </w:r>
          </w:p>
        </w:tc>
        <w:tc>
          <w:tcPr>
            <w:tcW w:w="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46,993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22,124</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13,366</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11,039</w:t>
            </w:r>
          </w:p>
        </w:tc>
        <w:tc>
          <w:tcPr>
            <w:tcW w:w="6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7,108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12,487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330,401</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230,407</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2"/>
              </w:rPr>
              <w:t>(61,239)</w:t>
            </w: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(40,460)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9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269,162</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189,947</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360"/>
          </w:cols>
          <w:pgMar w:left="240" w:top="459" w:right="299" w:bottom="1440" w:gutter="0" w:footer="0" w:header="0"/>
        </w:sectPr>
      </w:pPr>
    </w:p>
    <w:p>
      <w:pPr>
        <w:jc w:val="center"/>
        <w:ind w:right="-5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360"/>
          </w:cols>
          <w:pgMar w:left="240" w:top="459" w:right="299" w:bottom="1440" w:gutter="0" w:footer="0" w:header="0"/>
          <w:type w:val="continuous"/>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Depreciation and amortization expense associated with property and equipment, including assets under capital lease, totaled $21,264, $16,339, and $11,376 for the years ended December 31, 2012, 2011, and 2010,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 and Other Noncurrent Liabilities</w:t>
      </w:r>
    </w:p>
    <w:p>
      <w:pPr>
        <w:spacing w:after="0" w:line="96" w:lineRule="exact"/>
        <w:rPr>
          <w:sz w:val="20"/>
          <w:szCs w:val="20"/>
          <w:color w:val="auto"/>
        </w:rPr>
      </w:pPr>
    </w:p>
    <w:p>
      <w:pPr>
        <w:ind w:right="200" w:firstLine="456"/>
        <w:spacing w:after="0" w:line="302" w:lineRule="auto"/>
        <w:rPr>
          <w:sz w:val="20"/>
          <w:szCs w:val="20"/>
          <w:color w:val="auto"/>
        </w:rPr>
      </w:pPr>
      <w:r>
        <w:rPr>
          <w:rFonts w:ascii="Arial" w:cs="Arial" w:eastAsia="Arial" w:hAnsi="Arial"/>
          <w:sz w:val="15"/>
          <w:szCs w:val="15"/>
          <w:color w:val="auto"/>
        </w:rPr>
        <w:t>On December 21, 2012, the University entered into a new credit agreement with Bank of America, N.A. as Administrative Agent and other lenders (the “Agreement”), which refinances the University’s prior indebtedness under the loan agreement with Bank of America, N.A. dated April 8, 2011 (the “Prior Agreement”). The Agreement (a) increased the term loan to $100,000 with a maturity date of December 2019 and decreased the interest rate on the outstanding balance from the BBA Libor Rate plus 200 basis points to the BBA Libor Rate plus 175 basis points, with monthly principal and interest payments, and</w:t>
      </w:r>
    </w:p>
    <w:p>
      <w:pPr>
        <w:spacing w:after="0" w:line="3" w:lineRule="exact"/>
        <w:rPr>
          <w:sz w:val="20"/>
          <w:szCs w:val="20"/>
          <w:color w:val="auto"/>
        </w:rPr>
      </w:pPr>
    </w:p>
    <w:p>
      <w:pPr>
        <w:ind w:right="160" w:firstLine="8"/>
        <w:spacing w:after="0" w:line="288" w:lineRule="auto"/>
        <w:tabs>
          <w:tab w:leader="none" w:pos="2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provided the University a revolving line of credit in the amount of $50,000 through December 2017 to be utilized for working capital, capital expenditures, share repurchases and other general corporate purposes. The Agreement contains standard covenants that are substantially consistent with those included in the Prior Agreement, including covenants that, among other things, restrict the University’s ability to incur additional debt or make certain investments, require the University to maintain compliance with certain applicable regulatory standards, and require the University to achieve certain financial ratios and maintain a certain financial condition. Indebtedness under the Agreement is secured by the University’s assets and is guaranteed by certain of the University’s subsidiaries. As of December 31, 2012, the University is in compliance with its debt covenants. Under the loan covenant computation as of December 31, 2012, $50,000 is available to be borrowed on the revolving line of credit although none has been drawn as of December 31, 2012.</w:t>
      </w:r>
    </w:p>
    <w:p>
      <w:pPr>
        <w:spacing w:after="0" w:line="15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4"/>
          </w:tcPr>
          <w:p>
            <w:pPr>
              <w:ind w:left="24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2012</w:t>
            </w:r>
          </w:p>
        </w:tc>
        <w:tc>
          <w:tcPr>
            <w:tcW w:w="10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96"/>
        </w:trPr>
        <w:tc>
          <w:tcPr>
            <w:tcW w:w="6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Notes Payable</w:t>
            </w: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6780" w:type="dxa"/>
            <w:vAlign w:val="bottom"/>
          </w:tcPr>
          <w:p>
            <w:pPr>
              <w:spacing w:after="0"/>
              <w:rPr>
                <w:sz w:val="20"/>
                <w:szCs w:val="20"/>
                <w:color w:val="auto"/>
              </w:rPr>
            </w:pPr>
            <w:r>
              <w:rPr>
                <w:rFonts w:ascii="Arial" w:cs="Arial" w:eastAsia="Arial" w:hAnsi="Arial"/>
                <w:sz w:val="18"/>
                <w:szCs w:val="18"/>
                <w:color w:val="auto"/>
                <w:w w:val="96"/>
              </w:rPr>
              <w:t>Note payable, monthly payment of $556; interest at 30 day LIBOR plus 1.75% (1.96% at</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6780" w:type="dxa"/>
            <w:vAlign w:val="bottom"/>
          </w:tcPr>
          <w:p>
            <w:pPr>
              <w:ind w:left="220"/>
              <w:spacing w:after="0"/>
              <w:rPr>
                <w:sz w:val="20"/>
                <w:szCs w:val="20"/>
                <w:color w:val="auto"/>
              </w:rPr>
            </w:pPr>
            <w:r>
              <w:rPr>
                <w:rFonts w:ascii="Arial" w:cs="Arial" w:eastAsia="Arial" w:hAnsi="Arial"/>
                <w:sz w:val="18"/>
                <w:szCs w:val="18"/>
                <w:color w:val="auto"/>
              </w:rPr>
              <w:t>December 31, 2012) through December 31, 2019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$99,098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$20,929</w:t>
            </w:r>
          </w:p>
        </w:tc>
        <w:tc>
          <w:tcPr>
            <w:tcW w:w="100" w:type="dxa"/>
            <w:vAlign w:val="bottom"/>
          </w:tcPr>
          <w:p>
            <w:pPr>
              <w:spacing w:after="0"/>
              <w:rPr>
                <w:sz w:val="19"/>
                <w:szCs w:val="19"/>
                <w:color w:val="auto"/>
              </w:rPr>
            </w:pPr>
          </w:p>
        </w:tc>
      </w:tr>
      <w:tr>
        <w:trPr>
          <w:trHeight w:val="218"/>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4"/>
              </w:rPr>
              <w:t>Various Gift Annuities; quarterly payments of $34 extending through 2019; interest at 10%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shd w:val="clear" w:color="auto" w:fill="CCEEFF"/>
          </w:tcPr>
          <w:p>
            <w:pPr>
              <w:spacing w:after="0"/>
              <w:rPr>
                <w:sz w:val="18"/>
                <w:szCs w:val="18"/>
                <w:color w:val="auto"/>
              </w:rPr>
            </w:pPr>
          </w:p>
        </w:tc>
      </w:tr>
      <w:tr>
        <w:trPr>
          <w:trHeight w:val="208"/>
        </w:trPr>
        <w:tc>
          <w:tcPr>
            <w:tcW w:w="6780" w:type="dxa"/>
            <w:vAlign w:val="bottom"/>
          </w:tcPr>
          <w:p>
            <w:pPr>
              <w:spacing w:after="0"/>
              <w:rPr>
                <w:sz w:val="20"/>
                <w:szCs w:val="20"/>
                <w:color w:val="auto"/>
              </w:rPr>
            </w:pPr>
            <w:r>
              <w:rPr>
                <w:rFonts w:ascii="Arial" w:cs="Arial" w:eastAsia="Arial" w:hAnsi="Arial"/>
                <w:sz w:val="18"/>
                <w:szCs w:val="18"/>
                <w:color w:val="auto"/>
                <w:w w:val="91"/>
              </w:rPr>
              <w:t>Notes payable for vehicles requiring monthly payments with interest rates ranging from 8.8%</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6780" w:type="dxa"/>
            <w:vAlign w:val="bottom"/>
          </w:tcPr>
          <w:p>
            <w:pPr>
              <w:ind w:left="220"/>
              <w:spacing w:after="0"/>
              <w:rPr>
                <w:sz w:val="20"/>
                <w:szCs w:val="20"/>
                <w:color w:val="auto"/>
              </w:rPr>
            </w:pPr>
            <w:r>
              <w:rPr>
                <w:rFonts w:ascii="Arial" w:cs="Arial" w:eastAsia="Arial" w:hAnsi="Arial"/>
                <w:sz w:val="18"/>
                <w:szCs w:val="18"/>
                <w:color w:val="auto"/>
              </w:rPr>
              <w:t>to 11.0% through March 2013</w:t>
            </w:r>
          </w:p>
        </w:tc>
        <w:tc>
          <w:tcPr>
            <w:tcW w:w="2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r>
      <w:tr>
        <w:trPr>
          <w:trHeight w:val="216"/>
        </w:trPr>
        <w:tc>
          <w:tcPr>
            <w:tcW w:w="6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99,701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21,640</w:t>
            </w:r>
          </w:p>
        </w:tc>
        <w:tc>
          <w:tcPr>
            <w:tcW w:w="100" w:type="dxa"/>
            <w:vAlign w:val="bottom"/>
            <w:shd w:val="clear" w:color="auto" w:fill="CCEEFF"/>
          </w:tcPr>
          <w:p>
            <w:pPr>
              <w:spacing w:after="0"/>
              <w:rPr>
                <w:sz w:val="18"/>
                <w:szCs w:val="18"/>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9"/>
                <w:szCs w:val="19"/>
                <w:color w:val="auto"/>
              </w:rPr>
            </w:pPr>
          </w:p>
        </w:tc>
      </w:tr>
      <w:tr>
        <w:trPr>
          <w:trHeight w:val="216"/>
        </w:trPr>
        <w:tc>
          <w:tcPr>
            <w:tcW w:w="6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93,100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19,901</w:t>
            </w:r>
          </w:p>
        </w:tc>
        <w:tc>
          <w:tcPr>
            <w:tcW w:w="100" w:type="dxa"/>
            <w:vAlign w:val="bottom"/>
            <w:shd w:val="clear" w:color="auto" w:fill="CCEEFF"/>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420" w:type="dxa"/>
            <w:vAlign w:val="bottom"/>
            <w:gridSpan w:val="2"/>
          </w:tcPr>
          <w:p>
            <w:pPr>
              <w:spacing w:after="0"/>
              <w:rPr>
                <w:sz w:val="20"/>
                <w:szCs w:val="20"/>
                <w:color w:val="auto"/>
              </w:rPr>
            </w:pPr>
            <w:r>
              <w:rPr>
                <w:rFonts w:ascii="Arial" w:cs="Arial" w:eastAsia="Arial" w:hAnsi="Arial"/>
                <w:sz w:val="18"/>
                <w:szCs w:val="18"/>
                <w:color w:val="auto"/>
              </w:rPr>
              <w:t>Payments due under the notes payable obligations are as follows as of December 31, 2012:</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2014</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2016</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Thereafter</w:t>
            </w:r>
          </w:p>
        </w:tc>
        <w:tc>
          <w:tcPr>
            <w:tcW w:w="10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66,616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99,701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Long-term deferred rent included in other noncurrent liabilities as of December 31, 2012 and 2011 was $7,015 and $6,512, respectively. The derivative liability for the forward interest rate swap included in other noncurrent liabilities as of December 31, 2012 and 2011 was $390 and $628,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Capital Lease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lease obligations consist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 Lease Obligations</w:t>
            </w: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w w:val="92"/>
              </w:rPr>
              <w:t>Capital lease for equipment, monthly payments totaling $8; interest rate at 2.2%, through 2016</w:t>
            </w: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674</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capital lease obligations</w:t>
            </w:r>
          </w:p>
        </w:tc>
        <w:tc>
          <w:tcPr>
            <w:tcW w:w="32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587</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jc w:val="right"/>
              <w:ind w:right="2472"/>
              <w:spacing w:after="0"/>
              <w:rPr>
                <w:sz w:val="20"/>
                <w:szCs w:val="20"/>
                <w:color w:val="auto"/>
              </w:rPr>
            </w:pPr>
            <w:r>
              <w:rPr>
                <w:rFonts w:ascii="Arial" w:cs="Arial" w:eastAsia="Arial" w:hAnsi="Arial"/>
                <w:sz w:val="18"/>
                <w:szCs w:val="18"/>
                <w:color w:val="auto"/>
              </w:rPr>
              <w:t>85</w:t>
            </w: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9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Payments due under future minimum lease payments under the capital lease obligations are as follows as of December 31, 2012:</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2014</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2016 and thereafter</w:t>
            </w:r>
          </w:p>
        </w:tc>
        <w:tc>
          <w:tcPr>
            <w:tcW w:w="21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Less: Portion representing interest</w:t>
            </w:r>
          </w:p>
        </w:tc>
        <w:tc>
          <w:tcPr>
            <w:tcW w:w="21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740" w:firstLine="8"/>
        <w:spacing w:after="0" w:line="369" w:lineRule="auto"/>
        <w:tabs>
          <w:tab w:leader="none" w:pos="176"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4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2021. Future minimum lease payments under operating leases due each year are as follows at December 31, 2012:</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2014</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2016</w:t>
            </w: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5,253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Thereafter</w:t>
            </w:r>
          </w:p>
        </w:tc>
        <w:tc>
          <w:tcPr>
            <w:tcW w:w="2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10,631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37,923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Total rent expense and related taxes and operating expenses under operating leases for the years ended December 31, 2012, 2011 and 2010 was $7,635, $7,388, and $5,287,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From time to time, the University is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is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2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From time to time the University has exposure to various non-income tax related matters that arise in the ordinary course of business. At December 31, 2012 and 2011, the University has reserved approximately $703 and $49 for tax matters where its ultimate exposure is considered probable and the potential loss can be reasonably estimated.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June 30, 2009, the University entered into an interest rate swap and an interest rate corridor to manage its 30 Day LIBOR interest exposure related to its variable rate debt. Neither of these instruments contained financing elements. The contractual terms of the University’s derivative instruments have not been structured such that net payments made by one party in the earlier periods are to be subsequently returned by the counterparty in later periods of the derivative’s term. Neither of the University’s derivative instruments have been amended or modified since their inception. The fair value of the interest rate swap is a liability of $390 and $629 as of December 31, 2012 and 2011, respectively, which is included in other noncurrent liabilities. The fair value of the interest rate corridor instrument as of December 31, 2012 and 2011 was $0 and $1, respectively, which is included in other assets. The fair values of each derivative instrument were determined using a hypothetical derivative transaction, which are considered Level 2 per the fair value hierarchy. These derivative instruments were originally designated as cash flow hedges of variable rate debt obligations. In the fourth quarter of 2011, the University de-designated the corridor instrument. The adjustment of $241, $10, and $551 for the years ended December 31, 2012, 2011 and 2010, respectively, for the effective portion of the gain/loss on the derivatives is included as a component of other comprehensive income, net of taxes.</w:t>
      </w:r>
    </w:p>
    <w:p>
      <w:pPr>
        <w:sectPr>
          <w:pgSz w:w="11900" w:h="16838" w:orient="portrait"/>
          <w:cols w:equalWidth="0" w:num="1">
            <w:col w:w="11420"/>
          </w:cols>
          <w:pgMar w:left="240" w:top="459" w:right="23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459" w:right="2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interest rate swap commenced on May 1, 2010 and continues each month thereafter until April 30, 2014 and has a notional amount of $9,771 as of December 31, 2012. Under the terms of the agreement, the University receives 30-day LIBOR and pays 3.245% fixed interest on the amortizing notional amount. Therefore, the University has hedged its exposure to future variable rate cash flows through April 30, 2014. The interest rate swap is not subject to a master netting arrangement and collateral has been called by the counterparty and reflected in a restricted cash account as of December 31, 2012 and 2011 in the amount of $225 and $555, respectively.</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interest rate corridor instrument, although de-designated, reduces variable interest rate risk starting July 1, 2009 through April 30, 2014 with a notional amount of $9,771 as of December 31, 2012. The corridor instrument’s terms permit the University to hedge its interest rate risk at several thresholds; the University pays variable interest monthly based on the 30-day LIBOR rates until that index reaches 4%. If 30-day LIBOR is equal to 4% through 6%, the University pays 4%. If 30-day LIBOR exceeds 6%, the University pays actual 30-day LIBOR less 2%. Subsequent to the de-designation of this instrument in the fourth quarter of 2011, changes in this instrument’s fair value are recorded in interest expense.</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31, 2012 no derivative ineffectiveness was identified. Any ineffectiveness in the University’s derivative instruments designated as hedges would be reported in interest expense in the income statement. As of December 31, 2012 $3 of credit default risk interest income was recorded in interest expense in the income statement. As of December 31, 2011, the University de-designated the corridor instrument and reclassified into earnings $92, net of tax of accumulated other comprehensive loss. At December 31, 2012, the University does not expect to reclassify any gains or losses on derivative instruments from accumulated other comprehensive income (loss) into earnings during the next 12 months.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440" w:type="dxa"/>
            <w:vAlign w:val="bottom"/>
            <w:gridSpan w:val="6"/>
          </w:tcPr>
          <w:p>
            <w:pPr>
              <w:ind w:left="4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140" w:type="dxa"/>
            <w:vAlign w:val="bottom"/>
          </w:tcPr>
          <w:p>
            <w:pPr>
              <w:spacing w:after="0"/>
              <w:rPr>
                <w:sz w:val="12"/>
                <w:szCs w:val="12"/>
                <w:color w:val="auto"/>
              </w:rPr>
            </w:pPr>
          </w:p>
        </w:tc>
        <w:tc>
          <w:tcPr>
            <w:tcW w:w="54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7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Basic common shares outstanding</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44,332</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44,631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45,722</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dilutive stock options and restricted stock</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3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3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r>
      <w:tr>
        <w:trPr>
          <w:trHeight w:val="222"/>
        </w:trPr>
        <w:tc>
          <w:tcPr>
            <w:tcW w:w="7140" w:type="dxa"/>
            <w:vAlign w:val="bottom"/>
          </w:tcPr>
          <w:p>
            <w:pPr>
              <w:ind w:left="440"/>
              <w:spacing w:after="0"/>
              <w:rPr>
                <w:sz w:val="20"/>
                <w:szCs w:val="20"/>
                <w:color w:val="auto"/>
              </w:rPr>
            </w:pPr>
            <w:r>
              <w:rPr>
                <w:rFonts w:ascii="Arial" w:cs="Arial" w:eastAsia="Arial" w:hAnsi="Arial"/>
                <w:sz w:val="18"/>
                <w:szCs w:val="18"/>
                <w:color w:val="auto"/>
              </w:rPr>
              <w:t>Diluted common shares outstanding</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45,251</w:t>
            </w:r>
          </w:p>
        </w:tc>
        <w:tc>
          <w:tcPr>
            <w:tcW w:w="3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45,105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46,396</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Diluted weighted average shares outstanding exclude the incremental effect of shares that would be issued upon the assumed exercise of stock options. For the year ended December 31, 2012, 2011 and 2010, approximately 1,599, 2,158 and 602, respectively, of the University’s stock options outstanding were excluded from the calculation of diluted earnings per share as their inclusion would have been anti-dilutive. These options could be dilutive in the future.</w:t>
      </w:r>
    </w:p>
    <w:p>
      <w:pPr>
        <w:spacing w:after="0" w:line="182" w:lineRule="exact"/>
        <w:rPr>
          <w:sz w:val="20"/>
          <w:szCs w:val="20"/>
          <w:color w:val="auto"/>
        </w:rPr>
      </w:pPr>
    </w:p>
    <w:p>
      <w:pPr>
        <w:ind w:right="9640" w:firstLine="8"/>
        <w:spacing w:after="0" w:line="417" w:lineRule="auto"/>
        <w:tabs>
          <w:tab w:leader="none" w:pos="263" w:val="left"/>
        </w:tabs>
        <w:numPr>
          <w:ilvl w:val="0"/>
          <w:numId w:val="4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Equity Transactions </w:t>
      </w:r>
      <w:r>
        <w:rPr>
          <w:rFonts w:ascii="Arial" w:cs="Arial" w:eastAsia="Arial" w:hAnsi="Arial"/>
          <w:sz w:val="15"/>
          <w:szCs w:val="15"/>
          <w:b w:val="1"/>
          <w:bCs w:val="1"/>
          <w:i w:val="1"/>
          <w:iCs w:val="1"/>
          <w:color w:val="auto"/>
        </w:rPr>
        <w:t>Preferred Stock</w:t>
      </w:r>
    </w:p>
    <w:p>
      <w:pPr>
        <w:spacing w:after="0" w:line="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of December 31, 2012 and 2011, the University had 10,000 shares of authorized but unissued and undesignated preferred stock. The University’s charter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90" w:lineRule="exact"/>
        <w:rPr>
          <w:sz w:val="20"/>
          <w:szCs w:val="20"/>
          <w:color w:val="auto"/>
        </w:rPr>
      </w:pPr>
    </w:p>
    <w:p>
      <w:pPr>
        <w:jc w:val="both"/>
        <w:ind w:right="100" w:firstLine="456"/>
        <w:spacing w:after="0" w:line="284" w:lineRule="auto"/>
        <w:rPr>
          <w:sz w:val="20"/>
          <w:szCs w:val="20"/>
          <w:color w:val="auto"/>
        </w:rPr>
      </w:pPr>
      <w:r>
        <w:rPr>
          <w:rFonts w:ascii="Arial" w:cs="Arial" w:eastAsia="Arial" w:hAnsi="Arial"/>
          <w:sz w:val="16"/>
          <w:szCs w:val="16"/>
          <w:color w:val="auto"/>
        </w:rPr>
        <w:t>On July 28, 2011, our Board of Directors authorized the University to repurchase up to an additional $25,000 ($50,000 total) of common stock, from time to time, depending on market conditions and other considerations. The original authorization of $25,000 occurred on August 16, 2010 and, on July 26, 2012 the Board of Directors extended the expiration date on the repurchase authorization to September 30, 2013. Repurchases occur at the University’s discretion.</w:t>
      </w:r>
    </w:p>
    <w:p>
      <w:pPr>
        <w:spacing w:after="0" w:line="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University has purchased 2,410 shares of common stock at an aggregate cost of $39,136, which includes 752 shares of common stock at an aggregate cost of $15,242 during the year ended December 31, 2012, which are recorded at cost in the accompanying December 31, 2012 consolidated balance sheet and statement of stockholders’ equity. At December 31, 2012, there remained $10,864 available under its current share repurchase authorization.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University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Based upon the level of historical taxable income and projections for future taxable income over the periods in which the deferred tax assets are deductible, management believes it is more-likely-than-not that the University will realize the benefits of these deductible differences. The University has no valuation allowance at December 31, 2012 and 2011.</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expense (benefit) are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6"/>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196"/>
        </w:trPr>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Federal</w:t>
            </w:r>
          </w:p>
        </w:tc>
        <w:tc>
          <w:tcPr>
            <w:tcW w:w="3980" w:type="dxa"/>
            <w:vAlign w:val="bottom"/>
            <w:gridSpan w:val="3"/>
          </w:tcPr>
          <w:p>
            <w:pPr>
              <w:jc w:val="right"/>
              <w:ind w:right="392"/>
              <w:spacing w:after="0"/>
              <w:rPr>
                <w:sz w:val="20"/>
                <w:szCs w:val="20"/>
                <w:color w:val="auto"/>
              </w:rPr>
            </w:pPr>
            <w:r>
              <w:rPr>
                <w:rFonts w:ascii="Arial" w:cs="Arial" w:eastAsia="Arial" w:hAnsi="Arial"/>
                <w:sz w:val="18"/>
                <w:szCs w:val="18"/>
                <w:color w:val="auto"/>
              </w:rPr>
              <w:t>$36,818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7,441</w:t>
            </w:r>
          </w:p>
        </w:tc>
        <w:tc>
          <w:tcPr>
            <w:tcW w:w="4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$22,522</w:t>
            </w: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29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5,163</w:t>
            </w:r>
          </w:p>
        </w:tc>
        <w:tc>
          <w:tcPr>
            <w:tcW w:w="100" w:type="dxa"/>
            <w:vAlign w:val="bottom"/>
            <w:shd w:val="clear" w:color="auto" w:fill="CCEEFF"/>
          </w:tcPr>
          <w:p>
            <w:pPr>
              <w:spacing w:after="0"/>
              <w:rPr>
                <w:sz w:val="18"/>
                <w:szCs w:val="18"/>
                <w:color w:val="auto"/>
              </w:rPr>
            </w:pPr>
          </w:p>
        </w:tc>
      </w:tr>
      <w:tr>
        <w:trPr>
          <w:trHeight w:val="230"/>
        </w:trPr>
        <w:tc>
          <w:tcPr>
            <w:tcW w:w="3880" w:type="dxa"/>
            <w:vAlign w:val="bottom"/>
          </w:tcPr>
          <w:p>
            <w:pPr>
              <w:spacing w:after="0"/>
              <w:rPr>
                <w:sz w:val="20"/>
                <w:szCs w:val="20"/>
                <w:color w:val="auto"/>
              </w:rPr>
            </w:pPr>
          </w:p>
        </w:tc>
        <w:tc>
          <w:tcPr>
            <w:tcW w:w="3980" w:type="dxa"/>
            <w:vAlign w:val="bottom"/>
            <w:gridSpan w:val="3"/>
          </w:tcPr>
          <w:p>
            <w:pPr>
              <w:jc w:val="right"/>
              <w:ind w:right="392"/>
              <w:spacing w:after="0"/>
              <w:rPr>
                <w:sz w:val="20"/>
                <w:szCs w:val="20"/>
                <w:color w:val="auto"/>
              </w:rPr>
            </w:pPr>
            <w:r>
              <w:rPr>
                <w:rFonts w:ascii="Arial" w:cs="Arial" w:eastAsia="Arial" w:hAnsi="Arial"/>
                <w:sz w:val="18"/>
                <w:szCs w:val="18"/>
                <w:color w:val="auto"/>
              </w:rPr>
              <w:t>44,393</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10,178</w:t>
            </w:r>
          </w:p>
        </w:tc>
        <w:tc>
          <w:tcPr>
            <w:tcW w:w="46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27,685</w:t>
            </w: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9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ind w:left="440"/>
              <w:spacing w:after="0"/>
              <w:rPr>
                <w:sz w:val="20"/>
                <w:szCs w:val="20"/>
                <w:color w:val="auto"/>
              </w:rPr>
            </w:pPr>
            <w:r>
              <w:rPr>
                <w:rFonts w:ascii="Arial" w:cs="Arial" w:eastAsia="Arial" w:hAnsi="Arial"/>
                <w:sz w:val="18"/>
                <w:szCs w:val="18"/>
                <w:color w:val="auto"/>
              </w:rPr>
              <w:t>Federal</w:t>
            </w:r>
          </w:p>
        </w:tc>
        <w:tc>
          <w:tcPr>
            <w:tcW w:w="3980" w:type="dxa"/>
            <w:vAlign w:val="bottom"/>
            <w:gridSpan w:val="3"/>
          </w:tcPr>
          <w:p>
            <w:pPr>
              <w:jc w:val="right"/>
              <w:ind w:right="332"/>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18,125</w:t>
            </w:r>
          </w:p>
        </w:tc>
        <w:tc>
          <w:tcPr>
            <w:tcW w:w="4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(2,956)</w:t>
            </w:r>
          </w:p>
        </w:tc>
      </w:tr>
      <w:tr>
        <w:trPr>
          <w:trHeight w:val="216"/>
        </w:trPr>
        <w:tc>
          <w:tcPr>
            <w:tcW w:w="3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2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(2,480)</w:t>
            </w:r>
          </w:p>
        </w:tc>
      </w:tr>
      <w:tr>
        <w:trPr>
          <w:trHeight w:val="20"/>
        </w:trPr>
        <w:tc>
          <w:tcPr>
            <w:tcW w:w="3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8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040" w:type="dxa"/>
            <w:vAlign w:val="bottom"/>
            <w:gridSpan w:val="2"/>
          </w:tcPr>
          <w:p>
            <w:pPr>
              <w:jc w:val="right"/>
              <w:ind w:right="332"/>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20,804</w:t>
            </w:r>
          </w:p>
        </w:tc>
        <w:tc>
          <w:tcPr>
            <w:tcW w:w="4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(5,436)</w:t>
            </w:r>
          </w:p>
        </w:tc>
      </w:tr>
      <w:tr>
        <w:trPr>
          <w:trHeight w:val="28"/>
        </w:trPr>
        <w:tc>
          <w:tcPr>
            <w:tcW w:w="38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8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43,977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30,982</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22,249</w:t>
            </w:r>
          </w:p>
        </w:tc>
      </w:tr>
      <w:tr>
        <w:trPr>
          <w:trHeight w:val="20"/>
        </w:trPr>
        <w:tc>
          <w:tcPr>
            <w:tcW w:w="3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income tax computed at the U.S. statutory rate to the effective income tax rate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5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5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U.S. federal income tax rate</w:t>
            </w:r>
          </w:p>
        </w:tc>
        <w:tc>
          <w:tcPr>
            <w:tcW w:w="3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35.0%</w:t>
            </w:r>
          </w:p>
        </w:tc>
        <w:tc>
          <w:tcPr>
            <w:tcW w:w="9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35.0%</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35.0%</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4180" w:type="dxa"/>
            <w:vAlign w:val="bottom"/>
            <w:gridSpan w:val="3"/>
          </w:tcPr>
          <w:p>
            <w:pPr>
              <w:jc w:val="right"/>
              <w:ind w:right="540"/>
              <w:spacing w:after="0"/>
              <w:rPr>
                <w:sz w:val="20"/>
                <w:szCs w:val="20"/>
                <w:color w:val="auto"/>
              </w:rPr>
            </w:pPr>
            <w:r>
              <w:rPr>
                <w:rFonts w:ascii="Arial" w:cs="Arial" w:eastAsia="Arial" w:hAnsi="Arial"/>
                <w:sz w:val="18"/>
                <w:szCs w:val="18"/>
                <w:color w:val="auto"/>
              </w:rPr>
              <w:t>5.9</w:t>
            </w: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5.5</w:t>
            </w:r>
          </w:p>
        </w:tc>
        <w:tc>
          <w:tcPr>
            <w:tcW w:w="32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credits, net of federal effect</w:t>
            </w:r>
          </w:p>
        </w:tc>
        <w:tc>
          <w:tcPr>
            <w:tcW w:w="41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96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(1.7)</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Non deductible expenses</w:t>
            </w:r>
          </w:p>
        </w:tc>
        <w:tc>
          <w:tcPr>
            <w:tcW w:w="4180" w:type="dxa"/>
            <w:vAlign w:val="bottom"/>
            <w:gridSpan w:val="3"/>
          </w:tcPr>
          <w:p>
            <w:pPr>
              <w:jc w:val="right"/>
              <w:ind w:right="540"/>
              <w:spacing w:after="0"/>
              <w:rPr>
                <w:sz w:val="20"/>
                <w:szCs w:val="20"/>
                <w:color w:val="auto"/>
              </w:rPr>
            </w:pPr>
            <w:r>
              <w:rPr>
                <w:rFonts w:ascii="Arial" w:cs="Arial" w:eastAsia="Arial" w:hAnsi="Arial"/>
                <w:sz w:val="18"/>
                <w:szCs w:val="18"/>
                <w:color w:val="auto"/>
              </w:rPr>
              <w:t>0.2</w:t>
            </w: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0.2</w:t>
            </w:r>
          </w:p>
        </w:tc>
        <w:tc>
          <w:tcPr>
            <w:tcW w:w="32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(0.7)</w:t>
            </w:r>
          </w:p>
        </w:tc>
        <w:tc>
          <w:tcPr>
            <w:tcW w:w="96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(0.6)</w:t>
            </w: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3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20" w:type="dxa"/>
            <w:vAlign w:val="bottom"/>
            <w:vMerge w:val="continue"/>
          </w:tcPr>
          <w:p>
            <w:pPr>
              <w:spacing w:after="0"/>
              <w:rPr>
                <w:sz w:val="19"/>
                <w:szCs w:val="19"/>
                <w:color w:val="auto"/>
              </w:rPr>
            </w:pPr>
          </w:p>
        </w:tc>
        <w:tc>
          <w:tcPr>
            <w:tcW w:w="328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38.8%</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38.0%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38.7%</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280" w:type="dxa"/>
            <w:vAlign w:val="bottom"/>
            <w:vMerge w:val="restart"/>
          </w:tcPr>
          <w:p>
            <w:pPr>
              <w:jc w:val="right"/>
              <w:ind w:right="2232"/>
              <w:spacing w:after="0"/>
              <w:rPr>
                <w:sz w:val="20"/>
                <w:szCs w:val="20"/>
                <w:color w:val="auto"/>
              </w:rPr>
            </w:pPr>
            <w:r>
              <w:rPr>
                <w:rFonts w:ascii="Arial" w:cs="Arial" w:eastAsia="Arial" w:hAnsi="Arial"/>
                <w:sz w:val="18"/>
                <w:szCs w:val="18"/>
                <w:color w:val="auto"/>
              </w:rPr>
              <w:t>88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deferred income tax assets and liabilities are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deferred tax asset (liability):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Accounts receivable allowance for doubtful accounts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3,321</w:t>
            </w:r>
          </w:p>
        </w:tc>
        <w:tc>
          <w:tcPr>
            <w:tcW w:w="3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Estimated litigation loss and regulatory reserves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tcPr>
          <w:p>
            <w:pPr>
              <w:ind w:left="840"/>
              <w:spacing w:after="0"/>
              <w:rPr>
                <w:sz w:val="20"/>
                <w:szCs w:val="20"/>
                <w:color w:val="auto"/>
              </w:rPr>
            </w:pPr>
            <w:r>
              <w:rPr>
                <w:rFonts w:ascii="Arial" w:cs="Arial" w:eastAsia="Arial" w:hAnsi="Arial"/>
                <w:sz w:val="18"/>
                <w:szCs w:val="18"/>
                <w:color w:val="auto"/>
              </w:rPr>
              <w:t>Current deferred tax asset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5,481</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Depreciation and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(21,774)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(18,763)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2,642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Non-current deferred tax (liability) asset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840"/>
              <w:spacing w:after="0"/>
              <w:rPr>
                <w:sz w:val="20"/>
                <w:szCs w:val="20"/>
                <w:color w:val="auto"/>
              </w:rPr>
            </w:pPr>
            <w:r>
              <w:rPr>
                <w:rFonts w:ascii="Arial" w:cs="Arial" w:eastAsia="Arial" w:hAnsi="Arial"/>
                <w:sz w:val="18"/>
                <w:szCs w:val="18"/>
                <w:color w:val="auto"/>
              </w:rPr>
              <w:t>Net deferred tax (liability) asset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(1,564)</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University recognizes the impact of a tax position in its financial statements if that position is more-likely-than-not to be sustained on audit, based on the technical merits of the position. The University discloses all unrecognized tax benefits, which includes the reserves recorded for uncertain tax positions on filed tax returns and the unrecognized portion of affirmative claims. No adjustment was made to opening retained earnings. The University recognizes interest and penalties related to uncertain tax positions in income tax expense.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reconciliation of the beginning and ending balance of unrecognized tax benefits at December 31 is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benefits,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845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Tax positions taken during the current year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Decreases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Tax positions taken during a prior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Increases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w w:val="86"/>
              </w:rPr>
              <w:t>214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Decreases for settlements during the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(1,054)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lapses of applicable statute of limitations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Unrecognized tax benefits, end of year</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31, 2012 and 2011, the unrecognized tax benefit recorded of $0 and $543, respectively, if reversed, would impact the effective tax rate. During the years ended December 31, 2012, 2011, and 2010, the University recognized approximately $87, $123 and $80, respectively, in interest and penalties. At December 31, 2012 and 2011, the University had accrued $0 and $121, respectively, in interest and $0, in penalties. It is reasonably possible that the amount of the unrecognized tax benefit will change during the next 12 months, however management does not expect the potential change to have a material effect on the results of operations or financial position.</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University’s uncertain tax positions were related to tax years that remained subject to examination by tax authorities. As of December 31, 2012, the earliest tax year still subject to examination for federal and state purposes is 2009 and 2005,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Regulatory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University is subject to extensive regulation by federal and state governmental agencies and accrediting bodies. In particular, the Higher Education Act of 1965, as amended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 of the Higher Education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December 31, 2012, management believes the University is in compliance with the applicable regulations in all material respects and the University is provisionally certified to participate in the Title IV Programs through 2013.</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the University covering the 2008-2009 and 2009-2010 award years. As part of this program review, a Department of Education program review team conducted a site visit on the University’s campus in July 2010 and reviewed, and in some cases requested further information regarding, the University’s records, practices and policies relating to, among other things, financial aid, enrollment, enrollment counselor compensation, program eligibility and other Title IV compliance matters.</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While the University never received a formal exit interview, which it had understood to be the typical step prior to the Department of Education’s issuance of a preliminary program review report, on August 24, 2011, the University received from the Department of Education a written preliminary program review report that included five findings, two of which involve individual student-specific errors concerning the monitoring of satisfactory academic progress for two students and the certification of one student’s Federal Family Educational Loan as an unsubsidized Stafford loan rather than a subsidized Stafford loan. The other three findings are as follows:</w:t>
      </w:r>
    </w:p>
    <w:p>
      <w:pPr>
        <w:spacing w:after="0" w:line="62" w:lineRule="exact"/>
        <w:rPr>
          <w:sz w:val="20"/>
          <w:szCs w:val="20"/>
          <w:color w:val="auto"/>
        </w:rPr>
      </w:pPr>
    </w:p>
    <w:p>
      <w:pPr>
        <w:ind w:left="1480" w:hanging="446"/>
        <w:spacing w:after="0" w:line="287" w:lineRule="auto"/>
        <w:tabs>
          <w:tab w:leader="none" w:pos="14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Incentive compensation issue</w:t>
      </w:r>
      <w:r>
        <w:rPr>
          <w:rFonts w:ascii="Arial" w:cs="Arial" w:eastAsia="Arial" w:hAnsi="Arial"/>
          <w:sz w:val="16"/>
          <w:szCs w:val="16"/>
          <w:color w:val="auto"/>
        </w:rPr>
        <w:t>. During a portion of the period under review, the University had in place a compensation plan for its enrollment</w:t>
      </w:r>
      <w:r>
        <w:rPr>
          <w:rFonts w:ascii="Arial" w:cs="Arial" w:eastAsia="Arial" w:hAnsi="Arial"/>
          <w:sz w:val="16"/>
          <w:szCs w:val="16"/>
          <w:i w:val="1"/>
          <w:iCs w:val="1"/>
          <w:color w:val="auto"/>
        </w:rPr>
        <w:t xml:space="preserve"> </w:t>
      </w:r>
      <w:r>
        <w:rPr>
          <w:rFonts w:ascii="Arial" w:cs="Arial" w:eastAsia="Arial" w:hAnsi="Arial"/>
          <w:sz w:val="16"/>
          <w:szCs w:val="16"/>
          <w:color w:val="auto"/>
        </w:rPr>
        <w:t>counselors that was designed to comply with the regulatory “safe harbor” in effect during such period that allowed companies to make adjustments to fixed compensation for enrollment personnel, provided that any such adjustment (i) was not made more than twice during any twelve month period, and (ii) was not based solely on the number of students recruited, admitted, enrolled, or awarded financial aid. The plan at issue provided for enrollment counselor performance to be reviewed on a number of non-enrollment-related factors that could account for a substantial portion of any potential base compensation adjustment. The preliminary program review report does not appear to set forth any definitive finding regarding the plan, but the Department of Education has requested additional information from the University regarding its enrollment counselor compensation practices and policies in effect during the period under review. The University continues to believe that the plan at issue, both as designed and as applied, did not base compensation solely on success in enrolling students in violation of applicable law. We are continuing our efforts to communicate with the Department of Education to resolve this matter.</w:t>
      </w:r>
    </w:p>
    <w:p>
      <w:pPr>
        <w:spacing w:after="0" w:line="41" w:lineRule="exact"/>
        <w:rPr>
          <w:rFonts w:ascii="Arial" w:cs="Arial" w:eastAsia="Arial" w:hAnsi="Arial"/>
          <w:sz w:val="16"/>
          <w:szCs w:val="16"/>
          <w:color w:val="auto"/>
        </w:rPr>
      </w:pPr>
    </w:p>
    <w:p>
      <w:pPr>
        <w:ind w:left="1480" w:right="20" w:hanging="446"/>
        <w:spacing w:after="0" w:line="287" w:lineRule="auto"/>
        <w:tabs>
          <w:tab w:leader="none" w:pos="14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Gainful employment issue</w:t>
      </w:r>
      <w:r>
        <w:rPr>
          <w:rFonts w:ascii="Arial" w:cs="Arial" w:eastAsia="Arial" w:hAnsi="Arial"/>
          <w:sz w:val="16"/>
          <w:szCs w:val="16"/>
          <w:color w:val="auto"/>
        </w:rPr>
        <w:t>. The preliminary program review report sets forth the Department of Education’s position that the University’s</w:t>
      </w:r>
      <w:r>
        <w:rPr>
          <w:rFonts w:ascii="Arial" w:cs="Arial" w:eastAsia="Arial" w:hAnsi="Arial"/>
          <w:sz w:val="16"/>
          <w:szCs w:val="16"/>
          <w:i w:val="1"/>
          <w:iCs w:val="1"/>
          <w:color w:val="auto"/>
        </w:rPr>
        <w:t xml:space="preserve"> </w:t>
      </w:r>
      <w:r>
        <w:rPr>
          <w:rFonts w:ascii="Arial" w:cs="Arial" w:eastAsia="Arial" w:hAnsi="Arial"/>
          <w:sz w:val="16"/>
          <w:szCs w:val="16"/>
          <w:color w:val="auto"/>
        </w:rPr>
        <w:t>Bachelor of Arts in Interdisciplinary Studies program was not an eligible program under Title IV because it did not provide students with training to prepare them for gainful employment in a recognized occupation. Historically, this “gainful employment” standard has been a requirement for Title IV eligibility for programs offered at proprietary institutions of higher education such as the University although, pursuant to legislation passed in 2008 and effective as of July 1, 2010, this requirement no longer applies to designated liberal arts programs offered by the University and certain other institutions that have held accreditation by a regional accrediting agency since a date on or before October 1, 2007 (we have held a regional accreditation since 1968). The University believes that its Interdisciplinary Studies program, which it first offered in Fall 2007 in response to a request by one of our employer-partners, was an eligible program under the “gainful employment” standard in effect prior to July 1, 2010. We are continuing our efforts to communicate with the Department of Education to resolve this matter.</w:t>
      </w:r>
    </w:p>
    <w:p>
      <w:pPr>
        <w:spacing w:after="0" w:line="41" w:lineRule="exact"/>
        <w:rPr>
          <w:rFonts w:ascii="Arial" w:cs="Arial" w:eastAsia="Arial" w:hAnsi="Arial"/>
          <w:sz w:val="16"/>
          <w:szCs w:val="16"/>
          <w:color w:val="auto"/>
        </w:rPr>
      </w:pPr>
    </w:p>
    <w:p>
      <w:pPr>
        <w:ind w:left="1480" w:hanging="446"/>
        <w:spacing w:after="0" w:line="288" w:lineRule="auto"/>
        <w:tabs>
          <w:tab w:leader="none" w:pos="148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Inadequate procedures related to non-passing grades. </w:t>
      </w:r>
      <w:r>
        <w:rPr>
          <w:rFonts w:ascii="Arial" w:cs="Arial" w:eastAsia="Arial" w:hAnsi="Arial"/>
          <w:sz w:val="16"/>
          <w:szCs w:val="16"/>
          <w:color w:val="auto"/>
        </w:rPr>
        <w:t>The preliminary program review report sets forth the Department of Education’s</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 that, during the period under review and prior to the time the University converted from a term-based financial aid system to a non-term, borrower-based financial aid system in mid-2010, the University failed to have an accurate system in place to enable us to determine if students with non-passing grades for a term had no documented attendance for the term or should have been treated as unofficial withdrawals for the term, thereby potentially requiring the University to return all or a portion of the Title IV monies previously received with respect to such students. Although the University is confident in the legal sufficiency of its policies that were in place during the period under review, it is continuing to make efforts to discuss this finding with the Department of Education. As part of the process of reviewing and responding to this finding, the Department of Education has requested that the University conduct a further review of student files and provide additional information to the Department of Education following the completion of such review.</w:t>
      </w:r>
    </w:p>
    <w:p>
      <w:pPr>
        <w:sectPr>
          <w:pgSz w:w="11900" w:h="16838" w:orient="portrait"/>
          <w:cols w:equalWidth="0" w:num="1">
            <w:col w:w="11420"/>
          </w:cols>
          <w:pgMar w:left="240" w:top="459" w:right="239"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459" w:right="2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University has provided responses on these issues as required by the Department of Education and is continuing its efforts to communicate with the Department of Education to resolve the issues raised in the preliminary program review report. With respect to the issue regarding inadequate procedures related to non-passing grades in particular, the University is continuing its review of student files for the period from July 1, 2008 to June 30, 2010 in accordance with the Department of Education’s request. Although the University has not completed the file review, the University did determine, based on current interpretations provided by the Department of Education, that certain Pell grants received by the University for students that later unofficially withdrew should have been returned under applicable return to Title IV rules. Although when the University makes a return to Title IV the applicable student is obligated to repay the University for the amounts returned, the University has decided that it will not seek reimbursement from the applicable students once the returns are made. During the year ended December 31, 2012, the University reserved $3,450 related to these refunds. The University is unable, at this time, to determine whether additional refunds will be necessary as a result of the preliminary findings.</w:t>
      </w:r>
    </w:p>
    <w:p>
      <w:pPr>
        <w:spacing w:after="0" w:line="12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University cannot presently predict whether or if further information requests will be made, how the foregoing issues will be resolved, when the final program review determination letter will be issued, or when the program review will be closed. At this time, the Department of Education has not specified the amount of any potential refunds or penalties that it may seek or assess. The University’s policies and procedures are planned and implemented to comply with the applicable standards and regulations under Title IV and it is committed to resolving any issues of non-compliance identified in the final program review determination letter and ensuring that it operates in compliance with all Department of Education requirements. If the Department of Education were to make significant findings of non-compliance in the final program review determination letter, then, after exhausting any administrative appeals available to the University, it could be required to pay a fine, return Title IV monies previously received, or be subjected to other administrative sanctions. While it cannot currently predict the final outcome of the Department of Education review, any such final adverse finding could damage the University’s reputation in the industry and have a material adverse effect on its business, results of operations, cash flows and financial position.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90/10 Disclosure</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University derives a substantial portion of its revenues from student financial aid received by its students under the Title IV programs administered by the Department of Education pursuant to the Higher Education Act. To continue to participate in the student financial aid programs the University must comply with the regulations promulgated under the Higher Education Act. The regulations restrict the proportion of cash receipts for tuition and fees from eligible programs to not more than 90 percent from Title IV programs (the “90/10 revenue test”). If an institution fails to satisfy the test for one year, its participation status becomes provisional for two consecutive fiscal years. If the test is not satisfied for two consecutive years, eligibility to participate in Title IV programs is lost for at least two fiscal years. Using the Department of Education’s cash-basis, regulatory formula under the 90/10 Rule as currently in effect, for its 2012, 2011, and 2010 fiscal years, the University derived 80.3%, 80.2%, and 84.9%, respectively, for its 90/10 revenue from Title IV program funds.</w:t>
      </w:r>
    </w:p>
    <w:p>
      <w:pPr>
        <w:spacing w:after="0" w:line="193" w:lineRule="exact"/>
        <w:rPr>
          <w:sz w:val="20"/>
          <w:szCs w:val="20"/>
          <w:color w:val="auto"/>
        </w:rPr>
      </w:pPr>
    </w:p>
    <w:p>
      <w:pPr>
        <w:ind w:right="8620" w:firstLine="8"/>
        <w:spacing w:after="0" w:line="347" w:lineRule="auto"/>
        <w:tabs>
          <w:tab w:leader="none" w:pos="263"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Share-Based Compensation Plans </w:t>
      </w:r>
      <w:r>
        <w:rPr>
          <w:rFonts w:ascii="Arial" w:cs="Arial" w:eastAsia="Arial" w:hAnsi="Arial"/>
          <w:sz w:val="18"/>
          <w:szCs w:val="18"/>
          <w:b w:val="1"/>
          <w:bCs w:val="1"/>
          <w:i w:val="1"/>
          <w:iCs w:val="1"/>
          <w:color w:val="auto"/>
        </w:rPr>
        <w:t>Adoption of Equity Plans</w:t>
      </w:r>
    </w:p>
    <w:p>
      <w:pPr>
        <w:spacing w:after="0" w:line="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September 27, 2008 the University’s shareholders approved the adoption of the 2008 Equity Incentive Plan (“Incentive Plan”) and the 2008 Employee Stock Purchase (“ESPP”). A total of 4,200 shares of the University’s common stock was originally authorized for issuance under the Incentive Plan. On January 1 of each subsequent year in accordance with the terms of the Incentive Plan, the number of shares authorized for issuance under the Incentive Plan automatically increased by 2.5% of the number of shares of common stock issued and outstanding on December 31, raising the total number of shares of common stock authorized for issuance under the Incentive Plan to 9,847 shares effective January 1, 2013. Although the ESPP has not yet been implemented, a total of 1,050 shares of the University’s common stock have been authorized for sale under the ESPP.</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Restricted Stock</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fiscal year 2012, the University granted 552 shares of common stock with a service vesting condition to certain of its executives, officers, faculty and employees. The restricted shares have voting rights and vest evenly at 20% over each of the next five years. Upon vesting, shares will be held in lieu of taxes equivalent to the minimum statutory tax withholding required to be paid when the restricted stock vests. In 2012, 2011, and 2010 the University granted 11, 6, and 4 shares of common stock, to certain of the non-employee members of the University’s board of directors. The restricted shares have voting rights and vest within one year of the date of grant.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restricted stock granted under the University’s Incentive Plan is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7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2009</w:t>
            </w:r>
          </w:p>
        </w:tc>
        <w:tc>
          <w:tcPr>
            <w:tcW w:w="20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Granted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208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2010</w:t>
            </w:r>
          </w:p>
        </w:tc>
        <w:tc>
          <w:tcPr>
            <w:tcW w:w="20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2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gridSpan w:val="2"/>
            <w:vMerge w:val="continue"/>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208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2011</w:t>
            </w:r>
          </w:p>
        </w:tc>
        <w:tc>
          <w:tcPr>
            <w:tcW w:w="20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2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gridSpan w:val="2"/>
            <w:vMerge w:val="continue"/>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563</w:t>
            </w:r>
          </w:p>
        </w:tc>
        <w:tc>
          <w:tcPr>
            <w:tcW w:w="32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208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2012</w:t>
            </w:r>
          </w:p>
        </w:tc>
        <w:tc>
          <w:tcPr>
            <w:tcW w:w="208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As of December 31, 2012, there was approximately $7,531 of total unrecognized share-based compensation cost, net of estimated forfeitures, related to unvested restricted stock awards. These costs are expected to be recognized over a weighted average period of 2.6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2011 and 2010, the University granted time vested options to purchase shares of common stock with an exercise price equal to the fair market value on the date of grant. The time vested options vest ratably over a period of five years for employees and expire ten years from the date of grant. A summary of the activity related to stock options granted under the University’s Incentive Plan is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4"/>
              </w:rPr>
              <w:t>Summary of Stock Options Outstanding</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Weighted</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Average</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Weighted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Exercise</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Average</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7"/>
              </w:rPr>
              <w:t>Price</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7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per</w:t>
            </w: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80" w:type="dxa"/>
            <w:vAlign w:val="bottom"/>
          </w:tcPr>
          <w:p>
            <w:pPr>
              <w:spacing w:after="0"/>
              <w:rPr>
                <w:sz w:val="12"/>
                <w:szCs w:val="12"/>
                <w:color w:val="auto"/>
              </w:rPr>
            </w:pP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7"/>
              </w:rPr>
              <w:t>Share</w:t>
            </w: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Term (Years)</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8"/>
              </w:rPr>
              <w:t xml:space="preserve">Value </w:t>
            </w:r>
            <w:r>
              <w:rPr>
                <w:rFonts w:ascii="Arial" w:cs="Arial" w:eastAsia="Arial" w:hAnsi="Arial"/>
                <w:sz w:val="14"/>
                <w:szCs w:val="14"/>
                <w:b w:val="1"/>
                <w:bCs w:val="1"/>
                <w:u w:val="single" w:color="auto"/>
                <w:color w:val="auto"/>
                <w:w w:val="98"/>
              </w:rPr>
              <w:t>($</w:t>
            </w:r>
            <w:r>
              <w:rPr>
                <w:rFonts w:ascii="Arial" w:cs="Arial" w:eastAsia="Arial" w:hAnsi="Arial"/>
                <w:sz w:val="14"/>
                <w:szCs w:val="14"/>
                <w:b w:val="1"/>
                <w:bCs w:val="1"/>
                <w:color w:val="auto"/>
                <w:w w:val="98"/>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2009</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3,350</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12.30</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922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21.29</w:t>
            </w: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12.12</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17.45</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2010</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4,026</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14.24</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w w:val="97"/>
              </w:rPr>
              <w:t>15.34</w:t>
            </w: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20" w:type="dxa"/>
            <w:vAlign w:val="bottom"/>
            <w:gridSpan w:val="2"/>
            <w:vMerge w:val="continue"/>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1,250</w:t>
            </w:r>
          </w:p>
        </w:tc>
        <w:tc>
          <w:tcPr>
            <w:tcW w:w="4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12.00</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(172)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17.29</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2011</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4,964</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14.47</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20" w:type="dxa"/>
            <w:vAlign w:val="bottom"/>
            <w:gridSpan w:val="2"/>
            <w:vMerge w:val="continue"/>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(611)</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13.16</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17.63</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2012</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4,229</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14.57</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6.71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December 31, 2012</w:t>
            </w: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vMerge w:val="restart"/>
          </w:tcPr>
          <w:p>
            <w:pPr>
              <w:ind w:left="300"/>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w w:val="97"/>
              </w:rPr>
              <w:t>13.44</w:t>
            </w:r>
          </w:p>
        </w:tc>
        <w:tc>
          <w:tcPr>
            <w:tcW w:w="132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6.22</w:t>
            </w:r>
          </w:p>
        </w:tc>
        <w:tc>
          <w:tcPr>
            <w:tcW w:w="80" w:type="dxa"/>
            <w:vAlign w:val="bottom"/>
            <w:vMerge w:val="restart"/>
          </w:tcPr>
          <w:p>
            <w:pPr>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23,524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2,345</w:t>
            </w:r>
          </w:p>
        </w:tc>
        <w:tc>
          <w:tcPr>
            <w:tcW w:w="4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December 31, 2012</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2,772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60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December 31, 2012 ($23.47) in excess of the exercise price multiplied by the number of options outstanding or exercisable.</w:t>
      </w:r>
    </w:p>
    <w:p>
      <w:pPr>
        <w:sectPr>
          <w:pgSz w:w="11900" w:h="16838" w:orient="portrait"/>
          <w:cols w:equalWidth="0" w:num="1">
            <w:col w:w="11400"/>
          </w:cols>
          <w:pgMar w:left="240" w:top="459" w:right="259" w:bottom="1440"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00"/>
          </w:cols>
          <w:pgMar w:left="240" w:top="459" w:right="25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As of December 31, 2012, there was approximately $11,280 of total unrecognized share-based compensation cost, net of estimated forfeitures, related to unvested stock options. These costs are expected to be recognized over a weighted average period of 1.6 years.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related to stock options exercised for years ended December 31, 2012, 2011 and 2010:</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880" w:type="dxa"/>
            <w:vAlign w:val="bottom"/>
            <w:gridSpan w:val="2"/>
          </w:tcPr>
          <w:p>
            <w:pPr>
              <w:jc w:val="center"/>
              <w:ind w:left="1299"/>
              <w:spacing w:after="0"/>
              <w:rPr>
                <w:sz w:val="20"/>
                <w:szCs w:val="20"/>
                <w:color w:val="auto"/>
              </w:rPr>
            </w:pPr>
            <w:r>
              <w:rPr>
                <w:rFonts w:ascii="Arial" w:cs="Arial" w:eastAsia="Arial" w:hAnsi="Arial"/>
                <w:sz w:val="14"/>
                <w:szCs w:val="14"/>
                <w:b w:val="1"/>
                <w:bCs w:val="1"/>
                <w:color w:val="auto"/>
                <w:w w:val="83"/>
              </w:rPr>
              <w:t>2012</w:t>
            </w:r>
          </w:p>
        </w:tc>
        <w:tc>
          <w:tcPr>
            <w:tcW w:w="4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9"/>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r>
      <w:tr>
        <w:trPr>
          <w:trHeight w:val="196"/>
        </w:trPr>
        <w:tc>
          <w:tcPr>
            <w:tcW w:w="5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Amounts related to options exercised:</w:t>
            </w:r>
          </w:p>
        </w:tc>
        <w:tc>
          <w:tcPr>
            <w:tcW w:w="1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Intrinsic value realized by optionee</w:t>
            </w:r>
          </w:p>
        </w:tc>
        <w:tc>
          <w:tcPr>
            <w:tcW w:w="2340" w:type="dxa"/>
            <w:vAlign w:val="bottom"/>
            <w:gridSpan w:val="3"/>
          </w:tcPr>
          <w:p>
            <w:pPr>
              <w:jc w:val="center"/>
              <w:ind w:left="839"/>
              <w:spacing w:after="0"/>
              <w:rPr>
                <w:sz w:val="20"/>
                <w:szCs w:val="20"/>
                <w:color w:val="auto"/>
              </w:rPr>
            </w:pPr>
            <w:r>
              <w:rPr>
                <w:rFonts w:ascii="Arial" w:cs="Arial" w:eastAsia="Arial" w:hAnsi="Arial"/>
                <w:sz w:val="18"/>
                <w:szCs w:val="18"/>
                <w:color w:val="auto"/>
                <w:w w:val="90"/>
              </w:rPr>
              <w:t>$4,683</w:t>
            </w:r>
          </w:p>
        </w:tc>
        <w:tc>
          <w:tcPr>
            <w:tcW w:w="820" w:type="dxa"/>
            <w:vAlign w:val="bottom"/>
            <w:gridSpan w:val="2"/>
          </w:tcPr>
          <w:p>
            <w:pPr>
              <w:jc w:val="center"/>
              <w:ind w:right="460"/>
              <w:spacing w:after="0"/>
              <w:rPr>
                <w:sz w:val="20"/>
                <w:szCs w:val="20"/>
                <w:color w:val="auto"/>
              </w:rPr>
            </w:pPr>
            <w:r>
              <w:rPr>
                <w:rFonts w:ascii="Arial" w:cs="Arial" w:eastAsia="Arial" w:hAnsi="Arial"/>
                <w:sz w:val="18"/>
                <w:szCs w:val="18"/>
                <w:color w:val="auto"/>
                <w:w w:val="89"/>
              </w:rPr>
              <w:t>$403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1,407</w:t>
            </w: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Actual tax benefit realized by the University for tax deductions</w:t>
            </w:r>
          </w:p>
        </w:tc>
        <w:tc>
          <w:tcPr>
            <w:tcW w:w="2340" w:type="dxa"/>
            <w:vAlign w:val="bottom"/>
            <w:gridSpan w:val="3"/>
            <w:shd w:val="clear" w:color="auto" w:fill="CCEEFF"/>
          </w:tcPr>
          <w:p>
            <w:pPr>
              <w:jc w:val="center"/>
              <w:ind w:left="839"/>
              <w:spacing w:after="0"/>
              <w:rPr>
                <w:sz w:val="20"/>
                <w:szCs w:val="20"/>
                <w:color w:val="auto"/>
              </w:rPr>
            </w:pPr>
            <w:r>
              <w:rPr>
                <w:rFonts w:ascii="Arial" w:cs="Arial" w:eastAsia="Arial" w:hAnsi="Arial"/>
                <w:sz w:val="18"/>
                <w:szCs w:val="18"/>
                <w:color w:val="auto"/>
                <w:w w:val="90"/>
              </w:rPr>
              <w:t>$1,873</w:t>
            </w:r>
          </w:p>
        </w:tc>
        <w:tc>
          <w:tcPr>
            <w:tcW w:w="82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9"/>
              </w:rPr>
              <w:t>$161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received from stock option exercises during fiscal year 2012, 2011 and 2010 totaled approximately $8,049, $1,681 and $1,747,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Share-based Compensation Expense Assumptions – Restricted Stock Awards</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Stock-based compensation expense related to restricted stock grants is expensed over the vesting period using the straight-line method for University employees and the University’s board of directors and is measured using the University’s stock price on the date of grant, net of estimated forfeitures. The restricted shares have voting rights.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Share-based Compensation Expense Assumptions – 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University granted stock options in 2011 and 2010. No stock options were granted in 2012.</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Fair Value. </w:t>
      </w:r>
      <w:r>
        <w:rPr>
          <w:rFonts w:ascii="Arial" w:cs="Arial" w:eastAsia="Arial" w:hAnsi="Arial"/>
          <w:sz w:val="18"/>
          <w:szCs w:val="18"/>
          <w:color w:val="auto"/>
        </w:rPr>
        <w:t>The University uses the Black-Scholes-Merton option pricing model to estimate the fair value of the University’s options as of the grant dates</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following weighted average assumptions: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1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2760" w:type="dxa"/>
            <w:vAlign w:val="bottom"/>
          </w:tcPr>
          <w:p>
            <w:pPr>
              <w:spacing w:after="0"/>
              <w:rPr>
                <w:sz w:val="15"/>
                <w:szCs w:val="15"/>
                <w:color w:val="auto"/>
              </w:rPr>
            </w:pPr>
          </w:p>
        </w:tc>
        <w:tc>
          <w:tcPr>
            <w:tcW w:w="28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5"/>
                <w:szCs w:val="15"/>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5"/>
                <w:szCs w:val="15"/>
                <w:color w:val="auto"/>
              </w:rPr>
            </w:pPr>
          </w:p>
        </w:tc>
      </w:tr>
      <w:tr>
        <w:trPr>
          <w:trHeight w:val="203"/>
        </w:trPr>
        <w:tc>
          <w:tcPr>
            <w:tcW w:w="4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fair value</w:t>
            </w:r>
          </w:p>
        </w:tc>
        <w:tc>
          <w:tcPr>
            <w:tcW w:w="2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$ 6.98</w:t>
            </w:r>
          </w:p>
        </w:tc>
        <w:tc>
          <w:tcPr>
            <w:tcW w:w="4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$10.74</w:t>
            </w: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320" w:type="dxa"/>
            <w:vAlign w:val="bottom"/>
            <w:gridSpan w:val="3"/>
          </w:tcPr>
          <w:p>
            <w:pPr>
              <w:jc w:val="right"/>
              <w:ind w:right="300"/>
              <w:spacing w:after="0"/>
              <w:rPr>
                <w:sz w:val="20"/>
                <w:szCs w:val="20"/>
                <w:color w:val="auto"/>
              </w:rPr>
            </w:pPr>
            <w:r>
              <w:rPr>
                <w:rFonts w:ascii="Arial" w:cs="Arial" w:eastAsia="Arial" w:hAnsi="Arial"/>
                <w:sz w:val="18"/>
                <w:szCs w:val="18"/>
                <w:color w:val="auto"/>
              </w:rPr>
              <w:t>41.85%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47.50%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0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320" w:type="dxa"/>
            <w:vAlign w:val="bottom"/>
            <w:gridSpan w:val="3"/>
          </w:tcPr>
          <w:p>
            <w:pPr>
              <w:jc w:val="right"/>
              <w:ind w:right="300"/>
              <w:spacing w:after="0"/>
              <w:rPr>
                <w:sz w:val="20"/>
                <w:szCs w:val="20"/>
                <w:color w:val="auto"/>
              </w:rPr>
            </w:pPr>
            <w:r>
              <w:rPr>
                <w:rFonts w:ascii="Arial" w:cs="Arial" w:eastAsia="Arial" w:hAnsi="Arial"/>
                <w:sz w:val="18"/>
                <w:szCs w:val="18"/>
                <w:color w:val="auto"/>
              </w:rPr>
              <w:t>2.58%</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2.87%</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As the University’s stock had not been publicly traded prior to November 2008, the expected volatility assumption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2010 reflects an average of volatilities of the University’s peer group of public education companies with a period equal to the expected life of the options. Beginning on January 1, 2011, the University believes that the use of Grand Canyon Education, Inc.’s historical stock price provides a more accurate estimate of expected volatility and, consequently, a better estimate of fair value of the University’s stock options. Therefore, the expected volatility assumption for the year ended December 31, 2011 is based upon the University’s historical stock price. This change in estimate did not have a material impact on the University’s operating income, net income or net income per common share.</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Expected Life (years). </w:t>
      </w:r>
      <w:r>
        <w:rPr>
          <w:rFonts w:ascii="Arial" w:cs="Arial" w:eastAsia="Arial" w:hAnsi="Arial"/>
          <w:sz w:val="18"/>
          <w:szCs w:val="18"/>
          <w:color w:val="auto"/>
        </w:rPr>
        <w:t>The University continues to use the simplified method to estimate the expected term of stock options under certain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The simplified method for estimating expected term is to use the mid-point between the vesting term and the contractual term of the share option. The University has analyzed the circumstances in which the use of the simplified method is allowed. The University has elected to use the simplified method for options granted in fiscal year 2011 and 2010 because the University does not have historical exercise data to estimate expected term due to the limited time period its shares have been publicly traded.</w:t>
      </w:r>
    </w:p>
    <w:p>
      <w:pPr>
        <w:spacing w:after="0" w:line="14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assumption is based upon the U.S. constant maturity treasury rates as the risk-free rate interpolated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years commensurate with the expected life of the options.</w:t>
      </w:r>
    </w:p>
    <w:p>
      <w:pPr>
        <w:spacing w:after="0" w:line="132" w:lineRule="exact"/>
        <w:rPr>
          <w:sz w:val="20"/>
          <w:szCs w:val="20"/>
          <w:color w:val="auto"/>
        </w:rPr>
      </w:pPr>
    </w:p>
    <w:p>
      <w:pPr>
        <w:jc w:val="center"/>
        <w:ind w:right="380"/>
        <w:spacing w:after="0" w:line="440"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dividend yield assumption is zero since the University does not expect to declare or pay dividends in the foreseeable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Forfeitures are estimated at the time of grant based on historical retention of employees. If necessary, management estimates are adjusted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each reporting period if actual forfeitures differ from those estimates.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Expected Vesting Period. </w:t>
      </w:r>
      <w:r>
        <w:rPr>
          <w:rFonts w:ascii="Arial" w:cs="Arial" w:eastAsia="Arial" w:hAnsi="Arial"/>
          <w:sz w:val="18"/>
          <w:szCs w:val="18"/>
          <w:color w:val="auto"/>
        </w:rPr>
        <w:t>The University amortizes the share-based compensation expense, net of forfeitures, over the expected vesting period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straight-line method.</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table below outlines share-based compensation expense for the fiscal years ended December 31, 2012, 2011 and 2010 related to restricted stock and stock options granted: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8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Instructional costs and services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$ 3,809</w:t>
            </w: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$ 2,935</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Selling and promotional</w:t>
            </w:r>
          </w:p>
        </w:tc>
        <w:tc>
          <w:tcPr>
            <w:tcW w:w="560" w:type="dxa"/>
            <w:vAlign w:val="bottom"/>
          </w:tcPr>
          <w:p>
            <w:pPr>
              <w:jc w:val="right"/>
              <w:spacing w:after="0"/>
              <w:rPr>
                <w:sz w:val="20"/>
                <w:szCs w:val="20"/>
                <w:color w:val="auto"/>
              </w:rPr>
            </w:pPr>
            <w:r>
              <w:rPr>
                <w:rFonts w:ascii="Arial" w:cs="Arial" w:eastAsia="Arial" w:hAnsi="Arial"/>
                <w:sz w:val="18"/>
                <w:szCs w:val="18"/>
                <w:color w:val="auto"/>
              </w:rPr>
              <w:t>393</w:t>
            </w:r>
          </w:p>
        </w:tc>
        <w:tc>
          <w:tcPr>
            <w:tcW w:w="5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297</w:t>
            </w:r>
          </w:p>
        </w:tc>
        <w:tc>
          <w:tcPr>
            <w:tcW w:w="3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5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40" w:type="dxa"/>
            <w:vAlign w:val="bottom"/>
          </w:tcPr>
          <w:p>
            <w:pPr>
              <w:ind w:left="44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560" w:type="dxa"/>
            <w:vAlign w:val="bottom"/>
          </w:tcPr>
          <w:p>
            <w:pPr>
              <w:jc w:val="right"/>
              <w:spacing w:after="0"/>
              <w:rPr>
                <w:sz w:val="20"/>
                <w:szCs w:val="20"/>
                <w:color w:val="auto"/>
              </w:rPr>
            </w:pPr>
            <w:r>
              <w:rPr>
                <w:rFonts w:ascii="Arial" w:cs="Arial" w:eastAsia="Arial" w:hAnsi="Arial"/>
                <w:sz w:val="18"/>
                <w:szCs w:val="18"/>
                <w:color w:val="auto"/>
              </w:rPr>
              <w:t>7,811</w:t>
            </w:r>
          </w:p>
        </w:tc>
        <w:tc>
          <w:tcPr>
            <w:tcW w:w="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6,452</w:t>
            </w:r>
          </w:p>
        </w:tc>
        <w:tc>
          <w:tcPr>
            <w:tcW w:w="3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5,049</w:t>
            </w: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(3,124)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(2,581)</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40"/>
              <w:spacing w:after="0"/>
              <w:rPr>
                <w:sz w:val="20"/>
                <w:szCs w:val="20"/>
                <w:color w:val="auto"/>
              </w:rPr>
            </w:pPr>
            <w:r>
              <w:rPr>
                <w:rFonts w:ascii="Arial" w:cs="Arial" w:eastAsia="Arial" w:hAnsi="Arial"/>
                <w:sz w:val="18"/>
                <w:szCs w:val="18"/>
                <w:b w:val="1"/>
                <w:bCs w:val="1"/>
                <w:color w:val="auto"/>
              </w:rPr>
              <w:t>Share-based compensation expense, net of tax</w:t>
            </w: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$ 4,687</w:t>
            </w:r>
          </w:p>
        </w:tc>
        <w:tc>
          <w:tcPr>
            <w:tcW w:w="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$ 3,871</w:t>
            </w:r>
          </w:p>
        </w:tc>
        <w:tc>
          <w:tcPr>
            <w:tcW w:w="300" w:type="dxa"/>
            <w:vAlign w:val="bottom"/>
          </w:tcPr>
          <w:p>
            <w:pPr>
              <w:spacing w:after="0"/>
              <w:rPr>
                <w:sz w:val="19"/>
                <w:szCs w:val="19"/>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$ 3,029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University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University to make discretionary matching contributions. The University plans to make a matching contribution to the plan of approximately $1,500 for the year ended December 31, 2012. The University made discretionary matching contributions to the plan of $933 and $745 for the years ended December 31, 2011 and 2010,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Related party transactions include transactions between the University and certain of its shareholders and affiliates. The following transactions were in the normal course of operations and were measured at the exchange amount, which is the amount of consideration established and agreed to by the parties.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and for the years ended December 31, 2012, 2011, and 2010, related party transactions consisted of the following: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 xml:space="preserve">Vergo Marketing (“Vergo”) — </w:t>
      </w:r>
      <w:r>
        <w:rPr>
          <w:rFonts w:ascii="Arial" w:cs="Arial" w:eastAsia="Arial" w:hAnsi="Arial"/>
          <w:sz w:val="16"/>
          <w:szCs w:val="16"/>
          <w:color w:val="auto"/>
        </w:rPr>
        <w:t>A member of Vergo is related to the Executive Chairman and Director of the University. Vergo provided marketing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totaling $80 and $249 in the years ended December 31, 2011, and 2010, respectively, of which $8 was owed at December 31,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Mind Streams, LLC (“Mind Streams”), 21st Century, LLC (“21st Century”) and Lifetime Learning — </w:t>
      </w:r>
      <w:r>
        <w:rPr>
          <w:rFonts w:ascii="Arial" w:cs="Arial" w:eastAsia="Arial" w:hAnsi="Arial"/>
          <w:sz w:val="18"/>
          <w:szCs w:val="18"/>
          <w:color w:val="auto"/>
        </w:rPr>
        <w:t>Mind Streams, 21st Century and Lifetime Learning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are owned and operated, in part, by the father of the University’s Executive Chairman. See further discussion in Note 2, Summary of Significant Accounting Policies </w:t>
      </w:r>
      <w:r>
        <w:rPr>
          <w:rFonts w:ascii="Arial" w:cs="Arial" w:eastAsia="Arial" w:hAnsi="Arial"/>
          <w:sz w:val="18"/>
          <w:szCs w:val="18"/>
          <w:i w:val="1"/>
          <w:iCs w:val="1"/>
          <w:color w:val="auto"/>
        </w:rPr>
        <w:t>—</w:t>
      </w:r>
      <w:r>
        <w:rPr>
          <w:rFonts w:ascii="Arial" w:cs="Arial" w:eastAsia="Arial" w:hAnsi="Arial"/>
          <w:sz w:val="18"/>
          <w:szCs w:val="18"/>
          <w:color w:val="auto"/>
        </w:rPr>
        <w:t xml:space="preserve"> Selling and Promotional.</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Grand Canyon University Foundation (“GCUF”) — </w:t>
      </w:r>
      <w:r>
        <w:rPr>
          <w:rFonts w:ascii="Arial" w:cs="Arial" w:eastAsia="Arial" w:hAnsi="Arial"/>
          <w:sz w:val="18"/>
          <w:szCs w:val="18"/>
          <w:color w:val="auto"/>
        </w:rPr>
        <w:t>GCUF was formed in 2010 to support public charities. The University’s President, CEO and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the president of GCUF. All of the board seats are taken by University executives and employees. The University is not the primary beneficiary of GCUF, and accordingly, the University does not consolidate GCUF’s statement of activities with its financial results. Since the formation of GCUF, the University has contributed $200, $5, and $5 for the years ended December 31, 2012, 2011, and 2010, respectively, of which no amounts were owed at December 31, 2012 and 2011, respectively.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Quarterly Results of Operations (Unaudited)</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summarizes the unaudited quarterly results of operations for 2012 and 2011 and should be read in conjunction with other information included in the accompanying consolidated financial statements.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96"/>
              </w:rPr>
              <w:t>2012</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89"/>
              </w:rPr>
              <w:t>First Quarter</w:t>
            </w:r>
          </w:p>
        </w:tc>
        <w:tc>
          <w:tcPr>
            <w:tcW w:w="28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8"/>
              </w:rPr>
              <w:t>Second Quarter</w:t>
            </w:r>
          </w:p>
        </w:tc>
        <w:tc>
          <w:tcPr>
            <w:tcW w:w="48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Third Quarter</w:t>
            </w: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Fourth Quarter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8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117,131</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119,260</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133,568</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Instructional costs and services</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57,354</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Selling and promotional</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34,559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32,755</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36,450</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Total costs and expenses</w:t>
            </w:r>
          </w:p>
        </w:tc>
        <w:tc>
          <w:tcPr>
            <w:tcW w:w="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92,927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93,862</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102,365</w:t>
            </w:r>
          </w:p>
        </w:tc>
        <w:tc>
          <w:tcPr>
            <w:tcW w:w="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31,203</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interest expense</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8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31,065</w:t>
            </w:r>
          </w:p>
        </w:tc>
        <w:tc>
          <w:tcPr>
            <w:tcW w:w="6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Income tax expense</w:t>
            </w:r>
          </w:p>
        </w:tc>
        <w:tc>
          <w:tcPr>
            <w:tcW w:w="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9,748</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12,594</w:t>
            </w:r>
          </w:p>
        </w:tc>
        <w:tc>
          <w:tcPr>
            <w:tcW w:w="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18,471</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20,909</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per share(1)</w:t>
            </w:r>
          </w:p>
        </w:tc>
        <w:tc>
          <w:tcPr>
            <w:tcW w:w="10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income per share(1)</w:t>
            </w: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2"/>
            <w:vMerge w:val="continue"/>
          </w:tcPr>
          <w:p>
            <w:pPr>
              <w:spacing w:after="0"/>
              <w:rPr>
                <w:sz w:val="18"/>
                <w:szCs w:val="18"/>
                <w:color w:val="auto"/>
              </w:rPr>
            </w:pPr>
          </w:p>
        </w:tc>
        <w:tc>
          <w:tcPr>
            <w:tcW w:w="10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0.32</w:t>
            </w:r>
          </w:p>
        </w:tc>
        <w:tc>
          <w:tcPr>
            <w:tcW w:w="34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0.35</w:t>
            </w:r>
          </w:p>
        </w:tc>
        <w:tc>
          <w:tcPr>
            <w:tcW w:w="140" w:type="dxa"/>
            <w:vAlign w:val="bottom"/>
          </w:tcPr>
          <w:p>
            <w:pPr>
              <w:spacing w:after="0"/>
              <w:rPr>
                <w:sz w:val="18"/>
                <w:szCs w:val="18"/>
                <w:color w:val="auto"/>
              </w:rPr>
            </w:pP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0.41</w:t>
            </w:r>
          </w:p>
        </w:tc>
        <w:tc>
          <w:tcPr>
            <w:tcW w:w="6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44,371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44,365</w:t>
            </w:r>
          </w:p>
        </w:tc>
        <w:tc>
          <w:tcPr>
            <w:tcW w:w="6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45,151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45,169</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45,339</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9"/>
              </w:rPr>
              <w:t>2011</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First Quarter</w:t>
            </w:r>
          </w:p>
        </w:tc>
        <w:tc>
          <w:tcPr>
            <w:tcW w:w="22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5"/>
              </w:rPr>
              <w:t>Second Quarter</w:t>
            </w:r>
          </w:p>
        </w:tc>
        <w:tc>
          <w:tcPr>
            <w:tcW w:w="400" w:type="dxa"/>
            <w:vAlign w:val="bottom"/>
          </w:tcPr>
          <w:p>
            <w:pPr>
              <w:spacing w:after="0"/>
              <w:rPr>
                <w:sz w:val="12"/>
                <w:szCs w:val="12"/>
                <w:color w:val="auto"/>
              </w:rPr>
            </w:pPr>
          </w:p>
        </w:tc>
        <w:tc>
          <w:tcPr>
            <w:tcW w:w="13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Third Quarter</w:t>
            </w: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Fourth Quarter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101,709</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103,118</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108,909</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Instructional costs and services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48,875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46,354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48,933</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Selling and promotional</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29,832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27,709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31,248</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7,038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7,145</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Lease termination costs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922</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88,248</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89,693</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16,170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22,017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20,661</w:t>
            </w: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23,312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interest expense</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1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6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16,095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22,014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20,511</w:t>
            </w:r>
          </w:p>
        </w:tc>
        <w:tc>
          <w:tcPr>
            <w:tcW w:w="2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22,908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7,643</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1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gridSpan w:val="2"/>
            <w:vMerge w:val="continue"/>
          </w:tcPr>
          <w:p>
            <w:pPr>
              <w:spacing w:after="0"/>
              <w:rPr>
                <w:sz w:val="19"/>
                <w:szCs w:val="19"/>
                <w:color w:val="auto"/>
              </w:rPr>
            </w:pPr>
          </w:p>
        </w:tc>
        <w:tc>
          <w:tcPr>
            <w:tcW w:w="16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9,481</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12,873</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12,868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Basic income per share(1)</w:t>
            </w:r>
          </w:p>
        </w:tc>
        <w:tc>
          <w:tcPr>
            <w:tcW w:w="1660" w:type="dxa"/>
            <w:vAlign w:val="bottom"/>
            <w:gridSpan w:val="2"/>
          </w:tcPr>
          <w:p>
            <w:pPr>
              <w:ind w:left="1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0.21</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0.29</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share(1)</w:t>
            </w:r>
          </w:p>
        </w:tc>
        <w:tc>
          <w:tcPr>
            <w:tcW w:w="1660" w:type="dxa"/>
            <w:vAlign w:val="bottom"/>
            <w:gridSpan w:val="2"/>
            <w:shd w:val="clear" w:color="auto" w:fill="CCEEFF"/>
          </w:tcPr>
          <w:p>
            <w:pPr>
              <w:ind w:left="1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0.21</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45,590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44,658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44,302</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44,317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46,089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45,018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44,787</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right="4260" w:hanging="5612"/>
        <w:spacing w:after="0" w:line="675" w:lineRule="auto"/>
        <w:tabs>
          <w:tab w:leader="none" w:pos="4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 95</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members of management, to assist in this evaluation. Our Disclosure Committee meets on a quarterly basis and more often if necessary.</w:t>
      </w:r>
    </w:p>
    <w:p>
      <w:pPr>
        <w:spacing w:after="0" w:line="1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13a-15(e) or 15d-15(e) promulgated under the Exchange Act), as of the end of the period covered by this annual report. Based on that evaluation, our management, including the Principal Executive. Officer and Principal Financial Officer, concluded that our disclosure controls and procedures were effective as of December 31, 2012.</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Attached as exhibits to this Annual Report on Form 10-K are certifications of our Chief Executive Office and Chief Financial Officer, which are required in accordance with Rule 13a-14 of the Exchange Act. This Disclosure Controls and Procedures section includes information concerning management’s evaluation of disclosure controls and procedures referred to in those certifications and, as such, should be read in conjunction with the certifications of our Chief Executive Officer and Chief Financial Officer.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Management is responsible for establishing and maintaining effective internal control over financial reporting, as such term is defined in Exchange Act Rule 13a-15(f).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(“GAAP”).</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90"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13" w:lineRule="exact"/>
        <w:rPr>
          <w:rFonts w:ascii="Arial" w:cs="Arial" w:eastAsia="Arial" w:hAnsi="Arial"/>
          <w:sz w:val="16"/>
          <w:szCs w:val="16"/>
          <w:color w:val="auto"/>
        </w:rPr>
      </w:pPr>
    </w:p>
    <w:p>
      <w:pPr>
        <w:ind w:left="900" w:right="320" w:hanging="446"/>
        <w:spacing w:after="0" w:line="357" w:lineRule="auto"/>
        <w:tabs>
          <w:tab w:leader="none" w:pos="9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consolidated financial statements in accordance with GAAP, and that receipts and expenditures are being made only in accordance with authorizations of our management and directors; and</w:t>
      </w:r>
    </w:p>
    <w:p>
      <w:pPr>
        <w:ind w:left="900" w:right="6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Because of its inherent limitation,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 or that the degree of compliance with the policies and procedures may deteriorate.</w:t>
      </w:r>
    </w:p>
    <w:p>
      <w:pPr>
        <w:spacing w:after="0" w:line="11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Management performed an assessment of the effectiveness of our internal control over financial reporting as of December 31, 2012, utilizing the criteria described in the “Internal Control-Integrated Framework” issued by the Committee of Sponsoring Organizations of the Treadway Commission. The objective of this assessment was to determine whether our internal control over financial reporting was effective as of December 31, 2012. Based on its assessment, management believes that, as of December 31, 2012, the Company’s internal control over financial reporting is effective.</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and for the year ended December 31, 2012 has been audited by KPMG LLP, an independent registered public accounting firm, as stated in their audit report which is included 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8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We have audited Grand Canyon Education, Inc.’s internal control over financial reporting as of December 31, 2012,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of the Treadway Commission (COSO). Grand Canyon Education, Inc.’s</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 xml:space="preserve">In our opinion, Grand Canyon Education, Inc. maintained, in all material respects, effective internal control over financial reporting as of December 31, 2012,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accompanying consolidated balance sheet of Grand Canyon Education, Inc. and subsidiaries as of December 31, 2012, and the related consolidated statements of income, comprehensive income, stockholders’ equity, and cash flows for the year then ended and our report dated February 19, 2013 expressed an unqualified opinion on those consolidated financial statements.</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year ended December 31, 2012, that materially affected, or are reasonably likely to materially affect, our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96"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We have a policy governing transactions in our securities by directors, officers, employees and others which permits these individuals to enter into trading plans complying with Rule 10b5-1 under the Securities Exchange Act of 1934, as amended. Rule 10b5-1 trading plans previously entered into by Brian Mueller, our President, Chief Executive Officer and Director; Dr. W. Stan Meyer, our Chief Operating Officer; and Dan Bachus, our Chief Financial Officer and Principal Accounting Officer, were each terminated on November 9, 2012.</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anticipate that, as permitted by Rule 10b5-1 and our policy governing transactions in our securities, some or all of our directors, officers and employees may establish or terminate trading plans in the future. We intend to disclose the names of executive officers and directors who establish or terminate a trading plan in compliance with Rule 10b5-1 and the requirements of our policy governing transactions in our securities in our future quarterly and annual reports on Form 10-Q and 10-K filed with the Securities and Exchange Commission. We undertake no obligation, however, to update or review the information provided herein, including for revision or termination of an established trading plan, other than in such quarterly and annual reports.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Information relating to our Board of Directors, Executive Officers, and Corporate Governance required by this item appears in the sections entitled “Corporate Governance and Board Matters” and “Proposal No. 1: Election of Directors” in our 2013 proxy statement, to be filed within 120 days of our fiscal year end (December 31, 2012) and such information is incorporated herein by reference.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www.gcu.edu/ Investor Relations/Corporate Governance.</w:t>
      </w:r>
    </w:p>
    <w:p>
      <w:pPr>
        <w:spacing w:after="0" w:line="14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charters of our Audit Committee, Compensation Committee, and Nominating and Corporate Governance Committee are also available in the Corporate Governance section our website located at www.gcu.edu/Investor Relations/Corporate Governance.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Information relating to this item appears in the section entitled “Executive Compensation” in our 2013 proxy statement, to be filed within 120 days of our fiscal year end (December 31, 2012) and such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Information relating to this item appears in the sections entitled “Executive Compensation” and “Beneficial Ownership of Common Stock” in our 2013 proxy statement, to be filed within 120 days of our fiscal year end (December 31, 2012) and such information is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Information relating to this item appears in the sections entitled “Corporate Governance and Board Matters — Director Independence” and “Certain Relationships and Related Party Transactions” in our 2013 proxy statement, to be filed within 120 days of our fiscal year end (December 31, 2012) and such information is incorporated herein by reference.</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Information relating to this item appears in the section entitled “Ratification of Independent Registered Public Accounting Firm — Fees” in our 2013 our proxy statement, to be filed within 120 days of our fiscal year end (December 31, 2012) and such information is incorporated herein by reference.</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00"/>
          </w:cols>
          <w:pgMar w:left="240" w:top="459" w:right="3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500" w:type="dxa"/>
            <w:vAlign w:val="bottom"/>
            <w:gridSpan w:val="5"/>
          </w:tcPr>
          <w:p>
            <w:pPr>
              <w:ind w:left="820"/>
              <w:spacing w:after="0"/>
              <w:rPr>
                <w:sz w:val="20"/>
                <w:szCs w:val="20"/>
                <w:color w:val="auto"/>
              </w:rPr>
            </w:pPr>
            <w:r>
              <w:rPr>
                <w:rFonts w:ascii="Arial" w:cs="Arial" w:eastAsia="Arial" w:hAnsi="Arial"/>
                <w:sz w:val="18"/>
                <w:szCs w:val="18"/>
                <w:b w:val="1"/>
                <w:bCs w:val="1"/>
                <w:color w:val="auto"/>
              </w:rPr>
              <w:t>PART IV</w:t>
            </w:r>
          </w:p>
        </w:tc>
        <w:tc>
          <w:tcPr>
            <w:tcW w:w="280" w:type="dxa"/>
            <w:vAlign w:val="bottom"/>
          </w:tcPr>
          <w:p>
            <w:pPr>
              <w:spacing w:after="0"/>
              <w:rPr>
                <w:sz w:val="19"/>
                <w:szCs w:val="19"/>
                <w:color w:val="auto"/>
              </w:rPr>
            </w:pPr>
          </w:p>
        </w:tc>
      </w:tr>
      <w:tr>
        <w:trPr>
          <w:trHeight w:val="500"/>
        </w:trPr>
        <w:tc>
          <w:tcPr>
            <w:tcW w:w="76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10280" w:type="dxa"/>
            <w:vAlign w:val="bottom"/>
            <w:gridSpan w:val="9"/>
          </w:tcPr>
          <w:p>
            <w:pPr>
              <w:ind w:left="280"/>
              <w:spacing w:after="0"/>
              <w:rPr>
                <w:sz w:val="20"/>
                <w:szCs w:val="20"/>
                <w:color w:val="auto"/>
              </w:rPr>
            </w:pPr>
            <w:r>
              <w:rPr>
                <w:rFonts w:ascii="Arial" w:cs="Arial" w:eastAsia="Arial" w:hAnsi="Arial"/>
                <w:sz w:val="18"/>
                <w:szCs w:val="18"/>
                <w:b w:val="1"/>
                <w:bCs w:val="1"/>
                <w:i w:val="1"/>
                <w:iCs w:val="1"/>
                <w:color w:val="auto"/>
              </w:rPr>
              <w:t>Exhibits, Consolidated Financial Statement Schedules</w:t>
            </w:r>
          </w:p>
        </w:tc>
        <w:tc>
          <w:tcPr>
            <w:tcW w:w="280" w:type="dxa"/>
            <w:vAlign w:val="bottom"/>
          </w:tcPr>
          <w:p>
            <w:pPr>
              <w:spacing w:after="0"/>
              <w:rPr>
                <w:sz w:val="24"/>
                <w:szCs w:val="24"/>
                <w:color w:val="auto"/>
              </w:rPr>
            </w:pPr>
          </w:p>
        </w:tc>
      </w:tr>
      <w:tr>
        <w:trPr>
          <w:trHeight w:val="297"/>
        </w:trPr>
        <w:tc>
          <w:tcPr>
            <w:tcW w:w="11040" w:type="dxa"/>
            <w:vAlign w:val="bottom"/>
            <w:gridSpan w:val="10"/>
          </w:tcPr>
          <w:p>
            <w:pPr>
              <w:spacing w:after="0"/>
              <w:rPr>
                <w:sz w:val="20"/>
                <w:szCs w:val="20"/>
                <w:color w:val="auto"/>
              </w:rPr>
            </w:pPr>
            <w:r>
              <w:rPr>
                <w:rFonts w:ascii="Arial" w:cs="Arial" w:eastAsia="Arial" w:hAnsi="Arial"/>
                <w:sz w:val="18"/>
                <w:szCs w:val="18"/>
                <w:b w:val="1"/>
                <w:bCs w:val="1"/>
                <w:color w:val="auto"/>
              </w:rPr>
              <w:t>(a) The following documents are filed as part of this Annual Report on Form 10-K:</w:t>
            </w:r>
          </w:p>
        </w:tc>
        <w:tc>
          <w:tcPr>
            <w:tcW w:w="280" w:type="dxa"/>
            <w:vAlign w:val="bottom"/>
          </w:tcPr>
          <w:p>
            <w:pPr>
              <w:spacing w:after="0"/>
              <w:rPr>
                <w:sz w:val="24"/>
                <w:szCs w:val="24"/>
                <w:color w:val="auto"/>
              </w:rPr>
            </w:pPr>
          </w:p>
        </w:tc>
      </w:tr>
      <w:tr>
        <w:trPr>
          <w:trHeight w:val="297"/>
        </w:trPr>
        <w:tc>
          <w:tcPr>
            <w:tcW w:w="760" w:type="dxa"/>
            <w:vAlign w:val="bottom"/>
          </w:tcPr>
          <w:p>
            <w:pPr>
              <w:ind w:left="460"/>
              <w:spacing w:after="0"/>
              <w:rPr>
                <w:sz w:val="20"/>
                <w:szCs w:val="20"/>
                <w:color w:val="auto"/>
              </w:rPr>
            </w:pPr>
            <w:r>
              <w:rPr>
                <w:rFonts w:ascii="Arial" w:cs="Arial" w:eastAsia="Arial" w:hAnsi="Arial"/>
                <w:sz w:val="18"/>
                <w:szCs w:val="18"/>
                <w:color w:val="auto"/>
              </w:rPr>
              <w:t>1.</w:t>
            </w:r>
          </w:p>
        </w:tc>
        <w:tc>
          <w:tcPr>
            <w:tcW w:w="10280" w:type="dxa"/>
            <w:vAlign w:val="bottom"/>
            <w:gridSpan w:val="9"/>
          </w:tcPr>
          <w:p>
            <w:pPr>
              <w:ind w:left="140"/>
              <w:spacing w:after="0"/>
              <w:rPr>
                <w:sz w:val="20"/>
                <w:szCs w:val="20"/>
                <w:color w:val="auto"/>
              </w:rPr>
            </w:pPr>
            <w:r>
              <w:rPr>
                <w:rFonts w:ascii="Arial" w:cs="Arial" w:eastAsia="Arial" w:hAnsi="Arial"/>
                <w:sz w:val="18"/>
                <w:szCs w:val="18"/>
                <w:i w:val="1"/>
                <w:iCs w:val="1"/>
                <w:color w:val="auto"/>
              </w:rPr>
              <w:t>Consolidated Financial Statements filed as part of this report</w:t>
            </w:r>
          </w:p>
        </w:tc>
        <w:tc>
          <w:tcPr>
            <w:tcW w:w="280" w:type="dxa"/>
            <w:vAlign w:val="bottom"/>
          </w:tcPr>
          <w:p>
            <w:pPr>
              <w:spacing w:after="0"/>
              <w:rPr>
                <w:sz w:val="24"/>
                <w:szCs w:val="24"/>
                <w:color w:val="auto"/>
              </w:rPr>
            </w:pPr>
          </w:p>
        </w:tc>
      </w:tr>
      <w:tr>
        <w:trPr>
          <w:trHeight w:val="373"/>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Index to Consolidated Financial Statements</w:t>
            </w:r>
          </w:p>
        </w:tc>
        <w:tc>
          <w:tcPr>
            <w:tcW w:w="8380" w:type="dxa"/>
            <w:vAlign w:val="bottom"/>
            <w:gridSpan w:val="8"/>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149"/>
        </w:trPr>
        <w:tc>
          <w:tcPr>
            <w:tcW w:w="4200" w:type="dxa"/>
            <w:vAlign w:val="bottom"/>
            <w:tcBorders>
              <w:bottom w:val="single" w:sz="8" w:color="0000EE"/>
            </w:tcBorders>
            <w:gridSpan w:val="4"/>
          </w:tcPr>
          <w:p>
            <w:pPr>
              <w:spacing w:after="0" w:line="136" w:lineRule="exact"/>
              <w:rPr>
                <w:rFonts w:ascii="Arial" w:cs="Arial" w:eastAsia="Arial" w:hAnsi="Arial"/>
                <w:sz w:val="15"/>
                <w:szCs w:val="15"/>
                <w:color w:val="0000EE"/>
              </w:rPr>
            </w:pPr>
            <w:hyperlink w:anchor="page71">
              <w:r>
                <w:rPr>
                  <w:rFonts w:ascii="Arial" w:cs="Arial" w:eastAsia="Arial" w:hAnsi="Arial"/>
                  <w:sz w:val="15"/>
                  <w:szCs w:val="15"/>
                  <w:color w:val="0000EE"/>
                </w:rPr>
                <w:t>Report of Independent Registered Public Accounting Firms</w:t>
              </w:r>
            </w:hyperlink>
          </w:p>
        </w:tc>
        <w:tc>
          <w:tcPr>
            <w:tcW w:w="6840" w:type="dxa"/>
            <w:vAlign w:val="bottom"/>
            <w:gridSpan w:val="6"/>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70</w:t>
            </w:r>
          </w:p>
        </w:tc>
      </w:tr>
      <w:tr>
        <w:trPr>
          <w:trHeight w:val="210"/>
        </w:trPr>
        <w:tc>
          <w:tcPr>
            <w:tcW w:w="45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73">
              <w:r>
                <w:rPr>
                  <w:rFonts w:ascii="Arial" w:cs="Arial" w:eastAsia="Arial" w:hAnsi="Arial"/>
                  <w:sz w:val="18"/>
                  <w:szCs w:val="18"/>
                  <w:color w:val="0000EE"/>
                  <w:w w:val="86"/>
                </w:rPr>
                <w:t>Consolidated Balance Sheets as of December 31, 2012 and 2011</w:t>
              </w:r>
            </w:hyperlink>
          </w:p>
        </w:tc>
        <w:tc>
          <w:tcPr>
            <w:tcW w:w="6500" w:type="dxa"/>
            <w:vAlign w:val="bottom"/>
            <w:gridSpan w:val="5"/>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196"/>
        </w:trPr>
        <w:tc>
          <w:tcPr>
            <w:tcW w:w="626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74">
              <w:r>
                <w:rPr>
                  <w:rFonts w:ascii="Arial" w:cs="Arial" w:eastAsia="Arial" w:hAnsi="Arial"/>
                  <w:sz w:val="18"/>
                  <w:szCs w:val="18"/>
                  <w:color w:val="0000EE"/>
                  <w:w w:val="86"/>
                </w:rPr>
                <w:t>Consolidated Income Statements for the years ended December 31, 2012, 2011 and 2010</w:t>
              </w:r>
            </w:hyperlink>
          </w:p>
        </w:tc>
        <w:tc>
          <w:tcPr>
            <w:tcW w:w="478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11040" w:type="dxa"/>
            <w:vAlign w:val="bottom"/>
            <w:gridSpan w:val="1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Comprehensive Income for the years ended December 31, 2012, 2011 and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7580" w:type="dxa"/>
            <w:vAlign w:val="bottom"/>
            <w:tcBorders>
              <w:top w:val="single" w:sz="8" w:color="0000EE"/>
            </w:tcBorders>
            <w:gridSpan w:val="9"/>
          </w:tcPr>
          <w:p>
            <w:pPr>
              <w:spacing w:after="0" w:line="196"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Stockholders’ Equity for the years ended December 31, 2012, 2011 and 2010</w:t>
              </w:r>
            </w:hyperlink>
          </w:p>
        </w:tc>
        <w:tc>
          <w:tcPr>
            <w:tcW w:w="34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67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6"/>
              </w:rPr>
            </w:pPr>
            <w:hyperlink w:anchor="page77">
              <w:r>
                <w:rPr>
                  <w:rFonts w:ascii="Arial" w:cs="Arial" w:eastAsia="Arial" w:hAnsi="Arial"/>
                  <w:sz w:val="18"/>
                  <w:szCs w:val="18"/>
                  <w:color w:val="0000EE"/>
                  <w:w w:val="86"/>
                </w:rPr>
                <w:t>Consolidated Statements of Cash Flows for the years ended December 31, 2012, 2011 and 2010</w:t>
              </w:r>
            </w:hyperlink>
          </w:p>
        </w:tc>
        <w:tc>
          <w:tcPr>
            <w:tcW w:w="700" w:type="dxa"/>
            <w:vAlign w:val="bottom"/>
            <w:tcBorders>
              <w:top w:val="single" w:sz="8" w:color="0000EE"/>
            </w:tcBorders>
          </w:tcPr>
          <w:p>
            <w:pPr>
              <w:spacing w:after="0"/>
              <w:rPr>
                <w:sz w:val="17"/>
                <w:szCs w:val="17"/>
                <w:color w:val="auto"/>
              </w:rPr>
            </w:pPr>
          </w:p>
        </w:tc>
        <w:tc>
          <w:tcPr>
            <w:tcW w:w="36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1040" w:type="dxa"/>
            <w:vAlign w:val="bottom"/>
            <w:gridSpan w:val="10"/>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Notes to Consolidated 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76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02"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Consolidated Financial Statement Schedules</w:t>
      </w:r>
      <w:r>
        <w:rPr>
          <w:rFonts w:ascii="Arial" w:cs="Arial" w:eastAsia="Arial" w:hAnsi="Arial"/>
          <w:sz w:val="18"/>
          <w:szCs w:val="18"/>
          <w:color w:val="auto"/>
        </w:rPr>
        <w: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Schedules are omitted because they are not required, or because the information required is included in the Consolidated Financial Statements and Notes thereto.</w:t>
      </w:r>
    </w:p>
    <w:p>
      <w:pPr>
        <w:sectPr>
          <w:pgSz w:w="11900" w:h="16838" w:orient="portrait"/>
          <w:cols w:equalWidth="0" w:num="1">
            <w:col w:w="11360"/>
          </w:cols>
          <w:pgMar w:left="240" w:top="459" w:right="299" w:bottom="1440" w:gutter="0" w:footer="0" w:header="0"/>
        </w:sectPr>
      </w:pPr>
    </w:p>
    <w:p>
      <w:pPr>
        <w:spacing w:after="0" w:line="254"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60" w:type="dxa"/>
            <w:vAlign w:val="bottom"/>
          </w:tcPr>
          <w:p>
            <w:pPr>
              <w:spacing w:after="0"/>
              <w:rPr>
                <w:sz w:val="14"/>
                <w:szCs w:val="14"/>
                <w:color w:val="auto"/>
              </w:rPr>
            </w:pPr>
          </w:p>
        </w:tc>
        <w:tc>
          <w:tcPr>
            <w:tcW w:w="506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5520" w:type="dxa"/>
            <w:vAlign w:val="bottom"/>
            <w:gridSpan w:val="2"/>
          </w:tcPr>
          <w:p>
            <w:pPr>
              <w:ind w:left="460"/>
              <w:spacing w:after="0"/>
              <w:rPr>
                <w:sz w:val="20"/>
                <w:szCs w:val="20"/>
                <w:color w:val="auto"/>
              </w:rPr>
            </w:pPr>
            <w:r>
              <w:rPr>
                <w:rFonts w:ascii="Arial" w:cs="Arial" w:eastAsia="Arial" w:hAnsi="Arial"/>
                <w:sz w:val="18"/>
                <w:szCs w:val="18"/>
                <w:color w:val="auto"/>
              </w:rPr>
              <w:t>Amended and Restated Certificate of Incorporation</w:t>
            </w:r>
          </w:p>
        </w:tc>
      </w:tr>
      <w:tr>
        <w:trPr>
          <w:trHeight w:val="756"/>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5520" w:type="dxa"/>
            <w:vAlign w:val="bottom"/>
            <w:gridSpan w:val="2"/>
          </w:tcPr>
          <w:p>
            <w:pPr>
              <w:ind w:left="460"/>
              <w:spacing w:after="0"/>
              <w:rPr>
                <w:sz w:val="20"/>
                <w:szCs w:val="20"/>
                <w:color w:val="auto"/>
              </w:rPr>
            </w:pPr>
            <w:r>
              <w:rPr>
                <w:rFonts w:ascii="Arial" w:cs="Arial" w:eastAsia="Arial" w:hAnsi="Arial"/>
                <w:sz w:val="18"/>
                <w:szCs w:val="18"/>
                <w:color w:val="auto"/>
              </w:rPr>
              <w:t>Second Amended and Restated Bylaws</w:t>
            </w:r>
          </w:p>
        </w:tc>
      </w:tr>
      <w:tr>
        <w:trPr>
          <w:trHeight w:val="540"/>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5520" w:type="dxa"/>
            <w:vAlign w:val="bottom"/>
            <w:gridSpan w:val="2"/>
          </w:tcPr>
          <w:p>
            <w:pPr>
              <w:ind w:left="460"/>
              <w:spacing w:after="0"/>
              <w:rPr>
                <w:sz w:val="20"/>
                <w:szCs w:val="20"/>
                <w:color w:val="auto"/>
              </w:rPr>
            </w:pPr>
            <w:r>
              <w:rPr>
                <w:rFonts w:ascii="Arial" w:cs="Arial" w:eastAsia="Arial" w:hAnsi="Arial"/>
                <w:sz w:val="18"/>
                <w:szCs w:val="18"/>
                <w:color w:val="auto"/>
              </w:rPr>
              <w:t>Specimen of Stock Certificate</w:t>
            </w:r>
          </w:p>
        </w:tc>
      </w:tr>
      <w:tr>
        <w:trPr>
          <w:trHeight w:val="750"/>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5520" w:type="dxa"/>
            <w:vAlign w:val="bottom"/>
            <w:gridSpan w:val="2"/>
          </w:tcPr>
          <w:p>
            <w:pPr>
              <w:ind w:left="460"/>
              <w:spacing w:after="0"/>
              <w:rPr>
                <w:sz w:val="20"/>
                <w:szCs w:val="20"/>
                <w:color w:val="auto"/>
              </w:rPr>
            </w:pPr>
            <w:r>
              <w:rPr>
                <w:rFonts w:ascii="Arial" w:cs="Arial" w:eastAsia="Arial" w:hAnsi="Arial"/>
                <w:sz w:val="18"/>
                <w:szCs w:val="18"/>
                <w:color w:val="auto"/>
                <w:w w:val="95"/>
              </w:rPr>
              <w:t>Amended and Restated Executive Employment Agreement, dated</w:t>
            </w:r>
          </w:p>
        </w:tc>
      </w:tr>
      <w:tr>
        <w:trPr>
          <w:trHeight w:val="222"/>
        </w:trPr>
        <w:tc>
          <w:tcPr>
            <w:tcW w:w="500" w:type="dxa"/>
            <w:vAlign w:val="bottom"/>
          </w:tcPr>
          <w:p>
            <w:pPr>
              <w:spacing w:after="0"/>
              <w:rPr>
                <w:sz w:val="19"/>
                <w:szCs w:val="19"/>
                <w:color w:val="auto"/>
              </w:rPr>
            </w:pPr>
          </w:p>
        </w:tc>
        <w:tc>
          <w:tcPr>
            <w:tcW w:w="5520" w:type="dxa"/>
            <w:vAlign w:val="bottom"/>
            <w:gridSpan w:val="2"/>
          </w:tcPr>
          <w:p>
            <w:pPr>
              <w:ind w:left="460"/>
              <w:spacing w:after="0"/>
              <w:rPr>
                <w:sz w:val="20"/>
                <w:szCs w:val="20"/>
                <w:color w:val="auto"/>
              </w:rPr>
            </w:pPr>
            <w:r>
              <w:rPr>
                <w:rFonts w:ascii="Arial" w:cs="Arial" w:eastAsia="Arial" w:hAnsi="Arial"/>
                <w:sz w:val="18"/>
                <w:szCs w:val="18"/>
                <w:color w:val="auto"/>
                <w:w w:val="92"/>
              </w:rPr>
              <w:t>September 10, 2008, by and between Grand Canyon Education, Inc.</w:t>
            </w:r>
          </w:p>
        </w:tc>
      </w:tr>
    </w:tbl>
    <w:p>
      <w:pPr>
        <w:ind w:left="960"/>
        <w:spacing w:after="0"/>
        <w:rPr>
          <w:sz w:val="20"/>
          <w:szCs w:val="20"/>
          <w:color w:val="auto"/>
        </w:rPr>
      </w:pPr>
      <w:r>
        <w:rPr>
          <w:rFonts w:ascii="Arial" w:cs="Arial" w:eastAsia="Arial" w:hAnsi="Arial"/>
          <w:sz w:val="18"/>
          <w:szCs w:val="18"/>
          <w:color w:val="auto"/>
        </w:rPr>
        <w:t>and Brent Richardson†</w:t>
      </w:r>
    </w:p>
    <w:p>
      <w:pPr>
        <w:spacing w:after="0" w:line="1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4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32156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8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August 2, 2010.</w:t>
      </w:r>
    </w:p>
    <w:p>
      <w:pPr>
        <w:spacing w:after="0" w:line="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Incorporated by reference to Exhibit 10.1 to Amendment No. 2 to the University’s Registration Statement on Form S-1 filed with the SEC on September 29, 2008.</w:t>
      </w:r>
    </w:p>
    <w:p>
      <w:pPr>
        <w:sectPr>
          <w:pgSz w:w="11900" w:h="16838" w:orient="portrait"/>
          <w:cols w:equalWidth="0" w:num="2">
            <w:col w:w="6020" w:space="340"/>
            <w:col w:w="5000"/>
          </w:cols>
          <w:pgMar w:left="240" w:top="459" w:right="29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6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4"/>
                <w:szCs w:val="14"/>
                <w:color w:val="auto"/>
              </w:rPr>
            </w:pPr>
          </w:p>
        </w:tc>
        <w:tc>
          <w:tcPr>
            <w:tcW w:w="502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Method of Filing</w:t>
            </w:r>
          </w:p>
        </w:tc>
      </w:tr>
      <w:tr>
        <w:trPr>
          <w:trHeight w:val="302"/>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2008</w:t>
            </w: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Equity Incentive Plan, as amended†</w:t>
            </w:r>
          </w:p>
        </w:tc>
        <w:tc>
          <w:tcPr>
            <w:tcW w:w="5020" w:type="dxa"/>
            <w:vAlign w:val="bottom"/>
          </w:tcPr>
          <w:p>
            <w:pPr>
              <w:spacing w:after="0"/>
              <w:rPr>
                <w:sz w:val="20"/>
                <w:szCs w:val="20"/>
                <w:color w:val="auto"/>
              </w:rPr>
            </w:pPr>
            <w:r>
              <w:rPr>
                <w:rFonts w:ascii="Arial" w:cs="Arial" w:eastAsia="Arial" w:hAnsi="Arial"/>
                <w:sz w:val="18"/>
                <w:szCs w:val="18"/>
                <w:color w:val="auto"/>
                <w:w w:val="90"/>
              </w:rPr>
              <w:t>Incorporated by reference to Exhibit 10.1 to the University’s Quarterly</w:t>
            </w:r>
          </w:p>
        </w:tc>
      </w:tr>
      <w:tr>
        <w:trPr>
          <w:trHeight w:val="222"/>
        </w:trPr>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7"/>
              </w:rPr>
              <w:t>Report on Form 10-Q filed with the SEC on November 14, 2011.</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2008</w:t>
            </w: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Employee Stock Purchase Plan†</w:t>
            </w:r>
          </w:p>
        </w:tc>
        <w:tc>
          <w:tcPr>
            <w:tcW w:w="5020" w:type="dxa"/>
            <w:vAlign w:val="bottom"/>
          </w:tcPr>
          <w:p>
            <w:pPr>
              <w:spacing w:after="0"/>
              <w:rPr>
                <w:sz w:val="20"/>
                <w:szCs w:val="20"/>
                <w:color w:val="auto"/>
              </w:rPr>
            </w:pPr>
            <w:r>
              <w:rPr>
                <w:rFonts w:ascii="Arial" w:cs="Arial" w:eastAsia="Arial" w:hAnsi="Arial"/>
                <w:sz w:val="18"/>
                <w:szCs w:val="18"/>
                <w:color w:val="auto"/>
                <w:w w:val="91"/>
              </w:rPr>
              <w:t>Incorporated by reference to Exhibit 10.5 to Amendment No. 2 to the</w:t>
            </w:r>
          </w:p>
        </w:tc>
      </w:tr>
      <w:tr>
        <w:trPr>
          <w:trHeight w:val="216"/>
        </w:trPr>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89"/>
              </w:rPr>
              <w:t>University’s Registration Statement on Form S-1 filed with the SEC on</w:t>
            </w:r>
          </w:p>
        </w:tc>
      </w:tr>
      <w:tr>
        <w:trPr>
          <w:trHeight w:val="222"/>
        </w:trPr>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September 29, 2008.</w:t>
            </w:r>
          </w:p>
        </w:tc>
      </w:tr>
    </w:tbl>
    <w:p>
      <w:pPr>
        <w:spacing w:after="0" w:line="102"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10.4</w:t>
            </w:r>
          </w:p>
        </w:tc>
        <w:tc>
          <w:tcPr>
            <w:tcW w:w="5600" w:type="dxa"/>
            <w:vAlign w:val="bottom"/>
          </w:tcPr>
          <w:p>
            <w:pPr>
              <w:ind w:left="380"/>
              <w:spacing w:after="0"/>
              <w:rPr>
                <w:sz w:val="20"/>
                <w:szCs w:val="20"/>
                <w:color w:val="auto"/>
              </w:rPr>
            </w:pPr>
            <w:r>
              <w:rPr>
                <w:rFonts w:ascii="Arial" w:cs="Arial" w:eastAsia="Arial" w:hAnsi="Arial"/>
                <w:sz w:val="18"/>
                <w:szCs w:val="18"/>
                <w:color w:val="auto"/>
                <w:w w:val="87"/>
              </w:rPr>
              <w:t>Amended and Restated Executive Employment Agreement, dated July 30,</w:t>
            </w:r>
          </w:p>
        </w:tc>
      </w:tr>
      <w:tr>
        <w:trPr>
          <w:trHeight w:val="216"/>
        </w:trPr>
        <w:tc>
          <w:tcPr>
            <w:tcW w:w="680" w:type="dxa"/>
            <w:vAlign w:val="bottom"/>
          </w:tcPr>
          <w:p>
            <w:pPr>
              <w:spacing w:after="0"/>
              <w:rPr>
                <w:sz w:val="18"/>
                <w:szCs w:val="18"/>
                <w:color w:val="auto"/>
              </w:rPr>
            </w:pPr>
          </w:p>
        </w:tc>
        <w:tc>
          <w:tcPr>
            <w:tcW w:w="5600" w:type="dxa"/>
            <w:vAlign w:val="bottom"/>
          </w:tcPr>
          <w:p>
            <w:pPr>
              <w:ind w:left="380"/>
              <w:spacing w:after="0"/>
              <w:rPr>
                <w:sz w:val="20"/>
                <w:szCs w:val="20"/>
                <w:color w:val="auto"/>
              </w:rPr>
            </w:pPr>
            <w:r>
              <w:rPr>
                <w:rFonts w:ascii="Arial" w:cs="Arial" w:eastAsia="Arial" w:hAnsi="Arial"/>
                <w:sz w:val="18"/>
                <w:szCs w:val="18"/>
                <w:color w:val="auto"/>
                <w:w w:val="98"/>
              </w:rPr>
              <w:t>2012, by and between Grand Canyon Education, Inc. and Brian E.</w:t>
            </w:r>
          </w:p>
        </w:tc>
      </w:tr>
      <w:tr>
        <w:trPr>
          <w:trHeight w:val="222"/>
        </w:trPr>
        <w:tc>
          <w:tcPr>
            <w:tcW w:w="680" w:type="dxa"/>
            <w:vAlign w:val="bottom"/>
          </w:tcPr>
          <w:p>
            <w:pPr>
              <w:spacing w:after="0"/>
              <w:rPr>
                <w:sz w:val="19"/>
                <w:szCs w:val="19"/>
                <w:color w:val="auto"/>
              </w:rPr>
            </w:pPr>
          </w:p>
        </w:tc>
        <w:tc>
          <w:tcPr>
            <w:tcW w:w="5600" w:type="dxa"/>
            <w:vAlign w:val="bottom"/>
          </w:tcPr>
          <w:p>
            <w:pPr>
              <w:ind w:left="380"/>
              <w:spacing w:after="0"/>
              <w:rPr>
                <w:sz w:val="20"/>
                <w:szCs w:val="20"/>
                <w:color w:val="auto"/>
              </w:rPr>
            </w:pPr>
            <w:r>
              <w:rPr>
                <w:rFonts w:ascii="Arial" w:cs="Arial" w:eastAsia="Arial" w:hAnsi="Arial"/>
                <w:sz w:val="18"/>
                <w:szCs w:val="18"/>
                <w:color w:val="auto"/>
              </w:rPr>
              <w:t>Mueller†</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10.5</w:t>
            </w:r>
          </w:p>
        </w:tc>
        <w:tc>
          <w:tcPr>
            <w:tcW w:w="5600" w:type="dxa"/>
            <w:vAlign w:val="bottom"/>
          </w:tcPr>
          <w:p>
            <w:pPr>
              <w:ind w:left="380"/>
              <w:spacing w:after="0"/>
              <w:rPr>
                <w:sz w:val="20"/>
                <w:szCs w:val="20"/>
                <w:color w:val="auto"/>
              </w:rPr>
            </w:pPr>
            <w:r>
              <w:rPr>
                <w:rFonts w:ascii="Arial" w:cs="Arial" w:eastAsia="Arial" w:hAnsi="Arial"/>
                <w:sz w:val="18"/>
                <w:szCs w:val="18"/>
                <w:color w:val="auto"/>
                <w:w w:val="87"/>
              </w:rPr>
              <w:t>Amended and Restated Executive Employment Agreement, dated July 30,</w:t>
            </w:r>
          </w:p>
        </w:tc>
      </w:tr>
      <w:tr>
        <w:trPr>
          <w:trHeight w:val="222"/>
        </w:trPr>
        <w:tc>
          <w:tcPr>
            <w:tcW w:w="680" w:type="dxa"/>
            <w:vAlign w:val="bottom"/>
          </w:tcPr>
          <w:p>
            <w:pPr>
              <w:spacing w:after="0"/>
              <w:rPr>
                <w:sz w:val="19"/>
                <w:szCs w:val="19"/>
                <w:color w:val="auto"/>
              </w:rPr>
            </w:pPr>
          </w:p>
        </w:tc>
        <w:tc>
          <w:tcPr>
            <w:tcW w:w="5600" w:type="dxa"/>
            <w:vAlign w:val="bottom"/>
          </w:tcPr>
          <w:p>
            <w:pPr>
              <w:ind w:left="380"/>
              <w:spacing w:after="0"/>
              <w:rPr>
                <w:sz w:val="20"/>
                <w:szCs w:val="20"/>
                <w:color w:val="auto"/>
              </w:rPr>
            </w:pPr>
            <w:r>
              <w:rPr>
                <w:rFonts w:ascii="Arial" w:cs="Arial" w:eastAsia="Arial" w:hAnsi="Arial"/>
                <w:sz w:val="18"/>
                <w:szCs w:val="18"/>
                <w:color w:val="auto"/>
                <w:w w:val="87"/>
              </w:rPr>
              <w:t>2012, by and between Grand Canyon Education, Inc. and W. Stan Meyer†</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10.6</w:t>
            </w:r>
          </w:p>
        </w:tc>
        <w:tc>
          <w:tcPr>
            <w:tcW w:w="5600" w:type="dxa"/>
            <w:vAlign w:val="bottom"/>
          </w:tcPr>
          <w:p>
            <w:pPr>
              <w:ind w:left="380"/>
              <w:spacing w:after="0"/>
              <w:rPr>
                <w:sz w:val="20"/>
                <w:szCs w:val="20"/>
                <w:color w:val="auto"/>
              </w:rPr>
            </w:pPr>
            <w:r>
              <w:rPr>
                <w:rFonts w:ascii="Arial" w:cs="Arial" w:eastAsia="Arial" w:hAnsi="Arial"/>
                <w:sz w:val="18"/>
                <w:szCs w:val="18"/>
                <w:color w:val="auto"/>
                <w:w w:val="87"/>
              </w:rPr>
              <w:t>Amended and Restated Executive Employment Agreement, dated July 30,</w:t>
            </w:r>
          </w:p>
        </w:tc>
      </w:tr>
      <w:tr>
        <w:trPr>
          <w:trHeight w:val="216"/>
        </w:trPr>
        <w:tc>
          <w:tcPr>
            <w:tcW w:w="680" w:type="dxa"/>
            <w:vAlign w:val="bottom"/>
          </w:tcPr>
          <w:p>
            <w:pPr>
              <w:spacing w:after="0"/>
              <w:rPr>
                <w:sz w:val="18"/>
                <w:szCs w:val="18"/>
                <w:color w:val="auto"/>
              </w:rPr>
            </w:pPr>
          </w:p>
        </w:tc>
        <w:tc>
          <w:tcPr>
            <w:tcW w:w="5600" w:type="dxa"/>
            <w:vAlign w:val="bottom"/>
          </w:tcPr>
          <w:p>
            <w:pPr>
              <w:ind w:left="380"/>
              <w:spacing w:after="0"/>
              <w:rPr>
                <w:sz w:val="20"/>
                <w:szCs w:val="20"/>
                <w:color w:val="auto"/>
              </w:rPr>
            </w:pPr>
            <w:r>
              <w:rPr>
                <w:rFonts w:ascii="Arial" w:cs="Arial" w:eastAsia="Arial" w:hAnsi="Arial"/>
                <w:sz w:val="18"/>
                <w:szCs w:val="18"/>
                <w:color w:val="auto"/>
                <w:w w:val="96"/>
              </w:rPr>
              <w:t>2012, by and between Grand Canyon Education, Inc. and Daniel E.</w:t>
            </w:r>
          </w:p>
        </w:tc>
      </w:tr>
      <w:tr>
        <w:trPr>
          <w:trHeight w:val="222"/>
        </w:trPr>
        <w:tc>
          <w:tcPr>
            <w:tcW w:w="680" w:type="dxa"/>
            <w:vAlign w:val="bottom"/>
          </w:tcPr>
          <w:p>
            <w:pPr>
              <w:spacing w:after="0"/>
              <w:rPr>
                <w:sz w:val="19"/>
                <w:szCs w:val="19"/>
                <w:color w:val="auto"/>
              </w:rPr>
            </w:pPr>
          </w:p>
        </w:tc>
        <w:tc>
          <w:tcPr>
            <w:tcW w:w="5600" w:type="dxa"/>
            <w:vAlign w:val="bottom"/>
          </w:tcPr>
          <w:p>
            <w:pPr>
              <w:ind w:left="380"/>
              <w:spacing w:after="0"/>
              <w:rPr>
                <w:sz w:val="20"/>
                <w:szCs w:val="20"/>
                <w:color w:val="auto"/>
              </w:rPr>
            </w:pPr>
            <w:r>
              <w:rPr>
                <w:rFonts w:ascii="Arial" w:cs="Arial" w:eastAsia="Arial" w:hAnsi="Arial"/>
                <w:sz w:val="18"/>
                <w:szCs w:val="18"/>
                <w:color w:val="auto"/>
              </w:rPr>
              <w:t>Bachus†</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10.7</w:t>
            </w:r>
          </w:p>
        </w:tc>
        <w:tc>
          <w:tcPr>
            <w:tcW w:w="5600" w:type="dxa"/>
            <w:vAlign w:val="bottom"/>
          </w:tcPr>
          <w:p>
            <w:pPr>
              <w:ind w:left="380"/>
              <w:spacing w:after="0"/>
              <w:rPr>
                <w:sz w:val="20"/>
                <w:szCs w:val="20"/>
                <w:color w:val="auto"/>
              </w:rPr>
            </w:pPr>
            <w:r>
              <w:rPr>
                <w:rFonts w:ascii="Arial" w:cs="Arial" w:eastAsia="Arial" w:hAnsi="Arial"/>
                <w:sz w:val="18"/>
                <w:szCs w:val="18"/>
                <w:color w:val="auto"/>
                <w:w w:val="87"/>
              </w:rPr>
              <w:t>Amended and Restated Executive Employment Agreement, dated July 30,</w:t>
            </w:r>
          </w:p>
        </w:tc>
      </w:tr>
      <w:tr>
        <w:trPr>
          <w:trHeight w:val="216"/>
        </w:trPr>
        <w:tc>
          <w:tcPr>
            <w:tcW w:w="680" w:type="dxa"/>
            <w:vAlign w:val="bottom"/>
          </w:tcPr>
          <w:p>
            <w:pPr>
              <w:spacing w:after="0"/>
              <w:rPr>
                <w:sz w:val="18"/>
                <w:szCs w:val="18"/>
                <w:color w:val="auto"/>
              </w:rPr>
            </w:pPr>
          </w:p>
        </w:tc>
        <w:tc>
          <w:tcPr>
            <w:tcW w:w="5600" w:type="dxa"/>
            <w:vAlign w:val="bottom"/>
          </w:tcPr>
          <w:p>
            <w:pPr>
              <w:ind w:left="380"/>
              <w:spacing w:after="0"/>
              <w:rPr>
                <w:sz w:val="20"/>
                <w:szCs w:val="20"/>
                <w:color w:val="auto"/>
              </w:rPr>
            </w:pPr>
            <w:r>
              <w:rPr>
                <w:rFonts w:ascii="Arial" w:cs="Arial" w:eastAsia="Arial" w:hAnsi="Arial"/>
                <w:sz w:val="18"/>
                <w:szCs w:val="18"/>
                <w:color w:val="auto"/>
                <w:w w:val="95"/>
              </w:rPr>
              <w:t>2012, by and between Grand Canyon Education, Inc. and Joseph N.</w:t>
            </w:r>
          </w:p>
        </w:tc>
      </w:tr>
      <w:tr>
        <w:trPr>
          <w:trHeight w:val="222"/>
        </w:trPr>
        <w:tc>
          <w:tcPr>
            <w:tcW w:w="680" w:type="dxa"/>
            <w:vAlign w:val="bottom"/>
          </w:tcPr>
          <w:p>
            <w:pPr>
              <w:spacing w:after="0"/>
              <w:rPr>
                <w:sz w:val="19"/>
                <w:szCs w:val="19"/>
                <w:color w:val="auto"/>
              </w:rPr>
            </w:pPr>
          </w:p>
        </w:tc>
        <w:tc>
          <w:tcPr>
            <w:tcW w:w="5600" w:type="dxa"/>
            <w:vAlign w:val="bottom"/>
          </w:tcPr>
          <w:p>
            <w:pPr>
              <w:ind w:left="380"/>
              <w:spacing w:after="0"/>
              <w:rPr>
                <w:sz w:val="20"/>
                <w:szCs w:val="20"/>
                <w:color w:val="auto"/>
              </w:rPr>
            </w:pPr>
            <w:r>
              <w:rPr>
                <w:rFonts w:ascii="Arial" w:cs="Arial" w:eastAsia="Arial" w:hAnsi="Arial"/>
                <w:sz w:val="18"/>
                <w:szCs w:val="18"/>
                <w:color w:val="auto"/>
              </w:rPr>
              <w:t>Mildenhall†</w:t>
            </w:r>
          </w:p>
        </w:tc>
      </w:tr>
      <w:tr>
        <w:trPr>
          <w:trHeight w:val="318"/>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10.8</w:t>
            </w:r>
          </w:p>
        </w:tc>
        <w:tc>
          <w:tcPr>
            <w:tcW w:w="5600" w:type="dxa"/>
            <w:vAlign w:val="bottom"/>
          </w:tcPr>
          <w:p>
            <w:pPr>
              <w:ind w:left="380"/>
              <w:spacing w:after="0"/>
              <w:rPr>
                <w:sz w:val="20"/>
                <w:szCs w:val="20"/>
                <w:color w:val="auto"/>
              </w:rPr>
            </w:pPr>
            <w:r>
              <w:rPr>
                <w:rFonts w:ascii="Arial" w:cs="Arial" w:eastAsia="Arial" w:hAnsi="Arial"/>
                <w:sz w:val="18"/>
                <w:szCs w:val="18"/>
                <w:color w:val="auto"/>
                <w:w w:val="87"/>
              </w:rPr>
              <w:t>Amended and Restated Executive Employment Agreement, dated July 30,</w:t>
            </w:r>
          </w:p>
        </w:tc>
      </w:tr>
      <w:tr>
        <w:trPr>
          <w:trHeight w:val="216"/>
        </w:trPr>
        <w:tc>
          <w:tcPr>
            <w:tcW w:w="680" w:type="dxa"/>
            <w:vAlign w:val="bottom"/>
          </w:tcPr>
          <w:p>
            <w:pPr>
              <w:spacing w:after="0"/>
              <w:rPr>
                <w:sz w:val="18"/>
                <w:szCs w:val="18"/>
                <w:color w:val="auto"/>
              </w:rPr>
            </w:pPr>
          </w:p>
        </w:tc>
        <w:tc>
          <w:tcPr>
            <w:tcW w:w="5600" w:type="dxa"/>
            <w:vAlign w:val="bottom"/>
          </w:tcPr>
          <w:p>
            <w:pPr>
              <w:ind w:left="380"/>
              <w:spacing w:after="0"/>
              <w:rPr>
                <w:sz w:val="20"/>
                <w:szCs w:val="20"/>
                <w:color w:val="auto"/>
              </w:rPr>
            </w:pPr>
            <w:r>
              <w:rPr>
                <w:rFonts w:ascii="Arial" w:cs="Arial" w:eastAsia="Arial" w:hAnsi="Arial"/>
                <w:sz w:val="18"/>
                <w:szCs w:val="18"/>
                <w:color w:val="auto"/>
                <w:w w:val="96"/>
              </w:rPr>
              <w:t>2012, by and between Grand Canyon Education, Inc. and Dr. Kathy</w:t>
            </w:r>
          </w:p>
        </w:tc>
      </w:tr>
      <w:tr>
        <w:trPr>
          <w:trHeight w:val="222"/>
        </w:trPr>
        <w:tc>
          <w:tcPr>
            <w:tcW w:w="680" w:type="dxa"/>
            <w:vAlign w:val="bottom"/>
          </w:tcPr>
          <w:p>
            <w:pPr>
              <w:spacing w:after="0"/>
              <w:rPr>
                <w:sz w:val="19"/>
                <w:szCs w:val="19"/>
                <w:color w:val="auto"/>
              </w:rPr>
            </w:pPr>
          </w:p>
        </w:tc>
        <w:tc>
          <w:tcPr>
            <w:tcW w:w="5600" w:type="dxa"/>
            <w:vAlign w:val="bottom"/>
          </w:tcPr>
          <w:p>
            <w:pPr>
              <w:ind w:left="380"/>
              <w:spacing w:after="0"/>
              <w:rPr>
                <w:sz w:val="20"/>
                <w:szCs w:val="20"/>
                <w:color w:val="auto"/>
              </w:rPr>
            </w:pPr>
            <w:r>
              <w:rPr>
                <w:rFonts w:ascii="Arial" w:cs="Arial" w:eastAsia="Arial" w:hAnsi="Arial"/>
                <w:sz w:val="18"/>
                <w:szCs w:val="18"/>
                <w:color w:val="auto"/>
              </w:rPr>
              <w:t>Player†</w:t>
            </w:r>
          </w:p>
        </w:tc>
      </w:tr>
      <w:tr>
        <w:trPr>
          <w:trHeight w:val="324"/>
        </w:trPr>
        <w:tc>
          <w:tcPr>
            <w:tcW w:w="680" w:type="dxa"/>
            <w:vAlign w:val="bottom"/>
          </w:tcPr>
          <w:p>
            <w:pPr>
              <w:jc w:val="right"/>
              <w:ind w:right="272"/>
              <w:spacing w:after="0"/>
              <w:rPr>
                <w:sz w:val="20"/>
                <w:szCs w:val="20"/>
                <w:color w:val="auto"/>
              </w:rPr>
            </w:pPr>
            <w:r>
              <w:rPr>
                <w:rFonts w:ascii="Arial" w:cs="Arial" w:eastAsia="Arial" w:hAnsi="Arial"/>
                <w:sz w:val="18"/>
                <w:szCs w:val="18"/>
                <w:color w:val="auto"/>
                <w:w w:val="85"/>
              </w:rPr>
              <w:t>10.9</w:t>
            </w:r>
          </w:p>
        </w:tc>
        <w:tc>
          <w:tcPr>
            <w:tcW w:w="5600" w:type="dxa"/>
            <w:vAlign w:val="bottom"/>
          </w:tcPr>
          <w:p>
            <w:pPr>
              <w:ind w:left="380"/>
              <w:spacing w:after="0"/>
              <w:rPr>
                <w:sz w:val="20"/>
                <w:szCs w:val="20"/>
                <w:color w:val="auto"/>
              </w:rPr>
            </w:pPr>
            <w:r>
              <w:rPr>
                <w:rFonts w:ascii="Arial" w:cs="Arial" w:eastAsia="Arial" w:hAnsi="Arial"/>
                <w:sz w:val="18"/>
                <w:szCs w:val="18"/>
                <w:color w:val="auto"/>
              </w:rPr>
              <w:t>Form of Director and Officer Indemnity Agreement</w:t>
            </w:r>
          </w:p>
        </w:tc>
      </w:tr>
    </w:tbl>
    <w:p>
      <w:pPr>
        <w:spacing w:after="0" w:line="20" w:lineRule="exact"/>
        <w:rPr>
          <w:sz w:val="20"/>
          <w:szCs w:val="20"/>
          <w:color w:val="auto"/>
        </w:rPr>
      </w:pPr>
      <w:r>
        <w:rPr>
          <w:sz w:val="20"/>
          <w:szCs w:val="20"/>
          <w:color w:val="auto"/>
        </w:rPr>
        <w:br w:type="column"/>
      </w:r>
    </w:p>
    <w:p>
      <w:pPr>
        <w:ind w:right="40"/>
        <w:spacing w:after="0" w:line="332" w:lineRule="auto"/>
        <w:rPr>
          <w:sz w:val="20"/>
          <w:szCs w:val="20"/>
          <w:color w:val="auto"/>
        </w:rPr>
      </w:pPr>
      <w:r>
        <w:rPr>
          <w:rFonts w:ascii="Arial" w:cs="Arial" w:eastAsia="Arial" w:hAnsi="Arial"/>
          <w:sz w:val="16"/>
          <w:szCs w:val="16"/>
          <w:color w:val="auto"/>
        </w:rPr>
        <w:t>Incorporated by reference to Exhibit 10.1 to the University’s Quarterly Report on Form 10-Q filed with the SEC on August 6, 2012.</w:t>
      </w:r>
    </w:p>
    <w:p>
      <w:pPr>
        <w:spacing w:after="0" w:line="24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Incorporated by reference to Exhibit 10.2 to the University’s Quarterly Report on Form 10-Q filed with the SEC on August 6, 2012.</w:t>
      </w:r>
    </w:p>
    <w:p>
      <w:pPr>
        <w:spacing w:after="0" w:line="3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Incorporated by reference to Exhibit 10.3 to the University’s Quarterly Report on Form 10-Q filed with the SEC on August 6, 2012.</w:t>
      </w:r>
    </w:p>
    <w:p>
      <w:pPr>
        <w:spacing w:after="0" w:line="24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Incorporated by reference to Exhibit 10.4 to the University’s Quarterly Report on Form 10-Q filed with the SEC on August 6, 2012.</w:t>
      </w:r>
    </w:p>
    <w:p>
      <w:pPr>
        <w:spacing w:after="0" w:line="24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Incorporated by reference to Exhibit 10.5 to the University’s Quarterly Report on Form 10-Q filed with the SEC on August 6, 2012.</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Incorporated by reference to Exhibit 10.21 to Amendment No. 2 to the University’s Registration Statement on Form S-1 filed with the SEC on September 29, 2008.</w:t>
      </w:r>
    </w:p>
    <w:p>
      <w:pPr>
        <w:spacing w:after="0" w:line="86" w:lineRule="exact"/>
        <w:rPr>
          <w:sz w:val="20"/>
          <w:szCs w:val="20"/>
          <w:color w:val="auto"/>
        </w:rPr>
      </w:pPr>
    </w:p>
    <w:p>
      <w:pPr>
        <w:sectPr>
          <w:pgSz w:w="11900" w:h="16838" w:orient="portrait"/>
          <w:cols w:equalWidth="0" w:num="2">
            <w:col w:w="6280" w:space="120"/>
            <w:col w:w="50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10.10</w:t>
            </w:r>
          </w:p>
        </w:tc>
        <w:tc>
          <w:tcPr>
            <w:tcW w:w="5580" w:type="dxa"/>
            <w:vAlign w:val="bottom"/>
          </w:tcPr>
          <w:p>
            <w:pPr>
              <w:ind w:left="320"/>
              <w:spacing w:after="0"/>
              <w:rPr>
                <w:sz w:val="20"/>
                <w:szCs w:val="20"/>
                <w:color w:val="auto"/>
              </w:rPr>
            </w:pPr>
            <w:r>
              <w:rPr>
                <w:rFonts w:ascii="Arial" w:cs="Arial" w:eastAsia="Arial" w:hAnsi="Arial"/>
                <w:sz w:val="18"/>
                <w:szCs w:val="18"/>
                <w:color w:val="auto"/>
                <w:w w:val="97"/>
              </w:rPr>
              <w:t>Credit Agreement, dated December 21, 2012, by and among Grand</w:t>
            </w:r>
          </w:p>
        </w:tc>
        <w:tc>
          <w:tcPr>
            <w:tcW w:w="250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16"/>
        </w:trPr>
        <w:tc>
          <w:tcPr>
            <w:tcW w:w="740" w:type="dxa"/>
            <w:vAlign w:val="bottom"/>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w w:val="95"/>
              </w:rPr>
              <w:t>Canyon Education, Inc., Bank of America, N.A., and the other parties</w:t>
            </w:r>
          </w:p>
        </w:tc>
        <w:tc>
          <w:tcPr>
            <w:tcW w:w="2500" w:type="dxa"/>
            <w:vAlign w:val="bottom"/>
          </w:tcPr>
          <w:p>
            <w:pPr>
              <w:spacing w:after="0"/>
              <w:rPr>
                <w:sz w:val="18"/>
                <w:szCs w:val="18"/>
                <w:color w:val="auto"/>
              </w:rPr>
            </w:pPr>
          </w:p>
        </w:tc>
      </w:tr>
      <w:tr>
        <w:trPr>
          <w:trHeight w:val="222"/>
        </w:trPr>
        <w:tc>
          <w:tcPr>
            <w:tcW w:w="740" w:type="dxa"/>
            <w:vAlign w:val="bottom"/>
          </w:tcPr>
          <w:p>
            <w:pPr>
              <w:spacing w:after="0"/>
              <w:rPr>
                <w:sz w:val="19"/>
                <w:szCs w:val="19"/>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named therein.</w:t>
            </w:r>
          </w:p>
        </w:tc>
        <w:tc>
          <w:tcPr>
            <w:tcW w:w="2500" w:type="dxa"/>
            <w:vAlign w:val="bottom"/>
          </w:tcPr>
          <w:p>
            <w:pPr>
              <w:spacing w:after="0"/>
              <w:rPr>
                <w:sz w:val="19"/>
                <w:szCs w:val="19"/>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21.0</w:t>
            </w:r>
          </w:p>
        </w:tc>
        <w:tc>
          <w:tcPr>
            <w:tcW w:w="5580" w:type="dxa"/>
            <w:vAlign w:val="bottom"/>
          </w:tcPr>
          <w:p>
            <w:pPr>
              <w:ind w:left="320"/>
              <w:spacing w:after="0"/>
              <w:rPr>
                <w:sz w:val="20"/>
                <w:szCs w:val="20"/>
                <w:color w:val="auto"/>
              </w:rPr>
            </w:pPr>
            <w:r>
              <w:rPr>
                <w:rFonts w:ascii="Arial" w:cs="Arial" w:eastAsia="Arial" w:hAnsi="Arial"/>
                <w:sz w:val="18"/>
                <w:szCs w:val="18"/>
                <w:color w:val="auto"/>
              </w:rPr>
              <w:t>Subsidiaries of Grand Canyon Education, Inc.</w:t>
            </w:r>
          </w:p>
        </w:tc>
        <w:tc>
          <w:tcPr>
            <w:tcW w:w="250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5580" w:type="dxa"/>
            <w:vAlign w:val="bottom"/>
          </w:tcPr>
          <w:p>
            <w:pPr>
              <w:ind w:left="320"/>
              <w:spacing w:after="0"/>
              <w:rPr>
                <w:sz w:val="20"/>
                <w:szCs w:val="20"/>
                <w:color w:val="auto"/>
              </w:rPr>
            </w:pPr>
            <w:r>
              <w:rPr>
                <w:rFonts w:ascii="Arial" w:cs="Arial" w:eastAsia="Arial" w:hAnsi="Arial"/>
                <w:sz w:val="18"/>
                <w:szCs w:val="18"/>
                <w:color w:val="auto"/>
                <w:w w:val="91"/>
              </w:rPr>
              <w:t>Consent of KPMG LLP, Independent Registered Public Accounting Firm</w:t>
            </w:r>
          </w:p>
        </w:tc>
        <w:tc>
          <w:tcPr>
            <w:tcW w:w="250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23.2</w:t>
            </w:r>
          </w:p>
        </w:tc>
        <w:tc>
          <w:tcPr>
            <w:tcW w:w="5580" w:type="dxa"/>
            <w:vAlign w:val="bottom"/>
          </w:tcPr>
          <w:p>
            <w:pPr>
              <w:ind w:left="320"/>
              <w:spacing w:after="0"/>
              <w:rPr>
                <w:sz w:val="20"/>
                <w:szCs w:val="20"/>
                <w:color w:val="auto"/>
              </w:rPr>
            </w:pPr>
            <w:r>
              <w:rPr>
                <w:rFonts w:ascii="Arial" w:cs="Arial" w:eastAsia="Arial" w:hAnsi="Arial"/>
                <w:sz w:val="18"/>
                <w:szCs w:val="18"/>
                <w:color w:val="auto"/>
              </w:rPr>
              <w:t>Consent of Ernst &amp; Young LLP, Independent Registered Public</w:t>
            </w:r>
          </w:p>
        </w:tc>
        <w:tc>
          <w:tcPr>
            <w:tcW w:w="250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22"/>
        </w:trPr>
        <w:tc>
          <w:tcPr>
            <w:tcW w:w="740" w:type="dxa"/>
            <w:vAlign w:val="bottom"/>
          </w:tcPr>
          <w:p>
            <w:pPr>
              <w:spacing w:after="0"/>
              <w:rPr>
                <w:sz w:val="19"/>
                <w:szCs w:val="19"/>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Accounting Firm</w:t>
            </w:r>
          </w:p>
        </w:tc>
        <w:tc>
          <w:tcPr>
            <w:tcW w:w="2500" w:type="dxa"/>
            <w:vAlign w:val="bottom"/>
          </w:tcPr>
          <w:p>
            <w:pPr>
              <w:spacing w:after="0"/>
              <w:rPr>
                <w:sz w:val="19"/>
                <w:szCs w:val="19"/>
                <w:color w:val="auto"/>
              </w:rPr>
            </w:pP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24.1</w:t>
            </w:r>
          </w:p>
        </w:tc>
        <w:tc>
          <w:tcPr>
            <w:tcW w:w="5580" w:type="dxa"/>
            <w:vAlign w:val="bottom"/>
          </w:tcPr>
          <w:p>
            <w:pPr>
              <w:ind w:left="320"/>
              <w:spacing w:after="0"/>
              <w:rPr>
                <w:sz w:val="20"/>
                <w:szCs w:val="20"/>
                <w:color w:val="auto"/>
              </w:rPr>
            </w:pPr>
            <w:r>
              <w:rPr>
                <w:rFonts w:ascii="Arial" w:cs="Arial" w:eastAsia="Arial" w:hAnsi="Arial"/>
                <w:sz w:val="18"/>
                <w:szCs w:val="18"/>
                <w:color w:val="auto"/>
              </w:rPr>
              <w:t>Power of Attorney</w:t>
            </w:r>
          </w:p>
        </w:tc>
        <w:tc>
          <w:tcPr>
            <w:tcW w:w="2500" w:type="dxa"/>
            <w:vAlign w:val="bottom"/>
          </w:tcPr>
          <w:p>
            <w:pPr>
              <w:ind w:left="80"/>
              <w:spacing w:after="0"/>
              <w:rPr>
                <w:sz w:val="20"/>
                <w:szCs w:val="20"/>
                <w:color w:val="auto"/>
              </w:rPr>
            </w:pPr>
            <w:r>
              <w:rPr>
                <w:rFonts w:ascii="Arial" w:cs="Arial" w:eastAsia="Arial" w:hAnsi="Arial"/>
                <w:sz w:val="18"/>
                <w:szCs w:val="18"/>
                <w:color w:val="auto"/>
                <w:w w:val="87"/>
              </w:rPr>
              <w:t>Filed herewith (on signature page)</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5580" w:type="dxa"/>
            <w:vAlign w:val="bottom"/>
          </w:tcPr>
          <w:p>
            <w:pPr>
              <w:ind w:left="320"/>
              <w:spacing w:after="0"/>
              <w:rPr>
                <w:sz w:val="20"/>
                <w:szCs w:val="20"/>
                <w:color w:val="auto"/>
              </w:rPr>
            </w:pPr>
            <w:r>
              <w:rPr>
                <w:rFonts w:ascii="Arial" w:cs="Arial" w:eastAsia="Arial" w:hAnsi="Arial"/>
                <w:sz w:val="18"/>
                <w:szCs w:val="18"/>
                <w:color w:val="auto"/>
                <w:w w:val="94"/>
              </w:rPr>
              <w:t>Certification of the Chief Executive Officer Pursuant to Rule 13a-14(a)</w:t>
            </w:r>
          </w:p>
        </w:tc>
        <w:tc>
          <w:tcPr>
            <w:tcW w:w="250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16"/>
        </w:trPr>
        <w:tc>
          <w:tcPr>
            <w:tcW w:w="740" w:type="dxa"/>
            <w:vAlign w:val="bottom"/>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w w:val="88"/>
              </w:rPr>
              <w:t>and 15d-14(a) as Adopted Pursuant to Section 302 of the Sarbanes-Oxley</w:t>
            </w:r>
          </w:p>
        </w:tc>
        <w:tc>
          <w:tcPr>
            <w:tcW w:w="2500" w:type="dxa"/>
            <w:vAlign w:val="bottom"/>
          </w:tcPr>
          <w:p>
            <w:pPr>
              <w:spacing w:after="0"/>
              <w:rPr>
                <w:sz w:val="18"/>
                <w:szCs w:val="18"/>
                <w:color w:val="auto"/>
              </w:rPr>
            </w:pPr>
          </w:p>
        </w:tc>
      </w:tr>
      <w:tr>
        <w:trPr>
          <w:trHeight w:val="222"/>
        </w:trPr>
        <w:tc>
          <w:tcPr>
            <w:tcW w:w="740" w:type="dxa"/>
            <w:vAlign w:val="bottom"/>
          </w:tcPr>
          <w:p>
            <w:pPr>
              <w:spacing w:after="0"/>
              <w:rPr>
                <w:sz w:val="19"/>
                <w:szCs w:val="19"/>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Act of 2002</w:t>
            </w:r>
          </w:p>
        </w:tc>
        <w:tc>
          <w:tcPr>
            <w:tcW w:w="2500" w:type="dxa"/>
            <w:vAlign w:val="bottom"/>
          </w:tcPr>
          <w:p>
            <w:pPr>
              <w:spacing w:after="0"/>
              <w:rPr>
                <w:sz w:val="19"/>
                <w:szCs w:val="19"/>
                <w:color w:val="auto"/>
              </w:rPr>
            </w:pP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5580" w:type="dxa"/>
            <w:vAlign w:val="bottom"/>
          </w:tcPr>
          <w:p>
            <w:pPr>
              <w:ind w:left="320"/>
              <w:spacing w:after="0"/>
              <w:rPr>
                <w:sz w:val="20"/>
                <w:szCs w:val="20"/>
                <w:color w:val="auto"/>
              </w:rPr>
            </w:pPr>
            <w:r>
              <w:rPr>
                <w:rFonts w:ascii="Arial" w:cs="Arial" w:eastAsia="Arial" w:hAnsi="Arial"/>
                <w:sz w:val="18"/>
                <w:szCs w:val="18"/>
                <w:color w:val="auto"/>
                <w:w w:val="95"/>
              </w:rPr>
              <w:t>Certification of the Chief Financial Officer Pursuant to Rule 13a-14(a)</w:t>
            </w:r>
          </w:p>
        </w:tc>
        <w:tc>
          <w:tcPr>
            <w:tcW w:w="2500" w:type="dxa"/>
            <w:vAlign w:val="bottom"/>
          </w:tcPr>
          <w:p>
            <w:pPr>
              <w:ind w:left="80"/>
              <w:spacing w:after="0"/>
              <w:rPr>
                <w:sz w:val="20"/>
                <w:szCs w:val="20"/>
                <w:color w:val="auto"/>
              </w:rPr>
            </w:pPr>
            <w:r>
              <w:rPr>
                <w:rFonts w:ascii="Arial" w:cs="Arial" w:eastAsia="Arial" w:hAnsi="Arial"/>
                <w:sz w:val="18"/>
                <w:szCs w:val="18"/>
                <w:color w:val="auto"/>
              </w:rPr>
              <w:t>Filed herewith.</w:t>
            </w:r>
          </w:p>
        </w:tc>
      </w:tr>
      <w:tr>
        <w:trPr>
          <w:trHeight w:val="216"/>
        </w:trPr>
        <w:tc>
          <w:tcPr>
            <w:tcW w:w="740" w:type="dxa"/>
            <w:vAlign w:val="bottom"/>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w w:val="88"/>
              </w:rPr>
              <w:t>and 15d-14(a) as Adopted Pursuant to Section 302 of the Sarbanes-Oxley</w:t>
            </w:r>
          </w:p>
        </w:tc>
        <w:tc>
          <w:tcPr>
            <w:tcW w:w="2500" w:type="dxa"/>
            <w:vAlign w:val="bottom"/>
          </w:tcPr>
          <w:p>
            <w:pPr>
              <w:spacing w:after="0"/>
              <w:rPr>
                <w:sz w:val="18"/>
                <w:szCs w:val="18"/>
                <w:color w:val="auto"/>
              </w:rPr>
            </w:pPr>
          </w:p>
        </w:tc>
      </w:tr>
      <w:tr>
        <w:trPr>
          <w:trHeight w:val="222"/>
        </w:trPr>
        <w:tc>
          <w:tcPr>
            <w:tcW w:w="740" w:type="dxa"/>
            <w:vAlign w:val="bottom"/>
          </w:tcPr>
          <w:p>
            <w:pPr>
              <w:spacing w:after="0"/>
              <w:rPr>
                <w:sz w:val="19"/>
                <w:szCs w:val="19"/>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Act of 2002</w:t>
            </w:r>
          </w:p>
        </w:tc>
        <w:tc>
          <w:tcPr>
            <w:tcW w:w="2500" w:type="dxa"/>
            <w:vAlign w:val="bottom"/>
          </w:tcPr>
          <w:p>
            <w:pPr>
              <w:spacing w:after="0"/>
              <w:rPr>
                <w:sz w:val="19"/>
                <w:szCs w:val="19"/>
                <w:color w:val="auto"/>
              </w:rPr>
            </w:pPr>
          </w:p>
        </w:tc>
      </w:tr>
      <w:tr>
        <w:trPr>
          <w:trHeight w:val="365"/>
        </w:trPr>
        <w:tc>
          <w:tcPr>
            <w:tcW w:w="740" w:type="dxa"/>
            <w:vAlign w:val="bottom"/>
          </w:tcPr>
          <w:p>
            <w:pPr>
              <w:spacing w:after="0"/>
              <w:rPr>
                <w:sz w:val="24"/>
                <w:szCs w:val="24"/>
                <w:color w:val="auto"/>
              </w:rPr>
            </w:pPr>
          </w:p>
        </w:tc>
        <w:tc>
          <w:tcPr>
            <w:tcW w:w="5580" w:type="dxa"/>
            <w:vAlign w:val="bottom"/>
          </w:tcPr>
          <w:p>
            <w:pPr>
              <w:ind w:left="4840"/>
              <w:spacing w:after="0"/>
              <w:rPr>
                <w:sz w:val="20"/>
                <w:szCs w:val="20"/>
                <w:color w:val="auto"/>
              </w:rPr>
            </w:pPr>
            <w:r>
              <w:rPr>
                <w:rFonts w:ascii="Arial" w:cs="Arial" w:eastAsia="Arial" w:hAnsi="Arial"/>
                <w:sz w:val="18"/>
                <w:szCs w:val="18"/>
                <w:color w:val="auto"/>
              </w:rPr>
              <w:t>101</w:t>
            </w:r>
          </w:p>
        </w:tc>
        <w:tc>
          <w:tcPr>
            <w:tcW w:w="2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4"/>
                <w:szCs w:val="14"/>
                <w:color w:val="auto"/>
              </w:rPr>
            </w:pPr>
          </w:p>
        </w:tc>
        <w:tc>
          <w:tcPr>
            <w:tcW w:w="530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4"/>
                <w:szCs w:val="14"/>
                <w:color w:val="auto"/>
              </w:rPr>
            </w:pPr>
          </w:p>
        </w:tc>
        <w:tc>
          <w:tcPr>
            <w:tcW w:w="518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Method of Filing</w:t>
            </w:r>
          </w:p>
        </w:tc>
      </w:tr>
      <w:tr>
        <w:trPr>
          <w:trHeight w:val="302"/>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574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Executive Officer Pursuant to 18 U.S.C. Section</w:t>
            </w:r>
          </w:p>
        </w:tc>
        <w:tc>
          <w:tcPr>
            <w:tcW w:w="518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5740" w:type="dxa"/>
            <w:vAlign w:val="bottom"/>
            <w:gridSpan w:val="3"/>
          </w:tcPr>
          <w:p>
            <w:pPr>
              <w:ind w:left="220"/>
              <w:spacing w:after="0"/>
              <w:rPr>
                <w:sz w:val="20"/>
                <w:szCs w:val="20"/>
                <w:color w:val="auto"/>
              </w:rPr>
            </w:pPr>
            <w:r>
              <w:rPr>
                <w:rFonts w:ascii="Arial" w:cs="Arial" w:eastAsia="Arial" w:hAnsi="Arial"/>
                <w:sz w:val="18"/>
                <w:szCs w:val="18"/>
                <w:color w:val="auto"/>
                <w:w w:val="95"/>
              </w:rPr>
              <w:t>1350, as Adopted Pursuant to Section 906 of the Sarbanes-Oxley Act of</w:t>
            </w:r>
          </w:p>
        </w:tc>
        <w:tc>
          <w:tcPr>
            <w:tcW w:w="518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5740" w:type="dxa"/>
            <w:vAlign w:val="bottom"/>
            <w:gridSpan w:val="3"/>
          </w:tcPr>
          <w:p>
            <w:pPr>
              <w:ind w:left="220"/>
              <w:spacing w:after="0"/>
              <w:rPr>
                <w:sz w:val="20"/>
                <w:szCs w:val="20"/>
                <w:color w:val="auto"/>
              </w:rPr>
            </w:pPr>
            <w:r>
              <w:rPr>
                <w:rFonts w:ascii="Arial" w:cs="Arial" w:eastAsia="Arial" w:hAnsi="Arial"/>
                <w:sz w:val="18"/>
                <w:szCs w:val="18"/>
                <w:color w:val="auto"/>
              </w:rPr>
              <w:t>2002††</w:t>
            </w:r>
          </w:p>
        </w:tc>
        <w:tc>
          <w:tcPr>
            <w:tcW w:w="5180" w:type="dxa"/>
            <w:vAlign w:val="bottom"/>
          </w:tcPr>
          <w:p>
            <w:pPr>
              <w:spacing w:after="0"/>
              <w:rPr>
                <w:sz w:val="20"/>
                <w:szCs w:val="20"/>
                <w:color w:val="auto"/>
              </w:rPr>
            </w:pPr>
            <w:r>
              <w:rPr>
                <w:rFonts w:ascii="Arial" w:cs="Arial" w:eastAsia="Arial" w:hAnsi="Arial"/>
                <w:sz w:val="18"/>
                <w:szCs w:val="18"/>
                <w:color w:val="auto"/>
              </w:rPr>
              <w:t>Filed herewith.</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574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Financial Officer Pursuant to 18 U.S.C. Section</w:t>
            </w:r>
          </w:p>
        </w:tc>
        <w:tc>
          <w:tcPr>
            <w:tcW w:w="518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5740" w:type="dxa"/>
            <w:vAlign w:val="bottom"/>
            <w:gridSpan w:val="3"/>
          </w:tcPr>
          <w:p>
            <w:pPr>
              <w:ind w:left="220"/>
              <w:spacing w:after="0"/>
              <w:rPr>
                <w:sz w:val="20"/>
                <w:szCs w:val="20"/>
                <w:color w:val="auto"/>
              </w:rPr>
            </w:pPr>
            <w:r>
              <w:rPr>
                <w:rFonts w:ascii="Arial" w:cs="Arial" w:eastAsia="Arial" w:hAnsi="Arial"/>
                <w:sz w:val="18"/>
                <w:szCs w:val="18"/>
                <w:color w:val="auto"/>
                <w:w w:val="95"/>
              </w:rPr>
              <w:t>1350, as Adopted Pursuant to Section 906 of the Sarbanes-Oxley Act of</w:t>
            </w:r>
          </w:p>
        </w:tc>
        <w:tc>
          <w:tcPr>
            <w:tcW w:w="518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5740" w:type="dxa"/>
            <w:vAlign w:val="bottom"/>
            <w:gridSpan w:val="3"/>
          </w:tcPr>
          <w:p>
            <w:pPr>
              <w:ind w:left="220"/>
              <w:spacing w:after="0"/>
              <w:rPr>
                <w:sz w:val="20"/>
                <w:szCs w:val="20"/>
                <w:color w:val="auto"/>
              </w:rPr>
            </w:pPr>
            <w:r>
              <w:rPr>
                <w:rFonts w:ascii="Arial" w:cs="Arial" w:eastAsia="Arial" w:hAnsi="Arial"/>
                <w:sz w:val="18"/>
                <w:szCs w:val="18"/>
                <w:color w:val="auto"/>
              </w:rPr>
              <w:t>2002††</w:t>
            </w:r>
          </w:p>
        </w:tc>
        <w:tc>
          <w:tcPr>
            <w:tcW w:w="5180" w:type="dxa"/>
            <w:vAlign w:val="bottom"/>
          </w:tcPr>
          <w:p>
            <w:pPr>
              <w:spacing w:after="0"/>
              <w:rPr>
                <w:sz w:val="20"/>
                <w:szCs w:val="20"/>
                <w:color w:val="auto"/>
              </w:rPr>
            </w:pPr>
            <w:r>
              <w:rPr>
                <w:rFonts w:ascii="Arial" w:cs="Arial" w:eastAsia="Arial" w:hAnsi="Arial"/>
                <w:sz w:val="18"/>
                <w:szCs w:val="18"/>
                <w:color w:val="auto"/>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15" w:lineRule="exact"/>
        <w:rPr>
          <w:sz w:val="20"/>
          <w:szCs w:val="20"/>
          <w:color w:val="auto"/>
        </w:rPr>
      </w:pPr>
    </w:p>
    <w:p>
      <w:pPr>
        <w:ind w:left="460" w:right="20" w:hanging="452"/>
        <w:spacing w:after="0" w:line="255"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GRAND CANYON EDUCATION,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Brian E. Mueller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Dated: February 19, 2013</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Brian E. Mueller, Daniel E. Bachus, and Brian M. Roberts,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said attorneys-in-fact and agents, or his substitute or substitutes, may lawfully do or cause to be done by virtue hereof.</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4"/>
                <w:szCs w:val="14"/>
                <w:color w:val="auto"/>
              </w:rPr>
            </w:pP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17"/>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E. Mueller</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President, Chief Executive Officer and 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February 19, 2013</w:t>
            </w:r>
          </w:p>
        </w:tc>
      </w:tr>
      <w:tr>
        <w:trPr>
          <w:trHeight w:val="218"/>
        </w:trPr>
        <w:tc>
          <w:tcPr>
            <w:tcW w:w="428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100" w:type="dxa"/>
            <w:vAlign w:val="bottom"/>
          </w:tcPr>
          <w:p>
            <w:pPr>
              <w:spacing w:after="0"/>
              <w:rPr>
                <w:sz w:val="18"/>
                <w:szCs w:val="18"/>
                <w:color w:val="auto"/>
              </w:rPr>
            </w:pPr>
          </w:p>
        </w:tc>
        <w:tc>
          <w:tcPr>
            <w:tcW w:w="530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1"/>
              </w:rPr>
              <w:t>(Principal Executive Officer)</w:t>
            </w:r>
          </w:p>
        </w:tc>
        <w:tc>
          <w:tcPr>
            <w:tcW w:w="1740" w:type="dxa"/>
            <w:vAlign w:val="bottom"/>
          </w:tcPr>
          <w:p>
            <w:pPr>
              <w:spacing w:after="0"/>
              <w:rPr>
                <w:sz w:val="18"/>
                <w:szCs w:val="18"/>
                <w:color w:val="auto"/>
              </w:rPr>
            </w:pPr>
          </w:p>
        </w:tc>
      </w:tr>
      <w:tr>
        <w:trPr>
          <w:trHeight w:val="424"/>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E. Bachus</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Chief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February 19, 2013</w:t>
            </w:r>
          </w:p>
        </w:tc>
      </w:tr>
      <w:tr>
        <w:trPr>
          <w:trHeight w:val="190"/>
        </w:trPr>
        <w:tc>
          <w:tcPr>
            <w:tcW w:w="4280" w:type="dxa"/>
            <w:vAlign w:val="bottom"/>
            <w:gridSpan w:val="2"/>
          </w:tcPr>
          <w:p>
            <w:pPr>
              <w:spacing w:after="0" w:line="190" w:lineRule="exact"/>
              <w:rPr>
                <w:sz w:val="20"/>
                <w:szCs w:val="20"/>
                <w:color w:val="auto"/>
              </w:rPr>
            </w:pPr>
            <w:r>
              <w:rPr>
                <w:rFonts w:ascii="Arial" w:cs="Arial" w:eastAsia="Arial" w:hAnsi="Arial"/>
                <w:sz w:val="18"/>
                <w:szCs w:val="18"/>
                <w:color w:val="auto"/>
              </w:rPr>
              <w:t>Daniel E. Bachus</w:t>
            </w:r>
          </w:p>
        </w:tc>
        <w:tc>
          <w:tcPr>
            <w:tcW w:w="100" w:type="dxa"/>
            <w:vAlign w:val="bottom"/>
          </w:tcPr>
          <w:p>
            <w:pPr>
              <w:spacing w:after="0"/>
              <w:rPr>
                <w:sz w:val="16"/>
                <w:szCs w:val="16"/>
                <w:color w:val="auto"/>
              </w:rPr>
            </w:pPr>
          </w:p>
        </w:tc>
        <w:tc>
          <w:tcPr>
            <w:tcW w:w="5300" w:type="dxa"/>
            <w:vAlign w:val="bottom"/>
            <w:gridSpan w:val="2"/>
          </w:tcPr>
          <w:p>
            <w:pPr>
              <w:jc w:val="center"/>
              <w:ind w:right="220"/>
              <w:spacing w:after="0" w:line="190" w:lineRule="exact"/>
              <w:rPr>
                <w:sz w:val="20"/>
                <w:szCs w:val="20"/>
                <w:color w:val="auto"/>
              </w:rPr>
            </w:pPr>
            <w:r>
              <w:rPr>
                <w:rFonts w:ascii="Arial" w:cs="Arial" w:eastAsia="Arial" w:hAnsi="Arial"/>
                <w:sz w:val="18"/>
                <w:szCs w:val="18"/>
                <w:color w:val="auto"/>
                <w:w w:val="91"/>
              </w:rPr>
              <w:t>(Principal Financial Officer and Principal</w:t>
            </w:r>
          </w:p>
        </w:tc>
        <w:tc>
          <w:tcPr>
            <w:tcW w:w="1740" w:type="dxa"/>
            <w:vAlign w:val="bottom"/>
          </w:tcPr>
          <w:p>
            <w:pPr>
              <w:spacing w:after="0"/>
              <w:rPr>
                <w:sz w:val="16"/>
                <w:szCs w:val="16"/>
                <w:color w:val="auto"/>
              </w:rPr>
            </w:pPr>
          </w:p>
        </w:tc>
      </w:tr>
      <w:tr>
        <w:trPr>
          <w:trHeight w:val="222"/>
        </w:trPr>
        <w:tc>
          <w:tcPr>
            <w:tcW w:w="6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Accounting Officer)</w:t>
            </w:r>
          </w:p>
        </w:tc>
        <w:tc>
          <w:tcPr>
            <w:tcW w:w="1740" w:type="dxa"/>
            <w:vAlign w:val="bottom"/>
          </w:tcPr>
          <w:p>
            <w:pPr>
              <w:spacing w:after="0"/>
              <w:rPr>
                <w:sz w:val="19"/>
                <w:szCs w:val="19"/>
                <w:color w:val="auto"/>
              </w:rPr>
            </w:pPr>
          </w:p>
        </w:tc>
      </w:tr>
      <w:tr>
        <w:trPr>
          <w:trHeight w:val="447"/>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Brent D. Richardson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Executive Chairman</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February 19, 2013</w:t>
            </w:r>
          </w:p>
        </w:tc>
      </w:tr>
      <w:tr>
        <w:trPr>
          <w:trHeight w:val="217"/>
        </w:trPr>
        <w:tc>
          <w:tcPr>
            <w:tcW w:w="4280" w:type="dxa"/>
            <w:vAlign w:val="bottom"/>
            <w:gridSpan w:val="2"/>
          </w:tcPr>
          <w:p>
            <w:pPr>
              <w:spacing w:after="0"/>
              <w:rPr>
                <w:sz w:val="20"/>
                <w:szCs w:val="20"/>
                <w:color w:val="auto"/>
              </w:rPr>
            </w:pPr>
            <w:r>
              <w:rPr>
                <w:rFonts w:ascii="Arial" w:cs="Arial" w:eastAsia="Arial" w:hAnsi="Arial"/>
                <w:sz w:val="18"/>
                <w:szCs w:val="18"/>
                <w:color w:val="auto"/>
              </w:rPr>
              <w:t>Brent D. Richardson</w:t>
            </w:r>
          </w:p>
        </w:tc>
        <w:tc>
          <w:tcPr>
            <w:tcW w:w="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25"/>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J. Johnson</w:t>
            </w:r>
          </w:p>
        </w:tc>
        <w:tc>
          <w:tcPr>
            <w:tcW w:w="100" w:type="dxa"/>
            <w:vAlign w:val="bottom"/>
          </w:tcPr>
          <w:p>
            <w:pPr>
              <w:spacing w:after="0"/>
              <w:rPr>
                <w:sz w:val="24"/>
                <w:szCs w:val="24"/>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February 19, 2013</w:t>
            </w:r>
          </w:p>
        </w:tc>
      </w:tr>
      <w:tr>
        <w:trPr>
          <w:trHeight w:val="217"/>
        </w:trPr>
        <w:tc>
          <w:tcPr>
            <w:tcW w:w="4280" w:type="dxa"/>
            <w:vAlign w:val="bottom"/>
            <w:gridSpan w:val="2"/>
          </w:tcPr>
          <w:p>
            <w:pPr>
              <w:spacing w:after="0"/>
              <w:rPr>
                <w:sz w:val="20"/>
                <w:szCs w:val="20"/>
                <w:color w:val="auto"/>
              </w:rPr>
            </w:pPr>
            <w:r>
              <w:rPr>
                <w:rFonts w:ascii="Arial" w:cs="Arial" w:eastAsia="Arial" w:hAnsi="Arial"/>
                <w:sz w:val="18"/>
                <w:szCs w:val="18"/>
                <w:color w:val="auto"/>
              </w:rPr>
              <w:t>David J. Johnson</w:t>
            </w:r>
          </w:p>
        </w:tc>
        <w:tc>
          <w:tcPr>
            <w:tcW w:w="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25"/>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Jack A. Henry</w:t>
            </w:r>
          </w:p>
        </w:tc>
        <w:tc>
          <w:tcPr>
            <w:tcW w:w="100" w:type="dxa"/>
            <w:vAlign w:val="bottom"/>
          </w:tcPr>
          <w:p>
            <w:pPr>
              <w:spacing w:after="0"/>
              <w:rPr>
                <w:sz w:val="24"/>
                <w:szCs w:val="24"/>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February 19, 2013</w:t>
            </w:r>
          </w:p>
        </w:tc>
      </w:tr>
      <w:tr>
        <w:trPr>
          <w:trHeight w:val="217"/>
        </w:trPr>
        <w:tc>
          <w:tcPr>
            <w:tcW w:w="4280" w:type="dxa"/>
            <w:vAlign w:val="bottom"/>
            <w:gridSpan w:val="2"/>
          </w:tcPr>
          <w:p>
            <w:pPr>
              <w:spacing w:after="0"/>
              <w:rPr>
                <w:sz w:val="20"/>
                <w:szCs w:val="20"/>
                <w:color w:val="auto"/>
              </w:rPr>
            </w:pPr>
            <w:r>
              <w:rPr>
                <w:rFonts w:ascii="Arial" w:cs="Arial" w:eastAsia="Arial" w:hAnsi="Arial"/>
                <w:sz w:val="18"/>
                <w:szCs w:val="18"/>
                <w:color w:val="auto"/>
              </w:rPr>
              <w:t>Jack A. Henry</w:t>
            </w:r>
          </w:p>
        </w:tc>
        <w:tc>
          <w:tcPr>
            <w:tcW w:w="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25"/>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Bradley A. Casper</w:t>
            </w:r>
          </w:p>
        </w:tc>
        <w:tc>
          <w:tcPr>
            <w:tcW w:w="100" w:type="dxa"/>
            <w:vAlign w:val="bottom"/>
          </w:tcPr>
          <w:p>
            <w:pPr>
              <w:spacing w:after="0"/>
              <w:rPr>
                <w:sz w:val="24"/>
                <w:szCs w:val="24"/>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February 19, 2013</w:t>
            </w:r>
          </w:p>
        </w:tc>
      </w:tr>
      <w:tr>
        <w:trPr>
          <w:trHeight w:val="217"/>
        </w:trPr>
        <w:tc>
          <w:tcPr>
            <w:tcW w:w="4280" w:type="dxa"/>
            <w:vAlign w:val="bottom"/>
            <w:gridSpan w:val="2"/>
          </w:tcPr>
          <w:p>
            <w:pPr>
              <w:spacing w:after="0"/>
              <w:rPr>
                <w:sz w:val="20"/>
                <w:szCs w:val="20"/>
                <w:color w:val="auto"/>
              </w:rPr>
            </w:pPr>
            <w:r>
              <w:rPr>
                <w:rFonts w:ascii="Arial" w:cs="Arial" w:eastAsia="Arial" w:hAnsi="Arial"/>
                <w:sz w:val="18"/>
                <w:szCs w:val="18"/>
                <w:color w:val="auto"/>
              </w:rPr>
              <w:t>Bradley A. Casper</w:t>
            </w:r>
          </w:p>
        </w:tc>
        <w:tc>
          <w:tcPr>
            <w:tcW w:w="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425"/>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F. Warren</w:t>
            </w:r>
          </w:p>
        </w:tc>
        <w:tc>
          <w:tcPr>
            <w:tcW w:w="100" w:type="dxa"/>
            <w:vAlign w:val="bottom"/>
          </w:tcPr>
          <w:p>
            <w:pPr>
              <w:spacing w:after="0"/>
              <w:rPr>
                <w:sz w:val="24"/>
                <w:szCs w:val="24"/>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February 19, 2013</w:t>
            </w:r>
          </w:p>
        </w:tc>
      </w:tr>
      <w:tr>
        <w:trPr>
          <w:trHeight w:val="217"/>
        </w:trPr>
        <w:tc>
          <w:tcPr>
            <w:tcW w:w="4280" w:type="dxa"/>
            <w:vAlign w:val="bottom"/>
            <w:gridSpan w:val="2"/>
          </w:tcPr>
          <w:p>
            <w:pPr>
              <w:spacing w:after="0"/>
              <w:rPr>
                <w:sz w:val="20"/>
                <w:szCs w:val="20"/>
                <w:color w:val="auto"/>
              </w:rPr>
            </w:pPr>
            <w:r>
              <w:rPr>
                <w:rFonts w:ascii="Arial" w:cs="Arial" w:eastAsia="Arial" w:hAnsi="Arial"/>
                <w:sz w:val="18"/>
                <w:szCs w:val="18"/>
                <w:color w:val="auto"/>
              </w:rPr>
              <w:t>Kevin F. Warren</w:t>
            </w:r>
          </w:p>
        </w:tc>
        <w:tc>
          <w:tcPr>
            <w:tcW w:w="10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56"/>
        </w:trPr>
        <w:tc>
          <w:tcPr>
            <w:tcW w:w="6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80" w:type="dxa"/>
            <w:vAlign w:val="bottom"/>
            <w:gridSpan w:val="2"/>
          </w:tcPr>
          <w:p>
            <w:pPr>
              <w:jc w:val="right"/>
              <w:ind w:right="3534"/>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Published CUSIP Number: 38526M106</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7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Dated as of December 21, 2012</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GRAND CANYON EDUCATION, INC.,</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as the Borrower,</w:t>
      </w:r>
    </w:p>
    <w:p>
      <w:pPr>
        <w:spacing w:after="0" w:line="165"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THE SUBSIDIARIES OF THE BORROWER IDENTIFIED HEREIN,</w:t>
      </w:r>
    </w:p>
    <w:p>
      <w:pPr>
        <w:spacing w:after="0" w:line="15"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as the Guarantors,</w:t>
      </w:r>
    </w:p>
    <w:p>
      <w:pPr>
        <w:spacing w:after="0" w:line="16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 Swing Line Lender and L/C Issuer,</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OTHER LENDERS PARTY HERETO</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Arranged By:</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BANK OF AMERICA MERRILL LYNCH,</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Sole Lead Arranger and Sole Book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84455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118745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22"/>
        </w:trPr>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80" w:type="dxa"/>
            <w:vAlign w:val="bottom"/>
            <w:gridSpan w:val="3"/>
          </w:tcPr>
          <w:p>
            <w:pPr>
              <w:ind w:left="120"/>
              <w:spacing w:after="0"/>
              <w:rPr>
                <w:sz w:val="20"/>
                <w:szCs w:val="20"/>
                <w:color w:val="auto"/>
              </w:rPr>
            </w:pPr>
            <w:r>
              <w:rPr>
                <w:rFonts w:ascii="Arial" w:cs="Arial" w:eastAsia="Arial" w:hAnsi="Arial"/>
                <w:sz w:val="18"/>
                <w:szCs w:val="18"/>
                <w:color w:val="auto"/>
              </w:rPr>
              <w:t>TABLE OF CONTENTS</w:t>
            </w:r>
          </w:p>
        </w:tc>
        <w:tc>
          <w:tcPr>
            <w:tcW w:w="2440" w:type="dxa"/>
            <w:vAlign w:val="bottom"/>
          </w:tcPr>
          <w:p>
            <w:pPr>
              <w:spacing w:after="0"/>
              <w:rPr>
                <w:sz w:val="19"/>
                <w:szCs w:val="19"/>
                <w:color w:val="auto"/>
              </w:rPr>
            </w:pPr>
          </w:p>
        </w:tc>
      </w:tr>
      <w:tr>
        <w:trPr>
          <w:trHeight w:val="412"/>
        </w:trPr>
        <w:tc>
          <w:tcPr>
            <w:tcW w:w="8880" w:type="dxa"/>
            <w:vAlign w:val="bottom"/>
            <w:gridSpan w:val="36"/>
          </w:tcPr>
          <w:p>
            <w:pPr>
              <w:spacing w:after="0"/>
              <w:rPr>
                <w:sz w:val="20"/>
                <w:szCs w:val="20"/>
                <w:color w:val="auto"/>
              </w:rPr>
            </w:pPr>
            <w:r>
              <w:rPr>
                <w:rFonts w:ascii="Arial" w:cs="Arial" w:eastAsia="Arial" w:hAnsi="Arial"/>
                <w:sz w:val="18"/>
                <w:szCs w:val="18"/>
                <w:color w:val="auto"/>
              </w:rPr>
              <w:t>ARTICLE I DEFINITIONS AND ACCOUNTING TERMS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84"/>
        </w:trPr>
        <w:tc>
          <w:tcPr>
            <w:tcW w:w="800" w:type="dxa"/>
            <w:vAlign w:val="bottom"/>
          </w:tcPr>
          <w:p>
            <w:pPr>
              <w:ind w:left="440"/>
              <w:spacing w:after="0" w:line="184" w:lineRule="exact"/>
              <w:rPr>
                <w:sz w:val="20"/>
                <w:szCs w:val="20"/>
                <w:color w:val="auto"/>
              </w:rPr>
            </w:pPr>
            <w:r>
              <w:rPr>
                <w:rFonts w:ascii="Arial" w:cs="Arial" w:eastAsia="Arial" w:hAnsi="Arial"/>
                <w:sz w:val="18"/>
                <w:szCs w:val="18"/>
                <w:color w:val="auto"/>
                <w:w w:val="91"/>
              </w:rPr>
              <w:t>1.01</w:t>
            </w:r>
          </w:p>
        </w:tc>
        <w:tc>
          <w:tcPr>
            <w:tcW w:w="1060" w:type="dxa"/>
            <w:vAlign w:val="bottom"/>
            <w:tcBorders>
              <w:bottom w:val="single" w:sz="8" w:color="auto"/>
            </w:tcBorders>
            <w:gridSpan w:val="10"/>
          </w:tcPr>
          <w:p>
            <w:pPr>
              <w:spacing w:after="0" w:line="184" w:lineRule="exact"/>
              <w:rPr>
                <w:sz w:val="20"/>
                <w:szCs w:val="20"/>
                <w:color w:val="auto"/>
              </w:rPr>
            </w:pPr>
            <w:r>
              <w:rPr>
                <w:rFonts w:ascii="Arial" w:cs="Arial" w:eastAsia="Arial" w:hAnsi="Arial"/>
                <w:sz w:val="18"/>
                <w:szCs w:val="18"/>
                <w:color w:val="auto"/>
                <w:w w:val="88"/>
              </w:rPr>
              <w:t>Defined Terms</w:t>
            </w:r>
          </w:p>
        </w:tc>
        <w:tc>
          <w:tcPr>
            <w:tcW w:w="7020" w:type="dxa"/>
            <w:vAlign w:val="bottom"/>
            <w:gridSpan w:val="25"/>
          </w:tcPr>
          <w:p>
            <w:pPr>
              <w:spacing w:after="0"/>
              <w:rPr>
                <w:sz w:val="15"/>
                <w:szCs w:val="15"/>
                <w:color w:val="auto"/>
              </w:rPr>
            </w:pPr>
          </w:p>
        </w:tc>
        <w:tc>
          <w:tcPr>
            <w:tcW w:w="244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1.02</w:t>
            </w:r>
          </w:p>
        </w:tc>
        <w:tc>
          <w:tcPr>
            <w:tcW w:w="204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88"/>
              </w:rPr>
              <w:t>Other Interpretive Provisions</w:t>
            </w:r>
          </w:p>
        </w:tc>
        <w:tc>
          <w:tcPr>
            <w:tcW w:w="6040" w:type="dxa"/>
            <w:vAlign w:val="bottom"/>
            <w:gridSpan w:val="1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1.03</w:t>
            </w:r>
          </w:p>
        </w:tc>
        <w:tc>
          <w:tcPr>
            <w:tcW w:w="8080" w:type="dxa"/>
            <w:vAlign w:val="bottom"/>
            <w:gridSpan w:val="35"/>
          </w:tcPr>
          <w:p>
            <w:pPr>
              <w:spacing w:after="0" w:line="196" w:lineRule="exact"/>
              <w:rPr>
                <w:sz w:val="20"/>
                <w:szCs w:val="20"/>
                <w:color w:val="auto"/>
              </w:rPr>
            </w:pPr>
            <w:r>
              <w:rPr>
                <w:rFonts w:ascii="Arial" w:cs="Arial" w:eastAsia="Arial" w:hAnsi="Arial"/>
                <w:sz w:val="18"/>
                <w:szCs w:val="18"/>
                <w:color w:val="auto"/>
              </w:rPr>
              <w:t>Accounting Terms; Calculation of Financial Covenants on a Pro Forma Basis</w:t>
            </w: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1.04</w:t>
            </w:r>
          </w:p>
        </w:tc>
        <w:tc>
          <w:tcPr>
            <w:tcW w:w="70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8"/>
              </w:rPr>
              <w:t>Rounding</w:t>
            </w:r>
          </w:p>
        </w:tc>
        <w:tc>
          <w:tcPr>
            <w:tcW w:w="4720" w:type="dxa"/>
            <w:vAlign w:val="bottom"/>
            <w:tcBorders>
              <w:top w:val="single" w:sz="8" w:color="auto"/>
            </w:tcBorders>
            <w:gridSpan w:val="28"/>
          </w:tcPr>
          <w:p>
            <w:pPr>
              <w:spacing w:after="0"/>
              <w:rPr>
                <w:sz w:val="17"/>
                <w:szCs w:val="17"/>
                <w:color w:val="auto"/>
              </w:rPr>
            </w:pPr>
          </w:p>
        </w:tc>
        <w:tc>
          <w:tcPr>
            <w:tcW w:w="2660" w:type="dxa"/>
            <w:vAlign w:val="bottom"/>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1.05</w:t>
            </w:r>
          </w:p>
        </w:tc>
        <w:tc>
          <w:tcPr>
            <w:tcW w:w="96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88"/>
              </w:rPr>
              <w:t>Times of Day</w:t>
            </w:r>
          </w:p>
        </w:tc>
        <w:tc>
          <w:tcPr>
            <w:tcW w:w="7120" w:type="dxa"/>
            <w:vAlign w:val="bottom"/>
            <w:gridSpan w:val="2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1.06</w:t>
            </w:r>
          </w:p>
        </w:tc>
        <w:tc>
          <w:tcPr>
            <w:tcW w:w="178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0"/>
              </w:rPr>
              <w:t>Letter of Credit Amounts</w:t>
            </w:r>
          </w:p>
        </w:tc>
        <w:tc>
          <w:tcPr>
            <w:tcW w:w="6300" w:type="dxa"/>
            <w:vAlign w:val="bottom"/>
            <w:gridSpan w:val="1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336"/>
        </w:trPr>
        <w:tc>
          <w:tcPr>
            <w:tcW w:w="8880" w:type="dxa"/>
            <w:vAlign w:val="bottom"/>
            <w:gridSpan w:val="36"/>
          </w:tcPr>
          <w:p>
            <w:pPr>
              <w:spacing w:after="0"/>
              <w:rPr>
                <w:sz w:val="20"/>
                <w:szCs w:val="20"/>
                <w:color w:val="auto"/>
              </w:rPr>
            </w:pPr>
            <w:r>
              <w:rPr>
                <w:rFonts w:ascii="Arial" w:cs="Arial" w:eastAsia="Arial" w:hAnsi="Arial"/>
                <w:sz w:val="18"/>
                <w:szCs w:val="18"/>
                <w:color w:val="auto"/>
              </w:rPr>
              <w:t>ARTICLE II THE COMMITMENTS AND CREDIT EXTENSIONS</w:t>
            </w:r>
          </w:p>
        </w:tc>
        <w:tc>
          <w:tcPr>
            <w:tcW w:w="2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184"/>
        </w:trPr>
        <w:tc>
          <w:tcPr>
            <w:tcW w:w="800" w:type="dxa"/>
            <w:vAlign w:val="bottom"/>
          </w:tcPr>
          <w:p>
            <w:pPr>
              <w:ind w:left="440"/>
              <w:spacing w:after="0" w:line="184" w:lineRule="exact"/>
              <w:rPr>
                <w:sz w:val="20"/>
                <w:szCs w:val="20"/>
                <w:color w:val="auto"/>
              </w:rPr>
            </w:pPr>
            <w:r>
              <w:rPr>
                <w:rFonts w:ascii="Arial" w:cs="Arial" w:eastAsia="Arial" w:hAnsi="Arial"/>
                <w:sz w:val="18"/>
                <w:szCs w:val="18"/>
                <w:color w:val="auto"/>
                <w:w w:val="91"/>
              </w:rPr>
              <w:t>2.01</w:t>
            </w:r>
          </w:p>
        </w:tc>
        <w:tc>
          <w:tcPr>
            <w:tcW w:w="8080" w:type="dxa"/>
            <w:vAlign w:val="bottom"/>
            <w:gridSpan w:val="35"/>
          </w:tcPr>
          <w:p>
            <w:pPr>
              <w:spacing w:after="0" w:line="184" w:lineRule="exact"/>
              <w:rPr>
                <w:sz w:val="20"/>
                <w:szCs w:val="20"/>
                <w:color w:val="auto"/>
              </w:rPr>
            </w:pPr>
            <w:r>
              <w:rPr>
                <w:rFonts w:ascii="Arial" w:cs="Arial" w:eastAsia="Arial" w:hAnsi="Arial"/>
                <w:sz w:val="18"/>
                <w:szCs w:val="18"/>
                <w:color w:val="auto"/>
              </w:rPr>
              <w:t>Revolving Loans and Term Loan</w:t>
            </w:r>
          </w:p>
        </w:tc>
        <w:tc>
          <w:tcPr>
            <w:tcW w:w="2440" w:type="dxa"/>
            <w:vAlign w:val="bottom"/>
          </w:tcPr>
          <w:p>
            <w:pPr>
              <w:jc w:val="right"/>
              <w:spacing w:after="0" w:line="184" w:lineRule="exact"/>
              <w:rPr>
                <w:sz w:val="20"/>
                <w:szCs w:val="20"/>
                <w:color w:val="auto"/>
              </w:rPr>
            </w:pPr>
            <w:r>
              <w:rPr>
                <w:rFonts w:ascii="Arial" w:cs="Arial" w:eastAsia="Arial" w:hAnsi="Arial"/>
                <w:sz w:val="18"/>
                <w:szCs w:val="18"/>
                <w:color w:val="auto"/>
              </w:rPr>
              <w:t>31</w:t>
            </w:r>
          </w:p>
        </w:tc>
      </w:tr>
      <w:tr>
        <w:trPr>
          <w:trHeight w:val="20"/>
        </w:trPr>
        <w:tc>
          <w:tcPr>
            <w:tcW w:w="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2.02</w:t>
            </w:r>
          </w:p>
        </w:tc>
        <w:tc>
          <w:tcPr>
            <w:tcW w:w="3780" w:type="dxa"/>
            <w:vAlign w:val="bottom"/>
            <w:tcBorders>
              <w:bottom w:val="single" w:sz="8" w:color="auto"/>
            </w:tcBorders>
            <w:gridSpan w:val="31"/>
          </w:tcPr>
          <w:p>
            <w:pPr>
              <w:spacing w:after="0" w:line="196" w:lineRule="exact"/>
              <w:rPr>
                <w:sz w:val="20"/>
                <w:szCs w:val="20"/>
                <w:color w:val="auto"/>
              </w:rPr>
            </w:pPr>
            <w:r>
              <w:rPr>
                <w:rFonts w:ascii="Arial" w:cs="Arial" w:eastAsia="Arial" w:hAnsi="Arial"/>
                <w:sz w:val="18"/>
                <w:szCs w:val="18"/>
                <w:color w:val="auto"/>
                <w:w w:val="88"/>
              </w:rPr>
              <w:t>Borrowings, Conversions and Continuations of Loans</w:t>
            </w:r>
          </w:p>
        </w:tc>
        <w:tc>
          <w:tcPr>
            <w:tcW w:w="4300" w:type="dxa"/>
            <w:vAlign w:val="bottom"/>
            <w:gridSpan w:val="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2.03</w:t>
            </w:r>
          </w:p>
        </w:tc>
        <w:tc>
          <w:tcPr>
            <w:tcW w:w="116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8"/>
              </w:rPr>
              <w:t>Letters of Credit</w:t>
            </w:r>
          </w:p>
        </w:tc>
        <w:tc>
          <w:tcPr>
            <w:tcW w:w="6920" w:type="dxa"/>
            <w:vAlign w:val="bottom"/>
            <w:gridSpan w:val="2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2.04</w:t>
            </w:r>
          </w:p>
        </w:tc>
        <w:tc>
          <w:tcPr>
            <w:tcW w:w="128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88"/>
              </w:rPr>
              <w:t>Swing Line Loans</w:t>
            </w:r>
          </w:p>
        </w:tc>
        <w:tc>
          <w:tcPr>
            <w:tcW w:w="6800" w:type="dxa"/>
            <w:vAlign w:val="bottom"/>
            <w:gridSpan w:val="21"/>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2.05</w:t>
            </w:r>
          </w:p>
        </w:tc>
        <w:tc>
          <w:tcPr>
            <w:tcW w:w="90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82"/>
              </w:rPr>
              <w:t>Prepayments</w:t>
            </w:r>
          </w:p>
        </w:tc>
        <w:tc>
          <w:tcPr>
            <w:tcW w:w="7180" w:type="dxa"/>
            <w:vAlign w:val="bottom"/>
            <w:gridSpan w:val="28"/>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2.06</w:t>
            </w:r>
          </w:p>
        </w:tc>
        <w:tc>
          <w:tcPr>
            <w:tcW w:w="8080" w:type="dxa"/>
            <w:vAlign w:val="bottom"/>
            <w:gridSpan w:val="35"/>
          </w:tcPr>
          <w:p>
            <w:pPr>
              <w:spacing w:after="0" w:line="196" w:lineRule="exact"/>
              <w:rPr>
                <w:sz w:val="20"/>
                <w:szCs w:val="20"/>
                <w:color w:val="auto"/>
              </w:rPr>
            </w:pPr>
            <w:r>
              <w:rPr>
                <w:rFonts w:ascii="Arial" w:cs="Arial" w:eastAsia="Arial" w:hAnsi="Arial"/>
                <w:sz w:val="18"/>
                <w:szCs w:val="18"/>
                <w:color w:val="auto"/>
              </w:rPr>
              <w:t>Termination or Reduction of Aggregate Revolving Commitments</w:t>
            </w: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2.07</w:t>
            </w:r>
          </w:p>
        </w:tc>
        <w:tc>
          <w:tcPr>
            <w:tcW w:w="1460" w:type="dxa"/>
            <w:vAlign w:val="bottom"/>
            <w:tcBorders>
              <w:top w:val="single" w:sz="8" w:color="auto"/>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6"/>
              </w:rPr>
              <w:t>Repayment of Loans</w:t>
            </w:r>
          </w:p>
        </w:tc>
        <w:tc>
          <w:tcPr>
            <w:tcW w:w="3120" w:type="dxa"/>
            <w:vAlign w:val="bottom"/>
            <w:tcBorders>
              <w:top w:val="single" w:sz="8" w:color="auto"/>
            </w:tcBorders>
            <w:gridSpan w:val="17"/>
          </w:tcPr>
          <w:p>
            <w:pPr>
              <w:spacing w:after="0"/>
              <w:rPr>
                <w:sz w:val="17"/>
                <w:szCs w:val="17"/>
                <w:color w:val="auto"/>
              </w:rPr>
            </w:pPr>
          </w:p>
        </w:tc>
        <w:tc>
          <w:tcPr>
            <w:tcW w:w="3500" w:type="dxa"/>
            <w:vAlign w:val="bottom"/>
            <w:gridSpan w:val="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2.08</w:t>
            </w:r>
          </w:p>
        </w:tc>
        <w:tc>
          <w:tcPr>
            <w:tcW w:w="52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83"/>
              </w:rPr>
              <w:t>Interest</w:t>
            </w:r>
          </w:p>
        </w:tc>
        <w:tc>
          <w:tcPr>
            <w:tcW w:w="7560" w:type="dxa"/>
            <w:vAlign w:val="bottom"/>
            <w:gridSpan w:val="32"/>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2.09</w:t>
            </w:r>
          </w:p>
        </w:tc>
        <w:tc>
          <w:tcPr>
            <w:tcW w:w="3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4"/>
              </w:rPr>
              <w:t>Fees</w:t>
            </w:r>
          </w:p>
        </w:tc>
        <w:tc>
          <w:tcPr>
            <w:tcW w:w="7760" w:type="dxa"/>
            <w:vAlign w:val="bottom"/>
            <w:gridSpan w:val="34"/>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2.10</w:t>
            </w:r>
          </w:p>
        </w:tc>
        <w:tc>
          <w:tcPr>
            <w:tcW w:w="234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86"/>
              </w:rPr>
              <w:t>Computation of Interest and Fees</w:t>
            </w:r>
          </w:p>
        </w:tc>
        <w:tc>
          <w:tcPr>
            <w:tcW w:w="5740" w:type="dxa"/>
            <w:vAlign w:val="bottom"/>
            <w:gridSpan w:val="9"/>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8880" w:type="dxa"/>
            <w:vAlign w:val="bottom"/>
            <w:gridSpan w:val="36"/>
          </w:tcPr>
          <w:p>
            <w:pPr>
              <w:ind w:left="440"/>
              <w:spacing w:after="0" w:line="196" w:lineRule="exact"/>
              <w:rPr>
                <w:sz w:val="20"/>
                <w:szCs w:val="20"/>
                <w:color w:val="auto"/>
              </w:rPr>
            </w:pPr>
            <w:r>
              <w:rPr>
                <w:rFonts w:ascii="Arial" w:cs="Arial" w:eastAsia="Arial" w:hAnsi="Arial"/>
                <w:sz w:val="18"/>
                <w:szCs w:val="18"/>
                <w:color w:val="auto"/>
              </w:rPr>
              <w:t>2.11 Evidence of Debt</w:t>
            </w: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800" w:type="dxa"/>
            <w:vAlign w:val="bottom"/>
            <w:tcBorders>
              <w:right w:val="single" w:sz="8" w:color="auto"/>
            </w:tcBorders>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2.12</w:t>
            </w:r>
          </w:p>
        </w:tc>
        <w:tc>
          <w:tcPr>
            <w:tcW w:w="3900" w:type="dxa"/>
            <w:vAlign w:val="bottom"/>
            <w:tcBorders>
              <w:bottom w:val="single" w:sz="8" w:color="auto"/>
            </w:tcBorders>
            <w:gridSpan w:val="32"/>
          </w:tcPr>
          <w:p>
            <w:pPr>
              <w:spacing w:after="0" w:line="196" w:lineRule="exact"/>
              <w:rPr>
                <w:sz w:val="20"/>
                <w:szCs w:val="20"/>
                <w:color w:val="auto"/>
              </w:rPr>
            </w:pPr>
            <w:r>
              <w:rPr>
                <w:rFonts w:ascii="Arial" w:cs="Arial" w:eastAsia="Arial" w:hAnsi="Arial"/>
                <w:sz w:val="18"/>
                <w:szCs w:val="18"/>
                <w:color w:val="auto"/>
                <w:w w:val="89"/>
              </w:rPr>
              <w:t>Payments Generally; Administrative Agent’s Clawback</w:t>
            </w:r>
          </w:p>
        </w:tc>
        <w:tc>
          <w:tcPr>
            <w:tcW w:w="4180" w:type="dxa"/>
            <w:vAlign w:val="bottom"/>
            <w:gridSpan w:val="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2.13</w:t>
            </w:r>
          </w:p>
        </w:tc>
        <w:tc>
          <w:tcPr>
            <w:tcW w:w="8080" w:type="dxa"/>
            <w:vAlign w:val="bottom"/>
            <w:gridSpan w:val="35"/>
          </w:tcPr>
          <w:p>
            <w:pPr>
              <w:spacing w:after="0" w:line="196" w:lineRule="exact"/>
              <w:rPr>
                <w:sz w:val="20"/>
                <w:szCs w:val="20"/>
                <w:color w:val="auto"/>
              </w:rPr>
            </w:pPr>
            <w:r>
              <w:rPr>
                <w:rFonts w:ascii="Arial" w:cs="Arial" w:eastAsia="Arial" w:hAnsi="Arial"/>
                <w:sz w:val="18"/>
                <w:szCs w:val="18"/>
                <w:color w:val="auto"/>
              </w:rPr>
              <w:t>Sharing of Payments by Lenders</w:t>
            </w: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2.14</w:t>
            </w:r>
          </w:p>
        </w:tc>
        <w:tc>
          <w:tcPr>
            <w:tcW w:w="2300" w:type="dxa"/>
            <w:vAlign w:val="bottom"/>
            <w:tcBorders>
              <w:top w:val="single" w:sz="8" w:color="auto"/>
            </w:tcBorders>
            <w:gridSpan w:val="24"/>
          </w:tcPr>
          <w:p>
            <w:pPr>
              <w:spacing w:after="0" w:line="196" w:lineRule="exact"/>
              <w:rPr>
                <w:sz w:val="20"/>
                <w:szCs w:val="20"/>
                <w:color w:val="auto"/>
              </w:rPr>
            </w:pPr>
            <w:r>
              <w:rPr>
                <w:rFonts w:ascii="Arial" w:cs="Arial" w:eastAsia="Arial" w:hAnsi="Arial"/>
                <w:sz w:val="18"/>
                <w:szCs w:val="18"/>
                <w:color w:val="auto"/>
              </w:rPr>
              <w:t>Cash Collateral</w:t>
            </w:r>
          </w:p>
        </w:tc>
        <w:tc>
          <w:tcPr>
            <w:tcW w:w="5780" w:type="dxa"/>
            <w:vAlign w:val="bottom"/>
            <w:gridSpan w:val="11"/>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8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2.15</w:t>
            </w:r>
          </w:p>
        </w:tc>
        <w:tc>
          <w:tcPr>
            <w:tcW w:w="136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88"/>
              </w:rPr>
              <w:t>Defaulting Lenders</w:t>
            </w:r>
          </w:p>
        </w:tc>
        <w:tc>
          <w:tcPr>
            <w:tcW w:w="6720" w:type="dxa"/>
            <w:vAlign w:val="bottom"/>
            <w:gridSpan w:val="20"/>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336"/>
        </w:trPr>
        <w:tc>
          <w:tcPr>
            <w:tcW w:w="8880" w:type="dxa"/>
            <w:vAlign w:val="bottom"/>
            <w:gridSpan w:val="36"/>
          </w:tcPr>
          <w:p>
            <w:pPr>
              <w:spacing w:after="0"/>
              <w:rPr>
                <w:sz w:val="20"/>
                <w:szCs w:val="20"/>
                <w:color w:val="auto"/>
              </w:rPr>
            </w:pPr>
            <w:r>
              <w:rPr>
                <w:rFonts w:ascii="Arial" w:cs="Arial" w:eastAsia="Arial" w:hAnsi="Arial"/>
                <w:sz w:val="18"/>
                <w:szCs w:val="18"/>
                <w:color w:val="auto"/>
              </w:rPr>
              <w:t>ARTICLE III TAXES, YIELD PROTECTION AND ILLEGALITY</w:t>
            </w:r>
          </w:p>
        </w:tc>
        <w:tc>
          <w:tcPr>
            <w:tcW w:w="2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84"/>
        </w:trPr>
        <w:tc>
          <w:tcPr>
            <w:tcW w:w="800" w:type="dxa"/>
            <w:vAlign w:val="bottom"/>
          </w:tcPr>
          <w:p>
            <w:pPr>
              <w:ind w:left="440"/>
              <w:spacing w:after="0" w:line="184" w:lineRule="exact"/>
              <w:rPr>
                <w:sz w:val="20"/>
                <w:szCs w:val="20"/>
                <w:color w:val="auto"/>
              </w:rPr>
            </w:pPr>
            <w:r>
              <w:rPr>
                <w:rFonts w:ascii="Arial" w:cs="Arial" w:eastAsia="Arial" w:hAnsi="Arial"/>
                <w:sz w:val="18"/>
                <w:szCs w:val="18"/>
                <w:color w:val="auto"/>
                <w:w w:val="91"/>
              </w:rPr>
              <w:t>3.01</w:t>
            </w:r>
          </w:p>
        </w:tc>
        <w:tc>
          <w:tcPr>
            <w:tcW w:w="400" w:type="dxa"/>
            <w:vAlign w:val="bottom"/>
            <w:tcBorders>
              <w:bottom w:val="single" w:sz="8" w:color="auto"/>
            </w:tcBorders>
            <w:gridSpan w:val="2"/>
          </w:tcPr>
          <w:p>
            <w:pPr>
              <w:spacing w:after="0" w:line="184" w:lineRule="exact"/>
              <w:rPr>
                <w:sz w:val="20"/>
                <w:szCs w:val="20"/>
                <w:color w:val="auto"/>
              </w:rPr>
            </w:pPr>
            <w:r>
              <w:rPr>
                <w:rFonts w:ascii="Arial" w:cs="Arial" w:eastAsia="Arial" w:hAnsi="Arial"/>
                <w:sz w:val="18"/>
                <w:szCs w:val="18"/>
                <w:color w:val="auto"/>
                <w:w w:val="77"/>
              </w:rPr>
              <w:t>Taxes</w:t>
            </w:r>
          </w:p>
        </w:tc>
        <w:tc>
          <w:tcPr>
            <w:tcW w:w="7680" w:type="dxa"/>
            <w:vAlign w:val="bottom"/>
            <w:gridSpan w:val="33"/>
          </w:tcPr>
          <w:p>
            <w:pPr>
              <w:spacing w:after="0"/>
              <w:rPr>
                <w:sz w:val="15"/>
                <w:szCs w:val="15"/>
                <w:color w:val="auto"/>
              </w:rPr>
            </w:pPr>
          </w:p>
        </w:tc>
        <w:tc>
          <w:tcPr>
            <w:tcW w:w="2440" w:type="dxa"/>
            <w:vAlign w:val="bottom"/>
          </w:tcPr>
          <w:p>
            <w:pPr>
              <w:jc w:val="right"/>
              <w:spacing w:after="0" w:line="184" w:lineRule="exact"/>
              <w:rPr>
                <w:sz w:val="20"/>
                <w:szCs w:val="20"/>
                <w:color w:val="auto"/>
              </w:rPr>
            </w:pPr>
            <w:r>
              <w:rPr>
                <w:rFonts w:ascii="Arial" w:cs="Arial" w:eastAsia="Arial" w:hAnsi="Arial"/>
                <w:sz w:val="18"/>
                <w:szCs w:val="18"/>
                <w:color w:val="auto"/>
              </w:rPr>
              <w:t>53</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3.02</w:t>
            </w:r>
          </w:p>
        </w:tc>
        <w:tc>
          <w:tcPr>
            <w:tcW w:w="8080" w:type="dxa"/>
            <w:vAlign w:val="bottom"/>
            <w:gridSpan w:val="35"/>
          </w:tcPr>
          <w:p>
            <w:pPr>
              <w:spacing w:after="0" w:line="196" w:lineRule="exact"/>
              <w:rPr>
                <w:sz w:val="20"/>
                <w:szCs w:val="20"/>
                <w:color w:val="auto"/>
              </w:rPr>
            </w:pPr>
            <w:r>
              <w:rPr>
                <w:rFonts w:ascii="Arial" w:cs="Arial" w:eastAsia="Arial" w:hAnsi="Arial"/>
                <w:sz w:val="18"/>
                <w:szCs w:val="18"/>
                <w:color w:val="auto"/>
              </w:rPr>
              <w:t>Illegality</w:t>
            </w: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800" w:type="dxa"/>
            <w:vAlign w:val="bottom"/>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3.03</w:t>
            </w:r>
          </w:p>
        </w:tc>
        <w:tc>
          <w:tcPr>
            <w:tcW w:w="8080" w:type="dxa"/>
            <w:vAlign w:val="bottom"/>
            <w:gridSpan w:val="35"/>
          </w:tcPr>
          <w:p>
            <w:pPr>
              <w:spacing w:after="0" w:line="196" w:lineRule="exact"/>
              <w:rPr>
                <w:sz w:val="20"/>
                <w:szCs w:val="20"/>
                <w:color w:val="auto"/>
              </w:rPr>
            </w:pPr>
            <w:r>
              <w:rPr>
                <w:rFonts w:ascii="Arial" w:cs="Arial" w:eastAsia="Arial" w:hAnsi="Arial"/>
                <w:sz w:val="18"/>
                <w:szCs w:val="18"/>
                <w:color w:val="auto"/>
              </w:rPr>
              <w:t>Inability to Determine Rates</w:t>
            </w: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3.04</w:t>
            </w:r>
          </w:p>
        </w:tc>
        <w:tc>
          <w:tcPr>
            <w:tcW w:w="1100" w:type="dxa"/>
            <w:vAlign w:val="bottom"/>
            <w:tcBorders>
              <w:top w:val="single" w:sz="8" w:color="auto"/>
              <w:bottom w:val="single" w:sz="8" w:color="auto"/>
            </w:tcBorders>
            <w:gridSpan w:val="11"/>
          </w:tcPr>
          <w:p>
            <w:pPr>
              <w:spacing w:after="0" w:line="196" w:lineRule="exact"/>
              <w:rPr>
                <w:sz w:val="20"/>
                <w:szCs w:val="20"/>
                <w:color w:val="auto"/>
              </w:rPr>
            </w:pPr>
            <w:r>
              <w:rPr>
                <w:rFonts w:ascii="Arial" w:cs="Arial" w:eastAsia="Arial" w:hAnsi="Arial"/>
                <w:sz w:val="18"/>
                <w:szCs w:val="18"/>
                <w:color w:val="auto"/>
                <w:w w:val="83"/>
              </w:rPr>
              <w:t>Increased Costs</w:t>
            </w:r>
          </w:p>
        </w:tc>
        <w:tc>
          <w:tcPr>
            <w:tcW w:w="880" w:type="dxa"/>
            <w:vAlign w:val="bottom"/>
            <w:tcBorders>
              <w:top w:val="single" w:sz="8" w:color="auto"/>
            </w:tcBorders>
            <w:gridSpan w:val="11"/>
          </w:tcPr>
          <w:p>
            <w:pPr>
              <w:spacing w:after="0"/>
              <w:rPr>
                <w:sz w:val="17"/>
                <w:szCs w:val="17"/>
                <w:color w:val="auto"/>
              </w:rPr>
            </w:pPr>
          </w:p>
        </w:tc>
        <w:tc>
          <w:tcPr>
            <w:tcW w:w="6100" w:type="dxa"/>
            <w:vAlign w:val="bottom"/>
            <w:gridSpan w:val="13"/>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3.05</w:t>
            </w:r>
          </w:p>
        </w:tc>
        <w:tc>
          <w:tcPr>
            <w:tcW w:w="178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86"/>
              </w:rPr>
              <w:t>Compensation for Losses</w:t>
            </w:r>
          </w:p>
        </w:tc>
        <w:tc>
          <w:tcPr>
            <w:tcW w:w="6300" w:type="dxa"/>
            <w:vAlign w:val="bottom"/>
            <w:gridSpan w:val="17"/>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3.06</w:t>
            </w:r>
          </w:p>
        </w:tc>
        <w:tc>
          <w:tcPr>
            <w:tcW w:w="3600" w:type="dxa"/>
            <w:vAlign w:val="bottom"/>
            <w:tcBorders>
              <w:bottom w:val="single" w:sz="8" w:color="auto"/>
            </w:tcBorders>
            <w:gridSpan w:val="30"/>
          </w:tcPr>
          <w:p>
            <w:pPr>
              <w:spacing w:after="0" w:line="196" w:lineRule="exact"/>
              <w:rPr>
                <w:sz w:val="20"/>
                <w:szCs w:val="20"/>
                <w:color w:val="auto"/>
              </w:rPr>
            </w:pPr>
            <w:r>
              <w:rPr>
                <w:rFonts w:ascii="Arial" w:cs="Arial" w:eastAsia="Arial" w:hAnsi="Arial"/>
                <w:sz w:val="18"/>
                <w:szCs w:val="18"/>
                <w:color w:val="auto"/>
                <w:w w:val="89"/>
              </w:rPr>
              <w:t>Mitigation of Obligations; Replacement of Lenders</w:t>
            </w:r>
          </w:p>
        </w:tc>
        <w:tc>
          <w:tcPr>
            <w:tcW w:w="4480" w:type="dxa"/>
            <w:vAlign w:val="bottom"/>
            <w:gridSpan w:val="5"/>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3.07</w:t>
            </w:r>
          </w:p>
        </w:tc>
        <w:tc>
          <w:tcPr>
            <w:tcW w:w="8080" w:type="dxa"/>
            <w:vAlign w:val="bottom"/>
            <w:gridSpan w:val="35"/>
          </w:tcPr>
          <w:p>
            <w:pPr>
              <w:spacing w:after="0" w:line="196" w:lineRule="exact"/>
              <w:rPr>
                <w:sz w:val="20"/>
                <w:szCs w:val="20"/>
                <w:color w:val="auto"/>
              </w:rPr>
            </w:pPr>
            <w:r>
              <w:rPr>
                <w:rFonts w:ascii="Arial" w:cs="Arial" w:eastAsia="Arial" w:hAnsi="Arial"/>
                <w:sz w:val="18"/>
                <w:szCs w:val="18"/>
                <w:color w:val="auto"/>
              </w:rPr>
              <w:t>Survival</w:t>
            </w: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800" w:type="dxa"/>
            <w:vAlign w:val="bottom"/>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36"/>
        </w:trPr>
        <w:tc>
          <w:tcPr>
            <w:tcW w:w="8880" w:type="dxa"/>
            <w:vAlign w:val="bottom"/>
            <w:gridSpan w:val="36"/>
          </w:tcPr>
          <w:p>
            <w:pPr>
              <w:spacing w:after="0"/>
              <w:rPr>
                <w:sz w:val="20"/>
                <w:szCs w:val="20"/>
                <w:color w:val="auto"/>
              </w:rPr>
            </w:pPr>
            <w:r>
              <w:rPr>
                <w:rFonts w:ascii="Arial" w:cs="Arial" w:eastAsia="Arial" w:hAnsi="Arial"/>
                <w:sz w:val="18"/>
                <w:szCs w:val="18"/>
                <w:color w:val="auto"/>
              </w:rPr>
              <w:t>ARTICLE IV GUARANTY</w:t>
            </w:r>
          </w:p>
        </w:tc>
        <w:tc>
          <w:tcPr>
            <w:tcW w:w="24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184"/>
        </w:trPr>
        <w:tc>
          <w:tcPr>
            <w:tcW w:w="800" w:type="dxa"/>
            <w:vAlign w:val="bottom"/>
          </w:tcPr>
          <w:p>
            <w:pPr>
              <w:ind w:left="440"/>
              <w:spacing w:after="0" w:line="184" w:lineRule="exact"/>
              <w:rPr>
                <w:sz w:val="20"/>
                <w:szCs w:val="20"/>
                <w:color w:val="auto"/>
              </w:rPr>
            </w:pPr>
            <w:r>
              <w:rPr>
                <w:rFonts w:ascii="Arial" w:cs="Arial" w:eastAsia="Arial" w:hAnsi="Arial"/>
                <w:sz w:val="18"/>
                <w:szCs w:val="18"/>
                <w:color w:val="auto"/>
                <w:w w:val="91"/>
              </w:rPr>
              <w:t>4.01</w:t>
            </w:r>
          </w:p>
        </w:tc>
        <w:tc>
          <w:tcPr>
            <w:tcW w:w="8080" w:type="dxa"/>
            <w:vAlign w:val="bottom"/>
            <w:gridSpan w:val="35"/>
          </w:tcPr>
          <w:p>
            <w:pPr>
              <w:spacing w:after="0" w:line="184" w:lineRule="exact"/>
              <w:rPr>
                <w:sz w:val="20"/>
                <w:szCs w:val="20"/>
                <w:color w:val="auto"/>
              </w:rPr>
            </w:pPr>
            <w:r>
              <w:rPr>
                <w:rFonts w:ascii="Arial" w:cs="Arial" w:eastAsia="Arial" w:hAnsi="Arial"/>
                <w:sz w:val="18"/>
                <w:szCs w:val="18"/>
                <w:color w:val="auto"/>
              </w:rPr>
              <w:t>The Guaranty</w:t>
            </w:r>
          </w:p>
        </w:tc>
        <w:tc>
          <w:tcPr>
            <w:tcW w:w="2440" w:type="dxa"/>
            <w:vAlign w:val="bottom"/>
          </w:tcPr>
          <w:p>
            <w:pPr>
              <w:jc w:val="right"/>
              <w:spacing w:after="0" w:line="184" w:lineRule="exact"/>
              <w:rPr>
                <w:sz w:val="20"/>
                <w:szCs w:val="20"/>
                <w:color w:val="auto"/>
              </w:rPr>
            </w:pPr>
            <w:r>
              <w:rPr>
                <w:rFonts w:ascii="Arial" w:cs="Arial" w:eastAsia="Arial" w:hAnsi="Arial"/>
                <w:sz w:val="18"/>
                <w:szCs w:val="18"/>
                <w:color w:val="auto"/>
              </w:rPr>
              <w:t>60</w:t>
            </w:r>
          </w:p>
        </w:tc>
      </w:tr>
      <w:tr>
        <w:trPr>
          <w:trHeight w:val="20"/>
        </w:trPr>
        <w:tc>
          <w:tcPr>
            <w:tcW w:w="800" w:type="dxa"/>
            <w:vAlign w:val="bottom"/>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4.02</w:t>
            </w:r>
          </w:p>
        </w:tc>
        <w:tc>
          <w:tcPr>
            <w:tcW w:w="186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0"/>
              </w:rPr>
              <w:t>Obligations Unconditional</w:t>
            </w:r>
          </w:p>
        </w:tc>
        <w:tc>
          <w:tcPr>
            <w:tcW w:w="6220" w:type="dxa"/>
            <w:vAlign w:val="bottom"/>
            <w:gridSpan w:val="16"/>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4.03</w:t>
            </w:r>
          </w:p>
        </w:tc>
        <w:tc>
          <w:tcPr>
            <w:tcW w:w="104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6"/>
              </w:rPr>
              <w:t>Reinstatement</w:t>
            </w:r>
          </w:p>
        </w:tc>
        <w:tc>
          <w:tcPr>
            <w:tcW w:w="7040" w:type="dxa"/>
            <w:vAlign w:val="bottom"/>
            <w:gridSpan w:val="26"/>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4.04</w:t>
            </w:r>
          </w:p>
        </w:tc>
        <w:tc>
          <w:tcPr>
            <w:tcW w:w="192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89"/>
              </w:rPr>
              <w:t>Certain Additional Waivers</w:t>
            </w:r>
          </w:p>
        </w:tc>
        <w:tc>
          <w:tcPr>
            <w:tcW w:w="6160" w:type="dxa"/>
            <w:vAlign w:val="bottom"/>
            <w:gridSpan w:val="15"/>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4.05</w:t>
            </w:r>
          </w:p>
        </w:tc>
        <w:tc>
          <w:tcPr>
            <w:tcW w:w="8080" w:type="dxa"/>
            <w:vAlign w:val="bottom"/>
            <w:gridSpan w:val="35"/>
          </w:tcPr>
          <w:p>
            <w:pPr>
              <w:spacing w:after="0" w:line="196" w:lineRule="exact"/>
              <w:rPr>
                <w:sz w:val="20"/>
                <w:szCs w:val="20"/>
                <w:color w:val="auto"/>
              </w:rPr>
            </w:pPr>
            <w:r>
              <w:rPr>
                <w:rFonts w:ascii="Arial" w:cs="Arial" w:eastAsia="Arial" w:hAnsi="Arial"/>
                <w:sz w:val="18"/>
                <w:szCs w:val="18"/>
                <w:color w:val="auto"/>
              </w:rPr>
              <w:t>Remedies</w:t>
            </w: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800" w:type="dxa"/>
            <w:vAlign w:val="bottom"/>
          </w:tcPr>
          <w:p>
            <w:pPr>
              <w:spacing w:after="0" w:line="20" w:lineRule="exact"/>
              <w:rPr>
                <w:sz w:val="1"/>
                <w:szCs w:val="1"/>
                <w:color w:val="auto"/>
              </w:rPr>
            </w:pPr>
          </w:p>
        </w:tc>
        <w:tc>
          <w:tcPr>
            <w:tcW w:w="680" w:type="dxa"/>
            <w:vAlign w:val="bottom"/>
            <w:gridSpan w:val="5"/>
            <w:shd w:val="clear" w:color="auto" w:fill="000000"/>
          </w:tcPr>
          <w:p>
            <w:pPr>
              <w:spacing w:after="0" w:line="20" w:lineRule="exact"/>
              <w:rPr>
                <w:sz w:val="1"/>
                <w:szCs w:val="1"/>
                <w:color w:val="auto"/>
              </w:rPr>
            </w:pPr>
          </w:p>
        </w:tc>
        <w:tc>
          <w:tcPr>
            <w:tcW w:w="900" w:type="dxa"/>
            <w:vAlign w:val="bottom"/>
            <w:gridSpan w:val="1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4.06</w:t>
            </w:r>
          </w:p>
        </w:tc>
        <w:tc>
          <w:tcPr>
            <w:tcW w:w="8080" w:type="dxa"/>
            <w:vAlign w:val="bottom"/>
            <w:gridSpan w:val="35"/>
          </w:tcPr>
          <w:p>
            <w:pPr>
              <w:spacing w:after="0" w:line="196" w:lineRule="exact"/>
              <w:rPr>
                <w:sz w:val="20"/>
                <w:szCs w:val="20"/>
                <w:color w:val="auto"/>
              </w:rPr>
            </w:pPr>
            <w:r>
              <w:rPr>
                <w:rFonts w:ascii="Arial" w:cs="Arial" w:eastAsia="Arial" w:hAnsi="Arial"/>
                <w:sz w:val="18"/>
                <w:szCs w:val="18"/>
                <w:color w:val="auto"/>
              </w:rPr>
              <w:t>Rights of Contribution</w:t>
            </w: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800" w:type="dxa"/>
            <w:vAlign w:val="bottom"/>
          </w:tcPr>
          <w:p>
            <w:pPr>
              <w:spacing w:after="0" w:line="20" w:lineRule="exact"/>
              <w:rPr>
                <w:sz w:val="1"/>
                <w:szCs w:val="1"/>
                <w:color w:val="auto"/>
              </w:rPr>
            </w:pPr>
          </w:p>
        </w:tc>
        <w:tc>
          <w:tcPr>
            <w:tcW w:w="1580" w:type="dxa"/>
            <w:vAlign w:val="bottom"/>
            <w:gridSpan w:val="17"/>
            <w:shd w:val="clear" w:color="auto" w:fill="00000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4.07</w:t>
            </w:r>
          </w:p>
        </w:tc>
        <w:tc>
          <w:tcPr>
            <w:tcW w:w="8080" w:type="dxa"/>
            <w:vAlign w:val="bottom"/>
            <w:gridSpan w:val="35"/>
          </w:tcPr>
          <w:p>
            <w:pPr>
              <w:spacing w:after="0" w:line="196" w:lineRule="exact"/>
              <w:rPr>
                <w:sz w:val="20"/>
                <w:szCs w:val="20"/>
                <w:color w:val="auto"/>
              </w:rPr>
            </w:pPr>
            <w:r>
              <w:rPr>
                <w:rFonts w:ascii="Arial" w:cs="Arial" w:eastAsia="Arial" w:hAnsi="Arial"/>
                <w:sz w:val="18"/>
                <w:szCs w:val="18"/>
                <w:color w:val="auto"/>
              </w:rPr>
              <w:t>Guarantee of Payment; Continuing Guarantee</w:t>
            </w: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20"/>
        </w:trPr>
        <w:tc>
          <w:tcPr>
            <w:tcW w:w="800" w:type="dxa"/>
            <w:vAlign w:val="bottom"/>
          </w:tcPr>
          <w:p>
            <w:pPr>
              <w:spacing w:after="0" w:line="20" w:lineRule="exact"/>
              <w:rPr>
                <w:sz w:val="1"/>
                <w:szCs w:val="1"/>
                <w:color w:val="auto"/>
              </w:rPr>
            </w:pPr>
          </w:p>
        </w:tc>
        <w:tc>
          <w:tcPr>
            <w:tcW w:w="1940" w:type="dxa"/>
            <w:vAlign w:val="bottom"/>
            <w:gridSpan w:val="21"/>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336"/>
        </w:trPr>
        <w:tc>
          <w:tcPr>
            <w:tcW w:w="8880" w:type="dxa"/>
            <w:vAlign w:val="bottom"/>
            <w:gridSpan w:val="36"/>
          </w:tcPr>
          <w:p>
            <w:pPr>
              <w:spacing w:after="0"/>
              <w:rPr>
                <w:sz w:val="20"/>
                <w:szCs w:val="20"/>
                <w:color w:val="auto"/>
              </w:rPr>
            </w:pPr>
            <w:r>
              <w:rPr>
                <w:rFonts w:ascii="Arial" w:cs="Arial" w:eastAsia="Arial" w:hAnsi="Arial"/>
                <w:sz w:val="18"/>
                <w:szCs w:val="18"/>
                <w:color w:val="auto"/>
              </w:rPr>
              <w:t>ARTICLE V CONDITIONS PRECEDENT TO CREDIT EXTENSIONS</w:t>
            </w:r>
          </w:p>
        </w:tc>
        <w:tc>
          <w:tcPr>
            <w:tcW w:w="24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184"/>
        </w:trPr>
        <w:tc>
          <w:tcPr>
            <w:tcW w:w="800" w:type="dxa"/>
            <w:vAlign w:val="bottom"/>
          </w:tcPr>
          <w:p>
            <w:pPr>
              <w:ind w:left="440"/>
              <w:spacing w:after="0" w:line="184" w:lineRule="exact"/>
              <w:rPr>
                <w:sz w:val="20"/>
                <w:szCs w:val="20"/>
                <w:color w:val="auto"/>
              </w:rPr>
            </w:pPr>
            <w:r>
              <w:rPr>
                <w:rFonts w:ascii="Arial" w:cs="Arial" w:eastAsia="Arial" w:hAnsi="Arial"/>
                <w:sz w:val="18"/>
                <w:szCs w:val="18"/>
                <w:color w:val="auto"/>
                <w:w w:val="91"/>
              </w:rPr>
              <w:t>5.01</w:t>
            </w:r>
          </w:p>
        </w:tc>
        <w:tc>
          <w:tcPr>
            <w:tcW w:w="1940" w:type="dxa"/>
            <w:vAlign w:val="bottom"/>
            <w:tcBorders>
              <w:bottom w:val="single" w:sz="8" w:color="auto"/>
            </w:tcBorders>
            <w:gridSpan w:val="21"/>
          </w:tcPr>
          <w:p>
            <w:pPr>
              <w:spacing w:after="0" w:line="184" w:lineRule="exact"/>
              <w:rPr>
                <w:sz w:val="20"/>
                <w:szCs w:val="20"/>
                <w:color w:val="auto"/>
              </w:rPr>
            </w:pPr>
            <w:r>
              <w:rPr>
                <w:rFonts w:ascii="Arial" w:cs="Arial" w:eastAsia="Arial" w:hAnsi="Arial"/>
                <w:sz w:val="18"/>
                <w:szCs w:val="18"/>
                <w:color w:val="auto"/>
                <w:w w:val="88"/>
              </w:rPr>
              <w:t>Conditions of Effectiveness</w:t>
            </w:r>
          </w:p>
        </w:tc>
        <w:tc>
          <w:tcPr>
            <w:tcW w:w="6140" w:type="dxa"/>
            <w:vAlign w:val="bottom"/>
            <w:gridSpan w:val="14"/>
          </w:tcPr>
          <w:p>
            <w:pPr>
              <w:spacing w:after="0"/>
              <w:rPr>
                <w:sz w:val="15"/>
                <w:szCs w:val="15"/>
                <w:color w:val="auto"/>
              </w:rPr>
            </w:pPr>
          </w:p>
        </w:tc>
        <w:tc>
          <w:tcPr>
            <w:tcW w:w="2440" w:type="dxa"/>
            <w:vAlign w:val="bottom"/>
          </w:tcPr>
          <w:p>
            <w:pPr>
              <w:jc w:val="right"/>
              <w:spacing w:after="0" w:line="184" w:lineRule="exact"/>
              <w:rPr>
                <w:sz w:val="20"/>
                <w:szCs w:val="20"/>
                <w:color w:val="auto"/>
              </w:rPr>
            </w:pPr>
            <w:r>
              <w:rPr>
                <w:rFonts w:ascii="Arial" w:cs="Arial" w:eastAsia="Arial" w:hAnsi="Arial"/>
                <w:sz w:val="18"/>
                <w:szCs w:val="18"/>
                <w:color w:val="auto"/>
              </w:rPr>
              <w:t>63</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5.02</w:t>
            </w:r>
          </w:p>
        </w:tc>
        <w:tc>
          <w:tcPr>
            <w:tcW w:w="2460" w:type="dxa"/>
            <w:vAlign w:val="bottom"/>
            <w:tcBorders>
              <w:bottom w:val="single" w:sz="8" w:color="auto"/>
            </w:tcBorders>
            <w:gridSpan w:val="27"/>
          </w:tcPr>
          <w:p>
            <w:pPr>
              <w:spacing w:after="0" w:line="196" w:lineRule="exact"/>
              <w:rPr>
                <w:sz w:val="20"/>
                <w:szCs w:val="20"/>
                <w:color w:val="auto"/>
              </w:rPr>
            </w:pPr>
            <w:r>
              <w:rPr>
                <w:rFonts w:ascii="Arial" w:cs="Arial" w:eastAsia="Arial" w:hAnsi="Arial"/>
                <w:sz w:val="18"/>
                <w:szCs w:val="18"/>
                <w:color w:val="auto"/>
                <w:w w:val="88"/>
              </w:rPr>
              <w:t>Conditions to all Credit Extensions</w:t>
            </w:r>
          </w:p>
        </w:tc>
        <w:tc>
          <w:tcPr>
            <w:tcW w:w="5620" w:type="dxa"/>
            <w:vAlign w:val="bottom"/>
            <w:gridSpan w:val="8"/>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336"/>
        </w:trPr>
        <w:tc>
          <w:tcPr>
            <w:tcW w:w="8880" w:type="dxa"/>
            <w:vAlign w:val="bottom"/>
            <w:gridSpan w:val="36"/>
          </w:tcPr>
          <w:p>
            <w:pPr>
              <w:spacing w:after="0"/>
              <w:rPr>
                <w:sz w:val="20"/>
                <w:szCs w:val="20"/>
                <w:color w:val="auto"/>
              </w:rPr>
            </w:pPr>
            <w:r>
              <w:rPr>
                <w:rFonts w:ascii="Arial" w:cs="Arial" w:eastAsia="Arial" w:hAnsi="Arial"/>
                <w:sz w:val="18"/>
                <w:szCs w:val="18"/>
                <w:color w:val="auto"/>
              </w:rPr>
              <w:t>ARTICLE VI REPRESENTATIONS AND WARRANTIES</w:t>
            </w:r>
          </w:p>
        </w:tc>
        <w:tc>
          <w:tcPr>
            <w:tcW w:w="24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184"/>
        </w:trPr>
        <w:tc>
          <w:tcPr>
            <w:tcW w:w="800" w:type="dxa"/>
            <w:vAlign w:val="bottom"/>
          </w:tcPr>
          <w:p>
            <w:pPr>
              <w:ind w:left="440"/>
              <w:spacing w:after="0" w:line="184" w:lineRule="exact"/>
              <w:rPr>
                <w:sz w:val="20"/>
                <w:szCs w:val="20"/>
                <w:color w:val="auto"/>
              </w:rPr>
            </w:pPr>
            <w:r>
              <w:rPr>
                <w:rFonts w:ascii="Arial" w:cs="Arial" w:eastAsia="Arial" w:hAnsi="Arial"/>
                <w:sz w:val="18"/>
                <w:szCs w:val="18"/>
                <w:color w:val="auto"/>
                <w:w w:val="91"/>
              </w:rPr>
              <w:t>6.01</w:t>
            </w:r>
          </w:p>
        </w:tc>
        <w:tc>
          <w:tcPr>
            <w:tcW w:w="2480" w:type="dxa"/>
            <w:vAlign w:val="bottom"/>
            <w:tcBorders>
              <w:bottom w:val="single" w:sz="8" w:color="auto"/>
            </w:tcBorders>
            <w:gridSpan w:val="28"/>
          </w:tcPr>
          <w:p>
            <w:pPr>
              <w:spacing w:after="0" w:line="184" w:lineRule="exact"/>
              <w:rPr>
                <w:sz w:val="20"/>
                <w:szCs w:val="20"/>
                <w:color w:val="auto"/>
              </w:rPr>
            </w:pPr>
            <w:r>
              <w:rPr>
                <w:rFonts w:ascii="Arial" w:cs="Arial" w:eastAsia="Arial" w:hAnsi="Arial"/>
                <w:sz w:val="18"/>
                <w:szCs w:val="18"/>
                <w:color w:val="auto"/>
                <w:w w:val="88"/>
              </w:rPr>
              <w:t>Existence, Qualification and Power</w:t>
            </w:r>
          </w:p>
        </w:tc>
        <w:tc>
          <w:tcPr>
            <w:tcW w:w="5600" w:type="dxa"/>
            <w:vAlign w:val="bottom"/>
            <w:gridSpan w:val="7"/>
          </w:tcPr>
          <w:p>
            <w:pPr>
              <w:spacing w:after="0"/>
              <w:rPr>
                <w:sz w:val="15"/>
                <w:szCs w:val="15"/>
                <w:color w:val="auto"/>
              </w:rPr>
            </w:pPr>
          </w:p>
        </w:tc>
        <w:tc>
          <w:tcPr>
            <w:tcW w:w="2440" w:type="dxa"/>
            <w:vAlign w:val="bottom"/>
          </w:tcPr>
          <w:p>
            <w:pPr>
              <w:jc w:val="right"/>
              <w:spacing w:after="0" w:line="184" w:lineRule="exact"/>
              <w:rPr>
                <w:sz w:val="20"/>
                <w:szCs w:val="20"/>
                <w:color w:val="auto"/>
              </w:rPr>
            </w:pPr>
            <w:r>
              <w:rPr>
                <w:rFonts w:ascii="Arial" w:cs="Arial" w:eastAsia="Arial" w:hAnsi="Arial"/>
                <w:sz w:val="18"/>
                <w:szCs w:val="18"/>
                <w:color w:val="auto"/>
              </w:rPr>
              <w:t>66</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6.02</w:t>
            </w:r>
          </w:p>
        </w:tc>
        <w:tc>
          <w:tcPr>
            <w:tcW w:w="8080" w:type="dxa"/>
            <w:vAlign w:val="bottom"/>
            <w:gridSpan w:val="35"/>
          </w:tcPr>
          <w:p>
            <w:pPr>
              <w:spacing w:after="0" w:line="196" w:lineRule="exact"/>
              <w:rPr>
                <w:sz w:val="20"/>
                <w:szCs w:val="20"/>
                <w:color w:val="auto"/>
              </w:rPr>
            </w:pPr>
            <w:r>
              <w:rPr>
                <w:rFonts w:ascii="Arial" w:cs="Arial" w:eastAsia="Arial" w:hAnsi="Arial"/>
                <w:sz w:val="18"/>
                <w:szCs w:val="18"/>
                <w:color w:val="auto"/>
              </w:rPr>
              <w:t>Authorization; No Contravention</w:t>
            </w: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800" w:type="dxa"/>
            <w:vAlign w:val="bottom"/>
          </w:tcPr>
          <w:p>
            <w:pPr>
              <w:spacing w:after="0" w:line="20" w:lineRule="exact"/>
              <w:rPr>
                <w:sz w:val="1"/>
                <w:szCs w:val="1"/>
                <w:color w:val="auto"/>
              </w:rPr>
            </w:pPr>
          </w:p>
        </w:tc>
        <w:tc>
          <w:tcPr>
            <w:tcW w:w="2320" w:type="dxa"/>
            <w:vAlign w:val="bottom"/>
            <w:gridSpan w:val="25"/>
            <w:shd w:val="clear" w:color="auto" w:fill="000000"/>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6.03</w:t>
            </w:r>
          </w:p>
        </w:tc>
        <w:tc>
          <w:tcPr>
            <w:tcW w:w="3200" w:type="dxa"/>
            <w:vAlign w:val="bottom"/>
            <w:tcBorders>
              <w:bottom w:val="single" w:sz="8" w:color="auto"/>
            </w:tcBorders>
            <w:gridSpan w:val="29"/>
          </w:tcPr>
          <w:p>
            <w:pPr>
              <w:spacing w:after="0" w:line="196" w:lineRule="exact"/>
              <w:rPr>
                <w:sz w:val="20"/>
                <w:szCs w:val="20"/>
                <w:color w:val="auto"/>
              </w:rPr>
            </w:pPr>
            <w:r>
              <w:rPr>
                <w:rFonts w:ascii="Arial" w:cs="Arial" w:eastAsia="Arial" w:hAnsi="Arial"/>
                <w:sz w:val="18"/>
                <w:szCs w:val="18"/>
                <w:color w:val="auto"/>
                <w:w w:val="88"/>
              </w:rPr>
              <w:t>Governmental Authorization; Other Consents</w:t>
            </w:r>
          </w:p>
        </w:tc>
        <w:tc>
          <w:tcPr>
            <w:tcW w:w="4880" w:type="dxa"/>
            <w:vAlign w:val="bottom"/>
            <w:gridSpan w:val="6"/>
          </w:tcPr>
          <w:p>
            <w:pPr>
              <w:spacing w:after="0"/>
              <w:rPr>
                <w:sz w:val="17"/>
                <w:szCs w:val="17"/>
                <w:color w:val="auto"/>
              </w:rPr>
            </w:pPr>
          </w:p>
        </w:tc>
        <w:tc>
          <w:tcPr>
            <w:tcW w:w="24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80"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800" w:type="dxa"/>
            <w:vAlign w:val="bottom"/>
          </w:tcPr>
          <w:p>
            <w:pPr>
              <w:ind w:left="440"/>
              <w:spacing w:after="0"/>
              <w:rPr>
                <w:sz w:val="20"/>
                <w:szCs w:val="20"/>
                <w:color w:val="auto"/>
              </w:rPr>
            </w:pPr>
            <w:r>
              <w:rPr>
                <w:rFonts w:ascii="Arial" w:cs="Arial" w:eastAsia="Arial" w:hAnsi="Arial"/>
                <w:sz w:val="18"/>
                <w:szCs w:val="18"/>
                <w:color w:val="auto"/>
                <w:w w:val="91"/>
              </w:rPr>
              <w:t>6.04</w:t>
            </w:r>
          </w:p>
        </w:tc>
        <w:tc>
          <w:tcPr>
            <w:tcW w:w="8360" w:type="dxa"/>
            <w:vAlign w:val="bottom"/>
            <w:gridSpan w:val="42"/>
          </w:tcPr>
          <w:p>
            <w:pPr>
              <w:spacing w:after="0"/>
              <w:rPr>
                <w:sz w:val="20"/>
                <w:szCs w:val="20"/>
                <w:color w:val="auto"/>
              </w:rPr>
            </w:pPr>
            <w:r>
              <w:rPr>
                <w:rFonts w:ascii="Arial" w:cs="Arial" w:eastAsia="Arial" w:hAnsi="Arial"/>
                <w:sz w:val="18"/>
                <w:szCs w:val="18"/>
                <w:color w:val="auto"/>
              </w:rPr>
              <w:t>Binding Effect</w:t>
            </w:r>
          </w:p>
        </w:tc>
        <w:tc>
          <w:tcPr>
            <w:tcW w:w="21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6.05</w:t>
            </w:r>
          </w:p>
        </w:tc>
        <w:tc>
          <w:tcPr>
            <w:tcW w:w="8360" w:type="dxa"/>
            <w:vAlign w:val="bottom"/>
            <w:gridSpan w:val="42"/>
          </w:tcPr>
          <w:p>
            <w:pPr>
              <w:spacing w:after="0" w:line="196" w:lineRule="exact"/>
              <w:rPr>
                <w:sz w:val="20"/>
                <w:szCs w:val="20"/>
                <w:color w:val="auto"/>
              </w:rPr>
            </w:pPr>
            <w:r>
              <w:rPr>
                <w:rFonts w:ascii="Arial" w:cs="Arial" w:eastAsia="Arial" w:hAnsi="Arial"/>
                <w:sz w:val="18"/>
                <w:szCs w:val="18"/>
                <w:color w:val="auto"/>
              </w:rPr>
              <w:t>Financial Statements; No Material Adverse Effect</w:t>
            </w: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6.06</w:t>
            </w:r>
          </w:p>
        </w:tc>
        <w:tc>
          <w:tcPr>
            <w:tcW w:w="70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94"/>
              </w:rPr>
              <w:t>Litigation</w:t>
            </w:r>
          </w:p>
        </w:tc>
        <w:tc>
          <w:tcPr>
            <w:tcW w:w="2800" w:type="dxa"/>
            <w:vAlign w:val="bottom"/>
            <w:tcBorders>
              <w:top w:val="single" w:sz="8" w:color="auto"/>
            </w:tcBorders>
            <w:gridSpan w:val="34"/>
          </w:tcPr>
          <w:p>
            <w:pPr>
              <w:spacing w:after="0"/>
              <w:rPr>
                <w:sz w:val="17"/>
                <w:szCs w:val="17"/>
                <w:color w:val="auto"/>
              </w:rPr>
            </w:pPr>
          </w:p>
        </w:tc>
        <w:tc>
          <w:tcPr>
            <w:tcW w:w="4860" w:type="dxa"/>
            <w:vAlign w:val="bottom"/>
            <w:gridSpan w:val="3"/>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6.07</w:t>
            </w:r>
          </w:p>
        </w:tc>
        <w:tc>
          <w:tcPr>
            <w:tcW w:w="78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89"/>
              </w:rPr>
              <w:t>No Default</w:t>
            </w:r>
          </w:p>
        </w:tc>
        <w:tc>
          <w:tcPr>
            <w:tcW w:w="7580" w:type="dxa"/>
            <w:vAlign w:val="bottom"/>
            <w:gridSpan w:val="34"/>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6.08</w:t>
            </w:r>
          </w:p>
        </w:tc>
        <w:tc>
          <w:tcPr>
            <w:tcW w:w="8360" w:type="dxa"/>
            <w:vAlign w:val="bottom"/>
            <w:gridSpan w:val="42"/>
          </w:tcPr>
          <w:p>
            <w:pPr>
              <w:spacing w:after="0" w:line="196" w:lineRule="exact"/>
              <w:rPr>
                <w:sz w:val="20"/>
                <w:szCs w:val="20"/>
                <w:color w:val="auto"/>
              </w:rPr>
            </w:pPr>
            <w:r>
              <w:rPr>
                <w:rFonts w:ascii="Arial" w:cs="Arial" w:eastAsia="Arial" w:hAnsi="Arial"/>
                <w:sz w:val="18"/>
                <w:szCs w:val="18"/>
                <w:color w:val="auto"/>
              </w:rPr>
              <w:t>Ownership of Property; Liens</w:t>
            </w: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6.09</w:t>
            </w:r>
          </w:p>
        </w:tc>
        <w:tc>
          <w:tcPr>
            <w:tcW w:w="2080" w:type="dxa"/>
            <w:vAlign w:val="bottom"/>
            <w:tcBorders>
              <w:top w:val="single" w:sz="8" w:color="auto"/>
            </w:tcBorders>
            <w:gridSpan w:val="32"/>
          </w:tcPr>
          <w:p>
            <w:pPr>
              <w:spacing w:after="0" w:line="196" w:lineRule="exact"/>
              <w:rPr>
                <w:sz w:val="20"/>
                <w:szCs w:val="20"/>
                <w:color w:val="auto"/>
              </w:rPr>
            </w:pPr>
            <w:r>
              <w:rPr>
                <w:rFonts w:ascii="Arial" w:cs="Arial" w:eastAsia="Arial" w:hAnsi="Arial"/>
                <w:sz w:val="18"/>
                <w:szCs w:val="18"/>
                <w:color w:val="auto"/>
                <w:w w:val="95"/>
              </w:rPr>
              <w:t>Environmental Compliance</w:t>
            </w:r>
          </w:p>
        </w:tc>
        <w:tc>
          <w:tcPr>
            <w:tcW w:w="6280" w:type="dxa"/>
            <w:vAlign w:val="bottom"/>
            <w:gridSpan w:val="10"/>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6.10</w:t>
            </w:r>
          </w:p>
        </w:tc>
        <w:tc>
          <w:tcPr>
            <w:tcW w:w="68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83"/>
              </w:rPr>
              <w:t>Insurance</w:t>
            </w:r>
          </w:p>
        </w:tc>
        <w:tc>
          <w:tcPr>
            <w:tcW w:w="1240" w:type="dxa"/>
            <w:vAlign w:val="bottom"/>
            <w:tcBorders>
              <w:top w:val="single" w:sz="8" w:color="auto"/>
            </w:tcBorders>
            <w:gridSpan w:val="26"/>
          </w:tcPr>
          <w:p>
            <w:pPr>
              <w:spacing w:after="0"/>
              <w:rPr>
                <w:sz w:val="17"/>
                <w:szCs w:val="17"/>
                <w:color w:val="auto"/>
              </w:rPr>
            </w:pPr>
          </w:p>
        </w:tc>
        <w:tc>
          <w:tcPr>
            <w:tcW w:w="6440" w:type="dxa"/>
            <w:vAlign w:val="bottom"/>
            <w:gridSpan w:val="12"/>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9160" w:type="dxa"/>
            <w:vAlign w:val="bottom"/>
            <w:gridSpan w:val="43"/>
          </w:tcPr>
          <w:p>
            <w:pPr>
              <w:ind w:left="440"/>
              <w:spacing w:after="0" w:line="196" w:lineRule="exact"/>
              <w:rPr>
                <w:sz w:val="20"/>
                <w:szCs w:val="20"/>
                <w:color w:val="auto"/>
              </w:rPr>
            </w:pPr>
            <w:r>
              <w:rPr>
                <w:rFonts w:ascii="Arial" w:cs="Arial" w:eastAsia="Arial" w:hAnsi="Arial"/>
                <w:sz w:val="18"/>
                <w:szCs w:val="18"/>
                <w:color w:val="auto"/>
              </w:rPr>
              <w:t>6.11 Taxes</w:t>
            </w: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20"/>
        </w:trPr>
        <w:tc>
          <w:tcPr>
            <w:tcW w:w="8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6.12</w:t>
            </w:r>
          </w:p>
        </w:tc>
        <w:tc>
          <w:tcPr>
            <w:tcW w:w="140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89"/>
              </w:rPr>
              <w:t>ERISA Compliance</w:t>
            </w:r>
          </w:p>
        </w:tc>
        <w:tc>
          <w:tcPr>
            <w:tcW w:w="6960" w:type="dxa"/>
            <w:vAlign w:val="bottom"/>
            <w:gridSpan w:val="25"/>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6.13</w:t>
            </w:r>
          </w:p>
        </w:tc>
        <w:tc>
          <w:tcPr>
            <w:tcW w:w="86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83"/>
              </w:rPr>
              <w:t>Subsidiaries</w:t>
            </w:r>
          </w:p>
        </w:tc>
        <w:tc>
          <w:tcPr>
            <w:tcW w:w="7500" w:type="dxa"/>
            <w:vAlign w:val="bottom"/>
            <w:gridSpan w:val="32"/>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6.14</w:t>
            </w:r>
          </w:p>
        </w:tc>
        <w:tc>
          <w:tcPr>
            <w:tcW w:w="8360" w:type="dxa"/>
            <w:vAlign w:val="bottom"/>
            <w:gridSpan w:val="42"/>
          </w:tcPr>
          <w:p>
            <w:pPr>
              <w:spacing w:after="0" w:line="196" w:lineRule="exact"/>
              <w:rPr>
                <w:sz w:val="20"/>
                <w:szCs w:val="20"/>
                <w:color w:val="auto"/>
              </w:rPr>
            </w:pPr>
            <w:r>
              <w:rPr>
                <w:rFonts w:ascii="Arial" w:cs="Arial" w:eastAsia="Arial" w:hAnsi="Arial"/>
                <w:sz w:val="18"/>
                <w:szCs w:val="18"/>
                <w:color w:val="auto"/>
              </w:rPr>
              <w:t>Margin Regulations; Investment Company Act</w:t>
            </w: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6.15</w:t>
            </w:r>
          </w:p>
        </w:tc>
        <w:tc>
          <w:tcPr>
            <w:tcW w:w="3280" w:type="dxa"/>
            <w:vAlign w:val="bottom"/>
            <w:tcBorders>
              <w:top w:val="single" w:sz="8" w:color="auto"/>
            </w:tcBorders>
            <w:gridSpan w:val="37"/>
          </w:tcPr>
          <w:p>
            <w:pPr>
              <w:spacing w:after="0" w:line="196" w:lineRule="exact"/>
              <w:rPr>
                <w:sz w:val="20"/>
                <w:szCs w:val="20"/>
                <w:color w:val="auto"/>
              </w:rPr>
            </w:pPr>
            <w:r>
              <w:rPr>
                <w:rFonts w:ascii="Arial" w:cs="Arial" w:eastAsia="Arial" w:hAnsi="Arial"/>
                <w:sz w:val="18"/>
                <w:szCs w:val="18"/>
                <w:color w:val="auto"/>
              </w:rPr>
              <w:t>Disclosure</w:t>
            </w:r>
          </w:p>
        </w:tc>
        <w:tc>
          <w:tcPr>
            <w:tcW w:w="5080" w:type="dxa"/>
            <w:vAlign w:val="bottom"/>
            <w:gridSpan w:val="5"/>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20"/>
        </w:trPr>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6.16</w:t>
            </w:r>
          </w:p>
        </w:tc>
        <w:tc>
          <w:tcPr>
            <w:tcW w:w="1640" w:type="dxa"/>
            <w:vAlign w:val="bottom"/>
            <w:tcBorders>
              <w:bottom w:val="single" w:sz="8" w:color="auto"/>
            </w:tcBorders>
            <w:gridSpan w:val="24"/>
          </w:tcPr>
          <w:p>
            <w:pPr>
              <w:spacing w:after="0" w:line="196" w:lineRule="exact"/>
              <w:rPr>
                <w:sz w:val="20"/>
                <w:szCs w:val="20"/>
                <w:color w:val="auto"/>
              </w:rPr>
            </w:pPr>
            <w:r>
              <w:rPr>
                <w:rFonts w:ascii="Arial" w:cs="Arial" w:eastAsia="Arial" w:hAnsi="Arial"/>
                <w:sz w:val="18"/>
                <w:szCs w:val="18"/>
                <w:color w:val="auto"/>
                <w:w w:val="90"/>
              </w:rPr>
              <w:t>Compliance with Laws</w:t>
            </w:r>
          </w:p>
        </w:tc>
        <w:tc>
          <w:tcPr>
            <w:tcW w:w="6720" w:type="dxa"/>
            <w:vAlign w:val="bottom"/>
            <w:gridSpan w:val="18"/>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6.17</w:t>
            </w:r>
          </w:p>
        </w:tc>
        <w:tc>
          <w:tcPr>
            <w:tcW w:w="8360" w:type="dxa"/>
            <w:vAlign w:val="bottom"/>
            <w:gridSpan w:val="42"/>
          </w:tcPr>
          <w:p>
            <w:pPr>
              <w:spacing w:after="0" w:line="196" w:lineRule="exact"/>
              <w:rPr>
                <w:sz w:val="20"/>
                <w:szCs w:val="20"/>
                <w:color w:val="auto"/>
              </w:rPr>
            </w:pPr>
            <w:r>
              <w:rPr>
                <w:rFonts w:ascii="Arial" w:cs="Arial" w:eastAsia="Arial" w:hAnsi="Arial"/>
                <w:sz w:val="18"/>
                <w:szCs w:val="18"/>
                <w:color w:val="auto"/>
              </w:rPr>
              <w:t>Intellectual Property; Licenses, Etc.</w:t>
            </w: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6.18</w:t>
            </w:r>
          </w:p>
        </w:tc>
        <w:tc>
          <w:tcPr>
            <w:tcW w:w="2460" w:type="dxa"/>
            <w:vAlign w:val="bottom"/>
            <w:tcBorders>
              <w:top w:val="single" w:sz="8" w:color="auto"/>
            </w:tcBorders>
            <w:gridSpan w:val="35"/>
          </w:tcPr>
          <w:p>
            <w:pPr>
              <w:spacing w:after="0" w:line="196" w:lineRule="exact"/>
              <w:rPr>
                <w:sz w:val="20"/>
                <w:szCs w:val="20"/>
                <w:color w:val="auto"/>
              </w:rPr>
            </w:pPr>
            <w:r>
              <w:rPr>
                <w:rFonts w:ascii="Arial" w:cs="Arial" w:eastAsia="Arial" w:hAnsi="Arial"/>
                <w:sz w:val="18"/>
                <w:szCs w:val="18"/>
                <w:color w:val="auto"/>
              </w:rPr>
              <w:t>Solvency</w:t>
            </w:r>
          </w:p>
        </w:tc>
        <w:tc>
          <w:tcPr>
            <w:tcW w:w="5900" w:type="dxa"/>
            <w:vAlign w:val="bottom"/>
            <w:gridSpan w:val="7"/>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6.19</w:t>
            </w:r>
          </w:p>
        </w:tc>
        <w:tc>
          <w:tcPr>
            <w:tcW w:w="8360" w:type="dxa"/>
            <w:vAlign w:val="bottom"/>
            <w:gridSpan w:val="42"/>
          </w:tcPr>
          <w:p>
            <w:pPr>
              <w:spacing w:after="0" w:line="196" w:lineRule="exact"/>
              <w:rPr>
                <w:sz w:val="20"/>
                <w:szCs w:val="20"/>
                <w:color w:val="auto"/>
              </w:rPr>
            </w:pPr>
            <w:r>
              <w:rPr>
                <w:rFonts w:ascii="Arial" w:cs="Arial" w:eastAsia="Arial" w:hAnsi="Arial"/>
                <w:sz w:val="18"/>
                <w:szCs w:val="18"/>
                <w:color w:val="auto"/>
              </w:rPr>
              <w:t>[Reserved]</w:t>
            </w: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5"/>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6.20</w:t>
            </w:r>
          </w:p>
        </w:tc>
        <w:tc>
          <w:tcPr>
            <w:tcW w:w="8360" w:type="dxa"/>
            <w:vAlign w:val="bottom"/>
            <w:gridSpan w:val="42"/>
          </w:tcPr>
          <w:p>
            <w:pPr>
              <w:spacing w:after="0" w:line="196" w:lineRule="exact"/>
              <w:rPr>
                <w:sz w:val="20"/>
                <w:szCs w:val="20"/>
                <w:color w:val="auto"/>
              </w:rPr>
            </w:pPr>
            <w:r>
              <w:rPr>
                <w:rFonts w:ascii="Arial" w:cs="Arial" w:eastAsia="Arial" w:hAnsi="Arial"/>
                <w:sz w:val="18"/>
                <w:szCs w:val="18"/>
                <w:color w:val="auto"/>
              </w:rPr>
              <w:t>Business Locations; Taxpayer Identification Number</w:t>
            </w: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6.21</w:t>
            </w:r>
          </w:p>
        </w:tc>
        <w:tc>
          <w:tcPr>
            <w:tcW w:w="3700" w:type="dxa"/>
            <w:vAlign w:val="bottom"/>
            <w:tcBorders>
              <w:top w:val="single" w:sz="8" w:color="auto"/>
            </w:tcBorders>
            <w:gridSpan w:val="40"/>
          </w:tcPr>
          <w:p>
            <w:pPr>
              <w:spacing w:after="0" w:line="196" w:lineRule="exact"/>
              <w:rPr>
                <w:sz w:val="20"/>
                <w:szCs w:val="20"/>
                <w:color w:val="auto"/>
              </w:rPr>
            </w:pPr>
            <w:r>
              <w:rPr>
                <w:rFonts w:ascii="Arial" w:cs="Arial" w:eastAsia="Arial" w:hAnsi="Arial"/>
                <w:sz w:val="18"/>
                <w:szCs w:val="18"/>
                <w:color w:val="auto"/>
              </w:rPr>
              <w:t>OFAC</w:t>
            </w:r>
          </w:p>
        </w:tc>
        <w:tc>
          <w:tcPr>
            <w:tcW w:w="4660" w:type="dxa"/>
            <w:vAlign w:val="bottom"/>
            <w:gridSpan w:val="2"/>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336"/>
        </w:trPr>
        <w:tc>
          <w:tcPr>
            <w:tcW w:w="9160" w:type="dxa"/>
            <w:vAlign w:val="bottom"/>
            <w:gridSpan w:val="43"/>
          </w:tcPr>
          <w:p>
            <w:pPr>
              <w:spacing w:after="0"/>
              <w:rPr>
                <w:sz w:val="20"/>
                <w:szCs w:val="20"/>
                <w:color w:val="auto"/>
              </w:rPr>
            </w:pPr>
            <w:r>
              <w:rPr>
                <w:rFonts w:ascii="Arial" w:cs="Arial" w:eastAsia="Arial" w:hAnsi="Arial"/>
                <w:sz w:val="18"/>
                <w:szCs w:val="18"/>
                <w:color w:val="auto"/>
              </w:rPr>
              <w:t>ARTICLE VII AFFIRMATIVE COVENANTS</w:t>
            </w:r>
          </w:p>
        </w:tc>
        <w:tc>
          <w:tcPr>
            <w:tcW w:w="21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184"/>
        </w:trPr>
        <w:tc>
          <w:tcPr>
            <w:tcW w:w="800" w:type="dxa"/>
            <w:vAlign w:val="bottom"/>
          </w:tcPr>
          <w:p>
            <w:pPr>
              <w:ind w:left="440"/>
              <w:spacing w:after="0" w:line="184" w:lineRule="exact"/>
              <w:rPr>
                <w:sz w:val="20"/>
                <w:szCs w:val="20"/>
                <w:color w:val="auto"/>
              </w:rPr>
            </w:pPr>
            <w:r>
              <w:rPr>
                <w:rFonts w:ascii="Arial" w:cs="Arial" w:eastAsia="Arial" w:hAnsi="Arial"/>
                <w:sz w:val="18"/>
                <w:szCs w:val="18"/>
                <w:color w:val="auto"/>
                <w:w w:val="91"/>
              </w:rPr>
              <w:t>7.01</w:t>
            </w:r>
          </w:p>
        </w:tc>
        <w:tc>
          <w:tcPr>
            <w:tcW w:w="1460" w:type="dxa"/>
            <w:vAlign w:val="bottom"/>
            <w:tcBorders>
              <w:bottom w:val="single" w:sz="8" w:color="auto"/>
            </w:tcBorders>
            <w:gridSpan w:val="20"/>
          </w:tcPr>
          <w:p>
            <w:pPr>
              <w:spacing w:after="0" w:line="184" w:lineRule="exact"/>
              <w:rPr>
                <w:sz w:val="20"/>
                <w:szCs w:val="20"/>
                <w:color w:val="auto"/>
              </w:rPr>
            </w:pPr>
            <w:r>
              <w:rPr>
                <w:rFonts w:ascii="Arial" w:cs="Arial" w:eastAsia="Arial" w:hAnsi="Arial"/>
                <w:sz w:val="18"/>
                <w:szCs w:val="18"/>
                <w:color w:val="auto"/>
                <w:w w:val="85"/>
              </w:rPr>
              <w:t>Financial Statements</w:t>
            </w:r>
          </w:p>
        </w:tc>
        <w:tc>
          <w:tcPr>
            <w:tcW w:w="6900" w:type="dxa"/>
            <w:vAlign w:val="bottom"/>
            <w:gridSpan w:val="22"/>
          </w:tcPr>
          <w:p>
            <w:pPr>
              <w:spacing w:after="0"/>
              <w:rPr>
                <w:sz w:val="15"/>
                <w:szCs w:val="15"/>
                <w:color w:val="auto"/>
              </w:rPr>
            </w:pPr>
          </w:p>
        </w:tc>
        <w:tc>
          <w:tcPr>
            <w:tcW w:w="2160" w:type="dxa"/>
            <w:vAlign w:val="bottom"/>
          </w:tcPr>
          <w:p>
            <w:pPr>
              <w:jc w:val="right"/>
              <w:spacing w:after="0" w:line="184" w:lineRule="exact"/>
              <w:rPr>
                <w:sz w:val="20"/>
                <w:szCs w:val="20"/>
                <w:color w:val="auto"/>
              </w:rPr>
            </w:pPr>
            <w:r>
              <w:rPr>
                <w:rFonts w:ascii="Arial" w:cs="Arial" w:eastAsia="Arial" w:hAnsi="Arial"/>
                <w:sz w:val="18"/>
                <w:szCs w:val="18"/>
                <w:color w:val="auto"/>
              </w:rPr>
              <w:t>72</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7.02</w:t>
            </w:r>
          </w:p>
        </w:tc>
        <w:tc>
          <w:tcPr>
            <w:tcW w:w="2180" w:type="dxa"/>
            <w:vAlign w:val="bottom"/>
            <w:tcBorders>
              <w:bottom w:val="single" w:sz="8" w:color="auto"/>
            </w:tcBorders>
            <w:gridSpan w:val="34"/>
          </w:tcPr>
          <w:p>
            <w:pPr>
              <w:spacing w:after="0" w:line="196" w:lineRule="exact"/>
              <w:rPr>
                <w:sz w:val="20"/>
                <w:szCs w:val="20"/>
                <w:color w:val="auto"/>
              </w:rPr>
            </w:pPr>
            <w:r>
              <w:rPr>
                <w:rFonts w:ascii="Arial" w:cs="Arial" w:eastAsia="Arial" w:hAnsi="Arial"/>
                <w:sz w:val="18"/>
                <w:szCs w:val="18"/>
                <w:color w:val="auto"/>
                <w:w w:val="89"/>
              </w:rPr>
              <w:t>Certificates; Other Information</w:t>
            </w:r>
          </w:p>
        </w:tc>
        <w:tc>
          <w:tcPr>
            <w:tcW w:w="6180" w:type="dxa"/>
            <w:vAlign w:val="bottom"/>
            <w:gridSpan w:val="8"/>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7.03</w:t>
            </w:r>
          </w:p>
        </w:tc>
        <w:tc>
          <w:tcPr>
            <w:tcW w:w="8360" w:type="dxa"/>
            <w:vAlign w:val="bottom"/>
            <w:gridSpan w:val="42"/>
          </w:tcPr>
          <w:p>
            <w:pPr>
              <w:spacing w:after="0" w:line="196" w:lineRule="exact"/>
              <w:rPr>
                <w:sz w:val="20"/>
                <w:szCs w:val="20"/>
                <w:color w:val="auto"/>
              </w:rPr>
            </w:pPr>
            <w:r>
              <w:rPr>
                <w:rFonts w:ascii="Arial" w:cs="Arial" w:eastAsia="Arial" w:hAnsi="Arial"/>
                <w:sz w:val="18"/>
                <w:szCs w:val="18"/>
                <w:color w:val="auto"/>
              </w:rPr>
              <w:t>Notices</w:t>
            </w: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7.04</w:t>
            </w:r>
          </w:p>
        </w:tc>
        <w:tc>
          <w:tcPr>
            <w:tcW w:w="8360" w:type="dxa"/>
            <w:vAlign w:val="bottom"/>
            <w:gridSpan w:val="42"/>
          </w:tcPr>
          <w:p>
            <w:pPr>
              <w:spacing w:after="0" w:line="196" w:lineRule="exact"/>
              <w:rPr>
                <w:sz w:val="20"/>
                <w:szCs w:val="20"/>
                <w:color w:val="auto"/>
              </w:rPr>
            </w:pPr>
            <w:r>
              <w:rPr>
                <w:rFonts w:ascii="Arial" w:cs="Arial" w:eastAsia="Arial" w:hAnsi="Arial"/>
                <w:sz w:val="18"/>
                <w:szCs w:val="18"/>
                <w:color w:val="auto"/>
              </w:rPr>
              <w:t>Payment of Taxes</w:t>
            </w: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8"/>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7.05</w:t>
            </w:r>
          </w:p>
        </w:tc>
        <w:tc>
          <w:tcPr>
            <w:tcW w:w="8360" w:type="dxa"/>
            <w:vAlign w:val="bottom"/>
            <w:gridSpan w:val="42"/>
          </w:tcPr>
          <w:p>
            <w:pPr>
              <w:spacing w:after="0" w:line="196" w:lineRule="exact"/>
              <w:rPr>
                <w:sz w:val="20"/>
                <w:szCs w:val="20"/>
                <w:color w:val="auto"/>
              </w:rPr>
            </w:pPr>
            <w:r>
              <w:rPr>
                <w:rFonts w:ascii="Arial" w:cs="Arial" w:eastAsia="Arial" w:hAnsi="Arial"/>
                <w:sz w:val="18"/>
                <w:szCs w:val="18"/>
                <w:color w:val="auto"/>
              </w:rPr>
              <w:t>Preservation of Existence, Etc.</w:t>
            </w: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7.06</w:t>
            </w:r>
          </w:p>
        </w:tc>
        <w:tc>
          <w:tcPr>
            <w:tcW w:w="2100" w:type="dxa"/>
            <w:vAlign w:val="bottom"/>
            <w:tcBorders>
              <w:top w:val="single" w:sz="8" w:color="auto"/>
            </w:tcBorders>
            <w:gridSpan w:val="33"/>
          </w:tcPr>
          <w:p>
            <w:pPr>
              <w:spacing w:after="0" w:line="196" w:lineRule="exact"/>
              <w:rPr>
                <w:sz w:val="20"/>
                <w:szCs w:val="20"/>
                <w:color w:val="auto"/>
              </w:rPr>
            </w:pPr>
            <w:r>
              <w:rPr>
                <w:rFonts w:ascii="Arial" w:cs="Arial" w:eastAsia="Arial" w:hAnsi="Arial"/>
                <w:sz w:val="18"/>
                <w:szCs w:val="18"/>
                <w:color w:val="auto"/>
                <w:w w:val="98"/>
              </w:rPr>
              <w:t>Maintenance of Properties</w:t>
            </w:r>
          </w:p>
        </w:tc>
        <w:tc>
          <w:tcPr>
            <w:tcW w:w="6260" w:type="dxa"/>
            <w:vAlign w:val="bottom"/>
            <w:gridSpan w:val="9"/>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7.07</w:t>
            </w:r>
          </w:p>
        </w:tc>
        <w:tc>
          <w:tcPr>
            <w:tcW w:w="1820" w:type="dxa"/>
            <w:vAlign w:val="bottom"/>
            <w:tcBorders>
              <w:top w:val="single" w:sz="8" w:color="auto"/>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86"/>
              </w:rPr>
              <w:t>Maintenance of Insurance</w:t>
            </w:r>
          </w:p>
        </w:tc>
        <w:tc>
          <w:tcPr>
            <w:tcW w:w="20" w:type="dxa"/>
            <w:vAlign w:val="bottom"/>
            <w:tcBorders>
              <w:top w:val="single" w:sz="8" w:color="auto"/>
            </w:tcBorders>
          </w:tcPr>
          <w:p>
            <w:pPr>
              <w:spacing w:after="0"/>
              <w:rPr>
                <w:sz w:val="17"/>
                <w:szCs w:val="17"/>
                <w:color w:val="auto"/>
              </w:rPr>
            </w:pPr>
          </w:p>
        </w:tc>
        <w:tc>
          <w:tcPr>
            <w:tcW w:w="6520" w:type="dxa"/>
            <w:vAlign w:val="bottom"/>
            <w:gridSpan w:val="15"/>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7.08</w:t>
            </w:r>
          </w:p>
        </w:tc>
        <w:tc>
          <w:tcPr>
            <w:tcW w:w="162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89"/>
              </w:rPr>
              <w:t>Compliance with Laws</w:t>
            </w:r>
          </w:p>
        </w:tc>
        <w:tc>
          <w:tcPr>
            <w:tcW w:w="6740" w:type="dxa"/>
            <w:vAlign w:val="bottom"/>
            <w:gridSpan w:val="19"/>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7.09</w:t>
            </w:r>
          </w:p>
        </w:tc>
        <w:tc>
          <w:tcPr>
            <w:tcW w:w="1360" w:type="dxa"/>
            <w:vAlign w:val="bottom"/>
            <w:tcBorders>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5"/>
              </w:rPr>
              <w:t>Books and Records</w:t>
            </w:r>
          </w:p>
        </w:tc>
        <w:tc>
          <w:tcPr>
            <w:tcW w:w="7000" w:type="dxa"/>
            <w:vAlign w:val="bottom"/>
            <w:gridSpan w:val="26"/>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7.10</w:t>
            </w:r>
          </w:p>
        </w:tc>
        <w:tc>
          <w:tcPr>
            <w:tcW w:w="8360" w:type="dxa"/>
            <w:vAlign w:val="bottom"/>
            <w:gridSpan w:val="42"/>
          </w:tcPr>
          <w:p>
            <w:pPr>
              <w:spacing w:after="0" w:line="196" w:lineRule="exact"/>
              <w:rPr>
                <w:sz w:val="20"/>
                <w:szCs w:val="20"/>
                <w:color w:val="auto"/>
              </w:rPr>
            </w:pPr>
            <w:r>
              <w:rPr>
                <w:rFonts w:ascii="Arial" w:cs="Arial" w:eastAsia="Arial" w:hAnsi="Arial"/>
                <w:sz w:val="18"/>
                <w:szCs w:val="18"/>
                <w:color w:val="auto"/>
              </w:rPr>
              <w:t>Inspection Rights</w:t>
            </w: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8"/>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9160" w:type="dxa"/>
            <w:vAlign w:val="bottom"/>
            <w:gridSpan w:val="43"/>
          </w:tcPr>
          <w:p>
            <w:pPr>
              <w:ind w:left="440"/>
              <w:spacing w:after="0" w:line="196" w:lineRule="exact"/>
              <w:rPr>
                <w:sz w:val="20"/>
                <w:szCs w:val="20"/>
                <w:color w:val="auto"/>
              </w:rPr>
            </w:pPr>
            <w:r>
              <w:rPr>
                <w:rFonts w:ascii="Arial" w:cs="Arial" w:eastAsia="Arial" w:hAnsi="Arial"/>
                <w:sz w:val="18"/>
                <w:szCs w:val="18"/>
                <w:color w:val="auto"/>
              </w:rPr>
              <w:t>7.11 Use of Proceeds</w:t>
            </w: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8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8"/>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7.12</w:t>
            </w:r>
          </w:p>
        </w:tc>
        <w:tc>
          <w:tcPr>
            <w:tcW w:w="158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89"/>
              </w:rPr>
              <w:t>Additional Guarantors</w:t>
            </w:r>
          </w:p>
        </w:tc>
        <w:tc>
          <w:tcPr>
            <w:tcW w:w="6780" w:type="dxa"/>
            <w:vAlign w:val="bottom"/>
            <w:gridSpan w:val="20"/>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7.13</w:t>
            </w:r>
          </w:p>
        </w:tc>
        <w:tc>
          <w:tcPr>
            <w:tcW w:w="1060" w:type="dxa"/>
            <w:vAlign w:val="bottom"/>
            <w:tcBorders>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83"/>
              </w:rPr>
              <w:t>Pledged Assets</w:t>
            </w:r>
          </w:p>
        </w:tc>
        <w:tc>
          <w:tcPr>
            <w:tcW w:w="7300" w:type="dxa"/>
            <w:vAlign w:val="bottom"/>
            <w:gridSpan w:val="30"/>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7.14</w:t>
            </w:r>
          </w:p>
        </w:tc>
        <w:tc>
          <w:tcPr>
            <w:tcW w:w="8360" w:type="dxa"/>
            <w:vAlign w:val="bottom"/>
            <w:gridSpan w:val="42"/>
          </w:tcPr>
          <w:p>
            <w:pPr>
              <w:spacing w:after="0" w:line="196" w:lineRule="exact"/>
              <w:rPr>
                <w:sz w:val="20"/>
                <w:szCs w:val="20"/>
                <w:color w:val="auto"/>
              </w:rPr>
            </w:pPr>
            <w:r>
              <w:rPr>
                <w:rFonts w:ascii="Arial" w:cs="Arial" w:eastAsia="Arial" w:hAnsi="Arial"/>
                <w:sz w:val="18"/>
                <w:szCs w:val="18"/>
                <w:color w:val="auto"/>
              </w:rPr>
              <w:t>Compliance with Contractual Obligations</w:t>
            </w: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0"/>
        </w:trPr>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8"/>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gridSpan w:val="4"/>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7.15</w:t>
            </w:r>
          </w:p>
        </w:tc>
        <w:tc>
          <w:tcPr>
            <w:tcW w:w="3460" w:type="dxa"/>
            <w:vAlign w:val="bottom"/>
            <w:tcBorders>
              <w:bottom w:val="single" w:sz="8" w:color="auto"/>
            </w:tcBorders>
            <w:gridSpan w:val="38"/>
          </w:tcPr>
          <w:p>
            <w:pPr>
              <w:spacing w:after="0" w:line="196" w:lineRule="exact"/>
              <w:rPr>
                <w:sz w:val="20"/>
                <w:szCs w:val="20"/>
                <w:color w:val="auto"/>
              </w:rPr>
            </w:pPr>
            <w:r>
              <w:rPr>
                <w:rFonts w:ascii="Arial" w:cs="Arial" w:eastAsia="Arial" w:hAnsi="Arial"/>
                <w:sz w:val="18"/>
                <w:szCs w:val="18"/>
                <w:color w:val="auto"/>
                <w:w w:val="89"/>
              </w:rPr>
              <w:t>Maintenance of Primary Depository Relationship</w:t>
            </w:r>
          </w:p>
        </w:tc>
        <w:tc>
          <w:tcPr>
            <w:tcW w:w="4900" w:type="dxa"/>
            <w:vAlign w:val="bottom"/>
            <w:gridSpan w:val="4"/>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7.16</w:t>
            </w:r>
          </w:p>
        </w:tc>
        <w:tc>
          <w:tcPr>
            <w:tcW w:w="8360" w:type="dxa"/>
            <w:vAlign w:val="bottom"/>
            <w:gridSpan w:val="42"/>
          </w:tcPr>
          <w:p>
            <w:pPr>
              <w:spacing w:after="0" w:line="196" w:lineRule="exact"/>
              <w:rPr>
                <w:sz w:val="20"/>
                <w:szCs w:val="20"/>
                <w:color w:val="auto"/>
              </w:rPr>
            </w:pPr>
            <w:r>
              <w:rPr>
                <w:rFonts w:ascii="Arial" w:cs="Arial" w:eastAsia="Arial" w:hAnsi="Arial"/>
                <w:sz w:val="18"/>
                <w:szCs w:val="18"/>
                <w:color w:val="auto"/>
              </w:rPr>
              <w:t>Regulatory Letter of Credit</w:t>
            </w: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7.17</w:t>
            </w:r>
          </w:p>
        </w:tc>
        <w:tc>
          <w:tcPr>
            <w:tcW w:w="1120" w:type="dxa"/>
            <w:vAlign w:val="bottom"/>
            <w:tcBorders>
              <w:top w:val="single" w:sz="8" w:color="auto"/>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86"/>
              </w:rPr>
              <w:t>Encroachments</w:t>
            </w:r>
          </w:p>
        </w:tc>
        <w:tc>
          <w:tcPr>
            <w:tcW w:w="780" w:type="dxa"/>
            <w:vAlign w:val="bottom"/>
            <w:tcBorders>
              <w:top w:val="single" w:sz="8" w:color="auto"/>
            </w:tcBorders>
            <w:gridSpan w:val="16"/>
          </w:tcPr>
          <w:p>
            <w:pPr>
              <w:spacing w:after="0"/>
              <w:rPr>
                <w:sz w:val="17"/>
                <w:szCs w:val="17"/>
                <w:color w:val="auto"/>
              </w:rPr>
            </w:pPr>
          </w:p>
        </w:tc>
        <w:tc>
          <w:tcPr>
            <w:tcW w:w="6460" w:type="dxa"/>
            <w:vAlign w:val="bottom"/>
            <w:gridSpan w:val="13"/>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336"/>
        </w:trPr>
        <w:tc>
          <w:tcPr>
            <w:tcW w:w="9160" w:type="dxa"/>
            <w:vAlign w:val="bottom"/>
            <w:gridSpan w:val="43"/>
          </w:tcPr>
          <w:p>
            <w:pPr>
              <w:spacing w:after="0"/>
              <w:rPr>
                <w:sz w:val="20"/>
                <w:szCs w:val="20"/>
                <w:color w:val="auto"/>
              </w:rPr>
            </w:pPr>
            <w:r>
              <w:rPr>
                <w:rFonts w:ascii="Arial" w:cs="Arial" w:eastAsia="Arial" w:hAnsi="Arial"/>
                <w:sz w:val="18"/>
                <w:szCs w:val="18"/>
                <w:color w:val="auto"/>
              </w:rPr>
              <w:t>ARTICLE VIII NEGATIVE COVENANTS</w:t>
            </w:r>
          </w:p>
        </w:tc>
        <w:tc>
          <w:tcPr>
            <w:tcW w:w="21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184"/>
        </w:trPr>
        <w:tc>
          <w:tcPr>
            <w:tcW w:w="800" w:type="dxa"/>
            <w:vAlign w:val="bottom"/>
          </w:tcPr>
          <w:p>
            <w:pPr>
              <w:ind w:left="440"/>
              <w:spacing w:after="0" w:line="184" w:lineRule="exact"/>
              <w:rPr>
                <w:sz w:val="20"/>
                <w:szCs w:val="20"/>
                <w:color w:val="auto"/>
              </w:rPr>
            </w:pPr>
            <w:r>
              <w:rPr>
                <w:rFonts w:ascii="Arial" w:cs="Arial" w:eastAsia="Arial" w:hAnsi="Arial"/>
                <w:sz w:val="18"/>
                <w:szCs w:val="18"/>
                <w:color w:val="auto"/>
                <w:w w:val="91"/>
              </w:rPr>
              <w:t>8.01</w:t>
            </w:r>
          </w:p>
        </w:tc>
        <w:tc>
          <w:tcPr>
            <w:tcW w:w="8360" w:type="dxa"/>
            <w:vAlign w:val="bottom"/>
            <w:gridSpan w:val="42"/>
          </w:tcPr>
          <w:p>
            <w:pPr>
              <w:spacing w:after="0" w:line="184" w:lineRule="exact"/>
              <w:rPr>
                <w:sz w:val="20"/>
                <w:szCs w:val="20"/>
                <w:color w:val="auto"/>
              </w:rPr>
            </w:pPr>
            <w:r>
              <w:rPr>
                <w:rFonts w:ascii="Arial" w:cs="Arial" w:eastAsia="Arial" w:hAnsi="Arial"/>
                <w:sz w:val="18"/>
                <w:szCs w:val="18"/>
                <w:color w:val="auto"/>
              </w:rPr>
              <w:t>Liens</w:t>
            </w:r>
          </w:p>
        </w:tc>
        <w:tc>
          <w:tcPr>
            <w:tcW w:w="2160" w:type="dxa"/>
            <w:vAlign w:val="bottom"/>
          </w:tcPr>
          <w:p>
            <w:pPr>
              <w:jc w:val="right"/>
              <w:spacing w:after="0" w:line="184" w:lineRule="exact"/>
              <w:rPr>
                <w:sz w:val="20"/>
                <w:szCs w:val="20"/>
                <w:color w:val="auto"/>
              </w:rPr>
            </w:pPr>
            <w:r>
              <w:rPr>
                <w:rFonts w:ascii="Arial" w:cs="Arial" w:eastAsia="Arial" w:hAnsi="Arial"/>
                <w:sz w:val="18"/>
                <w:szCs w:val="18"/>
                <w:color w:val="auto"/>
              </w:rPr>
              <w:t>80</w:t>
            </w:r>
          </w:p>
        </w:tc>
      </w:tr>
      <w:tr>
        <w:trPr>
          <w:trHeight w:val="20"/>
        </w:trPr>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8.02</w:t>
            </w:r>
          </w:p>
        </w:tc>
        <w:tc>
          <w:tcPr>
            <w:tcW w:w="840" w:type="dxa"/>
            <w:vAlign w:val="bottom"/>
            <w:tcBorders>
              <w:bottom w:val="single" w:sz="8" w:color="auto"/>
            </w:tcBorders>
            <w:gridSpan w:val="9"/>
          </w:tcPr>
          <w:p>
            <w:pPr>
              <w:spacing w:after="0" w:line="196" w:lineRule="exact"/>
              <w:rPr>
                <w:sz w:val="20"/>
                <w:szCs w:val="20"/>
                <w:color w:val="auto"/>
              </w:rPr>
            </w:pPr>
            <w:r>
              <w:rPr>
                <w:rFonts w:ascii="Arial" w:cs="Arial" w:eastAsia="Arial" w:hAnsi="Arial"/>
                <w:sz w:val="18"/>
                <w:szCs w:val="18"/>
                <w:color w:val="auto"/>
                <w:w w:val="84"/>
              </w:rPr>
              <w:t>Investments</w:t>
            </w:r>
          </w:p>
        </w:tc>
        <w:tc>
          <w:tcPr>
            <w:tcW w:w="7520" w:type="dxa"/>
            <w:vAlign w:val="bottom"/>
            <w:gridSpan w:val="33"/>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8.03</w:t>
            </w:r>
          </w:p>
        </w:tc>
        <w:tc>
          <w:tcPr>
            <w:tcW w:w="8360" w:type="dxa"/>
            <w:vAlign w:val="bottom"/>
            <w:gridSpan w:val="42"/>
          </w:tcPr>
          <w:p>
            <w:pPr>
              <w:spacing w:after="0" w:line="196" w:lineRule="exact"/>
              <w:rPr>
                <w:sz w:val="20"/>
                <w:szCs w:val="20"/>
                <w:color w:val="auto"/>
              </w:rPr>
            </w:pPr>
            <w:r>
              <w:rPr>
                <w:rFonts w:ascii="Arial" w:cs="Arial" w:eastAsia="Arial" w:hAnsi="Arial"/>
                <w:sz w:val="18"/>
                <w:szCs w:val="18"/>
                <w:color w:val="auto"/>
              </w:rPr>
              <w:t>Indebtedness</w:t>
            </w: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800" w:type="dxa"/>
            <w:vAlign w:val="bottom"/>
          </w:tcPr>
          <w:p>
            <w:pPr>
              <w:spacing w:after="0" w:line="20" w:lineRule="exact"/>
              <w:rPr>
                <w:sz w:val="1"/>
                <w:szCs w:val="1"/>
                <w:color w:val="auto"/>
              </w:rPr>
            </w:pPr>
          </w:p>
        </w:tc>
        <w:tc>
          <w:tcPr>
            <w:tcW w:w="860" w:type="dxa"/>
            <w:vAlign w:val="bottom"/>
            <w:gridSpan w:val="10"/>
            <w:shd w:val="clear" w:color="auto" w:fill="000000"/>
          </w:tcPr>
          <w:p>
            <w:pPr>
              <w:spacing w:after="0" w:line="20" w:lineRule="exact"/>
              <w:rPr>
                <w:sz w:val="1"/>
                <w:szCs w:val="1"/>
                <w:color w:val="auto"/>
              </w:rPr>
            </w:pPr>
          </w:p>
        </w:tc>
        <w:tc>
          <w:tcPr>
            <w:tcW w:w="280" w:type="dxa"/>
            <w:vAlign w:val="bottom"/>
            <w:tcBorders>
              <w:left w:val="single" w:sz="8" w:color="auto"/>
            </w:tcBorders>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8.04</w:t>
            </w:r>
          </w:p>
        </w:tc>
        <w:tc>
          <w:tcPr>
            <w:tcW w:w="156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84"/>
              </w:rPr>
              <w:t>Fundamental Changes</w:t>
            </w:r>
          </w:p>
        </w:tc>
        <w:tc>
          <w:tcPr>
            <w:tcW w:w="6800" w:type="dxa"/>
            <w:vAlign w:val="bottom"/>
            <w:gridSpan w:val="21"/>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8.05</w:t>
            </w:r>
          </w:p>
        </w:tc>
        <w:tc>
          <w:tcPr>
            <w:tcW w:w="8360" w:type="dxa"/>
            <w:vAlign w:val="bottom"/>
            <w:gridSpan w:val="42"/>
          </w:tcPr>
          <w:p>
            <w:pPr>
              <w:spacing w:after="0" w:line="196" w:lineRule="exact"/>
              <w:rPr>
                <w:sz w:val="20"/>
                <w:szCs w:val="20"/>
                <w:color w:val="auto"/>
              </w:rPr>
            </w:pPr>
            <w:r>
              <w:rPr>
                <w:rFonts w:ascii="Arial" w:cs="Arial" w:eastAsia="Arial" w:hAnsi="Arial"/>
                <w:sz w:val="18"/>
                <w:szCs w:val="18"/>
                <w:color w:val="auto"/>
              </w:rPr>
              <w:t>Dispositions</w:t>
            </w: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r>
      <w:tr>
        <w:trPr>
          <w:trHeight w:val="20"/>
        </w:trPr>
        <w:tc>
          <w:tcPr>
            <w:tcW w:w="800" w:type="dxa"/>
            <w:vAlign w:val="bottom"/>
          </w:tcPr>
          <w:p>
            <w:pPr>
              <w:spacing w:after="0" w:line="20" w:lineRule="exact"/>
              <w:rPr>
                <w:sz w:val="1"/>
                <w:szCs w:val="1"/>
                <w:color w:val="auto"/>
              </w:rPr>
            </w:pPr>
          </w:p>
        </w:tc>
        <w:tc>
          <w:tcPr>
            <w:tcW w:w="860" w:type="dxa"/>
            <w:vAlign w:val="bottom"/>
            <w:gridSpan w:val="10"/>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00" w:type="dxa"/>
            <w:vAlign w:val="bottom"/>
            <w:gridSpan w:val="9"/>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8.06</w:t>
            </w:r>
          </w:p>
        </w:tc>
        <w:tc>
          <w:tcPr>
            <w:tcW w:w="144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85"/>
              </w:rPr>
              <w:t>Restricted Payments</w:t>
            </w:r>
          </w:p>
        </w:tc>
        <w:tc>
          <w:tcPr>
            <w:tcW w:w="6920" w:type="dxa"/>
            <w:vAlign w:val="bottom"/>
            <w:gridSpan w:val="23"/>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8.07</w:t>
            </w:r>
          </w:p>
        </w:tc>
        <w:tc>
          <w:tcPr>
            <w:tcW w:w="8360" w:type="dxa"/>
            <w:vAlign w:val="bottom"/>
            <w:gridSpan w:val="42"/>
          </w:tcPr>
          <w:p>
            <w:pPr>
              <w:spacing w:after="0" w:line="196" w:lineRule="exact"/>
              <w:rPr>
                <w:sz w:val="20"/>
                <w:szCs w:val="20"/>
                <w:color w:val="auto"/>
              </w:rPr>
            </w:pPr>
            <w:r>
              <w:rPr>
                <w:rFonts w:ascii="Arial" w:cs="Arial" w:eastAsia="Arial" w:hAnsi="Arial"/>
                <w:sz w:val="18"/>
                <w:szCs w:val="18"/>
                <w:color w:val="auto"/>
              </w:rPr>
              <w:t>Change in Nature of Business</w:t>
            </w: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8.08</w:t>
            </w:r>
          </w:p>
        </w:tc>
        <w:tc>
          <w:tcPr>
            <w:tcW w:w="2080" w:type="dxa"/>
            <w:vAlign w:val="bottom"/>
            <w:tcBorders>
              <w:top w:val="single" w:sz="8" w:color="auto"/>
            </w:tcBorders>
            <w:gridSpan w:val="32"/>
          </w:tcPr>
          <w:p>
            <w:pPr>
              <w:spacing w:after="0" w:line="196" w:lineRule="exact"/>
              <w:rPr>
                <w:sz w:val="20"/>
                <w:szCs w:val="20"/>
                <w:color w:val="auto"/>
              </w:rPr>
            </w:pPr>
            <w:r>
              <w:rPr>
                <w:rFonts w:ascii="Arial" w:cs="Arial" w:eastAsia="Arial" w:hAnsi="Arial"/>
                <w:sz w:val="18"/>
                <w:szCs w:val="18"/>
                <w:color w:val="auto"/>
                <w:w w:val="96"/>
              </w:rPr>
              <w:t>Transactions with Affiliates</w:t>
            </w:r>
          </w:p>
        </w:tc>
        <w:tc>
          <w:tcPr>
            <w:tcW w:w="6280" w:type="dxa"/>
            <w:vAlign w:val="bottom"/>
            <w:gridSpan w:val="10"/>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8.09</w:t>
            </w:r>
          </w:p>
        </w:tc>
        <w:tc>
          <w:tcPr>
            <w:tcW w:w="1780" w:type="dxa"/>
            <w:vAlign w:val="bottom"/>
            <w:tcBorders>
              <w:top w:val="single" w:sz="8" w:color="auto"/>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86"/>
              </w:rPr>
              <w:t>Burdensome Agreements</w:t>
            </w:r>
          </w:p>
        </w:tc>
        <w:tc>
          <w:tcPr>
            <w:tcW w:w="160" w:type="dxa"/>
            <w:vAlign w:val="bottom"/>
            <w:tcBorders>
              <w:top w:val="single" w:sz="8" w:color="auto"/>
            </w:tcBorders>
            <w:gridSpan w:val="6"/>
          </w:tcPr>
          <w:p>
            <w:pPr>
              <w:spacing w:after="0"/>
              <w:rPr>
                <w:sz w:val="17"/>
                <w:szCs w:val="17"/>
                <w:color w:val="auto"/>
              </w:rPr>
            </w:pPr>
          </w:p>
        </w:tc>
        <w:tc>
          <w:tcPr>
            <w:tcW w:w="6420" w:type="dxa"/>
            <w:vAlign w:val="bottom"/>
            <w:gridSpan w:val="11"/>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8.10</w:t>
            </w:r>
          </w:p>
        </w:tc>
        <w:tc>
          <w:tcPr>
            <w:tcW w:w="114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84"/>
              </w:rPr>
              <w:t>Use of Proceeds</w:t>
            </w:r>
          </w:p>
        </w:tc>
        <w:tc>
          <w:tcPr>
            <w:tcW w:w="7220" w:type="dxa"/>
            <w:vAlign w:val="bottom"/>
            <w:gridSpan w:val="28"/>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9160" w:type="dxa"/>
            <w:vAlign w:val="bottom"/>
            <w:gridSpan w:val="43"/>
          </w:tcPr>
          <w:p>
            <w:pPr>
              <w:ind w:left="440"/>
              <w:spacing w:after="0" w:line="196" w:lineRule="exact"/>
              <w:rPr>
                <w:sz w:val="20"/>
                <w:szCs w:val="20"/>
                <w:color w:val="auto"/>
              </w:rPr>
            </w:pPr>
            <w:r>
              <w:rPr>
                <w:rFonts w:ascii="Arial" w:cs="Arial" w:eastAsia="Arial" w:hAnsi="Arial"/>
                <w:sz w:val="18"/>
                <w:szCs w:val="18"/>
                <w:color w:val="auto"/>
              </w:rPr>
              <w:t>8.11 Financial Covenants</w:t>
            </w: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20"/>
        </w:trPr>
        <w:tc>
          <w:tcPr>
            <w:tcW w:w="800" w:type="dxa"/>
            <w:vAlign w:val="bottom"/>
            <w:tcBorders>
              <w:right w:val="single" w:sz="8" w:color="auto"/>
            </w:tcBorders>
          </w:tcPr>
          <w:p>
            <w:pPr>
              <w:spacing w:after="0" w:line="20" w:lineRule="exact"/>
              <w:rPr>
                <w:sz w:val="1"/>
                <w:szCs w:val="1"/>
                <w:color w:val="auto"/>
              </w:rPr>
            </w:pPr>
          </w:p>
        </w:tc>
        <w:tc>
          <w:tcPr>
            <w:tcW w:w="1420" w:type="dxa"/>
            <w:vAlign w:val="bottom"/>
            <w:gridSpan w:val="18"/>
            <w:shd w:val="clear" w:color="auto" w:fill="000000"/>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4520" w:type="dxa"/>
            <w:vAlign w:val="bottom"/>
            <w:gridSpan w:val="1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8.12</w:t>
            </w:r>
          </w:p>
        </w:tc>
        <w:tc>
          <w:tcPr>
            <w:tcW w:w="6380" w:type="dxa"/>
            <w:vAlign w:val="bottom"/>
            <w:tcBorders>
              <w:bottom w:val="single" w:sz="8" w:color="auto"/>
            </w:tcBorders>
            <w:gridSpan w:val="41"/>
          </w:tcPr>
          <w:p>
            <w:pPr>
              <w:spacing w:after="0" w:line="196" w:lineRule="exact"/>
              <w:rPr>
                <w:sz w:val="20"/>
                <w:szCs w:val="20"/>
                <w:color w:val="auto"/>
              </w:rPr>
            </w:pPr>
            <w:r>
              <w:rPr>
                <w:rFonts w:ascii="Arial" w:cs="Arial" w:eastAsia="Arial" w:hAnsi="Arial"/>
                <w:sz w:val="18"/>
                <w:szCs w:val="18"/>
                <w:color w:val="auto"/>
                <w:w w:val="88"/>
              </w:rPr>
              <w:t>Organization Documents; Fiscal Year; Legal Name, State of Formation and Form of Entity</w:t>
            </w:r>
          </w:p>
        </w:tc>
        <w:tc>
          <w:tcPr>
            <w:tcW w:w="1980" w:type="dxa"/>
            <w:vAlign w:val="bottom"/>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800" w:type="dxa"/>
            <w:vAlign w:val="bottom"/>
          </w:tcPr>
          <w:p>
            <w:pPr>
              <w:ind w:left="440"/>
              <w:spacing w:after="0" w:line="196" w:lineRule="exact"/>
              <w:rPr>
                <w:sz w:val="20"/>
                <w:szCs w:val="20"/>
                <w:color w:val="auto"/>
              </w:rPr>
            </w:pPr>
            <w:r>
              <w:rPr>
                <w:rFonts w:ascii="Arial" w:cs="Arial" w:eastAsia="Arial" w:hAnsi="Arial"/>
                <w:sz w:val="18"/>
                <w:szCs w:val="18"/>
                <w:color w:val="auto"/>
                <w:w w:val="91"/>
              </w:rPr>
              <w:t>8.13</w:t>
            </w:r>
          </w:p>
        </w:tc>
        <w:tc>
          <w:tcPr>
            <w:tcW w:w="1860" w:type="dxa"/>
            <w:vAlign w:val="bottom"/>
            <w:tcBorders>
              <w:bottom w:val="single" w:sz="8" w:color="auto"/>
            </w:tcBorders>
            <w:gridSpan w:val="28"/>
          </w:tcPr>
          <w:p>
            <w:pPr>
              <w:spacing w:after="0" w:line="196" w:lineRule="exact"/>
              <w:rPr>
                <w:sz w:val="20"/>
                <w:szCs w:val="20"/>
                <w:color w:val="auto"/>
              </w:rPr>
            </w:pPr>
            <w:r>
              <w:rPr>
                <w:rFonts w:ascii="Arial" w:cs="Arial" w:eastAsia="Arial" w:hAnsi="Arial"/>
                <w:sz w:val="18"/>
                <w:szCs w:val="18"/>
                <w:color w:val="auto"/>
                <w:w w:val="87"/>
              </w:rPr>
              <w:t>Ownership of Subsidiaries</w:t>
            </w:r>
          </w:p>
        </w:tc>
        <w:tc>
          <w:tcPr>
            <w:tcW w:w="6500" w:type="dxa"/>
            <w:vAlign w:val="bottom"/>
            <w:gridSpan w:val="14"/>
          </w:tcPr>
          <w:p>
            <w:pPr>
              <w:spacing w:after="0"/>
              <w:rPr>
                <w:sz w:val="17"/>
                <w:szCs w:val="17"/>
                <w:color w:val="auto"/>
              </w:rPr>
            </w:pPr>
          </w:p>
        </w:tc>
        <w:tc>
          <w:tcPr>
            <w:tcW w:w="216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57"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07"/>
        </w:trPr>
        <w:tc>
          <w:tcPr>
            <w:tcW w:w="8520" w:type="dxa"/>
            <w:vAlign w:val="bottom"/>
            <w:gridSpan w:val="29"/>
          </w:tcPr>
          <w:p>
            <w:pPr>
              <w:ind w:left="440"/>
              <w:spacing w:after="0"/>
              <w:rPr>
                <w:sz w:val="20"/>
                <w:szCs w:val="20"/>
                <w:color w:val="auto"/>
              </w:rPr>
            </w:pPr>
            <w:r>
              <w:rPr>
                <w:rFonts w:ascii="Arial" w:cs="Arial" w:eastAsia="Arial" w:hAnsi="Arial"/>
                <w:sz w:val="18"/>
                <w:szCs w:val="18"/>
                <w:color w:val="auto"/>
              </w:rPr>
              <w:t>8.14 Sale Leasebacks</w:t>
            </w:r>
          </w:p>
        </w:tc>
        <w:tc>
          <w:tcPr>
            <w:tcW w:w="28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8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520" w:type="dxa"/>
            <w:vAlign w:val="bottom"/>
            <w:gridSpan w:val="29"/>
          </w:tcPr>
          <w:p>
            <w:pPr>
              <w:ind w:left="440"/>
              <w:spacing w:after="0" w:line="196" w:lineRule="exact"/>
              <w:rPr>
                <w:sz w:val="20"/>
                <w:szCs w:val="20"/>
                <w:color w:val="auto"/>
              </w:rPr>
            </w:pPr>
            <w:r>
              <w:rPr>
                <w:rFonts w:ascii="Arial" w:cs="Arial" w:eastAsia="Arial" w:hAnsi="Arial"/>
                <w:sz w:val="18"/>
                <w:szCs w:val="18"/>
                <w:color w:val="auto"/>
              </w:rPr>
              <w:t>8.15 Sanctions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20"/>
        </w:trPr>
        <w:tc>
          <w:tcPr>
            <w:tcW w:w="8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520" w:type="dxa"/>
            <w:vAlign w:val="bottom"/>
            <w:gridSpan w:val="29"/>
          </w:tcPr>
          <w:p>
            <w:pPr>
              <w:ind w:left="440"/>
              <w:spacing w:after="0" w:line="196" w:lineRule="exact"/>
              <w:rPr>
                <w:sz w:val="20"/>
                <w:szCs w:val="20"/>
                <w:color w:val="auto"/>
              </w:rPr>
            </w:pPr>
            <w:r>
              <w:rPr>
                <w:rFonts w:ascii="Arial" w:cs="Arial" w:eastAsia="Arial" w:hAnsi="Arial"/>
                <w:sz w:val="18"/>
                <w:szCs w:val="18"/>
                <w:color w:val="auto"/>
              </w:rPr>
              <w:t>8.16 Educational Covenants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20"/>
        </w:trPr>
        <w:tc>
          <w:tcPr>
            <w:tcW w:w="880" w:type="dxa"/>
            <w:vAlign w:val="bottom"/>
            <w:tcBorders>
              <w:right w:val="single" w:sz="8" w:color="auto"/>
            </w:tcBorders>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520" w:type="dxa"/>
            <w:vAlign w:val="bottom"/>
            <w:gridSpan w:val="29"/>
          </w:tcPr>
          <w:p>
            <w:pPr>
              <w:ind w:left="440"/>
              <w:spacing w:after="0" w:line="196" w:lineRule="exact"/>
              <w:rPr>
                <w:sz w:val="20"/>
                <w:szCs w:val="20"/>
                <w:color w:val="auto"/>
              </w:rPr>
            </w:pPr>
            <w:r>
              <w:rPr>
                <w:rFonts w:ascii="Arial" w:cs="Arial" w:eastAsia="Arial" w:hAnsi="Arial"/>
                <w:sz w:val="18"/>
                <w:szCs w:val="18"/>
                <w:color w:val="auto"/>
              </w:rPr>
              <w:t>8.17 NMTC Subsidiaries; NMTC Indebtedness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20"/>
        </w:trPr>
        <w:tc>
          <w:tcPr>
            <w:tcW w:w="880" w:type="dxa"/>
            <w:vAlign w:val="bottom"/>
            <w:tcBorders>
              <w:right w:val="single" w:sz="8" w:color="auto"/>
            </w:tcBorders>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36"/>
        </w:trPr>
        <w:tc>
          <w:tcPr>
            <w:tcW w:w="8520" w:type="dxa"/>
            <w:vAlign w:val="bottom"/>
            <w:gridSpan w:val="29"/>
          </w:tcPr>
          <w:p>
            <w:pPr>
              <w:spacing w:after="0"/>
              <w:rPr>
                <w:sz w:val="20"/>
                <w:szCs w:val="20"/>
                <w:color w:val="auto"/>
              </w:rPr>
            </w:pPr>
            <w:r>
              <w:rPr>
                <w:rFonts w:ascii="Arial" w:cs="Arial" w:eastAsia="Arial" w:hAnsi="Arial"/>
                <w:sz w:val="18"/>
                <w:szCs w:val="18"/>
                <w:color w:val="auto"/>
              </w:rPr>
              <w:t>ARTICLE IX EVENTS OF DEFAULT AND REMEDIES</w:t>
            </w:r>
          </w:p>
        </w:tc>
        <w:tc>
          <w:tcPr>
            <w:tcW w:w="28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184"/>
        </w:trPr>
        <w:tc>
          <w:tcPr>
            <w:tcW w:w="8520" w:type="dxa"/>
            <w:vAlign w:val="bottom"/>
            <w:gridSpan w:val="29"/>
          </w:tcPr>
          <w:p>
            <w:pPr>
              <w:ind w:left="440"/>
              <w:spacing w:after="0" w:line="184" w:lineRule="exact"/>
              <w:rPr>
                <w:sz w:val="20"/>
                <w:szCs w:val="20"/>
                <w:color w:val="auto"/>
              </w:rPr>
            </w:pPr>
            <w:r>
              <w:rPr>
                <w:rFonts w:ascii="Arial" w:cs="Arial" w:eastAsia="Arial" w:hAnsi="Arial"/>
                <w:sz w:val="18"/>
                <w:szCs w:val="18"/>
                <w:color w:val="auto"/>
              </w:rPr>
              <w:t>9.01 Events of Default</w:t>
            </w:r>
          </w:p>
        </w:tc>
        <w:tc>
          <w:tcPr>
            <w:tcW w:w="2800" w:type="dxa"/>
            <w:vAlign w:val="bottom"/>
          </w:tcPr>
          <w:p>
            <w:pPr>
              <w:jc w:val="right"/>
              <w:spacing w:after="0" w:line="184" w:lineRule="exact"/>
              <w:rPr>
                <w:sz w:val="20"/>
                <w:szCs w:val="20"/>
                <w:color w:val="auto"/>
              </w:rPr>
            </w:pPr>
            <w:r>
              <w:rPr>
                <w:rFonts w:ascii="Arial" w:cs="Arial" w:eastAsia="Arial" w:hAnsi="Arial"/>
                <w:sz w:val="18"/>
                <w:szCs w:val="18"/>
                <w:color w:val="auto"/>
              </w:rPr>
              <w:t>90</w:t>
            </w:r>
          </w:p>
        </w:tc>
      </w:tr>
      <w:tr>
        <w:trPr>
          <w:trHeight w:val="20"/>
        </w:trPr>
        <w:tc>
          <w:tcPr>
            <w:tcW w:w="880" w:type="dxa"/>
            <w:vAlign w:val="bottom"/>
            <w:tcBorders>
              <w:right w:val="single" w:sz="8" w:color="auto"/>
            </w:tcBorders>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520" w:type="dxa"/>
            <w:vAlign w:val="bottom"/>
            <w:gridSpan w:val="29"/>
          </w:tcPr>
          <w:p>
            <w:pPr>
              <w:ind w:left="440"/>
              <w:spacing w:after="0" w:line="196" w:lineRule="exact"/>
              <w:rPr>
                <w:sz w:val="20"/>
                <w:szCs w:val="20"/>
                <w:color w:val="auto"/>
              </w:rPr>
            </w:pPr>
            <w:r>
              <w:rPr>
                <w:rFonts w:ascii="Arial" w:cs="Arial" w:eastAsia="Arial" w:hAnsi="Arial"/>
                <w:sz w:val="18"/>
                <w:szCs w:val="18"/>
                <w:color w:val="auto"/>
              </w:rPr>
              <w:t>9.02 Remedies Upon Event of Default</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880" w:type="dxa"/>
            <w:vAlign w:val="bottom"/>
            <w:tcBorders>
              <w:right w:val="single" w:sz="8" w:color="auto"/>
            </w:tcBorders>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520" w:type="dxa"/>
            <w:vAlign w:val="bottom"/>
            <w:gridSpan w:val="29"/>
          </w:tcPr>
          <w:p>
            <w:pPr>
              <w:ind w:left="440"/>
              <w:spacing w:after="0" w:line="196" w:lineRule="exact"/>
              <w:rPr>
                <w:sz w:val="20"/>
                <w:szCs w:val="20"/>
                <w:color w:val="auto"/>
              </w:rPr>
            </w:pPr>
            <w:r>
              <w:rPr>
                <w:rFonts w:ascii="Arial" w:cs="Arial" w:eastAsia="Arial" w:hAnsi="Arial"/>
                <w:sz w:val="18"/>
                <w:szCs w:val="18"/>
                <w:color w:val="auto"/>
              </w:rPr>
              <w:t>9.03 Application of Funds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880" w:type="dxa"/>
            <w:vAlign w:val="bottom"/>
            <w:tcBorders>
              <w:right w:val="single" w:sz="8" w:color="auto"/>
            </w:tcBorders>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36"/>
        </w:trPr>
        <w:tc>
          <w:tcPr>
            <w:tcW w:w="8520" w:type="dxa"/>
            <w:vAlign w:val="bottom"/>
            <w:gridSpan w:val="29"/>
          </w:tcPr>
          <w:p>
            <w:pPr>
              <w:spacing w:after="0"/>
              <w:rPr>
                <w:sz w:val="20"/>
                <w:szCs w:val="20"/>
                <w:color w:val="auto"/>
              </w:rPr>
            </w:pPr>
            <w:r>
              <w:rPr>
                <w:rFonts w:ascii="Arial" w:cs="Arial" w:eastAsia="Arial" w:hAnsi="Arial"/>
                <w:sz w:val="18"/>
                <w:szCs w:val="18"/>
                <w:color w:val="auto"/>
              </w:rPr>
              <w:t>ARTICLE X ADMINISTRATIVE AGENT</w:t>
            </w:r>
          </w:p>
        </w:tc>
        <w:tc>
          <w:tcPr>
            <w:tcW w:w="28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184"/>
        </w:trPr>
        <w:tc>
          <w:tcPr>
            <w:tcW w:w="8520" w:type="dxa"/>
            <w:vAlign w:val="bottom"/>
            <w:gridSpan w:val="29"/>
          </w:tcPr>
          <w:p>
            <w:pPr>
              <w:ind w:left="440"/>
              <w:spacing w:after="0" w:line="184" w:lineRule="exact"/>
              <w:rPr>
                <w:sz w:val="20"/>
                <w:szCs w:val="20"/>
                <w:color w:val="auto"/>
              </w:rPr>
            </w:pPr>
            <w:r>
              <w:rPr>
                <w:rFonts w:ascii="Arial" w:cs="Arial" w:eastAsia="Arial" w:hAnsi="Arial"/>
                <w:sz w:val="18"/>
                <w:szCs w:val="18"/>
                <w:color w:val="auto"/>
              </w:rPr>
              <w:t>10.01 Appointment and Authority</w:t>
            </w:r>
          </w:p>
        </w:tc>
        <w:tc>
          <w:tcPr>
            <w:tcW w:w="2800" w:type="dxa"/>
            <w:vAlign w:val="bottom"/>
          </w:tcPr>
          <w:p>
            <w:pPr>
              <w:jc w:val="right"/>
              <w:spacing w:after="0" w:line="184" w:lineRule="exact"/>
              <w:rPr>
                <w:sz w:val="20"/>
                <w:szCs w:val="20"/>
                <w:color w:val="auto"/>
              </w:rPr>
            </w:pPr>
            <w:r>
              <w:rPr>
                <w:rFonts w:ascii="Arial" w:cs="Arial" w:eastAsia="Arial" w:hAnsi="Arial"/>
                <w:sz w:val="18"/>
                <w:szCs w:val="18"/>
                <w:color w:val="auto"/>
              </w:rPr>
              <w:t>93</w:t>
            </w:r>
          </w:p>
        </w:tc>
      </w:tr>
      <w:tr>
        <w:trPr>
          <w:trHeight w:val="20"/>
        </w:trPr>
        <w:tc>
          <w:tcPr>
            <w:tcW w:w="8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520" w:type="dxa"/>
            <w:vAlign w:val="bottom"/>
            <w:gridSpan w:val="29"/>
          </w:tcPr>
          <w:p>
            <w:pPr>
              <w:ind w:left="440"/>
              <w:spacing w:after="0" w:line="196" w:lineRule="exact"/>
              <w:rPr>
                <w:sz w:val="20"/>
                <w:szCs w:val="20"/>
                <w:color w:val="auto"/>
              </w:rPr>
            </w:pPr>
            <w:r>
              <w:rPr>
                <w:rFonts w:ascii="Arial" w:cs="Arial" w:eastAsia="Arial" w:hAnsi="Arial"/>
                <w:sz w:val="18"/>
                <w:szCs w:val="18"/>
                <w:color w:val="auto"/>
              </w:rPr>
              <w:t>10.02 Rights as a Lender</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8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520" w:type="dxa"/>
            <w:vAlign w:val="bottom"/>
            <w:gridSpan w:val="29"/>
          </w:tcPr>
          <w:p>
            <w:pPr>
              <w:ind w:left="440"/>
              <w:spacing w:after="0" w:line="196" w:lineRule="exact"/>
              <w:rPr>
                <w:sz w:val="20"/>
                <w:szCs w:val="20"/>
                <w:color w:val="auto"/>
              </w:rPr>
            </w:pPr>
            <w:r>
              <w:rPr>
                <w:rFonts w:ascii="Arial" w:cs="Arial" w:eastAsia="Arial" w:hAnsi="Arial"/>
                <w:sz w:val="18"/>
                <w:szCs w:val="18"/>
                <w:color w:val="auto"/>
              </w:rPr>
              <w:t>10.03 Exculpatory Provisions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94</w:t>
            </w:r>
          </w:p>
        </w:tc>
      </w:tr>
      <w:tr>
        <w:trPr>
          <w:trHeight w:val="20"/>
        </w:trPr>
        <w:tc>
          <w:tcPr>
            <w:tcW w:w="8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520" w:type="dxa"/>
            <w:vAlign w:val="bottom"/>
            <w:gridSpan w:val="29"/>
          </w:tcPr>
          <w:p>
            <w:pPr>
              <w:ind w:left="440"/>
              <w:spacing w:after="0" w:line="196" w:lineRule="exact"/>
              <w:rPr>
                <w:sz w:val="20"/>
                <w:szCs w:val="20"/>
                <w:color w:val="auto"/>
              </w:rPr>
            </w:pPr>
            <w:r>
              <w:rPr>
                <w:rFonts w:ascii="Arial" w:cs="Arial" w:eastAsia="Arial" w:hAnsi="Arial"/>
                <w:sz w:val="18"/>
                <w:szCs w:val="18"/>
                <w:color w:val="auto"/>
              </w:rPr>
              <w:t>10.04 Reliance by Administrative Agent</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8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520" w:type="dxa"/>
            <w:vAlign w:val="bottom"/>
            <w:gridSpan w:val="29"/>
          </w:tcPr>
          <w:p>
            <w:pPr>
              <w:ind w:left="440"/>
              <w:spacing w:after="0" w:line="196" w:lineRule="exact"/>
              <w:rPr>
                <w:sz w:val="20"/>
                <w:szCs w:val="20"/>
                <w:color w:val="auto"/>
              </w:rPr>
            </w:pPr>
            <w:r>
              <w:rPr>
                <w:rFonts w:ascii="Arial" w:cs="Arial" w:eastAsia="Arial" w:hAnsi="Arial"/>
                <w:sz w:val="18"/>
                <w:szCs w:val="18"/>
                <w:color w:val="auto"/>
              </w:rPr>
              <w:t>10.05 Delegation of Duties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8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520" w:type="dxa"/>
            <w:vAlign w:val="bottom"/>
            <w:gridSpan w:val="29"/>
          </w:tcPr>
          <w:p>
            <w:pPr>
              <w:ind w:left="440"/>
              <w:spacing w:after="0" w:line="196" w:lineRule="exact"/>
              <w:rPr>
                <w:sz w:val="20"/>
                <w:szCs w:val="20"/>
                <w:color w:val="auto"/>
              </w:rPr>
            </w:pPr>
            <w:r>
              <w:rPr>
                <w:rFonts w:ascii="Arial" w:cs="Arial" w:eastAsia="Arial" w:hAnsi="Arial"/>
                <w:sz w:val="18"/>
                <w:szCs w:val="18"/>
                <w:color w:val="auto"/>
              </w:rPr>
              <w:t>10.06 Resignation of Administrative Agent</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20"/>
        </w:trPr>
        <w:tc>
          <w:tcPr>
            <w:tcW w:w="8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520" w:type="dxa"/>
            <w:vAlign w:val="bottom"/>
            <w:gridSpan w:val="29"/>
          </w:tcPr>
          <w:p>
            <w:pPr>
              <w:ind w:left="440"/>
              <w:spacing w:after="0" w:line="196" w:lineRule="exact"/>
              <w:rPr>
                <w:sz w:val="20"/>
                <w:szCs w:val="20"/>
                <w:color w:val="auto"/>
              </w:rPr>
            </w:pPr>
            <w:r>
              <w:rPr>
                <w:rFonts w:ascii="Arial" w:cs="Arial" w:eastAsia="Arial" w:hAnsi="Arial"/>
                <w:sz w:val="18"/>
                <w:szCs w:val="18"/>
                <w:color w:val="auto"/>
              </w:rPr>
              <w:t>10.07 Non-Reliance on Administrative Agent and Other Lenders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8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520" w:type="dxa"/>
            <w:vAlign w:val="bottom"/>
            <w:gridSpan w:val="29"/>
          </w:tcPr>
          <w:p>
            <w:pPr>
              <w:ind w:left="440"/>
              <w:spacing w:after="0" w:line="196" w:lineRule="exact"/>
              <w:rPr>
                <w:sz w:val="20"/>
                <w:szCs w:val="20"/>
                <w:color w:val="auto"/>
              </w:rPr>
            </w:pPr>
            <w:r>
              <w:rPr>
                <w:rFonts w:ascii="Arial" w:cs="Arial" w:eastAsia="Arial" w:hAnsi="Arial"/>
                <w:sz w:val="18"/>
                <w:szCs w:val="18"/>
                <w:color w:val="auto"/>
              </w:rPr>
              <w:t>10.08 No Other Duties; Etc.</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8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520" w:type="dxa"/>
            <w:vAlign w:val="bottom"/>
            <w:gridSpan w:val="29"/>
          </w:tcPr>
          <w:p>
            <w:pPr>
              <w:ind w:left="440"/>
              <w:spacing w:after="0" w:line="196" w:lineRule="exact"/>
              <w:rPr>
                <w:sz w:val="20"/>
                <w:szCs w:val="20"/>
                <w:color w:val="auto"/>
              </w:rPr>
            </w:pPr>
            <w:r>
              <w:rPr>
                <w:rFonts w:ascii="Arial" w:cs="Arial" w:eastAsia="Arial" w:hAnsi="Arial"/>
                <w:sz w:val="18"/>
                <w:szCs w:val="18"/>
                <w:color w:val="auto"/>
              </w:rPr>
              <w:t>10.09 Administrative Agent May File Proofs of Claim</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r>
        <w:trPr>
          <w:trHeight w:val="20"/>
        </w:trPr>
        <w:tc>
          <w:tcPr>
            <w:tcW w:w="8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520" w:type="dxa"/>
            <w:vAlign w:val="bottom"/>
            <w:gridSpan w:val="29"/>
          </w:tcPr>
          <w:p>
            <w:pPr>
              <w:ind w:left="440"/>
              <w:spacing w:after="0" w:line="196" w:lineRule="exact"/>
              <w:rPr>
                <w:sz w:val="20"/>
                <w:szCs w:val="20"/>
                <w:color w:val="auto"/>
              </w:rPr>
            </w:pPr>
            <w:r>
              <w:rPr>
                <w:rFonts w:ascii="Arial" w:cs="Arial" w:eastAsia="Arial" w:hAnsi="Arial"/>
                <w:sz w:val="18"/>
                <w:szCs w:val="18"/>
                <w:color w:val="auto"/>
              </w:rPr>
              <w:t>10.10 Collateral and Guaranty Matters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20"/>
        </w:trPr>
        <w:tc>
          <w:tcPr>
            <w:tcW w:w="8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80" w:type="dxa"/>
            <w:vAlign w:val="bottom"/>
          </w:tcPr>
          <w:p>
            <w:pPr>
              <w:ind w:left="440"/>
              <w:spacing w:after="0" w:line="196" w:lineRule="exact"/>
              <w:rPr>
                <w:sz w:val="20"/>
                <w:szCs w:val="20"/>
                <w:color w:val="auto"/>
              </w:rPr>
            </w:pPr>
            <w:r>
              <w:rPr>
                <w:rFonts w:ascii="Arial" w:cs="Arial" w:eastAsia="Arial" w:hAnsi="Arial"/>
                <w:sz w:val="18"/>
                <w:szCs w:val="18"/>
                <w:color w:val="auto"/>
                <w:w w:val="88"/>
              </w:rPr>
              <w:t>10.11</w:t>
            </w:r>
          </w:p>
        </w:tc>
        <w:tc>
          <w:tcPr>
            <w:tcW w:w="7640" w:type="dxa"/>
            <w:vAlign w:val="bottom"/>
            <w:gridSpan w:val="28"/>
          </w:tcPr>
          <w:p>
            <w:pPr>
              <w:spacing w:after="0" w:line="196" w:lineRule="exact"/>
              <w:rPr>
                <w:sz w:val="20"/>
                <w:szCs w:val="20"/>
                <w:color w:val="auto"/>
              </w:rPr>
            </w:pPr>
            <w:r>
              <w:rPr>
                <w:rFonts w:ascii="Arial" w:cs="Arial" w:eastAsia="Arial" w:hAnsi="Arial"/>
                <w:sz w:val="18"/>
                <w:szCs w:val="18"/>
                <w:color w:val="auto"/>
              </w:rPr>
              <w:t>Secured Cash Management Agreements and Secured Hedge Agreements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20"/>
        </w:trPr>
        <w:tc>
          <w:tcPr>
            <w:tcW w:w="8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36"/>
        </w:trPr>
        <w:tc>
          <w:tcPr>
            <w:tcW w:w="8520" w:type="dxa"/>
            <w:vAlign w:val="bottom"/>
            <w:gridSpan w:val="29"/>
          </w:tcPr>
          <w:p>
            <w:pPr>
              <w:spacing w:after="0"/>
              <w:rPr>
                <w:sz w:val="20"/>
                <w:szCs w:val="20"/>
                <w:color w:val="auto"/>
              </w:rPr>
            </w:pPr>
            <w:r>
              <w:rPr>
                <w:rFonts w:ascii="Arial" w:cs="Arial" w:eastAsia="Arial" w:hAnsi="Arial"/>
                <w:sz w:val="18"/>
                <w:szCs w:val="18"/>
                <w:color w:val="auto"/>
              </w:rPr>
              <w:t>ARTICLE XI MISCELLANEOUS</w:t>
            </w:r>
          </w:p>
        </w:tc>
        <w:tc>
          <w:tcPr>
            <w:tcW w:w="28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184"/>
        </w:trPr>
        <w:tc>
          <w:tcPr>
            <w:tcW w:w="880" w:type="dxa"/>
            <w:vAlign w:val="bottom"/>
          </w:tcPr>
          <w:p>
            <w:pPr>
              <w:ind w:left="440"/>
              <w:spacing w:after="0" w:line="184" w:lineRule="exact"/>
              <w:rPr>
                <w:sz w:val="20"/>
                <w:szCs w:val="20"/>
                <w:color w:val="auto"/>
              </w:rPr>
            </w:pPr>
            <w:r>
              <w:rPr>
                <w:rFonts w:ascii="Arial" w:cs="Arial" w:eastAsia="Arial" w:hAnsi="Arial"/>
                <w:sz w:val="18"/>
                <w:szCs w:val="18"/>
                <w:color w:val="auto"/>
                <w:w w:val="88"/>
              </w:rPr>
              <w:t>11.01</w:t>
            </w:r>
          </w:p>
        </w:tc>
        <w:tc>
          <w:tcPr>
            <w:tcW w:w="7640" w:type="dxa"/>
            <w:vAlign w:val="bottom"/>
            <w:gridSpan w:val="28"/>
          </w:tcPr>
          <w:p>
            <w:pPr>
              <w:spacing w:after="0" w:line="184" w:lineRule="exact"/>
              <w:rPr>
                <w:sz w:val="20"/>
                <w:szCs w:val="20"/>
                <w:color w:val="auto"/>
              </w:rPr>
            </w:pPr>
            <w:r>
              <w:rPr>
                <w:rFonts w:ascii="Arial" w:cs="Arial" w:eastAsia="Arial" w:hAnsi="Arial"/>
                <w:sz w:val="18"/>
                <w:szCs w:val="18"/>
                <w:color w:val="auto"/>
              </w:rPr>
              <w:t>Amendments, Etc.</w:t>
            </w:r>
          </w:p>
        </w:tc>
        <w:tc>
          <w:tcPr>
            <w:tcW w:w="2800" w:type="dxa"/>
            <w:vAlign w:val="bottom"/>
          </w:tcPr>
          <w:p>
            <w:pPr>
              <w:jc w:val="right"/>
              <w:spacing w:after="0" w:line="184" w:lineRule="exact"/>
              <w:rPr>
                <w:sz w:val="20"/>
                <w:szCs w:val="20"/>
                <w:color w:val="auto"/>
              </w:rPr>
            </w:pPr>
            <w:r>
              <w:rPr>
                <w:rFonts w:ascii="Arial" w:cs="Arial" w:eastAsia="Arial" w:hAnsi="Arial"/>
                <w:sz w:val="18"/>
                <w:szCs w:val="18"/>
                <w:color w:val="auto"/>
              </w:rPr>
              <w:t>100</w:t>
            </w:r>
          </w:p>
        </w:tc>
      </w:tr>
      <w:tr>
        <w:trPr>
          <w:trHeight w:val="20"/>
        </w:trPr>
        <w:tc>
          <w:tcPr>
            <w:tcW w:w="8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80" w:type="dxa"/>
            <w:vAlign w:val="bottom"/>
          </w:tcPr>
          <w:p>
            <w:pPr>
              <w:ind w:left="440"/>
              <w:spacing w:after="0" w:line="196" w:lineRule="exact"/>
              <w:rPr>
                <w:sz w:val="20"/>
                <w:szCs w:val="20"/>
                <w:color w:val="auto"/>
              </w:rPr>
            </w:pPr>
            <w:r>
              <w:rPr>
                <w:rFonts w:ascii="Arial" w:cs="Arial" w:eastAsia="Arial" w:hAnsi="Arial"/>
                <w:sz w:val="18"/>
                <w:szCs w:val="18"/>
                <w:color w:val="auto"/>
                <w:w w:val="88"/>
              </w:rPr>
              <w:t>11.02</w:t>
            </w:r>
          </w:p>
        </w:tc>
        <w:tc>
          <w:tcPr>
            <w:tcW w:w="7640" w:type="dxa"/>
            <w:vAlign w:val="bottom"/>
            <w:gridSpan w:val="28"/>
          </w:tcPr>
          <w:p>
            <w:pPr>
              <w:spacing w:after="0" w:line="196" w:lineRule="exact"/>
              <w:rPr>
                <w:sz w:val="20"/>
                <w:szCs w:val="20"/>
                <w:color w:val="auto"/>
              </w:rPr>
            </w:pPr>
            <w:r>
              <w:rPr>
                <w:rFonts w:ascii="Arial" w:cs="Arial" w:eastAsia="Arial" w:hAnsi="Arial"/>
                <w:sz w:val="18"/>
                <w:szCs w:val="18"/>
                <w:color w:val="auto"/>
              </w:rPr>
              <w:t>Notices; Effectiveness; Electronic Communications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880" w:type="dxa"/>
            <w:vAlign w:val="bottom"/>
          </w:tcPr>
          <w:p>
            <w:pPr>
              <w:ind w:left="440"/>
              <w:spacing w:after="0" w:line="196" w:lineRule="exact"/>
              <w:rPr>
                <w:sz w:val="20"/>
                <w:szCs w:val="20"/>
                <w:color w:val="auto"/>
              </w:rPr>
            </w:pPr>
            <w:r>
              <w:rPr>
                <w:rFonts w:ascii="Arial" w:cs="Arial" w:eastAsia="Arial" w:hAnsi="Arial"/>
                <w:sz w:val="18"/>
                <w:szCs w:val="18"/>
                <w:color w:val="auto"/>
                <w:w w:val="88"/>
              </w:rPr>
              <w:t>11.03</w:t>
            </w:r>
          </w:p>
        </w:tc>
        <w:tc>
          <w:tcPr>
            <w:tcW w:w="3620" w:type="dxa"/>
            <w:vAlign w:val="bottom"/>
            <w:tcBorders>
              <w:top w:val="single" w:sz="8" w:color="auto"/>
            </w:tcBorders>
            <w:gridSpan w:val="24"/>
          </w:tcPr>
          <w:p>
            <w:pPr>
              <w:spacing w:after="0" w:line="196" w:lineRule="exact"/>
              <w:rPr>
                <w:sz w:val="20"/>
                <w:szCs w:val="20"/>
                <w:color w:val="auto"/>
              </w:rPr>
            </w:pPr>
            <w:r>
              <w:rPr>
                <w:rFonts w:ascii="Arial" w:cs="Arial" w:eastAsia="Arial" w:hAnsi="Arial"/>
                <w:sz w:val="18"/>
                <w:szCs w:val="18"/>
                <w:color w:val="auto"/>
                <w:w w:val="94"/>
              </w:rPr>
              <w:t>No Waiver; Cumulative Remedies; Enforcement</w:t>
            </w:r>
          </w:p>
        </w:tc>
        <w:tc>
          <w:tcPr>
            <w:tcW w:w="4020" w:type="dxa"/>
            <w:vAlign w:val="bottom"/>
            <w:gridSpan w:val="4"/>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880" w:type="dxa"/>
            <w:vAlign w:val="bottom"/>
          </w:tcPr>
          <w:p>
            <w:pPr>
              <w:ind w:left="440"/>
              <w:spacing w:after="0" w:line="196" w:lineRule="exact"/>
              <w:rPr>
                <w:sz w:val="20"/>
                <w:szCs w:val="20"/>
                <w:color w:val="auto"/>
              </w:rPr>
            </w:pPr>
            <w:r>
              <w:rPr>
                <w:rFonts w:ascii="Arial" w:cs="Arial" w:eastAsia="Arial" w:hAnsi="Arial"/>
                <w:sz w:val="18"/>
                <w:szCs w:val="18"/>
                <w:color w:val="auto"/>
                <w:w w:val="88"/>
              </w:rPr>
              <w:t>11.04</w:t>
            </w:r>
          </w:p>
        </w:tc>
        <w:tc>
          <w:tcPr>
            <w:tcW w:w="2700" w:type="dxa"/>
            <w:vAlign w:val="bottom"/>
            <w:tcBorders>
              <w:top w:val="single" w:sz="8" w:color="auto"/>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87"/>
              </w:rPr>
              <w:t>Expenses; Indemnity; Damage Waiver</w:t>
            </w:r>
          </w:p>
        </w:tc>
        <w:tc>
          <w:tcPr>
            <w:tcW w:w="700" w:type="dxa"/>
            <w:vAlign w:val="bottom"/>
            <w:tcBorders>
              <w:top w:val="single" w:sz="8" w:color="auto"/>
            </w:tcBorders>
            <w:gridSpan w:val="6"/>
          </w:tcPr>
          <w:p>
            <w:pPr>
              <w:spacing w:after="0"/>
              <w:rPr>
                <w:sz w:val="17"/>
                <w:szCs w:val="17"/>
                <w:color w:val="auto"/>
              </w:rPr>
            </w:pPr>
          </w:p>
        </w:tc>
        <w:tc>
          <w:tcPr>
            <w:tcW w:w="4240" w:type="dxa"/>
            <w:vAlign w:val="bottom"/>
            <w:gridSpan w:val="6"/>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880" w:type="dxa"/>
            <w:vAlign w:val="bottom"/>
          </w:tcPr>
          <w:p>
            <w:pPr>
              <w:ind w:left="440"/>
              <w:spacing w:after="0" w:line="196" w:lineRule="exact"/>
              <w:rPr>
                <w:sz w:val="20"/>
                <w:szCs w:val="20"/>
                <w:color w:val="auto"/>
              </w:rPr>
            </w:pPr>
            <w:r>
              <w:rPr>
                <w:rFonts w:ascii="Arial" w:cs="Arial" w:eastAsia="Arial" w:hAnsi="Arial"/>
                <w:sz w:val="18"/>
                <w:szCs w:val="18"/>
                <w:color w:val="auto"/>
                <w:w w:val="88"/>
              </w:rPr>
              <w:t>11.05</w:t>
            </w:r>
          </w:p>
        </w:tc>
        <w:tc>
          <w:tcPr>
            <w:tcW w:w="142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5"/>
              </w:rPr>
              <w:t>Payments Set Aside</w:t>
            </w:r>
          </w:p>
        </w:tc>
        <w:tc>
          <w:tcPr>
            <w:tcW w:w="6220" w:type="dxa"/>
            <w:vAlign w:val="bottom"/>
            <w:gridSpan w:val="22"/>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196"/>
        </w:trPr>
        <w:tc>
          <w:tcPr>
            <w:tcW w:w="880" w:type="dxa"/>
            <w:vAlign w:val="bottom"/>
          </w:tcPr>
          <w:p>
            <w:pPr>
              <w:ind w:left="440"/>
              <w:spacing w:after="0" w:line="196" w:lineRule="exact"/>
              <w:rPr>
                <w:sz w:val="20"/>
                <w:szCs w:val="20"/>
                <w:color w:val="auto"/>
              </w:rPr>
            </w:pPr>
            <w:r>
              <w:rPr>
                <w:rFonts w:ascii="Arial" w:cs="Arial" w:eastAsia="Arial" w:hAnsi="Arial"/>
                <w:sz w:val="18"/>
                <w:szCs w:val="18"/>
                <w:color w:val="auto"/>
                <w:w w:val="88"/>
              </w:rPr>
              <w:t>11.06</w:t>
            </w:r>
          </w:p>
        </w:tc>
        <w:tc>
          <w:tcPr>
            <w:tcW w:w="7640" w:type="dxa"/>
            <w:vAlign w:val="bottom"/>
            <w:gridSpan w:val="28"/>
          </w:tcPr>
          <w:p>
            <w:pPr>
              <w:spacing w:after="0" w:line="196" w:lineRule="exact"/>
              <w:rPr>
                <w:sz w:val="20"/>
                <w:szCs w:val="20"/>
                <w:color w:val="auto"/>
              </w:rPr>
            </w:pPr>
            <w:r>
              <w:rPr>
                <w:rFonts w:ascii="Arial" w:cs="Arial" w:eastAsia="Arial" w:hAnsi="Arial"/>
                <w:sz w:val="18"/>
                <w:szCs w:val="18"/>
                <w:color w:val="auto"/>
              </w:rPr>
              <w:t>Successors and Assigns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106</w:t>
            </w:r>
          </w:p>
        </w:tc>
      </w:tr>
      <w:tr>
        <w:trPr>
          <w:trHeight w:val="20"/>
        </w:trPr>
        <w:tc>
          <w:tcPr>
            <w:tcW w:w="8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4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80" w:type="dxa"/>
            <w:vAlign w:val="bottom"/>
          </w:tcPr>
          <w:p>
            <w:pPr>
              <w:ind w:left="440"/>
              <w:spacing w:after="0" w:line="196" w:lineRule="exact"/>
              <w:rPr>
                <w:sz w:val="20"/>
                <w:szCs w:val="20"/>
                <w:color w:val="auto"/>
              </w:rPr>
            </w:pPr>
            <w:r>
              <w:rPr>
                <w:rFonts w:ascii="Arial" w:cs="Arial" w:eastAsia="Arial" w:hAnsi="Arial"/>
                <w:sz w:val="18"/>
                <w:szCs w:val="18"/>
                <w:color w:val="auto"/>
                <w:w w:val="88"/>
              </w:rPr>
              <w:t>11.07</w:t>
            </w:r>
          </w:p>
        </w:tc>
        <w:tc>
          <w:tcPr>
            <w:tcW w:w="3500" w:type="dxa"/>
            <w:vAlign w:val="bottom"/>
            <w:tcBorders>
              <w:bottom w:val="single" w:sz="8" w:color="auto"/>
            </w:tcBorders>
            <w:gridSpan w:val="23"/>
          </w:tcPr>
          <w:p>
            <w:pPr>
              <w:spacing w:after="0" w:line="196" w:lineRule="exact"/>
              <w:rPr>
                <w:sz w:val="20"/>
                <w:szCs w:val="20"/>
                <w:color w:val="auto"/>
              </w:rPr>
            </w:pPr>
            <w:r>
              <w:rPr>
                <w:rFonts w:ascii="Arial" w:cs="Arial" w:eastAsia="Arial" w:hAnsi="Arial"/>
                <w:sz w:val="18"/>
                <w:szCs w:val="18"/>
                <w:color w:val="auto"/>
                <w:w w:val="90"/>
              </w:rPr>
              <w:t>Treatment of Certain Information; Confidentiality</w:t>
            </w:r>
          </w:p>
        </w:tc>
        <w:tc>
          <w:tcPr>
            <w:tcW w:w="4140" w:type="dxa"/>
            <w:vAlign w:val="bottom"/>
            <w:gridSpan w:val="5"/>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880" w:type="dxa"/>
            <w:vAlign w:val="bottom"/>
          </w:tcPr>
          <w:p>
            <w:pPr>
              <w:ind w:left="440"/>
              <w:spacing w:after="0" w:line="196" w:lineRule="exact"/>
              <w:rPr>
                <w:sz w:val="20"/>
                <w:szCs w:val="20"/>
                <w:color w:val="auto"/>
              </w:rPr>
            </w:pPr>
            <w:r>
              <w:rPr>
                <w:rFonts w:ascii="Arial" w:cs="Arial" w:eastAsia="Arial" w:hAnsi="Arial"/>
                <w:sz w:val="18"/>
                <w:szCs w:val="18"/>
                <w:color w:val="auto"/>
                <w:w w:val="88"/>
              </w:rPr>
              <w:t>11.08</w:t>
            </w:r>
          </w:p>
        </w:tc>
        <w:tc>
          <w:tcPr>
            <w:tcW w:w="7640" w:type="dxa"/>
            <w:vAlign w:val="bottom"/>
            <w:gridSpan w:val="28"/>
          </w:tcPr>
          <w:p>
            <w:pPr>
              <w:spacing w:after="0" w:line="196" w:lineRule="exact"/>
              <w:rPr>
                <w:sz w:val="20"/>
                <w:szCs w:val="20"/>
                <w:color w:val="auto"/>
              </w:rPr>
            </w:pPr>
            <w:r>
              <w:rPr>
                <w:rFonts w:ascii="Arial" w:cs="Arial" w:eastAsia="Arial" w:hAnsi="Arial"/>
                <w:sz w:val="18"/>
                <w:szCs w:val="18"/>
                <w:color w:val="auto"/>
              </w:rPr>
              <w:t>Right of Setoff</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20"/>
        </w:trPr>
        <w:tc>
          <w:tcPr>
            <w:tcW w:w="8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80" w:type="dxa"/>
            <w:vAlign w:val="bottom"/>
          </w:tcPr>
          <w:p>
            <w:pPr>
              <w:ind w:left="440"/>
              <w:spacing w:after="0" w:line="196" w:lineRule="exact"/>
              <w:rPr>
                <w:sz w:val="20"/>
                <w:szCs w:val="20"/>
                <w:color w:val="auto"/>
              </w:rPr>
            </w:pPr>
            <w:r>
              <w:rPr>
                <w:rFonts w:ascii="Arial" w:cs="Arial" w:eastAsia="Arial" w:hAnsi="Arial"/>
                <w:sz w:val="18"/>
                <w:szCs w:val="18"/>
                <w:color w:val="auto"/>
                <w:w w:val="88"/>
              </w:rPr>
              <w:t>11.09</w:t>
            </w:r>
          </w:p>
        </w:tc>
        <w:tc>
          <w:tcPr>
            <w:tcW w:w="1680" w:type="dxa"/>
            <w:vAlign w:val="bottom"/>
            <w:tcBorders>
              <w:bottom w:val="single" w:sz="8" w:color="auto"/>
            </w:tcBorders>
            <w:gridSpan w:val="10"/>
          </w:tcPr>
          <w:p>
            <w:pPr>
              <w:spacing w:after="0" w:line="196" w:lineRule="exact"/>
              <w:rPr>
                <w:sz w:val="20"/>
                <w:szCs w:val="20"/>
                <w:color w:val="auto"/>
              </w:rPr>
            </w:pPr>
            <w:r>
              <w:rPr>
                <w:rFonts w:ascii="Arial" w:cs="Arial" w:eastAsia="Arial" w:hAnsi="Arial"/>
                <w:sz w:val="18"/>
                <w:szCs w:val="18"/>
                <w:color w:val="auto"/>
                <w:w w:val="89"/>
              </w:rPr>
              <w:t>Interest Rate Limitation</w:t>
            </w:r>
          </w:p>
        </w:tc>
        <w:tc>
          <w:tcPr>
            <w:tcW w:w="5960" w:type="dxa"/>
            <w:vAlign w:val="bottom"/>
            <w:gridSpan w:val="18"/>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880" w:type="dxa"/>
            <w:vAlign w:val="bottom"/>
          </w:tcPr>
          <w:p>
            <w:pPr>
              <w:ind w:left="440"/>
              <w:spacing w:after="0" w:line="196" w:lineRule="exact"/>
              <w:rPr>
                <w:sz w:val="20"/>
                <w:szCs w:val="20"/>
                <w:color w:val="auto"/>
              </w:rPr>
            </w:pPr>
            <w:r>
              <w:rPr>
                <w:rFonts w:ascii="Arial" w:cs="Arial" w:eastAsia="Arial" w:hAnsi="Arial"/>
                <w:sz w:val="18"/>
                <w:szCs w:val="18"/>
                <w:color w:val="auto"/>
                <w:w w:val="88"/>
              </w:rPr>
              <w:t>11.10</w:t>
            </w:r>
          </w:p>
        </w:tc>
        <w:tc>
          <w:tcPr>
            <w:tcW w:w="2800" w:type="dxa"/>
            <w:vAlign w:val="bottom"/>
            <w:tcBorders>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87"/>
              </w:rPr>
              <w:t>Counterparts; Integration; Effectiveness</w:t>
            </w:r>
          </w:p>
        </w:tc>
        <w:tc>
          <w:tcPr>
            <w:tcW w:w="4840" w:type="dxa"/>
            <w:vAlign w:val="bottom"/>
            <w:gridSpan w:val="11"/>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8520" w:type="dxa"/>
            <w:vAlign w:val="bottom"/>
            <w:gridSpan w:val="29"/>
          </w:tcPr>
          <w:p>
            <w:pPr>
              <w:ind w:left="440"/>
              <w:spacing w:after="0" w:line="196" w:lineRule="exact"/>
              <w:rPr>
                <w:sz w:val="20"/>
                <w:szCs w:val="20"/>
                <w:color w:val="auto"/>
              </w:rPr>
            </w:pPr>
            <w:r>
              <w:rPr>
                <w:rFonts w:ascii="Arial" w:cs="Arial" w:eastAsia="Arial" w:hAnsi="Arial"/>
                <w:sz w:val="18"/>
                <w:szCs w:val="18"/>
                <w:color w:val="auto"/>
              </w:rPr>
              <w:t>11.11 Survival of Representations and Warranties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880" w:type="dxa"/>
            <w:vAlign w:val="bottom"/>
          </w:tcPr>
          <w:p>
            <w:pPr>
              <w:ind w:left="440"/>
              <w:spacing w:after="0" w:line="196" w:lineRule="exact"/>
              <w:rPr>
                <w:sz w:val="20"/>
                <w:szCs w:val="20"/>
                <w:color w:val="auto"/>
              </w:rPr>
            </w:pPr>
            <w:r>
              <w:rPr>
                <w:rFonts w:ascii="Arial" w:cs="Arial" w:eastAsia="Arial" w:hAnsi="Arial"/>
                <w:sz w:val="18"/>
                <w:szCs w:val="18"/>
                <w:color w:val="auto"/>
                <w:w w:val="88"/>
              </w:rPr>
              <w:t>11.12</w:t>
            </w:r>
          </w:p>
        </w:tc>
        <w:tc>
          <w:tcPr>
            <w:tcW w:w="3040" w:type="dxa"/>
            <w:vAlign w:val="bottom"/>
            <w:tcBorders>
              <w:top w:val="single" w:sz="8" w:color="auto"/>
            </w:tcBorders>
            <w:gridSpan w:val="19"/>
          </w:tcPr>
          <w:p>
            <w:pPr>
              <w:spacing w:after="0" w:line="196" w:lineRule="exact"/>
              <w:rPr>
                <w:sz w:val="20"/>
                <w:szCs w:val="20"/>
                <w:color w:val="auto"/>
              </w:rPr>
            </w:pPr>
            <w:r>
              <w:rPr>
                <w:rFonts w:ascii="Arial" w:cs="Arial" w:eastAsia="Arial" w:hAnsi="Arial"/>
                <w:sz w:val="18"/>
                <w:szCs w:val="18"/>
                <w:color w:val="auto"/>
              </w:rPr>
              <w:t>Severability</w:t>
            </w:r>
          </w:p>
        </w:tc>
        <w:tc>
          <w:tcPr>
            <w:tcW w:w="4600" w:type="dxa"/>
            <w:vAlign w:val="bottom"/>
            <w:gridSpan w:val="9"/>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20"/>
        </w:trPr>
        <w:tc>
          <w:tcPr>
            <w:tcW w:w="88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80" w:type="dxa"/>
            <w:vAlign w:val="bottom"/>
          </w:tcPr>
          <w:p>
            <w:pPr>
              <w:ind w:left="440"/>
              <w:spacing w:after="0" w:line="196" w:lineRule="exact"/>
              <w:rPr>
                <w:sz w:val="20"/>
                <w:szCs w:val="20"/>
                <w:color w:val="auto"/>
              </w:rPr>
            </w:pPr>
            <w:r>
              <w:rPr>
                <w:rFonts w:ascii="Arial" w:cs="Arial" w:eastAsia="Arial" w:hAnsi="Arial"/>
                <w:sz w:val="18"/>
                <w:szCs w:val="18"/>
                <w:color w:val="auto"/>
                <w:w w:val="88"/>
              </w:rPr>
              <w:t>11.13</w:t>
            </w:r>
          </w:p>
        </w:tc>
        <w:tc>
          <w:tcPr>
            <w:tcW w:w="7640" w:type="dxa"/>
            <w:vAlign w:val="bottom"/>
            <w:gridSpan w:val="28"/>
          </w:tcPr>
          <w:p>
            <w:pPr>
              <w:spacing w:after="0" w:line="196" w:lineRule="exact"/>
              <w:rPr>
                <w:sz w:val="20"/>
                <w:szCs w:val="20"/>
                <w:color w:val="auto"/>
              </w:rPr>
            </w:pPr>
            <w:r>
              <w:rPr>
                <w:rFonts w:ascii="Arial" w:cs="Arial" w:eastAsia="Arial" w:hAnsi="Arial"/>
                <w:sz w:val="18"/>
                <w:szCs w:val="18"/>
                <w:color w:val="auto"/>
              </w:rPr>
              <w:t>Replacement of Lenders</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880" w:type="dxa"/>
            <w:vAlign w:val="bottom"/>
          </w:tcPr>
          <w:p>
            <w:pPr>
              <w:spacing w:after="0" w:line="20" w:lineRule="exact"/>
              <w:rPr>
                <w:sz w:val="1"/>
                <w:szCs w:val="1"/>
                <w:color w:val="auto"/>
              </w:rPr>
            </w:pPr>
          </w:p>
        </w:tc>
        <w:tc>
          <w:tcPr>
            <w:tcW w:w="1420" w:type="dxa"/>
            <w:vAlign w:val="bottom"/>
            <w:tcBorders>
              <w:right w:val="single" w:sz="8" w:color="auto"/>
            </w:tcBorders>
            <w:gridSpan w:val="6"/>
            <w:shd w:val="clear" w:color="auto" w:fill="000000"/>
          </w:tcPr>
          <w:p>
            <w:pPr>
              <w:spacing w:after="0" w:line="20" w:lineRule="exact"/>
              <w:rPr>
                <w:sz w:val="1"/>
                <w:szCs w:val="1"/>
                <w:color w:val="auto"/>
              </w:rPr>
            </w:pPr>
          </w:p>
        </w:tc>
        <w:tc>
          <w:tcPr>
            <w:tcW w:w="280" w:type="dxa"/>
            <w:vAlign w:val="bottom"/>
            <w:tcBorders>
              <w:left w:val="single" w:sz="8" w:color="auto"/>
            </w:tcBorders>
            <w:gridSpan w:val="5"/>
            <w:shd w:val="clear" w:color="auto" w:fill="000000"/>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880" w:type="dxa"/>
            <w:vAlign w:val="bottom"/>
          </w:tcPr>
          <w:p>
            <w:pPr>
              <w:ind w:left="440"/>
              <w:spacing w:after="0" w:line="196" w:lineRule="exact"/>
              <w:rPr>
                <w:sz w:val="20"/>
                <w:szCs w:val="20"/>
                <w:color w:val="auto"/>
              </w:rPr>
            </w:pPr>
            <w:r>
              <w:rPr>
                <w:rFonts w:ascii="Arial" w:cs="Arial" w:eastAsia="Arial" w:hAnsi="Arial"/>
                <w:sz w:val="18"/>
                <w:szCs w:val="18"/>
                <w:color w:val="auto"/>
                <w:w w:val="88"/>
              </w:rPr>
              <w:t>11.14</w:t>
            </w:r>
          </w:p>
        </w:tc>
        <w:tc>
          <w:tcPr>
            <w:tcW w:w="7640" w:type="dxa"/>
            <w:vAlign w:val="bottom"/>
            <w:gridSpan w:val="28"/>
          </w:tcPr>
          <w:p>
            <w:pPr>
              <w:spacing w:after="0" w:line="196" w:lineRule="exact"/>
              <w:rPr>
                <w:sz w:val="20"/>
                <w:szCs w:val="20"/>
                <w:color w:val="auto"/>
              </w:rPr>
            </w:pPr>
            <w:r>
              <w:rPr>
                <w:rFonts w:ascii="Arial" w:cs="Arial" w:eastAsia="Arial" w:hAnsi="Arial"/>
                <w:sz w:val="18"/>
                <w:szCs w:val="18"/>
                <w:color w:val="auto"/>
              </w:rPr>
              <w:t>Governing Law; Jurisdiction; Etc.</w:t>
            </w: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880" w:type="dxa"/>
            <w:vAlign w:val="bottom"/>
          </w:tcPr>
          <w:p>
            <w:pPr>
              <w:ind w:left="440"/>
              <w:spacing w:after="0" w:line="196" w:lineRule="exact"/>
              <w:rPr>
                <w:sz w:val="20"/>
                <w:szCs w:val="20"/>
                <w:color w:val="auto"/>
              </w:rPr>
            </w:pPr>
            <w:r>
              <w:rPr>
                <w:rFonts w:ascii="Arial" w:cs="Arial" w:eastAsia="Arial" w:hAnsi="Arial"/>
                <w:sz w:val="18"/>
                <w:szCs w:val="18"/>
                <w:color w:val="auto"/>
                <w:w w:val="88"/>
              </w:rPr>
              <w:t>11.15</w:t>
            </w:r>
          </w:p>
        </w:tc>
        <w:tc>
          <w:tcPr>
            <w:tcW w:w="142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8"/>
              </w:rPr>
              <w:t>Waiver of Jury Trial</w:t>
            </w:r>
          </w:p>
        </w:tc>
        <w:tc>
          <w:tcPr>
            <w:tcW w:w="980" w:type="dxa"/>
            <w:vAlign w:val="bottom"/>
            <w:tcBorders>
              <w:top w:val="single" w:sz="8" w:color="auto"/>
            </w:tcBorders>
            <w:gridSpan w:val="8"/>
          </w:tcPr>
          <w:p>
            <w:pPr>
              <w:spacing w:after="0"/>
              <w:rPr>
                <w:sz w:val="17"/>
                <w:szCs w:val="17"/>
                <w:color w:val="auto"/>
              </w:rPr>
            </w:pPr>
          </w:p>
        </w:tc>
        <w:tc>
          <w:tcPr>
            <w:tcW w:w="5240" w:type="dxa"/>
            <w:vAlign w:val="bottom"/>
            <w:gridSpan w:val="14"/>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880" w:type="dxa"/>
            <w:vAlign w:val="bottom"/>
          </w:tcPr>
          <w:p>
            <w:pPr>
              <w:ind w:left="440"/>
              <w:spacing w:after="0" w:line="196" w:lineRule="exact"/>
              <w:rPr>
                <w:sz w:val="20"/>
                <w:szCs w:val="20"/>
                <w:color w:val="auto"/>
              </w:rPr>
            </w:pPr>
            <w:r>
              <w:rPr>
                <w:rFonts w:ascii="Arial" w:cs="Arial" w:eastAsia="Arial" w:hAnsi="Arial"/>
                <w:sz w:val="18"/>
                <w:szCs w:val="18"/>
                <w:color w:val="auto"/>
                <w:w w:val="88"/>
              </w:rPr>
              <w:t>11.16</w:t>
            </w:r>
          </w:p>
        </w:tc>
        <w:tc>
          <w:tcPr>
            <w:tcW w:w="290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1"/>
              </w:rPr>
              <w:t>No Advisory or Fiduciary Responsibility</w:t>
            </w:r>
          </w:p>
        </w:tc>
        <w:tc>
          <w:tcPr>
            <w:tcW w:w="4740" w:type="dxa"/>
            <w:vAlign w:val="bottom"/>
            <w:gridSpan w:val="10"/>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880" w:type="dxa"/>
            <w:vAlign w:val="bottom"/>
          </w:tcPr>
          <w:p>
            <w:pPr>
              <w:ind w:left="440"/>
              <w:spacing w:after="0" w:line="196" w:lineRule="exact"/>
              <w:rPr>
                <w:sz w:val="20"/>
                <w:szCs w:val="20"/>
                <w:color w:val="auto"/>
              </w:rPr>
            </w:pPr>
            <w:r>
              <w:rPr>
                <w:rFonts w:ascii="Arial" w:cs="Arial" w:eastAsia="Arial" w:hAnsi="Arial"/>
                <w:sz w:val="18"/>
                <w:szCs w:val="18"/>
                <w:color w:val="auto"/>
                <w:w w:val="88"/>
              </w:rPr>
              <w:t>11.17</w:t>
            </w:r>
          </w:p>
        </w:tc>
        <w:tc>
          <w:tcPr>
            <w:tcW w:w="476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88"/>
              </w:rPr>
              <w:t>Electronic Execution of Assignments and Certain Other Documents</w:t>
            </w:r>
          </w:p>
        </w:tc>
        <w:tc>
          <w:tcPr>
            <w:tcW w:w="2880" w:type="dxa"/>
            <w:vAlign w:val="bottom"/>
            <w:gridSpan w:val="2"/>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880" w:type="dxa"/>
            <w:vAlign w:val="bottom"/>
          </w:tcPr>
          <w:p>
            <w:pPr>
              <w:ind w:left="440"/>
              <w:spacing w:after="0" w:line="196" w:lineRule="exact"/>
              <w:rPr>
                <w:sz w:val="20"/>
                <w:szCs w:val="20"/>
                <w:color w:val="auto"/>
              </w:rPr>
            </w:pPr>
            <w:r>
              <w:rPr>
                <w:rFonts w:ascii="Arial" w:cs="Arial" w:eastAsia="Arial" w:hAnsi="Arial"/>
                <w:sz w:val="18"/>
                <w:szCs w:val="18"/>
                <w:color w:val="auto"/>
                <w:w w:val="88"/>
              </w:rPr>
              <w:t>11.18</w:t>
            </w:r>
          </w:p>
        </w:tc>
        <w:tc>
          <w:tcPr>
            <w:tcW w:w="3160" w:type="dxa"/>
            <w:vAlign w:val="bottom"/>
            <w:tcBorders>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87"/>
              </w:rPr>
              <w:t>Subordination of Intercompany Indebtedness</w:t>
            </w:r>
          </w:p>
        </w:tc>
        <w:tc>
          <w:tcPr>
            <w:tcW w:w="4480" w:type="dxa"/>
            <w:vAlign w:val="bottom"/>
            <w:gridSpan w:val="8"/>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196"/>
        </w:trPr>
        <w:tc>
          <w:tcPr>
            <w:tcW w:w="880" w:type="dxa"/>
            <w:vAlign w:val="bottom"/>
          </w:tcPr>
          <w:p>
            <w:pPr>
              <w:ind w:left="440"/>
              <w:spacing w:after="0" w:line="196" w:lineRule="exact"/>
              <w:rPr>
                <w:sz w:val="20"/>
                <w:szCs w:val="20"/>
                <w:color w:val="auto"/>
              </w:rPr>
            </w:pPr>
            <w:r>
              <w:rPr>
                <w:rFonts w:ascii="Arial" w:cs="Arial" w:eastAsia="Arial" w:hAnsi="Arial"/>
                <w:sz w:val="18"/>
                <w:szCs w:val="18"/>
                <w:color w:val="auto"/>
                <w:w w:val="88"/>
              </w:rPr>
              <w:t>11.19</w:t>
            </w:r>
          </w:p>
        </w:tc>
        <w:tc>
          <w:tcPr>
            <w:tcW w:w="1420" w:type="dxa"/>
            <w:vAlign w:val="bottom"/>
            <w:tcBorders>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1"/>
              </w:rPr>
              <w:t>USA PATRIOT Act</w:t>
            </w:r>
          </w:p>
        </w:tc>
        <w:tc>
          <w:tcPr>
            <w:tcW w:w="6220" w:type="dxa"/>
            <w:vAlign w:val="bottom"/>
            <w:gridSpan w:val="22"/>
          </w:tcPr>
          <w:p>
            <w:pPr>
              <w:spacing w:after="0"/>
              <w:rPr>
                <w:sz w:val="17"/>
                <w:szCs w:val="17"/>
                <w:color w:val="auto"/>
              </w:rPr>
            </w:pPr>
          </w:p>
        </w:tc>
        <w:tc>
          <w:tcPr>
            <w:tcW w:w="280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57"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SCHEDULES</w:t>
      </w:r>
    </w:p>
    <w:p>
      <w:pPr>
        <w:spacing w:after="0" w:line="212"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Borrower’s Investment Policy</w:t>
      </w:r>
    </w:p>
    <w:p>
      <w:pPr>
        <w:spacing w:after="0" w:line="15"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5"/>
          <w:szCs w:val="15"/>
          <w:color w:val="auto"/>
        </w:rPr>
        <w:t>Commitments and Applicable Percentages</w:t>
      </w:r>
    </w:p>
    <w:p>
      <w:pPr>
        <w:spacing w:after="0" w:line="9"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5"/>
          <w:szCs w:val="15"/>
          <w:color w:val="auto"/>
        </w:rPr>
        <w:t>Subsidiaries</w:t>
      </w:r>
    </w:p>
    <w:p>
      <w:pPr>
        <w:spacing w:after="0" w:line="9"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6"/>
          <w:szCs w:val="16"/>
          <w:color w:val="auto"/>
        </w:rPr>
        <w:t>IP Rights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6.20-1 Locations of Real Property</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6.20-2 Location of Chief Executive Office, Taxpayer Identification Number, Etc.</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6.20-3 Changes in Legal Name, State of Formation and Structure</w:t>
      </w:r>
    </w:p>
    <w:p>
      <w:pPr>
        <w:spacing w:after="0" w:line="9"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5"/>
          <w:szCs w:val="15"/>
          <w:color w:val="auto"/>
        </w:rPr>
        <w:t>Encroachments</w:t>
      </w:r>
    </w:p>
    <w:p>
      <w:pPr>
        <w:spacing w:after="0" w:line="9"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color w:val="auto"/>
        </w:rPr>
        <w:t>Liens Existing on the Closing Date</w:t>
      </w:r>
    </w:p>
    <w:p>
      <w:pPr>
        <w:spacing w:after="0" w:line="9"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8.02</w:t>
      </w:r>
      <w:r>
        <w:rPr>
          <w:sz w:val="20"/>
          <w:szCs w:val="20"/>
          <w:color w:val="auto"/>
        </w:rPr>
        <w:tab/>
      </w:r>
      <w:r>
        <w:rPr>
          <w:rFonts w:ascii="Arial" w:cs="Arial" w:eastAsia="Arial" w:hAnsi="Arial"/>
          <w:sz w:val="16"/>
          <w:szCs w:val="16"/>
          <w:color w:val="auto"/>
        </w:rPr>
        <w:t>Investments Existing on the Closing Date</w:t>
      </w:r>
    </w:p>
    <w:p>
      <w:pPr>
        <w:spacing w:after="0" w:line="9"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8.03</w:t>
      </w:r>
      <w:r>
        <w:rPr>
          <w:sz w:val="20"/>
          <w:szCs w:val="20"/>
          <w:color w:val="auto"/>
        </w:rPr>
        <w:tab/>
      </w:r>
      <w:r>
        <w:rPr>
          <w:rFonts w:ascii="Arial" w:cs="Arial" w:eastAsia="Arial" w:hAnsi="Arial"/>
          <w:sz w:val="15"/>
          <w:szCs w:val="15"/>
          <w:color w:val="auto"/>
        </w:rPr>
        <w:t>Indebtedness Existing on the Closing Date</w:t>
      </w:r>
    </w:p>
    <w:p>
      <w:pPr>
        <w:spacing w:after="0" w:line="9"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8.08</w:t>
      </w:r>
      <w:r>
        <w:rPr>
          <w:sz w:val="20"/>
          <w:szCs w:val="20"/>
          <w:color w:val="auto"/>
        </w:rPr>
        <w:tab/>
      </w:r>
      <w:r>
        <w:rPr>
          <w:rFonts w:ascii="Arial" w:cs="Arial" w:eastAsia="Arial" w:hAnsi="Arial"/>
          <w:sz w:val="16"/>
          <w:szCs w:val="16"/>
          <w:color w:val="auto"/>
        </w:rPr>
        <w:t>Borrower’s Related Party Transaction Policy</w:t>
      </w:r>
    </w:p>
    <w:p>
      <w:pPr>
        <w:spacing w:after="0" w:line="9" w:lineRule="exact"/>
        <w:rPr>
          <w:sz w:val="20"/>
          <w:szCs w:val="20"/>
          <w:color w:val="auto"/>
        </w:rPr>
      </w:pPr>
    </w:p>
    <w:p>
      <w:pPr>
        <w:ind w:left="240"/>
        <w:spacing w:after="0"/>
        <w:tabs>
          <w:tab w:leader="none" w:pos="78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color w:val="auto"/>
        </w:rPr>
        <w:t>Administrative Agent’s Office; Certain Addresses for Notices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580" w:hanging="34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Form of Loan Notice</w:t>
      </w:r>
    </w:p>
    <w:p>
      <w:pPr>
        <w:spacing w:after="0" w:line="15" w:lineRule="exact"/>
        <w:rPr>
          <w:sz w:val="20"/>
          <w:szCs w:val="20"/>
          <w:color w:val="auto"/>
        </w:rPr>
      </w:pPr>
    </w:p>
    <w:p>
      <w:pPr>
        <w:ind w:left="240" w:right="7279" w:hanging="2"/>
        <w:spacing w:after="0" w:line="250" w:lineRule="auto"/>
        <w:tabs>
          <w:tab w:leader="none" w:pos="591"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Form of Swing Line Loan Notice C Form of Note</w:t>
      </w:r>
    </w:p>
    <w:p>
      <w:pPr>
        <w:ind w:left="240" w:right="7379"/>
        <w:spacing w:after="0" w:line="281" w:lineRule="auto"/>
        <w:rPr>
          <w:rFonts w:ascii="Arial" w:cs="Arial" w:eastAsia="Arial" w:hAnsi="Arial"/>
          <w:sz w:val="18"/>
          <w:szCs w:val="18"/>
          <w:color w:val="auto"/>
        </w:rPr>
      </w:pPr>
      <w:r>
        <w:rPr>
          <w:rFonts w:ascii="Arial" w:cs="Arial" w:eastAsia="Arial" w:hAnsi="Arial"/>
          <w:sz w:val="16"/>
          <w:szCs w:val="16"/>
          <w:color w:val="auto"/>
        </w:rPr>
        <w:t>D Form of Compliance Certificate E Form of Joinder Agreement</w:t>
      </w:r>
    </w:p>
    <w:p>
      <w:pPr>
        <w:spacing w:after="0" w:line="1" w:lineRule="exact"/>
        <w:rPr>
          <w:rFonts w:ascii="Arial" w:cs="Arial" w:eastAsia="Arial" w:hAnsi="Arial"/>
          <w:sz w:val="18"/>
          <w:szCs w:val="18"/>
          <w:color w:val="auto"/>
        </w:rPr>
      </w:pPr>
    </w:p>
    <w:p>
      <w:pPr>
        <w:jc w:val="both"/>
        <w:ind w:left="240" w:right="6939"/>
        <w:spacing w:after="0" w:line="281" w:lineRule="auto"/>
        <w:rPr>
          <w:rFonts w:ascii="Arial" w:cs="Arial" w:eastAsia="Arial" w:hAnsi="Arial"/>
          <w:sz w:val="18"/>
          <w:szCs w:val="18"/>
          <w:color w:val="auto"/>
        </w:rPr>
      </w:pPr>
      <w:r>
        <w:rPr>
          <w:rFonts w:ascii="Arial" w:cs="Arial" w:eastAsia="Arial" w:hAnsi="Arial"/>
          <w:sz w:val="16"/>
          <w:szCs w:val="16"/>
          <w:color w:val="auto"/>
        </w:rPr>
        <w:t>F-1 Form of Assignment and Assumption F-2 Form of Administrative Questionnaire</w:t>
      </w:r>
    </w:p>
    <w:p>
      <w:pPr>
        <w:spacing w:after="0" w:line="1"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G   Forms of U.S. Tax Compliance Certificates</w:t>
      </w:r>
    </w:p>
    <w:p>
      <w:pPr>
        <w:spacing w:after="0" w:line="15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280" w:right="1440" w:bottom="1440" w:gutter="0" w:footer="0" w:header="0"/>
        </w:sectPr>
      </w:pPr>
    </w:p>
    <w:bookmarkStart w:id="109" w:name="page110"/>
    <w:bookmarkEnd w:id="10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CREDIT AGREEMENT is entered into as of December 21, 2012 among GRAND CANYON EDUCATION, INC., a Delaware corporation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w:t>
      </w:r>
      <w:r>
        <w:rPr>
          <w:rFonts w:ascii="Arial" w:cs="Arial" w:eastAsia="Arial" w:hAnsi="Arial"/>
          <w:sz w:val="16"/>
          <w:szCs w:val="16"/>
          <w:color w:val="auto"/>
        </w:rPr>
        <w:t>”), the Guarantors (defined herein), the Lenders (defined herein) and BANK OF AMERICA, N.A., as Administrative Agent, Swing Line Lender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L/C Issuer.</w:t>
      </w:r>
    </w:p>
    <w:p>
      <w:pPr>
        <w:spacing w:after="0" w:line="16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Borrower has requested that the Lenders provide $150 million in credit facilities for the purposes set forth herein, and the Lenders are willing to do so on the terms and conditions set forth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AND ACCOUNTING TERMS</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u w:val="single" w:color="auto"/>
          <w:color w:val="auto"/>
        </w:rPr>
        <w:t>Defined Terms</w:t>
      </w:r>
      <w:r>
        <w:rPr>
          <w:rFonts w:ascii="Arial" w:cs="Arial" w:eastAsia="Arial" w:hAnsi="Arial"/>
          <w:sz w:val="15"/>
          <w:szCs w:val="15"/>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 the following terms shall have the meanings set forth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90/10 Rule</w:t>
      </w:r>
      <w:r>
        <w:rPr>
          <w:rFonts w:ascii="Arial" w:cs="Arial" w:eastAsia="Arial" w:hAnsi="Arial"/>
          <w:sz w:val="18"/>
          <w:szCs w:val="18"/>
          <w:color w:val="auto"/>
        </w:rPr>
        <w:t>” means the 90/10 Rule codified at 34 C.F.R. Section 668.28.</w:t>
      </w:r>
    </w:p>
    <w:p>
      <w:pPr>
        <w:spacing w:after="0" w:line="171"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Accreditation</w:t>
      </w:r>
      <w:r>
        <w:rPr>
          <w:rFonts w:ascii="Arial" w:cs="Arial" w:eastAsia="Arial" w:hAnsi="Arial"/>
          <w:sz w:val="16"/>
          <w:szCs w:val="16"/>
          <w:color w:val="auto"/>
        </w:rPr>
        <w:t>” means the status of public recognition granted by any Accrediting Body to an educational institution that meets the Accrediting Body’s standards and requirements, which approval is required for the educational institution to participate in the Title IV Programs.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Accrediting Body</w:t>
      </w:r>
      <w:r>
        <w:rPr>
          <w:rFonts w:ascii="Arial" w:cs="Arial" w:eastAsia="Arial" w:hAnsi="Arial"/>
          <w:sz w:val="18"/>
          <w:szCs w:val="18"/>
          <w:color w:val="auto"/>
        </w:rPr>
        <w:t>” means any entity or organization recognized by the DOE pursuant to 34 C.F.R. 602 et seq.</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with respect to any Person, the acquisition by such Person, in a single transaction or in a series of related transactions, of either (a) all or any substantial portion of the property of, or a line of business, division or operating group of, another Person or (b) at least a majority of the Equity Interests of another Person entitled to vote for members of the board of directors or equivalent governing body of such Person, in each case whether or not involving a merger or consolidation with such other Person.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means Bank of America in its capacity as administrative agent under any of the Loan Documents, or any successor administrative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agent.</w:t>
      </w:r>
    </w:p>
    <w:p>
      <w:pPr>
        <w:spacing w:after="0" w:line="16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or such other address or account as the Administrative Agent may from time to time notify to the Borrower and the Lenders.</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F-2</w:t>
      </w:r>
      <w:r>
        <w:rPr>
          <w:rFonts w:ascii="Arial" w:cs="Arial" w:eastAsia="Arial" w:hAnsi="Arial"/>
          <w:sz w:val="18"/>
          <w:szCs w:val="18"/>
          <w:color w:val="auto"/>
        </w:rPr>
        <w:t xml:space="preserve"> or any other form approved by the Administrative Agent.</w:t>
      </w:r>
    </w:p>
    <w:p>
      <w:pPr>
        <w:sectPr>
          <w:pgSz w:w="11900" w:h="16838" w:orient="portrait"/>
          <w:cols w:equalWidth="0" w:num="1">
            <w:col w:w="11380"/>
          </w:cols>
          <w:pgMar w:left="240" w:top="280" w:right="279" w:bottom="1440" w:gutter="0" w:footer="0" w:header="0"/>
        </w:sectPr>
      </w:pPr>
    </w:p>
    <w:bookmarkStart w:id="110" w:name="page111"/>
    <w:bookmarkEnd w:id="110"/>
    <w:p>
      <w:pPr>
        <w:ind w:right="7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Commitments</w:t>
      </w:r>
      <w:r>
        <w:rPr>
          <w:rFonts w:ascii="Arial" w:cs="Arial" w:eastAsia="Arial" w:hAnsi="Arial"/>
          <w:sz w:val="18"/>
          <w:szCs w:val="18"/>
          <w:color w:val="auto"/>
        </w:rPr>
        <w:t>” means the Revolving Commitments of all the Lenders. The amount of the Aggregate Revolving Commitments in effect on the Closing Date is FIFTY MILLION DOLLARS ($50,000,000).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with respect to any Lender at any time, (a) with respect to such Lender’s Revolving Commitment at any time, the percentage (carried out to the ninth decimal place) of the Aggregate Revolving Commitments represented by such Lender’s Revolving Commitment at such time, subject to adjustment as provided in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provided that if the commitment of each Lender to make Revolving Loans and the obligation of the L/C Issuer to make L/C Credit Extensions have been terminated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or if the Aggregate Revolving Commitments have expired, then the Applicable Percentage of each Lender shall be determined based on the Applicable Percentage of such Lender most recently in effect, giving effect to any subsequent assignments and (b) with respect to such Lender’s portion of the outstanding Term Loan at any time, the percentage (carried out to the ninth decimal place) of the outstanding principal amount of the Term Loan held by such Lender at such time subject to adjustment as provided in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The initial Applicable Percentage of each Lender is set forth opposite the name of such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means (a) with respect to Eurodollar Rate Loans, 1.75% per annum, and (b) with respect to Base Rate Loans, 0.75% per annum.</w:t>
      </w:r>
    </w:p>
    <w:p>
      <w:pPr>
        <w:spacing w:after="0" w:line="19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Appraisal</w:t>
      </w:r>
      <w:r>
        <w:rPr>
          <w:rFonts w:ascii="Arial" w:cs="Arial" w:eastAsia="Arial" w:hAnsi="Arial"/>
          <w:sz w:val="18"/>
          <w:szCs w:val="18"/>
          <w:color w:val="auto"/>
        </w:rPr>
        <w:t>” means an “as-is” appraisal that (a) satisfies the requirements of Title XI of FIRREA and all other applicable legal requirements, all as in effect on the date of such appraisal, (b) is prepared by an appraiser that is engaged by the Administrative Agent or is otherwise approved by the Administrative Agent and (c) is otherwise acceptable to the Administrative Agent.</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Appraised Value</w:t>
      </w:r>
      <w:r>
        <w:rPr>
          <w:rFonts w:ascii="Arial" w:cs="Arial" w:eastAsia="Arial" w:hAnsi="Arial"/>
          <w:sz w:val="18"/>
          <w:szCs w:val="18"/>
          <w:color w:val="auto"/>
        </w:rPr>
        <w:t>” means, with respect to any real property, the “as is” market value of such real property as set forth in the Appraisal for such real property delivered to the Administrative Agent on or prior to the Closing Date.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Merrill Lynch, Pierce, Fenner &amp; Smith Incorporated, in its capacity as sole lead arranger and sole book manager.</w:t>
      </w:r>
    </w:p>
    <w:p>
      <w:pPr>
        <w:spacing w:after="0" w:line="17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means an assignment and assumption entered into by a Lender and an Eligible Assignee (with the consent of any party whose consent is required by </w:t>
      </w:r>
      <w:r>
        <w:rPr>
          <w:rFonts w:ascii="Arial" w:cs="Arial" w:eastAsia="Arial" w:hAnsi="Arial"/>
          <w:sz w:val="16"/>
          <w:szCs w:val="16"/>
          <w:u w:val="single" w:color="auto"/>
          <w:color w:val="auto"/>
        </w:rPr>
        <w:t>Section 11.06(b)</w:t>
      </w:r>
      <w:r>
        <w:rPr>
          <w:rFonts w:ascii="Arial" w:cs="Arial" w:eastAsia="Arial" w:hAnsi="Arial"/>
          <w:sz w:val="16"/>
          <w:szCs w:val="16"/>
          <w:color w:val="auto"/>
        </w:rPr>
        <w:t xml:space="preserve">), and accepted by the Administrative Agent, in substantially the form of </w:t>
      </w:r>
      <w:r>
        <w:rPr>
          <w:rFonts w:ascii="Arial" w:cs="Arial" w:eastAsia="Arial" w:hAnsi="Arial"/>
          <w:sz w:val="16"/>
          <w:szCs w:val="16"/>
          <w:u w:val="single" w:color="auto"/>
          <w:color w:val="auto"/>
        </w:rPr>
        <w:t>Exhibit F-1</w:t>
      </w:r>
      <w:r>
        <w:rPr>
          <w:rFonts w:ascii="Arial" w:cs="Arial" w:eastAsia="Arial" w:hAnsi="Arial"/>
          <w:sz w:val="16"/>
          <w:szCs w:val="16"/>
          <w:color w:val="auto"/>
        </w:rPr>
        <w:t xml:space="preserve"> or any other form (including electronic documentation generated by MarkitClear or other electronic platform) approved by the Administrative Agent and the Borrower.</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Indebtedness</w:t>
      </w:r>
      <w:r>
        <w:rPr>
          <w:rFonts w:ascii="Arial" w:cs="Arial" w:eastAsia="Arial" w:hAnsi="Arial"/>
          <w:sz w:val="16"/>
          <w:szCs w:val="16"/>
          <w:color w:val="auto"/>
        </w:rPr>
        <w:t>” means, with respect to any Person on any date, (a) in respect of any capital lease, the capitalized amount thereof that would appear on a balance sheet of such Person prepared as of such date in accordance with GAAP,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(c) in respect of any Securitization Transaction, the outstanding principal amount of such financing, after taking into account reserve accounts and making appropriate adjustments, determined by the Administrative Agent in its reasonable judgment and (d) in respect of any Sale and Leaseback Transaction, the present value (discounted in accordance with GAAP at the debt rate implied in the applicable lease) of the obligations of the lessee for rental payments during the term of such lease).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11" w:name="page112"/>
    <w:bookmarkEnd w:id="111"/>
    <w:p>
      <w:pPr>
        <w:jc w:val="both"/>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Borrower and its Subsidiaries as of December 31, 2011 and the related consolidated statements of income or operations, stockholders’ equity and cash flows of the Borrower and its Subsidiaries for such fiscal year, including the notes thereto.</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Availability Period</w:t>
      </w:r>
      <w:r>
        <w:rPr>
          <w:rFonts w:ascii="Arial" w:cs="Arial" w:eastAsia="Arial" w:hAnsi="Arial"/>
          <w:sz w:val="16"/>
          <w:szCs w:val="16"/>
          <w:color w:val="auto"/>
        </w:rPr>
        <w:t xml:space="preserve">” means, with respect to the Revolving Commitments, the period from and including the Closing Date to the earliest of (a) the Maturity Date, (b) the date of termination of the Aggregate Revolving Commitments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and (c) the date of termination of the commitment of each Lender to make Loans and of the obligation of the L/C Issuer to make L/C Credit Extensions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for any day a fluctuating rate per annum equal to the highest of (a) the Federal Funds Rate plus 1/2 of 1.0%, (b) the rate of interest in effect for such day as publicly announced from time to time by Bank of America as its “prime rate” and (c) the Eurodollar Rate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Loan, a Term Loan, or a Swing Line Loan, as the context may require.</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6.09(a)</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 case pursuant to documentation in form and substance satisfactory to the Administrative Agent and the L/C Issuer. “Cash Collateral” shall have a meaning correlative to the foregoing and shall include the proceeds of such cash collateral and other credit support.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12" w:name="page113"/>
    <w:bookmarkEnd w:id="112"/>
    <w:p>
      <w:pPr>
        <w:ind w:right="32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means Investments permitted under the Borrower’s Investment Policy as in effect on the Closing Date, a copy of which is attached hereto as </w:t>
      </w:r>
      <w:r>
        <w:rPr>
          <w:rFonts w:ascii="Arial" w:cs="Arial" w:eastAsia="Arial" w:hAnsi="Arial"/>
          <w:sz w:val="18"/>
          <w:szCs w:val="18"/>
          <w:u w:val="single" w:color="auto"/>
          <w:color w:val="auto"/>
        </w:rPr>
        <w:t>Schedule 1.01</w:t>
      </w:r>
      <w:r>
        <w:rPr>
          <w:rFonts w:ascii="Arial" w:cs="Arial" w:eastAsia="Arial" w:hAnsi="Arial"/>
          <w:sz w:val="18"/>
          <w:szCs w:val="18"/>
          <w:color w:val="auto"/>
        </w:rPr>
        <w:t>, and any changes thereto that are approved by the Administrative Agent.</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that is not prohibited by the terms hereof to provide treasury or cash management services, including deposit accounts, overnight draft, credit cards, debit cards, p cards (including, purchasing cards and commercial cards), e-payables, funds transfer, automated clearinghouse, zero balance accounts, returned check concentration, controlled disbursement, lockbox, account reconciliation and reporting and trade finance services and other cash management services.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Bank</w:t>
      </w:r>
      <w:r>
        <w:rPr>
          <w:rFonts w:ascii="Arial" w:cs="Arial" w:eastAsia="Arial" w:hAnsi="Arial"/>
          <w:sz w:val="16"/>
          <w:szCs w:val="16"/>
          <w:color w:val="auto"/>
        </w:rPr>
        <w:t>” means any Person in its capacity as a party to a Cash Management Agreement with the Borrower or any Subsidiary provided that (a) at the time such Person enters into such Cash Management Agreement, such Person is a Lender or an Affiliate of a Lender, or (b) such Cash Management Agreement exists on the Closing Date and such Person is a Lender or an Affiliate of a Lender on the Closing Date.</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Agreement,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(i) the Dodd 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90" w:lineRule="exact"/>
        <w:rPr>
          <w:sz w:val="20"/>
          <w:szCs w:val="20"/>
          <w:color w:val="auto"/>
        </w:rPr>
      </w:pPr>
    </w:p>
    <w:p>
      <w:pPr>
        <w:ind w:left="460" w:firstLine="443"/>
        <w:spacing w:after="0" w:line="290" w:lineRule="auto"/>
        <w:tabs>
          <w:tab w:leader="none" w:pos="1137" w:val="left"/>
        </w:tabs>
        <w:numPr>
          <w:ilvl w:val="1"/>
          <w:numId w:val="53"/>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Equity Interests that such person or group has the right to acquire, whether such right is exercisable immediately or only after the passage of time (such right, an “option right”)), directly or indirectly, of thirty-five percent (35%) or more of the Equity Interests of the Borrower entitled to vote for members of the board of directors or equivalent governing body of the Borrower on a fully diluted basis (and taking into account all such securities that such person or group has the right to acquire pursuant to any option right); or</w:t>
      </w:r>
    </w:p>
    <w:p>
      <w:pPr>
        <w:spacing w:after="0" w:line="37" w:lineRule="exact"/>
        <w:rPr>
          <w:rFonts w:ascii="Arial" w:cs="Arial" w:eastAsia="Arial" w:hAnsi="Arial"/>
          <w:sz w:val="16"/>
          <w:szCs w:val="16"/>
          <w:color w:val="auto"/>
        </w:rPr>
      </w:pPr>
    </w:p>
    <w:p>
      <w:pPr>
        <w:ind w:left="460" w:right="20" w:firstLine="443"/>
        <w:spacing w:after="0" w:line="284" w:lineRule="auto"/>
        <w:tabs>
          <w:tab w:leader="none" w:pos="1147" w:val="left"/>
        </w:tabs>
        <w:numPr>
          <w:ilvl w:val="1"/>
          <w:numId w:val="53"/>
        </w:numPr>
        <w:rPr>
          <w:rFonts w:ascii="Arial" w:cs="Arial" w:eastAsia="Arial" w:hAnsi="Arial"/>
          <w:sz w:val="16"/>
          <w:szCs w:val="16"/>
          <w:color w:val="auto"/>
        </w:rPr>
      </w:pPr>
      <w:r>
        <w:rPr>
          <w:rFonts w:ascii="Arial" w:cs="Arial" w:eastAsia="Arial" w:hAnsi="Arial"/>
          <w:sz w:val="16"/>
          <w:szCs w:val="16"/>
          <w:color w:val="auto"/>
        </w:rPr>
        <w:t>during any period of 24 consecutive months, a majority of the members of the board of directors of the Borrower cease to be composed of individuals (i) who were members of the board of directors on the first day of such period, (ii) whose election or nomination to the board of directors was approved by individuals referred to in clause (i) above constituting at the time of such election or nomination at least a majority of the board of directors or</w:t>
      </w:r>
    </w:p>
    <w:p>
      <w:pPr>
        <w:spacing w:after="0" w:line="1" w:lineRule="exact"/>
        <w:rPr>
          <w:rFonts w:ascii="Arial" w:cs="Arial" w:eastAsia="Arial" w:hAnsi="Arial"/>
          <w:sz w:val="16"/>
          <w:szCs w:val="16"/>
          <w:color w:val="auto"/>
        </w:rPr>
      </w:pPr>
    </w:p>
    <w:p>
      <w:pPr>
        <w:ind w:left="460" w:right="100" w:firstLine="4"/>
        <w:spacing w:after="0" w:line="253" w:lineRule="auto"/>
        <w:tabs>
          <w:tab w:leader="none" w:pos="7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whose election or nomination to the board of directors was approved by individuals referred to in clauses (i) and (ii) above constituting at the time of such election or nomination at least a majority of the board of directors (excluding, in the case of both clause (ii) and clause (iii), any individual whose initial nomination for, or assumption of office as, a member of the board of directors occurs as a result of a solicitation of proxies or consents for the election or removal of one or more directors by any “person” or “group” (as defined in clause (a) above) other than a solicitation for the election of one or more directors by or on behalf of the board of directors).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113" w:name="page114"/>
    <w:bookmarkEnd w:id="1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Cohort Default Rate</w:t>
      </w:r>
      <w:r>
        <w:rPr>
          <w:rFonts w:ascii="Arial" w:cs="Arial" w:eastAsia="Arial" w:hAnsi="Arial"/>
          <w:sz w:val="16"/>
          <w:szCs w:val="16"/>
          <w:color w:val="auto"/>
        </w:rPr>
        <w:t>” has the meaning of an Official Cohort Default Rate provided in 34 C.F.R. Sections 668.182 and 668.201, as applicable.</w:t>
      </w:r>
    </w:p>
    <w:p>
      <w:pPr>
        <w:spacing w:after="0" w:line="19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means a collective reference to all property with respect to which Liens in favor of the Administrative Agent, for the benefit of itself and the other holders of the Obligations, are purported to be granted pursuant to and in accordance with the terms of the Collateral Documents.</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a collective reference to the Security Agreement, the Mortgage and the other security documents as may be executed and delivered by any Loan Party pursuant to the terms of </w:t>
      </w:r>
      <w:r>
        <w:rPr>
          <w:rFonts w:ascii="Arial" w:cs="Arial" w:eastAsia="Arial" w:hAnsi="Arial"/>
          <w:sz w:val="18"/>
          <w:szCs w:val="18"/>
          <w:u w:val="single" w:color="auto"/>
          <w:color w:val="auto"/>
        </w:rPr>
        <w:t>Section 7.13</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Commitment</w:t>
      </w:r>
      <w:r>
        <w:rPr>
          <w:rFonts w:ascii="Arial" w:cs="Arial" w:eastAsia="Arial" w:hAnsi="Arial"/>
          <w:sz w:val="16"/>
          <w:szCs w:val="16"/>
          <w:color w:val="auto"/>
        </w:rPr>
        <w:t>” means, as to each Lender, the Revolving Commitment of such Lender and/or the Term Loan Commitment of such Lender.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Cash Flow</w:t>
      </w:r>
      <w:r>
        <w:rPr>
          <w:rFonts w:ascii="Arial" w:cs="Arial" w:eastAsia="Arial" w:hAnsi="Arial"/>
          <w:sz w:val="16"/>
          <w:szCs w:val="16"/>
          <w:color w:val="auto"/>
        </w:rPr>
        <w:t>” means, for any period, for the Borrower and its Subsidiaries on a consolidated basis, an amount equal to the sum of</w:t>
      </w:r>
    </w:p>
    <w:p>
      <w:pPr>
        <w:spacing w:after="0" w:line="38" w:lineRule="exact"/>
        <w:rPr>
          <w:sz w:val="20"/>
          <w:szCs w:val="20"/>
          <w:color w:val="auto"/>
        </w:rPr>
      </w:pPr>
    </w:p>
    <w:p>
      <w:pPr>
        <w:ind w:right="200" w:firstLine="8"/>
        <w:spacing w:after="0" w:line="261" w:lineRule="auto"/>
        <w:tabs>
          <w:tab w:leader="none" w:pos="239"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Consolidated EBITDA for such period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depreciation and amortization expense for such period (other than such expenses in respect of the Prepaid Royalties)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income taxes paid in cash during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rent and lease expense for such period.</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for any period, for the Borrower and its Subsidiaries on a consolidated basis, an amount equal to the sum of</w:t>
      </w:r>
    </w:p>
    <w:p>
      <w:pPr>
        <w:spacing w:after="0" w:line="38" w:lineRule="exact"/>
        <w:rPr>
          <w:sz w:val="20"/>
          <w:szCs w:val="20"/>
          <w:color w:val="auto"/>
        </w:rPr>
      </w:pPr>
    </w:p>
    <w:p>
      <w:pPr>
        <w:ind w:right="40" w:firstLine="8"/>
        <w:spacing w:after="0" w:line="295" w:lineRule="auto"/>
        <w:tabs>
          <w:tab w:leader="none" w:pos="239"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following to the extent deducted in calculating such Consolidated Net Income: (i) Consolidated Interest Charges for such period, (ii) the provision for federal, state, local and foreign income taxes payable for such period, (iii) depreciation and amortization expense for such period (including in respect of amortization of the Prepaid Royalties), (iv) non-cash stock based compensation expense and (v) amounts paid or otherwise expended in connection with the resolution or settlement of the Program Review in an aggregate amount for all periods not to exceed $10 million.</w:t>
      </w:r>
    </w:p>
    <w:p>
      <w:pPr>
        <w:spacing w:after="0" w:line="11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xml:space="preserve">” means, as of any date of determination, the ratio of (a) Consolidated Cash Flow for the period of the four fiscal quarters most recently ended to (b) Consolidated Fixed Charges for the period of the four fiscal quarters most recently ended;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calculating Consolidated Fixed Charges:</w:t>
      </w:r>
    </w:p>
    <w:p>
      <w:pPr>
        <w:spacing w:after="0" w:line="59" w:lineRule="exact"/>
        <w:rPr>
          <w:sz w:val="20"/>
          <w:szCs w:val="20"/>
          <w:color w:val="auto"/>
        </w:rPr>
      </w:pPr>
    </w:p>
    <w:p>
      <w:pPr>
        <w:ind w:left="460" w:firstLine="443"/>
        <w:spacing w:after="0" w:line="259" w:lineRule="auto"/>
        <w:tabs>
          <w:tab w:leader="none" w:pos="11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as of the end of the fiscal quarter ended December 31, 2012, Consolidated Interest Charges and Consolidated Scheduled Funded Debt Payments shall be deemed to be the amount of Consolidated Interest Charges and Consolidated Scheduled Funded Debt Payments for the period of one fiscal quarter then ended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four (4);</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114" w:name="page115"/>
    <w:bookmarkEnd w:id="114"/>
    <w:p>
      <w:pPr>
        <w:ind w:left="460" w:right="160" w:firstLine="443"/>
        <w:spacing w:after="0" w:line="259" w:lineRule="auto"/>
        <w:tabs>
          <w:tab w:leader="none" w:pos="1157"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as of the end of the fiscal quarter ending March 31, 2013, Consolidated Interest Charges and Consolidated Scheduled Funded Debt Payments shall be the amount of Consolidated Interest Charges and Consolidated Scheduled Funded Debt Payments for the period of two fiscal quarters then ended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two (2); and</w:t>
      </w:r>
    </w:p>
    <w:p>
      <w:pPr>
        <w:spacing w:after="0" w:line="59" w:lineRule="exact"/>
        <w:rPr>
          <w:rFonts w:ascii="Arial" w:cs="Arial" w:eastAsia="Arial" w:hAnsi="Arial"/>
          <w:sz w:val="18"/>
          <w:szCs w:val="18"/>
          <w:color w:val="auto"/>
        </w:rPr>
      </w:pPr>
    </w:p>
    <w:p>
      <w:pPr>
        <w:ind w:left="460" w:right="40" w:firstLine="443"/>
        <w:spacing w:after="0" w:line="259" w:lineRule="auto"/>
        <w:tabs>
          <w:tab w:leader="none" w:pos="1205"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as of the end of the fiscal quarter ending June 30, 2013, Consolidated Interest Charges and Consolidated Scheduled Funded Debt Payments shall be the amount of Consolidated Interest Charges and Consolidated Scheduled Funded Debt Payments for the period of three fiscal quarters then ended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one and one-third (1 1/3).</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Fixed Charges</w:t>
      </w:r>
      <w:r>
        <w:rPr>
          <w:rFonts w:ascii="Arial" w:cs="Arial" w:eastAsia="Arial" w:hAnsi="Arial"/>
          <w:sz w:val="16"/>
          <w:szCs w:val="16"/>
          <w:color w:val="auto"/>
        </w:rPr>
        <w:t>” means, for any period, for the Borrower and its Subsidiaries on a consolidated basis, an amount equal to the sum of</w:t>
      </w:r>
    </w:p>
    <w:p>
      <w:pPr>
        <w:spacing w:after="0" w:line="38" w:lineRule="exact"/>
        <w:rPr>
          <w:sz w:val="20"/>
          <w:szCs w:val="20"/>
          <w:color w:val="auto"/>
        </w:rPr>
      </w:pPr>
    </w:p>
    <w:p>
      <w:pPr>
        <w:ind w:firstLine="8"/>
        <w:spacing w:after="0" w:line="255" w:lineRule="auto"/>
        <w:tabs>
          <w:tab w:leader="none" w:pos="239"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Consolidated Interest Charges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rent and lease expense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Consolidated Scheduled Funded Debt Payments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dividends and other distributions (whether in cash, securities or other property) paid by the Borrower on its Equity Interests for such period (and not including repurchases of Equity Interests as permitted under </w:t>
      </w:r>
      <w:r>
        <w:rPr>
          <w:rFonts w:ascii="Arial" w:cs="Arial" w:eastAsia="Arial" w:hAnsi="Arial"/>
          <w:sz w:val="18"/>
          <w:szCs w:val="18"/>
          <w:u w:val="single" w:color="auto"/>
          <w:color w:val="auto"/>
        </w:rPr>
        <w:t>Section 8.06</w:t>
      </w:r>
      <w:r>
        <w:rPr>
          <w:rFonts w:ascii="Arial" w:cs="Arial" w:eastAsia="Arial" w:hAnsi="Arial"/>
          <w:sz w:val="18"/>
          <w:szCs w:val="18"/>
          <w:color w:val="auto"/>
        </w:rPr>
        <w: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Funded Indebtedness</w:t>
      </w:r>
      <w:r>
        <w:rPr>
          <w:rFonts w:ascii="Arial" w:cs="Arial" w:eastAsia="Arial" w:hAnsi="Arial"/>
          <w:sz w:val="18"/>
          <w:szCs w:val="18"/>
          <w:color w:val="auto"/>
        </w:rPr>
        <w:t>” means Funded Indebtedness of the Borrower and its Subsidiaries on a consolidated basis.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Charges</w:t>
      </w:r>
      <w:r>
        <w:rPr>
          <w:rFonts w:ascii="Arial" w:cs="Arial" w:eastAsia="Arial" w:hAnsi="Arial"/>
          <w:sz w:val="18"/>
          <w:szCs w:val="18"/>
          <w:color w:val="auto"/>
        </w:rPr>
        <w:t xml:space="preserve">” means, for any period, for the Borrower and its Subsidiaries on a consolidated basis,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portion of rent expense with respect to such period under capital leases that is treated as interest in accordance with GAAP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implied interest component of Synthetic Lease Obligations with respect to such period. For purposes of calculating Consolidated Fixed Charges only, Consolidated Interest Charges for the period of one fiscal quarter ended December 31, 2012 shall be deemed to be $500,000.</w:t>
      </w:r>
    </w:p>
    <w:p>
      <w:pPr>
        <w:spacing w:after="0" w:line="144" w:lineRule="exact"/>
        <w:rPr>
          <w:sz w:val="20"/>
          <w:szCs w:val="20"/>
          <w:color w:val="auto"/>
        </w:rPr>
      </w:pPr>
    </w:p>
    <w:p>
      <w:pPr>
        <w:ind w:right="1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means, as of any date of determination, the ratio of (a) Consolidated Funded Indebtedness as of such date to (b) Consolidated EBITDA for the period of the four fiscal quarters most recently ended.</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means, for any period, for the Borrower and its Subsidiaries on a consolidated basis, net income (or loss) for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Net Income shall exclude (a) extraordinary gains and extraordinary losses for such period, (b) 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the Borrower’s equity in any net loss of any such Subsidiary for such period shall be included in determining Consolidated Net Income and (c) any income (or loss) for such period of any Person if such Person is not a Subsidiary, except that the Borrower’s equity in the net income of any such Person for such period shall be included in Consolidated Net Income up to the aggregate amount of cash actually distributed by such Person during such period to the Borrower or a Subsidiary as a dividend or other distribution (and in the case of a dividend or other distribution to a Subsidiary, such Subsidiary is not precluded from further distributing such amount to the Borrower as described in clause (b) of this proviso).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15" w:name="page116"/>
    <w:bookmarkEnd w:id="115"/>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Consolidated Scheduled Funded Debt Payments</w:t>
      </w:r>
      <w:r>
        <w:rPr>
          <w:rFonts w:ascii="Arial" w:cs="Arial" w:eastAsia="Arial" w:hAnsi="Arial"/>
          <w:sz w:val="16"/>
          <w:szCs w:val="16"/>
          <w:color w:val="auto"/>
        </w:rPr>
        <w:t>” means for any period for the Borrower and its Subsidiaries on a consolidated basis, the sum of all scheduled payments of principal on Consolidated Funded Indebtedness. For purposes of this definition, “scheduled payments of principal” (a) shall be determined without giving effect to any reduction of such scheduled payments resulting from the application of any voluntary or mandatory prepayments made during the applicable period, (b) shall be deemed to include the Attributable Indebtedness and (c) shall not include any voluntary or mandatory prepayments. For purposes of calculating the Consolidated Fixed Charge Coverage Ratio only, Consolidated Scheduled Funded Debt Payments for the period of one fiscal quarter ended December 31, 2012 shall be deemed to be $1,666,667.</w:t>
      </w:r>
    </w:p>
    <w:p>
      <w:pPr>
        <w:spacing w:after="0" w:line="12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Tangible Net Worth</w:t>
      </w:r>
      <w:r>
        <w:rPr>
          <w:rFonts w:ascii="Arial" w:cs="Arial" w:eastAsia="Arial" w:hAnsi="Arial"/>
          <w:sz w:val="16"/>
          <w:szCs w:val="16"/>
          <w:color w:val="auto"/>
        </w:rPr>
        <w:t xml:space="preserve">” means, as of any date of determination, for the Borrower and its Subsidiaries on a consolidated basis, (a) stockholders’ equity of the Borrower and its Subsidiaries on that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Intangible Assets of the Borrower and its Subsidiaries on that date.</w:t>
      </w:r>
    </w:p>
    <w:p>
      <w:pPr>
        <w:spacing w:after="0" w:line="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written agreement, instrument or other undertaking to which such Person is a party or by which it or any of its property is bound.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 Without limiting the generality of the foregoing, a Person shall be deemed to be Controlled by another Person if such other Person possesses, directly or indirectly, power to vote 10% or more of the securities having ordinary voting power for the election of directors, managing general partners or the equivalent.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Issuance</w:t>
      </w:r>
      <w:r>
        <w:rPr>
          <w:rFonts w:ascii="Arial" w:cs="Arial" w:eastAsia="Arial" w:hAnsi="Arial"/>
          <w:sz w:val="16"/>
          <w:szCs w:val="16"/>
          <w:color w:val="auto"/>
        </w:rPr>
        <w:t xml:space="preserve">” means the issuance by the Borrower or any Subsidiary of any Indebtedness other than Indebtedness permitted under </w:t>
      </w:r>
      <w:r>
        <w:rPr>
          <w:rFonts w:ascii="Arial" w:cs="Arial" w:eastAsia="Arial" w:hAnsi="Arial"/>
          <w:sz w:val="16"/>
          <w:szCs w:val="16"/>
          <w:u w:val="single" w:color="auto"/>
          <w:color w:val="auto"/>
        </w:rPr>
        <w:t>Section 8.03</w:t>
      </w:r>
      <w:r>
        <w:rPr>
          <w:rFonts w:ascii="Arial" w:cs="Arial" w:eastAsia="Arial" w:hAnsi="Arial"/>
          <w:sz w:val="16"/>
          <w:szCs w:val="16"/>
          <w:color w:val="auto"/>
        </w:rPr>
        <w:t>.</w:t>
      </w:r>
    </w:p>
    <w:p>
      <w:pPr>
        <w:spacing w:after="0" w:line="19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means (a) when used with respect to Obligations other than Letter of Credit Fees, an interest rate equal to (i)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Applicable Rate, if any, applicable to Base Rate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2% per annum;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 Eurodollar Rate Loan, the Default Rate shall be an interest rate equal to the interest rate (including any Applicable Rate) otherwise applicable to such Loan plus 2% per annum and (b) when used with respect to Letter of Credit Fees, a rate equal to the Applicable Rate for Revolving Loans that are Eurodollar Rate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per annum.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16" w:name="page117"/>
    <w:bookmarkEnd w:id="116"/>
    <w:p>
      <w:pPr>
        <w:ind w:firstLine="456"/>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2.15(b)</w:t>
      </w:r>
      <w:r>
        <w:rPr>
          <w:rFonts w:ascii="Arial" w:cs="Arial" w:eastAsia="Arial" w:hAnsi="Arial"/>
          <w:sz w:val="16"/>
          <w:szCs w:val="16"/>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w:t>
      </w:r>
    </w:p>
    <w:p>
      <w:pPr>
        <w:spacing w:after="0" w:line="4" w:lineRule="exact"/>
        <w:rPr>
          <w:sz w:val="20"/>
          <w:szCs w:val="20"/>
          <w:color w:val="auto"/>
        </w:rPr>
      </w:pPr>
    </w:p>
    <w:p>
      <w:pPr>
        <w:ind w:right="280" w:firstLine="8"/>
        <w:spacing w:after="0" w:line="254" w:lineRule="auto"/>
        <w:tabs>
          <w:tab w:leader="none" w:pos="239"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through (d) above, and of the effective date of such status, shall be conclusive and binding absent manifest error, and such Lender shall be deemed to be a Defaulting Lender (subject to </w:t>
      </w:r>
      <w:r>
        <w:rPr>
          <w:rFonts w:ascii="Arial" w:cs="Arial" w:eastAsia="Arial" w:hAnsi="Arial"/>
          <w:sz w:val="18"/>
          <w:szCs w:val="18"/>
          <w:u w:val="single" w:color="auto"/>
          <w:color w:val="auto"/>
        </w:rPr>
        <w:t>Section 2.15(b)</w:t>
      </w:r>
      <w:r>
        <w:rPr>
          <w:rFonts w:ascii="Arial" w:cs="Arial" w:eastAsia="Arial" w:hAnsi="Arial"/>
          <w:sz w:val="18"/>
          <w:szCs w:val="18"/>
          <w:color w:val="auto"/>
        </w:rPr>
        <w:t>) as of the date established therefor by the Administrative Agent in a written notice of such determination, which shall be delivered by the Administrative Agent to the Borrower, the L/C Issuer, the Swing Line Lender and each other Lender promptly following such determination.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itself is the subject of any Sanction.</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Disposition</w:t>
      </w:r>
      <w:r>
        <w:rPr>
          <w:rFonts w:ascii="Arial" w:cs="Arial" w:eastAsia="Arial" w:hAnsi="Arial"/>
          <w:sz w:val="16"/>
          <w:szCs w:val="16"/>
          <w:color w:val="auto"/>
        </w:rPr>
        <w:t>” or “</w:t>
      </w:r>
      <w:r>
        <w:rPr>
          <w:rFonts w:ascii="Arial" w:cs="Arial" w:eastAsia="Arial" w:hAnsi="Arial"/>
          <w:sz w:val="16"/>
          <w:szCs w:val="16"/>
          <w:u w:val="single" w:color="auto"/>
          <w:color w:val="auto"/>
        </w:rPr>
        <w:t>Dispose</w:t>
      </w:r>
      <w:r>
        <w:rPr>
          <w:rFonts w:ascii="Arial" w:cs="Arial" w:eastAsia="Arial" w:hAnsi="Arial"/>
          <w:sz w:val="16"/>
          <w:szCs w:val="16"/>
          <w:color w:val="auto"/>
        </w:rPr>
        <w:t xml:space="preserve">” means the sale, transfer, license, lease or other disposition of any property by the Borrower or any Subsidiary, including any Sale and Leaseback Transaction and any sale, assignment, transfer or other disposal, with or without recourse, of any notes or accounts receivable or any rights and claims associated therewith, but excluding (a) the disposition of inventory in the ordinary course of business; (b) the disposition of machinery and equipment no longer used or useful in the conduct of business of the Borrower and its Subsidiaries in the ordinary course of business; (c) the disposition of property to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transferor of such property is a Loan Party then the transferee thereof must be a Loan Party; (d) the disposition of accounts receivable in connection with the collection or compromise thereof; (e) licenses, sublicenses, leases or subleases granted to others not interfering in any material respect with the business of the Borrower and its Subsidiaries; (f) the sale or disposition of Cash Equivalents for fair market value; (g) any Recovery Event; (h) the disposition of personal property (other than personal property constituting Excluded Fixed Assets) to the extent that (i) such property is exchanged for credit against the purchase price of similar replacement property or (ii) the proceeds of such disposition are promptly applied to the purchase price of such replacement property; (h) to the extent constituting a Disposition, transactions permitted by Section 8.04 and Section 8.06 and Liens permitted by Section 8.01; and (j) the disposition of the Investments described on </w:t>
      </w:r>
      <w:r>
        <w:rPr>
          <w:rFonts w:ascii="Arial" w:cs="Arial" w:eastAsia="Arial" w:hAnsi="Arial"/>
          <w:sz w:val="16"/>
          <w:szCs w:val="16"/>
          <w:u w:val="single" w:color="auto"/>
          <w:color w:val="auto"/>
        </w:rPr>
        <w:t>Schedule 8.02</w:t>
      </w:r>
      <w:r>
        <w:rPr>
          <w:rFonts w:ascii="Arial" w:cs="Arial" w:eastAsia="Arial" w:hAnsi="Arial"/>
          <w:sz w:val="16"/>
          <w:szCs w:val="16"/>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17" w:name="page118"/>
    <w:bookmarkEnd w:id="11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DOE</w:t>
      </w:r>
      <w:r>
        <w:rPr>
          <w:rFonts w:ascii="Arial" w:cs="Arial" w:eastAsia="Arial" w:hAnsi="Arial"/>
          <w:sz w:val="18"/>
          <w:szCs w:val="18"/>
          <w:color w:val="auto"/>
        </w:rPr>
        <w:t>” means the United States Department of Education and any successor agency administering Title IV Programs.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DOE Ratio</w:t>
      </w:r>
      <w:r>
        <w:rPr>
          <w:rFonts w:ascii="Arial" w:cs="Arial" w:eastAsia="Arial" w:hAnsi="Arial"/>
          <w:sz w:val="18"/>
          <w:szCs w:val="18"/>
          <w:color w:val="auto"/>
        </w:rPr>
        <w:t xml:space="preserve">” means the composite score of the Borrower’s equity, primary reserve and net income ratios described in 34 C.F.R. Sections 668.171(b)(1) and Section 668.172 and appendices A and B to Subpart L of 34 C.F.R. of Section 668,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the Borrower or any Subsidiary is required by the DOE to report such composite score on a school-by-school or other basis, the “DOE Ratio” shall also refer to the composite score for each school or other Person required to be reported to the DOE.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any state of the United States or the District of Columbia.</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Property</w:t>
      </w:r>
      <w:r>
        <w:rPr>
          <w:rFonts w:ascii="Arial" w:cs="Arial" w:eastAsia="Arial" w:hAnsi="Arial"/>
          <w:sz w:val="16"/>
          <w:szCs w:val="16"/>
          <w:color w:val="auto"/>
        </w:rPr>
        <w:t>” means (a) with respect to the Net Cash Proceeds of any Disposition of real property or Recovery Event with respect to real property, a fee interest in real property that (i) is part of or used in connection with the campus of Grand Canyon University located in Phoenix, Arizona and (ii) constitutes Collateral and (b) with respect to the Net Cash Proceeds of any Disposition of personal property or Recovery Event with respect to personal property, personal property that constitutes Collateral (other than current assets as classified by GAAP).</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Sections 11.06(b)(iii)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applicable Law relating to (i) the release of, and the investigation and remediation of, hazardous substances (which are not naturally occurring) released into the environment (including, without limitation, air, water vapor, surface water, groundwater, drinking water supply, surface land, subsurface land), and (ii) the exposure to, or the use, storage, recycling, treatment, generation, transportation, processing, handling, labeling, production, release or disposal of Hazardous Materials.</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Contractual Obligation pursuant to which liability is assumed or imposed with respect to any of the foregoing.</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18" w:name="page119"/>
    <w:bookmarkEnd w:id="1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a Loan Party within the meaning of</w:t>
      </w:r>
    </w:p>
    <w:p>
      <w:pPr>
        <w:spacing w:after="0" w:line="3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Section 414(b) or (c) of the Internal Revenue Code (and Sections 414(m) and (o) of the Internal Revenue Code for purposes of provisions relating to Section 412 of the Internal Revenue Code).</w:t>
      </w:r>
    </w:p>
    <w:p>
      <w:pPr>
        <w:spacing w:after="0" w:line="138"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 Reportable Event with respect to a Pension Plan; (b) the withdrawal of a Loan Party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 Loan Party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w:t>
      </w:r>
    </w:p>
    <w:p>
      <w:pPr>
        <w:spacing w:after="0" w:line="2" w:lineRule="exact"/>
        <w:rPr>
          <w:sz w:val="20"/>
          <w:szCs w:val="20"/>
          <w:color w:val="auto"/>
        </w:rPr>
      </w:pPr>
    </w:p>
    <w:p>
      <w:pPr>
        <w:ind w:right="60" w:firstLine="8"/>
        <w:spacing w:after="0" w:line="295" w:lineRule="auto"/>
        <w:tabs>
          <w:tab w:leader="none" w:pos="219"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Internal Revenue Code or Sections 303, 304 and 305 of ERISA; or (h) the imposition of any liability under Title IV of ERISA, other than for PBGC premiums due but not delinquent under Section 4007 of ERISA, upon any Loan Party or any ERISA Affiliate.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Base Rate</w:t>
      </w:r>
      <w:r>
        <w:rPr>
          <w:rFonts w:ascii="Arial" w:cs="Arial" w:eastAsia="Arial" w:hAnsi="Arial"/>
          <w:sz w:val="18"/>
          <w:szCs w:val="18"/>
          <w:color w:val="auto"/>
        </w:rPr>
        <w:t>” means:</w:t>
      </w:r>
    </w:p>
    <w:p>
      <w:pPr>
        <w:spacing w:after="0" w:line="90" w:lineRule="exact"/>
        <w:rPr>
          <w:sz w:val="20"/>
          <w:szCs w:val="20"/>
          <w:color w:val="auto"/>
        </w:rPr>
      </w:pPr>
    </w:p>
    <w:p>
      <w:pPr>
        <w:ind w:left="460" w:firstLine="443"/>
        <w:spacing w:after="0" w:line="288" w:lineRule="auto"/>
        <w:tabs>
          <w:tab w:leader="none" w:pos="1137"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for any Interest Period with respect to a Eurodollar Rate Loan, the rate per annum equal to (i) the British Bankers Association LIBOR Rate or the successor thereto if the British Bankers Association is no longer making a LIBOR rate available (“</w:t>
      </w:r>
      <w:r>
        <w:rPr>
          <w:rFonts w:ascii="Arial" w:cs="Arial" w:eastAsia="Arial" w:hAnsi="Arial"/>
          <w:sz w:val="16"/>
          <w:szCs w:val="16"/>
          <w:u w:val="single" w:color="auto"/>
          <w:color w:val="auto"/>
        </w:rPr>
        <w:t>LIBOR</w:t>
      </w:r>
      <w:r>
        <w:rPr>
          <w:rFonts w:ascii="Arial" w:cs="Arial" w:eastAsia="Arial" w:hAnsi="Arial"/>
          <w:sz w:val="16"/>
          <w:szCs w:val="16"/>
          <w:color w:val="auto"/>
        </w:rPr>
        <w:t>”), as published by Reuters (or such other commercially available source providing quotations of LIBOR as may be designated by the Administrative Agent from time to time) at approximately 11:00 a.m., London time, two London Banking Days prior to the commencement of such Interest Period, for Dollar deposits (for delivery on the first day of such Interest Period) with a term equivalent to such Interest Period or (ii) if such rate is not available at such time for any reason, the rate per annum determined by the Administrative Agent to be the rate at which deposits in Dollars for delivery on the first day of such Interest Period in same day funds in the approximate amount of the Eurodollar Rate Loan being made, continued or converted and with a term equivalent to such Interest Period would be offered by Bank of America’s London Branch to major banks in the London interbank eurodollar market at their request at approximately 11:00 a.m. (London time) two London Banking Days prior to the commencement of such Interest Period; and</w:t>
      </w:r>
    </w:p>
    <w:p>
      <w:pPr>
        <w:spacing w:after="0" w:line="38" w:lineRule="exact"/>
        <w:rPr>
          <w:rFonts w:ascii="Arial" w:cs="Arial" w:eastAsia="Arial" w:hAnsi="Arial"/>
          <w:sz w:val="16"/>
          <w:szCs w:val="16"/>
          <w:color w:val="auto"/>
        </w:rPr>
      </w:pPr>
    </w:p>
    <w:p>
      <w:pPr>
        <w:ind w:left="460" w:right="20" w:firstLine="443"/>
        <w:spacing w:after="0" w:line="291" w:lineRule="auto"/>
        <w:tabs>
          <w:tab w:leader="none" w:pos="1147" w:val="left"/>
        </w:tabs>
        <w:numPr>
          <w:ilvl w:val="0"/>
          <w:numId w:val="62"/>
        </w:numPr>
        <w:rPr>
          <w:rFonts w:ascii="Arial" w:cs="Arial" w:eastAsia="Arial" w:hAnsi="Arial"/>
          <w:sz w:val="16"/>
          <w:szCs w:val="16"/>
          <w:color w:val="auto"/>
        </w:rPr>
      </w:pPr>
      <w:r>
        <w:rPr>
          <w:rFonts w:ascii="Arial" w:cs="Arial" w:eastAsia="Arial" w:hAnsi="Arial"/>
          <w:sz w:val="16"/>
          <w:szCs w:val="16"/>
          <w:color w:val="auto"/>
        </w:rPr>
        <w:t>for any interest calculation with respect to a Base Rate Loan on any date, the rate per annum equal to (i) LIBOR, at approximately 11:00 a.m., London time determined two London Banking Days prior to such date for Dollar deposits being delivered in the London interbank market for a term of one month commencing that day or (ii) if such published rate is not available at such time for any reason, the rate per annum determined by the Administrative Agent to be the rate at which deposits in Dollars for delivery on the date of determination in same day funds in the approximate amount of the Base Rate Loan being made or maintained and with a term equal to one month would be offered by Bank of America’s London Branch to major banks in the London interbank eurodollar market at their request at the date and time of determination.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19" w:name="page120"/>
    <w:bookmarkEnd w:id="119"/>
    <w:p>
      <w:pPr>
        <w:jc w:val="both"/>
        <w:ind w:right="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Eurodollar Rate</w:t>
      </w:r>
      <w:r>
        <w:rPr>
          <w:rFonts w:ascii="Arial" w:cs="Arial" w:eastAsia="Arial" w:hAnsi="Arial"/>
          <w:sz w:val="16"/>
          <w:szCs w:val="16"/>
          <w:color w:val="auto"/>
        </w:rPr>
        <w:t>” means (a) for any Interest Period with respect to any Eurodollar Rate Loan, a rate per annum determined by the Administrative Agent to be equal to the quotient obtained by dividing (i) the Eurodollar Base Rate for such Eurodollar Rate Loan for such Interest Period by (ii) one minus the Eurodollar Reserve Percentage for such Eurodollar Rate Loan for such Interest Period and (b) for any day with respect to any Base Rate Loan bearing interest at a rate based on the Eurodollar Rate, a rate per annum determined by the Administrative Agent to be equal to the quotient obtained by dividing (i) the Eurodollar Base Rate for such Base Rate Loan for such day by (ii) one minus the Eurodollar Reserve Percentage for such Base Rate Loan for such day.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Loan that bears interest at a rate based on clause (a) of the definition of “Eurodollar Base Rate”.</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Reserve Percentage</w:t>
      </w:r>
      <w:r>
        <w:rPr>
          <w:rFonts w:ascii="Arial" w:cs="Arial" w:eastAsia="Arial" w:hAnsi="Arial"/>
          <w:sz w:val="16"/>
          <w:szCs w:val="16"/>
          <w:color w:val="auto"/>
        </w:rPr>
        <w:t>” means, for any day, the reserve percentage (expressed as a decimal, carried out to five decimal places) in effect on such day, whether or not applicable to any Lender, under regulations issued from time to time by the FRB for determining the maximum reserve requirement (including any emergency, supplemental or other marginal reserve requirement) with respect to Eurocurrency funding (currently referred to as “Eurocurrency liabilities”). The Eurodollar Rate for each outstanding Eurodollar Rate Loan and for each outstanding Base Rate Loan bearing interest at a rate based on the Eurodollar Rate shall be adjusted automatically as of the effective date of any change in the Eurodollar Reserve Percentage.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Fixed Assets</w:t>
      </w:r>
      <w:r>
        <w:rPr>
          <w:rFonts w:ascii="Arial" w:cs="Arial" w:eastAsia="Arial" w:hAnsi="Arial"/>
          <w:sz w:val="18"/>
          <w:szCs w:val="18"/>
          <w:color w:val="auto"/>
        </w:rPr>
        <w:t>” means Excluded Real Property and equipment and fixtures located on Excluded Real Property.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Personal Property</w:t>
      </w:r>
      <w:r>
        <w:rPr>
          <w:rFonts w:ascii="Arial" w:cs="Arial" w:eastAsia="Arial" w:hAnsi="Arial"/>
          <w:sz w:val="18"/>
          <w:szCs w:val="18"/>
          <w:color w:val="auto"/>
        </w:rPr>
        <w:t>” means, collectively, the following personal property:</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equipment and fixtures located on Excluded Real Property;</w:t>
      </w:r>
    </w:p>
    <w:p>
      <w:pPr>
        <w:spacing w:after="0" w:line="90" w:lineRule="exact"/>
        <w:rPr>
          <w:sz w:val="20"/>
          <w:szCs w:val="20"/>
          <w:color w:val="auto"/>
        </w:rPr>
      </w:pPr>
    </w:p>
    <w:p>
      <w:pPr>
        <w:ind w:left="460" w:right="100" w:firstLine="443"/>
        <w:spacing w:after="0" w:line="268" w:lineRule="auto"/>
        <w:tabs>
          <w:tab w:leader="none" w:pos="1137" w:val="left"/>
        </w:tabs>
        <w:numPr>
          <w:ilvl w:val="1"/>
          <w:numId w:val="63"/>
        </w:numPr>
        <w:rPr>
          <w:rFonts w:ascii="Arial" w:cs="Arial" w:eastAsia="Arial" w:hAnsi="Arial"/>
          <w:sz w:val="18"/>
          <w:szCs w:val="18"/>
          <w:color w:val="auto"/>
        </w:rPr>
      </w:pPr>
      <w:r>
        <w:rPr>
          <w:rFonts w:ascii="Arial" w:cs="Arial" w:eastAsia="Arial" w:hAnsi="Arial"/>
          <w:sz w:val="18"/>
          <w:szCs w:val="18"/>
          <w:color w:val="auto"/>
        </w:rPr>
        <w:t>funds received from federal student financial aid programs under Title IV Programs and held pursuant to 34 C.F.R. 668.163 or otherwise in trust pursuant to Section 34 C.F.R</w:t>
      </w:r>
      <w:r>
        <w:rPr>
          <w:rFonts w:ascii="Arial" w:cs="Arial" w:eastAsia="Arial" w:hAnsi="Arial"/>
          <w:sz w:val="18"/>
          <w:szCs w:val="18"/>
          <w:b w:val="1"/>
          <w:bCs w:val="1"/>
          <w:color w:val="auto"/>
        </w:rPr>
        <w:t>.</w:t>
      </w:r>
      <w:r>
        <w:rPr>
          <w:rFonts w:ascii="Arial" w:cs="Arial" w:eastAsia="Arial" w:hAnsi="Arial"/>
          <w:sz w:val="18"/>
          <w:szCs w:val="18"/>
          <w:color w:val="auto"/>
        </w:rPr>
        <w:t xml:space="preserve"> 668.161;</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 xml:space="preserve">the Equity Interests of each Subsidiary to the extent not required to be pledged to the Administrative Agent pursuant to </w:t>
      </w:r>
      <w:r>
        <w:rPr>
          <w:rFonts w:ascii="Arial" w:cs="Arial" w:eastAsia="Arial" w:hAnsi="Arial"/>
          <w:sz w:val="16"/>
          <w:szCs w:val="16"/>
          <w:u w:val="single" w:color="auto"/>
          <w:color w:val="auto"/>
        </w:rPr>
        <w:t>Section 7.13(a)</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jc w:val="both"/>
        <w:ind w:left="460" w:right="80" w:firstLine="443"/>
        <w:spacing w:after="0" w:line="259" w:lineRule="auto"/>
        <w:tabs>
          <w:tab w:leader="none" w:pos="1137" w:val="left"/>
        </w:tabs>
        <w:numPr>
          <w:ilvl w:val="1"/>
          <w:numId w:val="63"/>
        </w:numPr>
        <w:rPr>
          <w:rFonts w:ascii="Arial" w:cs="Arial" w:eastAsia="Arial" w:hAnsi="Arial"/>
          <w:sz w:val="18"/>
          <w:szCs w:val="18"/>
          <w:color w:val="auto"/>
        </w:rPr>
      </w:pPr>
      <w:r>
        <w:rPr>
          <w:rFonts w:ascii="Arial" w:cs="Arial" w:eastAsia="Arial" w:hAnsi="Arial"/>
          <w:sz w:val="18"/>
          <w:szCs w:val="18"/>
          <w:color w:val="auto"/>
        </w:rPr>
        <w:t>unless requested by the Administrative Agent or the Required Lenders, any IP Rights for which a perfected Lien thereon is not effected either by filing of a Uniform Commercial Code financing statement or by appropriate evidence of such Lien being filed in either the United States Copyright Office or the United States Patent and Trademark Office;</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unless requested by the Administrative Agent or the Required Lenders, any personal property (other than personal property described in clause</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above) for which the attachment or perfection of a Lien thereon is not governed by the Uniform Commercial Code;</w:t>
      </w:r>
    </w:p>
    <w:p>
      <w:pPr>
        <w:spacing w:after="0" w:line="83"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64"/>
        </w:numPr>
        <w:rPr>
          <w:rFonts w:ascii="Arial" w:cs="Arial" w:eastAsia="Arial" w:hAnsi="Arial"/>
          <w:sz w:val="18"/>
          <w:szCs w:val="18"/>
          <w:color w:val="auto"/>
        </w:rPr>
      </w:pPr>
      <w:r>
        <w:rPr>
          <w:rFonts w:ascii="Arial" w:cs="Arial" w:eastAsia="Arial" w:hAnsi="Arial"/>
          <w:sz w:val="18"/>
          <w:szCs w:val="18"/>
          <w:color w:val="auto"/>
        </w:rPr>
        <w:t xml:space="preserve">any property which, subject to the terms of </w:t>
      </w:r>
      <w:r>
        <w:rPr>
          <w:rFonts w:ascii="Arial" w:cs="Arial" w:eastAsia="Arial" w:hAnsi="Arial"/>
          <w:sz w:val="18"/>
          <w:szCs w:val="18"/>
          <w:u w:val="single" w:color="auto"/>
          <w:color w:val="auto"/>
        </w:rPr>
        <w:t>Section 8.09</w:t>
      </w:r>
      <w:r>
        <w:rPr>
          <w:rFonts w:ascii="Arial" w:cs="Arial" w:eastAsia="Arial" w:hAnsi="Arial"/>
          <w:sz w:val="18"/>
          <w:szCs w:val="18"/>
          <w:color w:val="auto"/>
        </w:rPr>
        <w:t xml:space="preserve">, is subject to a Lien of the type described in </w:t>
      </w:r>
      <w:r>
        <w:rPr>
          <w:rFonts w:ascii="Arial" w:cs="Arial" w:eastAsia="Arial" w:hAnsi="Arial"/>
          <w:sz w:val="18"/>
          <w:szCs w:val="18"/>
          <w:u w:val="single" w:color="auto"/>
          <w:color w:val="auto"/>
        </w:rPr>
        <w:t>Section 8.01(i)</w:t>
      </w:r>
      <w:r>
        <w:rPr>
          <w:rFonts w:ascii="Arial" w:cs="Arial" w:eastAsia="Arial" w:hAnsi="Arial"/>
          <w:sz w:val="18"/>
          <w:szCs w:val="18"/>
          <w:color w:val="auto"/>
        </w:rPr>
        <w:t xml:space="preserve"> pursuant to documents which prohibit the applicable Loan Party from granting any other Liens in such property;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20" w:name="page121"/>
    <w:bookmarkEnd w:id="120"/>
    <w:p>
      <w:pPr>
        <w:ind w:left="460" w:right="40" w:firstLine="443"/>
        <w:spacing w:after="0" w:line="291" w:lineRule="auto"/>
        <w:tabs>
          <w:tab w:leader="none" w:pos="1147" w:val="left"/>
        </w:tabs>
        <w:numPr>
          <w:ilvl w:val="0"/>
          <w:numId w:val="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lease, license, contract or other agreement if the grant of a security interest in such lease, license, contract or other agreement is prohibited under the terms of such lease, license, contract or other agreement or under applicable Law or would result in default thereunder, the termination thereof or give the other parties thereto the right to terminate, accelerate or otherwise alter the applicable Loan Party’s rights, titles and interests thereunder (including upon the giving of notice or the lapse of time or both);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prohibition could not be rendered ineffective pursuant to the Uniform Commercial Code or any other applicable Law (including Debtor Relief Laws) or principles of equity and (ii) if such prohibition is terminated or waived, such lease, license, contract or other agreement shall no longer be Excluded Property;</w:t>
      </w:r>
    </w:p>
    <w:p>
      <w:pPr>
        <w:spacing w:after="0" w:line="39" w:lineRule="exact"/>
        <w:rPr>
          <w:rFonts w:ascii="Arial" w:cs="Arial" w:eastAsia="Arial" w:hAnsi="Arial"/>
          <w:sz w:val="16"/>
          <w:szCs w:val="16"/>
          <w:color w:val="auto"/>
        </w:rPr>
      </w:pPr>
    </w:p>
    <w:p>
      <w:pPr>
        <w:ind w:left="1120" w:hanging="217"/>
        <w:spacing w:after="0"/>
        <w:tabs>
          <w:tab w:leader="none" w:pos="11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any cash and Cash Equivalents which, subject to the terms of </w:t>
      </w:r>
      <w:r>
        <w:rPr>
          <w:rFonts w:ascii="Arial" w:cs="Arial" w:eastAsia="Arial" w:hAnsi="Arial"/>
          <w:sz w:val="16"/>
          <w:szCs w:val="16"/>
          <w:u w:val="single" w:color="auto"/>
          <w:color w:val="auto"/>
        </w:rPr>
        <w:t>Section 8.09</w:t>
      </w:r>
      <w:r>
        <w:rPr>
          <w:rFonts w:ascii="Arial" w:cs="Arial" w:eastAsia="Arial" w:hAnsi="Arial"/>
          <w:sz w:val="16"/>
          <w:szCs w:val="16"/>
          <w:color w:val="auto"/>
        </w:rPr>
        <w:t xml:space="preserve">, is subject to a Lien of the type described in </w:t>
      </w:r>
      <w:r>
        <w:rPr>
          <w:rFonts w:ascii="Arial" w:cs="Arial" w:eastAsia="Arial" w:hAnsi="Arial"/>
          <w:sz w:val="16"/>
          <w:szCs w:val="16"/>
          <w:u w:val="single" w:color="auto"/>
          <w:color w:val="auto"/>
        </w:rPr>
        <w:t>Section 8.01(e)</w:t>
      </w:r>
      <w:r>
        <w:rPr>
          <w:rFonts w:ascii="Arial" w:cs="Arial" w:eastAsia="Arial" w:hAnsi="Arial"/>
          <w:sz w:val="16"/>
          <w:szCs w:val="16"/>
          <w:color w:val="auto"/>
        </w:rPr>
        <w:t xml:space="preserve"> or</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Section 8.01(f)</w:t>
      </w:r>
      <w:r>
        <w:rPr>
          <w:rFonts w:ascii="Arial" w:cs="Arial" w:eastAsia="Arial" w:hAnsi="Arial"/>
          <w:sz w:val="16"/>
          <w:szCs w:val="16"/>
          <w:color w:val="auto"/>
        </w:rPr>
        <w:t xml:space="preserve"> pursuant to documents which prohibit the applicable Loan Party from granting any other Liens in such cash and Cash Equivalents; and</w:t>
      </w:r>
    </w:p>
    <w:p>
      <w:pPr>
        <w:spacing w:after="0" w:line="107" w:lineRule="exact"/>
        <w:rPr>
          <w:sz w:val="20"/>
          <w:szCs w:val="20"/>
          <w:color w:val="auto"/>
        </w:rPr>
      </w:pPr>
    </w:p>
    <w:p>
      <w:pPr>
        <w:ind w:left="460" w:right="100" w:firstLine="443"/>
        <w:spacing w:after="0" w:line="268" w:lineRule="auto"/>
        <w:tabs>
          <w:tab w:leader="none" w:pos="11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property if the Administrative Agent and the Borrower agree in writing that the cost, burden or consequences of obtaining or perfecting a security interest in such property is excessive in relation to the value of such property as Collateral.</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Real Property</w:t>
      </w:r>
      <w:r>
        <w:rPr>
          <w:rFonts w:ascii="Arial" w:cs="Arial" w:eastAsia="Arial" w:hAnsi="Arial"/>
          <w:sz w:val="16"/>
          <w:szCs w:val="16"/>
          <w:color w:val="auto"/>
        </w:rPr>
        <w:t>” means (a) the real property located at 5115 North 27</w:t>
      </w:r>
      <w:r>
        <w:rPr>
          <w:rFonts w:ascii="Arial" w:cs="Arial" w:eastAsia="Arial" w:hAnsi="Arial"/>
          <w:sz w:val="10"/>
          <w:szCs w:val="10"/>
          <w:color w:val="auto"/>
        </w:rPr>
        <w:t>th</w:t>
      </w:r>
      <w:r>
        <w:rPr>
          <w:rFonts w:ascii="Arial" w:cs="Arial" w:eastAsia="Arial" w:hAnsi="Arial"/>
          <w:sz w:val="16"/>
          <w:szCs w:val="16"/>
          <w:color w:val="auto"/>
        </w:rPr>
        <w:t xml:space="preserve"> Avenue, Phoenix, Arizona 85017 and (b) any real property acquired after the Closing Date if such real property is not part of or used in connection with the campus of Grand Canyon University located in Phoenix, Arizona.</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6"/>
          <w:szCs w:val="16"/>
          <w:u w:val="single" w:color="auto"/>
          <w:color w:val="auto"/>
        </w:rPr>
        <w:t>Section 11.13</w:t>
      </w:r>
      <w:r>
        <w:rPr>
          <w:rFonts w:ascii="Arial" w:cs="Arial" w:eastAsia="Arial" w:hAnsi="Arial"/>
          <w:sz w:val="16"/>
          <w:szCs w:val="16"/>
          <w:color w:val="auto"/>
        </w:rPr>
        <w:t xml:space="preserve">) or (ii) such Lender changes its Lending Office, except in each case to the extent that, pursuant to </w:t>
      </w:r>
      <w:r>
        <w:rPr>
          <w:rFonts w:ascii="Arial" w:cs="Arial" w:eastAsia="Arial" w:hAnsi="Arial"/>
          <w:sz w:val="16"/>
          <w:szCs w:val="16"/>
          <w:u w:val="single" w:color="auto"/>
          <w:color w:val="auto"/>
        </w:rPr>
        <w:t>Section 3.01(a)(ii)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and (d) any U.S. federal withholding Taxes imposed pursuant to FATCA.</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Indebtedness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6.09(a)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Internal Revenue Code.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1" w:name="page122"/>
    <w:bookmarkEnd w:id="121"/>
    <w:p>
      <w:pPr>
        <w:ind w:right="8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letter agreement dated August 16, 2012 among the Borrower, the Administrative Agent and the Arranger.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FIRREA</w:t>
      </w:r>
      <w:r>
        <w:rPr>
          <w:rFonts w:ascii="Arial" w:cs="Arial" w:eastAsia="Arial" w:hAnsi="Arial"/>
          <w:sz w:val="18"/>
          <w:szCs w:val="18"/>
          <w:color w:val="auto"/>
        </w:rPr>
        <w:t>” means the Federal Institutions, Reform, Recovery and Enforcement Act of 1989.</w:t>
      </w:r>
    </w:p>
    <w:p>
      <w:pPr>
        <w:spacing w:after="0" w:line="17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in accordance with the terms hereof.</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51" w:lineRule="exact"/>
        <w:rPr>
          <w:sz w:val="20"/>
          <w:szCs w:val="20"/>
          <w:color w:val="auto"/>
        </w:rPr>
      </w:pPr>
    </w:p>
    <w:p>
      <w:pPr>
        <w:ind w:left="460" w:right="100" w:firstLine="443"/>
        <w:spacing w:after="0" w:line="268" w:lineRule="auto"/>
        <w:tabs>
          <w:tab w:leader="none" w:pos="113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outstanding principal amount of all obligations, whether current or long-term, for borrowed money (including Obligations hereunder) and all obligations evidenced by bonds, debentures, notes, loan agreements or other similar instruments;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purchase money indebtedness;</w:t>
      </w:r>
    </w:p>
    <w:p>
      <w:pPr>
        <w:spacing w:after="0" w:line="90" w:lineRule="exact"/>
        <w:rPr>
          <w:rFonts w:ascii="Arial" w:cs="Arial" w:eastAsia="Arial" w:hAnsi="Arial"/>
          <w:sz w:val="18"/>
          <w:szCs w:val="18"/>
          <w:color w:val="auto"/>
        </w:rPr>
      </w:pPr>
    </w:p>
    <w:p>
      <w:pPr>
        <w:ind w:left="460" w:right="240" w:firstLine="443"/>
        <w:spacing w:after="0" w:line="268" w:lineRule="auto"/>
        <w:tabs>
          <w:tab w:leader="none" w:pos="1137"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maximum amount available to be drawn under letters of credit (including standby and commercial), bankers’ acceptances, bank guaranties, surety bonds and similar instruments;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22" w:name="page123"/>
    <w:bookmarkEnd w:id="122"/>
    <w:p>
      <w:pPr>
        <w:ind w:left="460" w:right="520" w:firstLine="443"/>
        <w:spacing w:after="0" w:line="268"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obligations in respect of the deferred purchase price of property or services (including earn-out payment obligations but excluding trade accounts payable in the ordinary course of business);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Attributable Indebtedness of capital leases, Synthetic Lease Obligations, Sale and Leaseback Transactions and Securitization Transactions;</w:t>
      </w:r>
    </w:p>
    <w:p>
      <w:pPr>
        <w:spacing w:after="0" w:line="113" w:lineRule="exact"/>
        <w:rPr>
          <w:rFonts w:ascii="Arial" w:cs="Arial" w:eastAsia="Arial" w:hAnsi="Arial"/>
          <w:sz w:val="16"/>
          <w:szCs w:val="16"/>
          <w:color w:val="auto"/>
        </w:rPr>
      </w:pPr>
    </w:p>
    <w:p>
      <w:pPr>
        <w:ind w:left="460" w:right="360" w:firstLine="443"/>
        <w:spacing w:after="0" w:line="268" w:lineRule="auto"/>
        <w:tabs>
          <w:tab w:leader="none" w:pos="1117"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without duplication, all Guarantees with respect to outstanding Funded Indebtedness of the types specified in clauses (a) through (e) above of another Person; and</w:t>
      </w:r>
    </w:p>
    <w:p>
      <w:pPr>
        <w:spacing w:after="0" w:line="50" w:lineRule="exact"/>
        <w:rPr>
          <w:rFonts w:ascii="Arial" w:cs="Arial" w:eastAsia="Arial" w:hAnsi="Arial"/>
          <w:sz w:val="18"/>
          <w:szCs w:val="18"/>
          <w:color w:val="auto"/>
        </w:rPr>
      </w:pPr>
    </w:p>
    <w:p>
      <w:pPr>
        <w:jc w:val="both"/>
        <w:ind w:left="460" w:firstLine="443"/>
        <w:spacing w:after="0" w:line="259"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Funded Indebtedness of the types referred to in clauses (a) through (f) above of any partnership or joint venture (other than a joint venture that is itself a corporation or limited liability company) in which such Person is a general partner or joint venturer, except to the extent that Funded Indebtedness is expressly made non-recourse to such Person.</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4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23" w:name="page124"/>
    <w:bookmarkEnd w:id="123"/>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collectively, (a) each Person identified as a “Guarantor” on the signature pages hereto, (b) each Person that joins as a Guarantor pursuant to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or otherwise, (c) with respect to obligations under any Secured Hedge Agreement and obligations under any Secured Cash Management Agreement, the Borrower, and (d) the successors and permitted assigns of the foregoing.</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Guaranty made by the Guarantors in favor of the Administrative Agent, the Lenders and the other holders of the Obligations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means any Person in its capacity as a party to a Swap Contract with the Borrower or any Subsidiary provided that (a) at the time such Person enters into such Swap Contract, such Person is a Lender or an Affiliate of a Lender, or (b) such Swap Contract exists on the Closing Date and such Person is a Lender or an Affiliate of a Lender on the Closing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Higher Education Act</w:t>
      </w:r>
      <w:r>
        <w:rPr>
          <w:rFonts w:ascii="Arial" w:cs="Arial" w:eastAsia="Arial" w:hAnsi="Arial"/>
          <w:sz w:val="18"/>
          <w:szCs w:val="18"/>
          <w:color w:val="auto"/>
        </w:rPr>
        <w:t>” means the Higher Education Act of 1965.</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Higher Learning Commission</w:t>
      </w:r>
      <w:r>
        <w:rPr>
          <w:rFonts w:ascii="Arial" w:cs="Arial" w:eastAsia="Arial" w:hAnsi="Arial"/>
          <w:sz w:val="18"/>
          <w:szCs w:val="18"/>
          <w:color w:val="auto"/>
        </w:rPr>
        <w:t>” means the Higher Learning Commission of the North Central Association of Colleges and Schools.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2.03(c)</w:t>
      </w:r>
      <w:r>
        <w:rPr>
          <w:rFonts w:ascii="Arial" w:cs="Arial" w:eastAsia="Arial" w:hAnsi="Arial"/>
          <w:sz w:val="18"/>
          <w:szCs w:val="18"/>
          <w:color w:val="auto"/>
        </w:rPr>
        <w:t>.</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 delivered under or referred to herein.</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51" w:lineRule="exact"/>
        <w:rPr>
          <w:sz w:val="20"/>
          <w:szCs w:val="20"/>
          <w:color w:val="auto"/>
        </w:rPr>
      </w:pPr>
    </w:p>
    <w:p>
      <w:pPr>
        <w:ind w:left="460" w:right="320" w:firstLine="443"/>
        <w:spacing w:after="0" w:line="268" w:lineRule="auto"/>
        <w:tabs>
          <w:tab w:leader="none" w:pos="1137"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obligations, whether current or long-term, for borrowed money (including Obligations hereunder) and all obligations evidenced by bonds, debentures, notes, loan agreements or other similar instruments;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purchase money indebtedness;</w:t>
      </w:r>
    </w:p>
    <w:p>
      <w:pPr>
        <w:spacing w:after="0" w:line="90" w:lineRule="exact"/>
        <w:rPr>
          <w:rFonts w:ascii="Arial" w:cs="Arial" w:eastAsia="Arial" w:hAnsi="Arial"/>
          <w:sz w:val="18"/>
          <w:szCs w:val="18"/>
          <w:color w:val="auto"/>
        </w:rPr>
      </w:pPr>
    </w:p>
    <w:p>
      <w:pPr>
        <w:ind w:left="460" w:right="200" w:firstLine="443"/>
        <w:spacing w:after="0" w:line="268" w:lineRule="auto"/>
        <w:tabs>
          <w:tab w:leader="none" w:pos="113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maximum amount available to be drawn under letters of credit (including standby and commercial), bankers’ acceptances, bank guaranties, surety bonds and similar instruments;</w:t>
      </w:r>
    </w:p>
    <w:p>
      <w:pPr>
        <w:spacing w:after="0" w:line="50"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obligations in respect of the deferred purchase price of property or services (other than trade accounts payable in the ordinary course of business);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Attributable Indebtedness of capital leases, Synthetic Lease Obligations, Sale and Leaseback Transactions and Securitization Transactions;</w:t>
      </w:r>
    </w:p>
    <w:p>
      <w:pPr>
        <w:spacing w:after="0" w:line="113" w:lineRule="exact"/>
        <w:rPr>
          <w:rFonts w:ascii="Arial" w:cs="Arial" w:eastAsia="Arial" w:hAnsi="Arial"/>
          <w:sz w:val="16"/>
          <w:szCs w:val="16"/>
          <w:color w:val="auto"/>
        </w:rPr>
      </w:pPr>
    </w:p>
    <w:p>
      <w:pPr>
        <w:ind w:left="1120" w:hanging="217"/>
        <w:spacing w:after="0"/>
        <w:tabs>
          <w:tab w:leader="none" w:pos="11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Swap Termination Value of any Swap Contract;</w:t>
      </w:r>
    </w:p>
    <w:p>
      <w:pPr>
        <w:spacing w:after="0" w:line="90" w:lineRule="exact"/>
        <w:rPr>
          <w:rFonts w:ascii="Arial" w:cs="Arial" w:eastAsia="Arial" w:hAnsi="Arial"/>
          <w:sz w:val="18"/>
          <w:szCs w:val="18"/>
          <w:color w:val="auto"/>
        </w:rPr>
      </w:pPr>
    </w:p>
    <w:p>
      <w:pPr>
        <w:ind w:left="460" w:right="20" w:firstLine="443"/>
        <w:spacing w:after="0" w:line="259" w:lineRule="auto"/>
        <w:tabs>
          <w:tab w:leader="none" w:pos="1147"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80" w:right="299" w:bottom="1440" w:gutter="0" w:footer="0" w:header="0"/>
        </w:sectPr>
      </w:pPr>
    </w:p>
    <w:bookmarkStart w:id="124" w:name="page125"/>
    <w:bookmarkEnd w:id="124"/>
    <w:p>
      <w:pPr>
        <w:ind w:left="460" w:right="140" w:firstLine="443"/>
        <w:spacing w:after="0" w:line="259"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obligations to purchase, redeem, retire, defease or otherwise make any payment prior to the Maturity Date in respect of any Equity Interests, valued, in the case of a redeemable preferred interest, at the greater of its voluntary or involuntary liquidation preference plus accrued and unpaid dividends;</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without duplication, all Guarantees with respect to Indebtedness of the types specified in clauses (a) through (h) above of another Person; and</w:t>
      </w:r>
    </w:p>
    <w:p>
      <w:pPr>
        <w:spacing w:after="0" w:line="113" w:lineRule="exact"/>
        <w:rPr>
          <w:rFonts w:ascii="Arial" w:cs="Arial" w:eastAsia="Arial" w:hAnsi="Arial"/>
          <w:sz w:val="16"/>
          <w:szCs w:val="16"/>
          <w:color w:val="auto"/>
        </w:rPr>
      </w:pPr>
    </w:p>
    <w:p>
      <w:pPr>
        <w:ind w:left="460" w:right="60" w:firstLine="443"/>
        <w:spacing w:after="0" w:line="259" w:lineRule="auto"/>
        <w:tabs>
          <w:tab w:leader="none" w:pos="110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Indebtedness of the types referred to in clauses (a) through (i) above of any partnership or joint venture (other than a joint venture that is itself a corporation or limited liability company) in which such Person is a general partner or a joint venturer, except to the extent that such Indebtedness is expressly made non-recourse to such Person.</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171" w:lineRule="exact"/>
        <w:rPr>
          <w:sz w:val="20"/>
          <w:szCs w:val="20"/>
          <w:color w:val="auto"/>
        </w:rPr>
      </w:pPr>
    </w:p>
    <w:p>
      <w:pPr>
        <w:ind w:right="6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Intangible Assets</w:t>
      </w:r>
      <w:r>
        <w:rPr>
          <w:rFonts w:ascii="Arial" w:cs="Arial" w:eastAsia="Arial" w:hAnsi="Arial"/>
          <w:sz w:val="18"/>
          <w:szCs w:val="18"/>
          <w:color w:val="auto"/>
        </w:rPr>
        <w:t>” means assets that are considered to be intangible assets under GAAP, including customer lists, goodwill, computer software, copyrights, trade names, trademarks, patents, franchises, licenses, unamortized deferred charges, unamortized debt discount and capitalized research and development costs.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Indebtedness</w:t>
      </w:r>
      <w:r>
        <w:rPr>
          <w:rFonts w:ascii="Arial" w:cs="Arial" w:eastAsia="Arial" w:hAnsi="Arial"/>
          <w:sz w:val="18"/>
          <w:szCs w:val="18"/>
          <w:color w:val="auto"/>
        </w:rPr>
        <w:t>” means Indebtedness owing by a Loan Party to another Loan Party.</w:t>
      </w:r>
    </w:p>
    <w:p>
      <w:pPr>
        <w:spacing w:after="0" w:line="9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Agreements</w:t>
      </w:r>
      <w:r>
        <w:rPr>
          <w:rFonts w:ascii="Arial" w:cs="Arial" w:eastAsia="Arial" w:hAnsi="Arial"/>
          <w:sz w:val="18"/>
          <w:szCs w:val="18"/>
          <w:color w:val="auto"/>
        </w:rPr>
        <w:t>” means any subordination or intercreditor agreement entered into by the Administrative Agent in connection with any Subordinated Indebtedness.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the first day of each calendar month, commencing on the first such day occurring after the Closing Date, and the Maturity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as to each Eurodollar Rate Loan, the period commencing on the date such Eurodollar Rate Loan is disbursed or converted to or continued as a Eurodollar Rate Loan and ending on the date one, two, three or six months thereafter, as selected by the Borrower in its Loan Notice, or such other period that is twelve months or less requested by the Borrower and consented to by all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6" w:lineRule="exact"/>
        <w:rPr>
          <w:sz w:val="20"/>
          <w:szCs w:val="20"/>
          <w:color w:val="auto"/>
        </w:rPr>
      </w:pPr>
    </w:p>
    <w:p>
      <w:pPr>
        <w:ind w:left="460" w:right="220" w:firstLine="443"/>
        <w:spacing w:after="0" w:line="332" w:lineRule="auto"/>
        <w:tabs>
          <w:tab w:leader="none" w:pos="1137"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4" w:lineRule="exact"/>
        <w:rPr>
          <w:rFonts w:ascii="Arial" w:cs="Arial" w:eastAsia="Arial" w:hAnsi="Arial"/>
          <w:sz w:val="16"/>
          <w:szCs w:val="16"/>
          <w:color w:val="auto"/>
        </w:rPr>
      </w:pPr>
    </w:p>
    <w:p>
      <w:pPr>
        <w:ind w:left="460" w:right="60" w:firstLine="443"/>
        <w:spacing w:after="0" w:line="332" w:lineRule="auto"/>
        <w:tabs>
          <w:tab w:leader="none" w:pos="1147"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4" w:lineRule="exact"/>
        <w:rPr>
          <w:rFonts w:ascii="Arial" w:cs="Arial" w:eastAsia="Arial" w:hAnsi="Arial"/>
          <w:sz w:val="16"/>
          <w:szCs w:val="16"/>
          <w:color w:val="auto"/>
        </w:rPr>
      </w:pPr>
    </w:p>
    <w:p>
      <w:pPr>
        <w:ind w:left="1140" w:hanging="237"/>
        <w:spacing w:after="0"/>
        <w:tabs>
          <w:tab w:leader="none" w:pos="1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80" w:right="299" w:bottom="1440" w:gutter="0" w:footer="0" w:header="0"/>
        </w:sectPr>
      </w:pPr>
    </w:p>
    <w:bookmarkStart w:id="125" w:name="page126"/>
    <w:bookmarkEnd w:id="125"/>
    <w:p>
      <w:pPr>
        <w:ind w:right="30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Interim Financial Statements</w:t>
      </w:r>
      <w:r>
        <w:rPr>
          <w:rFonts w:ascii="Arial" w:cs="Arial" w:eastAsia="Arial" w:hAnsi="Arial"/>
          <w:sz w:val="16"/>
          <w:szCs w:val="16"/>
          <w:color w:val="auto"/>
        </w:rPr>
        <w:t>” means the unaudited consolidated financial statements of the Borrower and its Subsidiaries for the fiscal quarter ended September 30, 2012 including balance sheets and statements of income or operations, stockholders’ equity and cash flows.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or (c) an Acquisition. For purposes of covenant compliance, the amount of any Investment shall be the amount actually invested, without adjustment for subsequent increases or decreases in the value of such Investment.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6.17</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32"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 Documents</w:t>
      </w:r>
      <w:r>
        <w:rPr>
          <w:rFonts w:ascii="Arial" w:cs="Arial" w:eastAsia="Arial" w:hAnsi="Arial"/>
          <w:sz w:val="16"/>
          <w:szCs w:val="16"/>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85"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Joinder Agreement</w:t>
      </w:r>
      <w:r>
        <w:rPr>
          <w:rFonts w:ascii="Arial" w:cs="Arial" w:eastAsia="Arial" w:hAnsi="Arial"/>
          <w:sz w:val="16"/>
          <w:szCs w:val="16"/>
          <w:color w:val="auto"/>
        </w:rPr>
        <w:t xml:space="preserve">” means a joinder agreement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executed and delivered by a Domestic Subsidiary in accordance with the provisions of </w:t>
      </w:r>
      <w:r>
        <w:rPr>
          <w:rFonts w:ascii="Arial" w:cs="Arial" w:eastAsia="Arial" w:hAnsi="Arial"/>
          <w:sz w:val="16"/>
          <w:szCs w:val="16"/>
          <w:u w:val="single" w:color="auto"/>
          <w:color w:val="auto"/>
        </w:rPr>
        <w:t>Section 7.12</w:t>
      </w:r>
      <w:r>
        <w:rPr>
          <w:rFonts w:ascii="Arial" w:cs="Arial" w:eastAsia="Arial" w:hAnsi="Arial"/>
          <w:sz w:val="16"/>
          <w:szCs w:val="16"/>
          <w:color w:val="auto"/>
        </w:rPr>
        <w:t xml:space="preserve"> or any other documents as the Administrative Agent shall deem appropriate for such purpose</w:t>
      </w:r>
    </w:p>
    <w:p>
      <w:pPr>
        <w:spacing w:after="0" w:line="8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Laws</w:t>
      </w:r>
      <w:r>
        <w:rPr>
          <w:rFonts w:ascii="Arial" w:cs="Arial" w:eastAsia="Arial" w:hAnsi="Arial"/>
          <w:sz w:val="16"/>
          <w:szCs w:val="16"/>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1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Lender, such Lender’s funding of its participation in any L/C Borrowing in accordance with its Applicable Percentage.</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Borrowing of Revolving Loans.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32" w:lineRule="exact"/>
        <w:rPr>
          <w:sz w:val="20"/>
          <w:szCs w:val="20"/>
          <w:color w:val="auto"/>
        </w:rPr>
      </w:pPr>
    </w:p>
    <w:p>
      <w:pPr>
        <w:jc w:val="center"/>
        <w:ind w:right="80"/>
        <w:spacing w:after="0" w:line="44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Issuer</w:t>
      </w:r>
      <w:r>
        <w:rPr>
          <w:rFonts w:ascii="Arial" w:cs="Arial" w:eastAsia="Arial" w:hAnsi="Arial"/>
          <w:sz w:val="18"/>
          <w:szCs w:val="18"/>
          <w:color w:val="auto"/>
        </w:rPr>
        <w:t>” means Bank of America in its capacity as issuer of Letters of Credit hereunder, or any successor issuer of Letters of Credit hereunder. 17</w:t>
      </w:r>
    </w:p>
    <w:p>
      <w:pPr>
        <w:sectPr>
          <w:pgSz w:w="11900" w:h="16838" w:orient="portrait"/>
          <w:cols w:equalWidth="0" w:num="1">
            <w:col w:w="11320"/>
          </w:cols>
          <w:pgMar w:left="240" w:top="280" w:right="339" w:bottom="1440" w:gutter="0" w:footer="0" w:header="0"/>
        </w:sectPr>
      </w:pPr>
    </w:p>
    <w:bookmarkStart w:id="126" w:name="page127"/>
    <w:bookmarkEnd w:id="126"/>
    <w:p>
      <w:pPr>
        <w:ind w:right="1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L/C Obligations</w:t>
      </w:r>
      <w:r>
        <w:rPr>
          <w:rFonts w:ascii="Arial" w:cs="Arial" w:eastAsia="Arial" w:hAnsi="Arial"/>
          <w:sz w:val="16"/>
          <w:szCs w:val="16"/>
          <w:color w:val="auto"/>
        </w:rPr>
        <w:t xml:space="preserve">” means, as at any date of determination, the aggregate amount available to be drawn under all outstanding Letters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each of the Persons identified as a “Lender” on the signature pages hereto, each other Person that becomes a “Lender” in accordance with this Agreement and their successors and assigns and, unless the context requires otherwise, the Swing Line Lender.</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Credit</w:t>
      </w:r>
      <w:r>
        <w:rPr>
          <w:rFonts w:ascii="Arial" w:cs="Arial" w:eastAsia="Arial" w:hAnsi="Arial"/>
          <w:sz w:val="16"/>
          <w:szCs w:val="16"/>
          <w:color w:val="auto"/>
        </w:rPr>
        <w:t>” means any standby letter of credit issued hereunder providing for the payment of cash upon the honoring of a presentation thereunder.</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L/C Issuer.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$10 million. The Letter of Credit Sublimit is part of, and not in addition to, the Aggregate Revolving Commitments.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Liquidity</w:t>
      </w:r>
      <w:r>
        <w:rPr>
          <w:rFonts w:ascii="Arial" w:cs="Arial" w:eastAsia="Arial" w:hAnsi="Arial"/>
          <w:sz w:val="16"/>
          <w:szCs w:val="16"/>
          <w:color w:val="auto"/>
        </w:rPr>
        <w:t xml:space="preserve">” means, as of any date of determination, the sum of (a) all cash and Cash Equivalents of the Loan Parties on such date that (i) do not appear (or would not be required to appear) as “restricted” on a consolidated balance sheet of the Borrower and (ii) are not subject to a Lien (other than Liens of the type described in </w:t>
      </w:r>
      <w:r>
        <w:rPr>
          <w:rFonts w:ascii="Arial" w:cs="Arial" w:eastAsia="Arial" w:hAnsi="Arial"/>
          <w:sz w:val="16"/>
          <w:szCs w:val="16"/>
          <w:u w:val="single" w:color="auto"/>
          <w:color w:val="auto"/>
        </w:rPr>
        <w:t>Sections 8.01(m)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(n)</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availability under the Aggregate Revolving Commitments.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w:t>
      </w:r>
      <w:r>
        <w:rPr>
          <w:rFonts w:ascii="Arial" w:cs="Arial" w:eastAsia="Arial" w:hAnsi="Arial"/>
          <w:sz w:val="16"/>
          <w:szCs w:val="16"/>
          <w:color w:val="auto"/>
        </w:rPr>
        <w:t xml:space="preserve">” means an extension of credit by a Lender to the Borrower under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in the form of a Revolving Loan, Swing Line Loan or the Term Loan.</w:t>
      </w:r>
    </w:p>
    <w:p>
      <w:pPr>
        <w:spacing w:after="0" w:line="194"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xml:space="preserve">” means this Agreement, each Note, each Issuer Document, each Joinder Agreement, the Collateral Documents, any Intercreditor Agreements, any agreement creating or perfecting rights in Cash Collateral pursuant to the provisions of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the Fee Letter.</w:t>
      </w:r>
    </w:p>
    <w:p>
      <w:pPr>
        <w:spacing w:after="0" w:line="85"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Notice</w:t>
      </w:r>
      <w:r>
        <w:rPr>
          <w:rFonts w:ascii="Arial" w:cs="Arial" w:eastAsia="Arial" w:hAnsi="Arial"/>
          <w:sz w:val="16"/>
          <w:szCs w:val="16"/>
          <w:color w:val="auto"/>
        </w:rPr>
        <w:t xml:space="preserve">” means a notice of (a) a Borrowing of Revolving Loans or the Term Loan, (b) a conversion of Loans from one Type to the other, or (c) a continuation of Eurodollar Rate Loans, in each case pursuant to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which, if in writing,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27" w:name="page128"/>
    <w:bookmarkEnd w:id="12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each Guarantor.</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to Value Ratio</w:t>
      </w:r>
      <w:r>
        <w:rPr>
          <w:rFonts w:ascii="Arial" w:cs="Arial" w:eastAsia="Arial" w:hAnsi="Arial"/>
          <w:sz w:val="18"/>
          <w:szCs w:val="18"/>
          <w:color w:val="auto"/>
        </w:rPr>
        <w:t>” means the ratio of (a) the aggregate principal amount of the Term Loan advanced on the Closing Date to (b) the Appraised Value of all real property constituting Collateral on the Closing Date.</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32" w:lineRule="exact"/>
        <w:rPr>
          <w:sz w:val="20"/>
          <w:szCs w:val="20"/>
          <w:color w:val="auto"/>
        </w:rPr>
      </w:pPr>
    </w:p>
    <w:p>
      <w:pPr>
        <w:jc w:val="both"/>
        <w:ind w:right="4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business, properties, liabilities (actual or contingent) or condition (financial or otherwise) of the Borrower and its Subsidiaries taken as a whole; (b) a material impairment of the rights and remedies of the Administrative Agent or any Lender under any Loan Document to which it is a party; (c) a material impairment of the ability of any Loan Party to perform its obligations under any Loan Document to which it is a party; or (d) a material adverse effect upon the legality, validity, binding effect or enforceability against any Loan Party of any Loan Document to which it is a party.</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any Indebtedness (other than Indebtedness arising under the Loan Documents and Indebtedness arising under Swap Contracts) having an aggregate principal amount (including undrawn committed or available amounts and including amounts owing to all creditors under any combined or syndicated credit arrangement) of more than the Threshold Amount.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means (a) as to the Revolving Loans, Swing Line Loans and Letters of Credit (and the related L/C Obligations), December 21, 2017 and</w:t>
      </w:r>
    </w:p>
    <w:p>
      <w:pPr>
        <w:spacing w:after="0" w:line="38" w:lineRule="exact"/>
        <w:rPr>
          <w:sz w:val="20"/>
          <w:szCs w:val="20"/>
          <w:color w:val="auto"/>
        </w:rPr>
      </w:pPr>
    </w:p>
    <w:p>
      <w:pPr>
        <w:ind w:right="640" w:firstLine="8"/>
        <w:spacing w:after="0" w:line="261" w:lineRule="auto"/>
        <w:tabs>
          <w:tab w:leader="none" w:pos="249"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as to the Term Loan, December 21, 2019;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if such date is not a Business Day, the Maturity Date shall be the next preceding Business Day.</w:t>
      </w:r>
    </w:p>
    <w:p>
      <w:pPr>
        <w:spacing w:after="0" w:line="13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Domestic Subsidiary</w:t>
      </w:r>
      <w:r>
        <w:rPr>
          <w:rFonts w:ascii="Arial" w:cs="Arial" w:eastAsia="Arial" w:hAnsi="Arial"/>
          <w:sz w:val="16"/>
          <w:szCs w:val="16"/>
          <w:color w:val="auto"/>
        </w:rPr>
        <w:t xml:space="preserve">” means any Domestic Subsidiary that has (a) total assets with a fair market value in excess of $100,000 or (b) total revenues in excess of $100,000 for the most recently ended period of four fiscal quarters for which the Borrower was required to deliver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Domestic Subsidiary would be a Material Domestic Subsidiary under clause (a) of this definition solely by virtue of such Domestic Subsidiary either (x) receiving an Investment from the Borrower or any Subsidiary the proceeds of which will be used by such Domestic Subsidiary solely to acquire real property or (y) acquiring real property, such Domestic Subsidiary shall be deemed a Material Domestic Subsidiary only if such Domestic Subsidiary holds such Investment or owns such real estate for more than sixty (60) days.</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Foreign Subsidiary</w:t>
      </w:r>
      <w:r>
        <w:rPr>
          <w:rFonts w:ascii="Arial" w:cs="Arial" w:eastAsia="Arial" w:hAnsi="Arial"/>
          <w:sz w:val="16"/>
          <w:szCs w:val="16"/>
          <w:color w:val="auto"/>
        </w:rPr>
        <w:t xml:space="preserve">” means any Foreign Subsidiary that has (a) total assets with a fair market value in excess of $100,000 or (b) total revenues in excess of $100,000 for the most recently ended period of four fiscal quarters for which the Borrower was required to deliver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Foreign Subsidiary would be a Material Foreign Subsidiary under clause (a) of this definition solely by virtue of such Foreign Subsidiary either (x) receiving an Investment from the Borrower or any Subsidiary the proceeds of which will be used by such Foreign Subsidiary solely to acquire real property or (y) acquiring real property, such Foreign Subsidiary shall be deemed a Material Foreign Subsidiary only if such Foreign Subsidiary holds such Investment or owns such real estate for more than sixty (60) days.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128" w:name="page129"/>
    <w:bookmarkEnd w:id="128"/>
    <w:p>
      <w:pPr>
        <w:ind w:right="8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xml:space="preserve">” means, at any time, (i) with respect to Cash Collateral consisting of cash or deposit account balances provided to reduce or eliminate Fronting Exposure during the existence of a Defaulting Lender, an amount equal to 100% of the Fronting Exposure of the L/C Issuer with respect to Letters of Credit issued and outstanding at such time, (ii) with respect to Cash Collateral consisting of cash or deposit account balances provided in accordance with the provisions of </w:t>
      </w:r>
      <w:r>
        <w:rPr>
          <w:rFonts w:ascii="Arial" w:cs="Arial" w:eastAsia="Arial" w:hAnsi="Arial"/>
          <w:sz w:val="16"/>
          <w:szCs w:val="16"/>
          <w:u w:val="single" w:color="auto"/>
          <w:color w:val="auto"/>
        </w:rPr>
        <w:t>Section 2.14(a)(i)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(a)(iii)</w:t>
      </w:r>
      <w:r>
        <w:rPr>
          <w:rFonts w:ascii="Arial" w:cs="Arial" w:eastAsia="Arial" w:hAnsi="Arial"/>
          <w:sz w:val="16"/>
          <w:szCs w:val="16"/>
          <w:color w:val="auto"/>
        </w:rPr>
        <w:t>, an amount equal to 100% of the Outstanding Amount of all LC Obligations, and (iii) otherwise, an amount determined by the Administrative Agent and the L/C Issuer in their sole discretion.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means any mortgage, deed of trust or deed to secure debt that purports to grant to the Administrative Agent, for the benefit of the holders of the Obligations, a security interest in the real property of any Loan Party (other than the Excluded Real Property).</w:t>
      </w:r>
    </w:p>
    <w:p>
      <w:pPr>
        <w:spacing w:after="0" w:line="13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any Loan Party or any ERISA Affiliate makes or is obligated to make contributions, or during the preceding five plan years, has made or been obligated to make contributions.</w:t>
      </w:r>
    </w:p>
    <w:p>
      <w:pPr>
        <w:spacing w:after="0" w:line="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which has two or more contributing sponsors (including any Loan Party or any ERISA Affiliate) at least two of whom are not under common control, as such a plan is described in Section 4064 of ERISA.</w:t>
      </w:r>
    </w:p>
    <w:p>
      <w:pPr>
        <w:spacing w:after="0" w:line="1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xml:space="preserve">” means the aggregate cash or Cash Equivalents proceeds received by the Borrower or any Subsidiary in respect of any Disposition, Recovery Event or Debt Issuance net of (a) direct costs incurred in connection therewith (including legal, accounting and investment banking fees, and sales commissions), (b) taxes paid or payable as a result thereof and (c) in the case of any Disposition or any Recovery Event, the amount necessary to retire any Indebtedness secured by a Permitted Lien (ranking senior to any Lien of the Administrative Agent) on the related property; it being understood that “Net Cash Proceeds” shall include any cash or Cash Equivalents received upon the sale or other disposition of any non-cash consideration received by the Borrower or any Subsidiary in any Disposition, Recovery Event or Debt Issuance;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“Net Cash Proceeds” shall not include amounts resulting from any Dispositions and Recovery Events until such amounts aggregate $1,000,000 in any fiscal year.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w:t>
      </w:r>
      <w:r>
        <w:rPr>
          <w:rFonts w:ascii="Arial" w:cs="Arial" w:eastAsia="Arial" w:hAnsi="Arial"/>
          <w:sz w:val="18"/>
          <w:szCs w:val="18"/>
          <w:color w:val="auto"/>
        </w:rPr>
        <w:t>” means a new market tax credit as defined in Section 45D of the Internal Revenue Code of 1986.</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 Documents</w:t>
      </w:r>
      <w:r>
        <w:rPr>
          <w:rFonts w:ascii="Arial" w:cs="Arial" w:eastAsia="Arial" w:hAnsi="Arial"/>
          <w:sz w:val="18"/>
          <w:szCs w:val="18"/>
          <w:color w:val="auto"/>
        </w:rPr>
        <w:t>” means any credit, loan or finance agreement and any other document, agreement or instrument governing or otherwise relating to any NMTC Indebtedness.</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 Indebtedness</w:t>
      </w:r>
      <w:r>
        <w:rPr>
          <w:rFonts w:ascii="Arial" w:cs="Arial" w:eastAsia="Arial" w:hAnsi="Arial"/>
          <w:sz w:val="18"/>
          <w:szCs w:val="18"/>
          <w:color w:val="auto"/>
        </w:rPr>
        <w:t>” means any loan incurred by the Borrower or any Subsidiary in connection with NMTC financing the proceeds of which are used by the Borrower or any Subsidiary to acquire real property or to construct improvements on real property in each case after the Closing Date (but are not used to renovate any real property owned by the Borrower or any Subsidiary).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 Intercompany Investment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 Intercompany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8.02(j)</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 Property</w:t>
      </w:r>
      <w:r>
        <w:rPr>
          <w:rFonts w:ascii="Arial" w:cs="Arial" w:eastAsia="Arial" w:hAnsi="Arial"/>
          <w:sz w:val="18"/>
          <w:szCs w:val="18"/>
          <w:color w:val="auto"/>
        </w:rPr>
        <w:t>” means any fixed assets which are acquired, renovated or improved with the proceeds of NMTC Indebtedness.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29" w:name="page130"/>
    <w:bookmarkEnd w:id="1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NMTC Subsidiary</w:t>
      </w:r>
      <w:r>
        <w:rPr>
          <w:rFonts w:ascii="Arial" w:cs="Arial" w:eastAsia="Arial" w:hAnsi="Arial"/>
          <w:sz w:val="18"/>
          <w:szCs w:val="18"/>
          <w:color w:val="auto"/>
        </w:rPr>
        <w:t>” means a Domestic Subsidiary.</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and (b) has been approved by the Required Lenders.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advances to, and debts, liabilities, obligations, covenants and duties of, any Loan Party arising under any Loan Document or otherwise with respect to any Loan, Letter of Credit,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44"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4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Amount</w:t>
      </w:r>
      <w:r>
        <w:rPr>
          <w:rFonts w:ascii="Arial" w:cs="Arial" w:eastAsia="Arial" w:hAnsi="Arial"/>
          <w:sz w:val="16"/>
          <w:szCs w:val="16"/>
          <w:color w:val="auto"/>
        </w:rPr>
        <w:t>” means (a) with respect to any Loans on any date, the aggregate outstanding principal amount thereof after giving effect to any borrowings and prepayments or repayments of any Loans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30" w:name="page131"/>
    <w:bookmarkEnd w:id="1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Internal Revenue Code and ERISA regarding minimum required contributions (including any installment payment thereof) to Pension Plans and set forth in, with respect to plan years ending prior to the effective date of the Pension Act, Section 412 of the Internal Revenue Code and Section 302 of ERISA, each as in effect prior to the Pension Act and, thereafter, Section 412, 430, 431, 432 and 436 of the Internal Revenue Code and Sections 302, 303, 304 and 305 of ERISA.</w:t>
      </w:r>
    </w:p>
    <w:p>
      <w:pPr>
        <w:spacing w:after="0" w:line="143"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any Loan Party and any ERISA Affiliate and is either covered by Title IV of ERISA or is subject to the minimum funding standards under Section 412 of the Internal Revenue Code.</w:t>
      </w:r>
    </w:p>
    <w:p>
      <w:pPr>
        <w:spacing w:after="0" w:line="14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an Investment consisting of an Acquisition by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 Default shall have occurred and be continuing or would result from such Acquisition, (b) the property acquired (or the property of the Person acquired) in such Acquisition is used or useful in the same or a similar line of business as the Borrower and its Subsidiaries were engaged in on the Closing Date (or any reasonable extensions or expansions thereof), (c) in the case of an Acquisition of the Equity Interests of another Person, the board of directors (or other comparable governing body) of such other Person shall have duly approved such Acquisition, (d) the Borrower shall have delivered to the Administrative Agent a Pro Forma Compliance Certificate demonstrating that the Loan Parties would be in compliance with the financial covenants set forth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recomputed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after giving effect to such Acquisition on a Pro Forma Basis, (e) the representations and warranties made by the Loan Parties in each Loan Document shall be true and correct in all material respects at and as if made as of the date of such Acquisition (after giving effect thereto), except for any representation and warranty that is qualified by materiality or reference to Material Adverse Effect which such representation and warranty shall be true and correct in all respects on and as of the date of such Acquisition, except to the extent that such representations and warranties specifically refer to an earlier date, in which case they shall be true and correct as of such earlier date, (f) if such transaction involves the purchase of an interest in a partnership between any Loan Party as a general partner and entities unaffiliated with the Borrower as the other partners, such transaction shall be effected by having such equity interest acquired by a corporate holding company directly or indirectly wholly-owned by such Loan Party newly formed for the sole purpose of effecting such transaction, (g) immediately after giving effect to such Acquisition, Liquidity shall be at least $75 million and (h) immediately after giving effect to such Acquisition, the aggregate cash and non-cash consideration (including assumed Indebtedness, the good faith estimate by the Borrower of the maximum amount of any deferred purchase price obligations (including earn-out payment obligations) and Equity Interests) for all Acquisitions during the term of this Agreement shall not exceed 25% of Consolidated Tangible Net Worth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31" w:name="page132"/>
    <w:bookmarkEnd w:id="131"/>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at any time, Liens in respect of property of the Borrower or any Subsidiary permitted to exist at such time pursuant to the terms of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any employee benefit plan within the meaning of Section 3(3) of ERISA (including a Pension Plan), maintained for employees of any Loan Party or any ERISA Affiliate or any such Plan to which any Loan Party or any ERISA Affiliate is required to contribute on behalf of any of its employees.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Prepaid Royalties</w:t>
      </w:r>
      <w:r>
        <w:rPr>
          <w:rFonts w:ascii="Arial" w:cs="Arial" w:eastAsia="Arial" w:hAnsi="Arial"/>
          <w:sz w:val="18"/>
          <w:szCs w:val="18"/>
          <w:color w:val="auto"/>
        </w:rPr>
        <w:t>” means the prepaid royalties set forth on the Borrower’s consolidated balance sheet as of December 31, 2011 and described in Note 2 to the Audited Financial Statements.</w:t>
      </w:r>
    </w:p>
    <w:p>
      <w:pPr>
        <w:spacing w:after="0" w:line="132"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 Forma Basis</w:t>
      </w:r>
      <w:r>
        <w:rPr>
          <w:rFonts w:ascii="Arial" w:cs="Arial" w:eastAsia="Arial" w:hAnsi="Arial"/>
          <w:sz w:val="15"/>
          <w:szCs w:val="15"/>
          <w:color w:val="auto"/>
        </w:rPr>
        <w:t xml:space="preserve">” means, with respect to any transaction, that for purposes of calculating the financial covenants set forth in </w:t>
      </w:r>
      <w:r>
        <w:rPr>
          <w:rFonts w:ascii="Arial" w:cs="Arial" w:eastAsia="Arial" w:hAnsi="Arial"/>
          <w:sz w:val="15"/>
          <w:szCs w:val="15"/>
          <w:u w:val="single" w:color="auto"/>
          <w:color w:val="auto"/>
        </w:rPr>
        <w:t>Section 8.11</w:t>
      </w:r>
      <w:r>
        <w:rPr>
          <w:rFonts w:ascii="Arial" w:cs="Arial" w:eastAsia="Arial" w:hAnsi="Arial"/>
          <w:sz w:val="15"/>
          <w:szCs w:val="15"/>
          <w:color w:val="auto"/>
        </w:rPr>
        <w:t xml:space="preserve"> (including any calculations of such financial covenant(s) in accordance with any other sections of this Agreement), such transaction shall be deemed to have occurred as of the first day of the most recent four fiscal quarter period preceding the date of such transaction for which the Borrower was required to deliver financial statements pursuant to </w:t>
      </w:r>
      <w:r>
        <w:rPr>
          <w:rFonts w:ascii="Arial" w:cs="Arial" w:eastAsia="Arial" w:hAnsi="Arial"/>
          <w:sz w:val="15"/>
          <w:szCs w:val="15"/>
          <w:u w:val="single" w:color="auto"/>
          <w:color w:val="auto"/>
        </w:rPr>
        <w:t>Section 7.01(a)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In connection with the foregoing, (a) with respect to any Disposition or Recovery Event, (i) income statement and cash flow statement items (whether positive or negative) attributable to the property disposed of shall be excluded to the extent relating to any period occurring prior to the date of such transaction and (ii) Indebtedness which is retired shall be excluded and deemed to have been retired as of the first day of the applicable period and</w:t>
      </w:r>
    </w:p>
    <w:p>
      <w:pPr>
        <w:spacing w:after="0" w:line="1" w:lineRule="exact"/>
        <w:rPr>
          <w:sz w:val="20"/>
          <w:szCs w:val="20"/>
          <w:color w:val="auto"/>
        </w:rPr>
      </w:pPr>
    </w:p>
    <w:p>
      <w:pPr>
        <w:ind w:firstLine="8"/>
        <w:spacing w:after="0" w:line="287" w:lineRule="auto"/>
        <w:tabs>
          <w:tab w:leader="none" w:pos="249"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with respect to any Acquisition, (i) income statement and cash flow statement items attributable to the Person or property acquired shall be included to the extent relating to any period applicable in such calculations to the extent (A) such items are not otherwise included in such income statement and cash flow statement items for the Borrower and its Subsidiaries in accordance with GAAP or in accordance with any defined terms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(B) such items are supported by financial statements or other information reasonably satisfactory to the Administrative Agent and (ii) any Indebtedness incurred or assumed by the Borrower or any Subsidiary (including the Person or property acquired) in connection with such transaction and any Indebtedness of the Person or property acquired which is not retired in connection with such transaction (A) shall be deemed to have been incurred as of the first day of the applicable period and (B)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w:t>
      </w:r>
    </w:p>
    <w:p>
      <w:pPr>
        <w:spacing w:after="0" w:line="124"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Compliance Certificate</w:t>
      </w:r>
      <w:r>
        <w:rPr>
          <w:rFonts w:ascii="Arial" w:cs="Arial" w:eastAsia="Arial" w:hAnsi="Arial"/>
          <w:sz w:val="16"/>
          <w:szCs w:val="16"/>
          <w:color w:val="auto"/>
        </w:rPr>
        <w:t xml:space="preserve">” means a certificate of a Responsible Officer of the Borrower containing reasonably detailed calculations of the financial covenants set forth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recomputed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after giving effect to the applicable transaction on a Pro Forma Basis.</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Program Review</w:t>
      </w:r>
      <w:r>
        <w:rPr>
          <w:rFonts w:ascii="Arial" w:cs="Arial" w:eastAsia="Arial" w:hAnsi="Arial"/>
          <w:sz w:val="18"/>
          <w:szCs w:val="18"/>
          <w:color w:val="auto"/>
        </w:rPr>
        <w:t>” means the program review being conducted by the DOE of the administration of Title IV Programs by Grand Canyon University as described in Note 13 to the Audited Financial Statements.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132" w:name="page133"/>
    <w:bookmarkEnd w:id="132"/>
    <w:p>
      <w:pPr>
        <w:ind w:right="6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the L/C Issuer or any other recipient of any payment to be made by or on account of any obligation of any Loan Party hereunder.</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Recovery Event</w:t>
      </w:r>
      <w:r>
        <w:rPr>
          <w:rFonts w:ascii="Arial" w:cs="Arial" w:eastAsia="Arial" w:hAnsi="Arial"/>
          <w:sz w:val="18"/>
          <w:szCs w:val="18"/>
          <w:color w:val="auto"/>
        </w:rPr>
        <w:t>” means any loss of, damage to or destruction of, or any condemnation or other taking for public use of, any property of the Borrower or any Subsidiary.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Regulatory Letter of Credit</w:t>
      </w:r>
      <w:r>
        <w:rPr>
          <w:rFonts w:ascii="Arial" w:cs="Arial" w:eastAsia="Arial" w:hAnsi="Arial"/>
          <w:sz w:val="16"/>
          <w:szCs w:val="16"/>
          <w:color w:val="auto"/>
        </w:rPr>
        <w:t>” means a letter of credit issued for the account of the Borrower or any Subsidiary for the purpose of satisfying the obligations of the Borrower or such Subsidiary under the Higher Education Act or any similar state or federal statute or maintaining the eligibility of the Borrower or such Subsidiary to participate in any programs administered thereunder (including any Title IV Programs).</w:t>
      </w:r>
    </w:p>
    <w:p>
      <w:pPr>
        <w:spacing w:after="0" w:line="107" w:lineRule="exact"/>
        <w:rPr>
          <w:sz w:val="20"/>
          <w:szCs w:val="20"/>
          <w:color w:val="auto"/>
        </w:rPr>
      </w:pPr>
    </w:p>
    <w:p>
      <w:pPr>
        <w:ind w:right="98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Parties</w:t>
      </w:r>
      <w:r>
        <w:rPr>
          <w:rFonts w:ascii="Arial" w:cs="Arial" w:eastAsia="Arial" w:hAnsi="Arial"/>
          <w:sz w:val="16"/>
          <w:szCs w:val="16"/>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8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other than events for which the thirty-day notice period has been waived.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xml:space="preserve">” means, at any time, Lenders having Revolving Credit Exposures representing more than 50% of the Revolving Credit Exposures of all Lenders. The Revolving Credit Exposure of any Defaulting Lender shall be disregarded in determining Required Revolving Lenders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xml:space="preserve">” means the chief executive officer, president, chief financial officer, treasurer, assistant treasurer or controller of a Loan Party and, solely for purposes of the delivery of incumbency certificates, the secretary or any assistant secretary of a Loan Party and, solely for purposes of notices given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any other officer of the applicable Loan Party so designated by any of the foregoing officers in a notice to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in form and substance reasonably satisfactory to the Administrative Agent.</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133" w:name="page134"/>
    <w:bookmarkEnd w:id="133"/>
    <w:p>
      <w:pPr>
        <w:ind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any dividend or other distribution (whether in cash, securities or other property) with respect to any Equity Interests of any Person, or any payment (whether in cash, securities or other property), including any sinking fund or similar deposit, on account of the purchase, redemption, retirement, defeasance, acquisition, cancellation or termination of any such Equity Interests or on account of any return of capital to such Person’s stockholders, partners or members (or the equivalent Person thereof), or any option, warrant or other right to acquire any such dividend or other distribution or payment. The term “Restricted Payment” shall not include (a) the forfeiture of unvested Equity Interests of the Borrower by any present or former employee or director of the Borrower or any Subsidiary in connection with the termination of employment or service, death or disability of such individual provided that neither the Borrower nor any Subsidiary makes any payment of cash or other property for such forfeiture and (y) the repurchase of Equity Interests of the Borrower deemed to occur in connection with a net exercise of stock options or warrants or the grant of Equity Interests if such repurchased Equity Interests represent a portion of the exercise price of such options or warrants or the payment of applicable withholding taxes provided that neither the Borrower nor any Subsidiary makes any payment of cash or other property for such repurchase.</w:t>
      </w:r>
    </w:p>
    <w:p>
      <w:pPr>
        <w:spacing w:after="0" w:line="12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Commitment</w:t>
      </w:r>
      <w:r>
        <w:rPr>
          <w:rFonts w:ascii="Arial" w:cs="Arial" w:eastAsia="Arial" w:hAnsi="Arial"/>
          <w:sz w:val="16"/>
          <w:szCs w:val="16"/>
          <w:color w:val="auto"/>
        </w:rPr>
        <w:t xml:space="preserve">” means, as to each Lender, its obligation to (a) make Revolving Loans to the Borrower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 as such amount may be adjusted from time to time in accordance with this Agreement.</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to any Lender at any time, the aggregate principal amount at such time of its outstanding Revolving Loans and such Lender’s participation in L/C Obligations and Swing Line Loans at such time.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any successor thereto.</w:t>
      </w:r>
    </w:p>
    <w:p>
      <w:pPr>
        <w:spacing w:after="0" w:line="17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with respect to any Person, any arrangement, directly or indirectly, whereby such Person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international economic sanction administered or enforced by OFAC, the United Nations Security Council, the European Union, Her Majesty’s Treasury or other relevant sanctions authority.</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School</w:t>
      </w:r>
      <w:r>
        <w:rPr>
          <w:rFonts w:ascii="Arial" w:cs="Arial" w:eastAsia="Arial" w:hAnsi="Arial"/>
          <w:sz w:val="18"/>
          <w:szCs w:val="18"/>
          <w:color w:val="auto"/>
        </w:rPr>
        <w:t>” means (a) Grand Canyon University and its additional locations and (b) any other post-secondary institution of higher education that is operated by the Borrower or any Subsidiary and its additional locations.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means any Cash Management Agreement that is entered into by and between the Borrower or any Subsidiary and any Cash Management Bank.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34" w:name="page135"/>
    <w:bookmarkEnd w:id="134"/>
    <w:p>
      <w:pPr>
        <w:ind w:right="1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xml:space="preserve">” means any Swap Contract permitted under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that is entered into by and between the Borrower or any Subsidiary and any Hedge Bank.</w:t>
      </w:r>
    </w:p>
    <w:p>
      <w:pPr>
        <w:spacing w:after="0" w:line="132"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Securitization Transaction</w:t>
      </w:r>
      <w:r>
        <w:rPr>
          <w:rFonts w:ascii="Arial" w:cs="Arial" w:eastAsia="Arial" w:hAnsi="Arial"/>
          <w:sz w:val="15"/>
          <w:szCs w:val="15"/>
          <w:color w:val="auto"/>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spacing w:after="0" w:line="8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the security and pledge agreement dated as of the Closing Date executed in favor of the Administrative Agent, for the benefit of the holders of the Obligations, by each of the Loan Parties.</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Regulatory Event</w:t>
      </w:r>
      <w:r>
        <w:rPr>
          <w:rFonts w:ascii="Arial" w:cs="Arial" w:eastAsia="Arial" w:hAnsi="Arial"/>
          <w:sz w:val="16"/>
          <w:szCs w:val="16"/>
          <w:color w:val="auto"/>
        </w:rPr>
        <w:t xml:space="preserve">” means the failure of the Borrower or any Subsidiary to (a) maintain the status of any School as an “eligible institution” as defined in 34 C.F.R. Sections 600.2 and 600.5, (b) maintain the eligibility of any School to participate in one or more Title IV Programs, (c) maintain all Accreditations for any School or (d) maintain all accreditations, licenses, permits and authorizations required for any School to participate in one or more Title IV Programs (including, in each case, any such failure that results in any substantial limitation on, or suspension or termination of, eligibility of such School to participate in one or more Title IV Programs), which failure of any of the types described in clauses (a), (b), (c) and (d) either (i) affects one or more Schools which either (A) contributed in the aggregate more than 15% of the Consolidated EBITDA for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(B) owned assets which comprise in the aggregate more than 15% of the total assets of the Borrower and its Subsidiaries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(ii) would have caused the Loan Parties to fail to be in compliance with the financial covenants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if the aggregate amount of Consolidated EBITDA and Consolidated Tangible Net Worth contributed by such Schools during such period were excluded from the calculation of such financial covenants or (iii) affects the eligibility of one or more Schools to participate in the William D. Ford Federal Direct Loan (Direct Loan) Program, the Federal Pell Grant Program or one or more other Title IV Programs that contributed in the aggregate more than 5% of the Title IV revenues received by the Borrower and its Subsidiaries for the fiscal year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w:t>
      </w:r>
    </w:p>
    <w:p>
      <w:pPr>
        <w:spacing w:after="0" w:line="126" w:lineRule="exact"/>
        <w:rPr>
          <w:sz w:val="20"/>
          <w:szCs w:val="20"/>
          <w:color w:val="auto"/>
        </w:rPr>
      </w:pPr>
    </w:p>
    <w:p>
      <w:pPr>
        <w:jc w:val="both"/>
        <w:ind w:right="460" w:firstLine="456"/>
        <w:spacing w:after="0" w:line="30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Solvent</w:t>
      </w:r>
      <w:r>
        <w:rPr>
          <w:rFonts w:ascii="Arial" w:cs="Arial" w:eastAsia="Arial" w:hAnsi="Arial"/>
          <w:sz w:val="15"/>
          <w:szCs w:val="15"/>
          <w:color w:val="auto"/>
        </w:rPr>
        <w:t>” or “</w:t>
      </w:r>
      <w:r>
        <w:rPr>
          <w:rFonts w:ascii="Arial" w:cs="Arial" w:eastAsia="Arial" w:hAnsi="Arial"/>
          <w:sz w:val="15"/>
          <w:szCs w:val="15"/>
          <w:u w:val="single" w:color="auto"/>
          <w:color w:val="auto"/>
        </w:rPr>
        <w:t>Solvency</w:t>
      </w:r>
      <w:r>
        <w:rPr>
          <w:rFonts w:ascii="Arial" w:cs="Arial" w:eastAsia="Arial" w:hAnsi="Arial"/>
          <w:sz w:val="15"/>
          <w:szCs w:val="15"/>
          <w:color w:val="auto"/>
        </w:rPr>
        <w:t>” 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such debts and liabilities as they mature in the ordinary course of business,</w:t>
      </w:r>
    </w:p>
    <w:p>
      <w:pPr>
        <w:spacing w:after="0" w:line="1" w:lineRule="exact"/>
        <w:rPr>
          <w:sz w:val="20"/>
          <w:szCs w:val="20"/>
          <w:color w:val="auto"/>
        </w:rPr>
      </w:pPr>
    </w:p>
    <w:p>
      <w:pPr>
        <w:ind w:firstLine="8"/>
        <w:spacing w:after="0" w:line="288" w:lineRule="auto"/>
        <w:tabs>
          <w:tab w:leader="none" w:pos="239"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such Person is not engaged in a business or a transaction, and is not about to engage in a business or a transaction, for which such Person’s property would constitute unreasonably small capital, (d) the fair value of the property of such Person is greater than the total amount of liabilities, including contingent liabilities, of such Person, (e) the present fair salable value of the property of such Person is not less than the amount that will be required to pay the probable liability of such Person on its debts as they become absolute and matured and (f) such Person does not intend, in any transaction, to hinder, delay or defraud either present or future creditors or any other person to which such Person is or will become, through such transaction, indebted.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135" w:name="page136"/>
    <w:bookmarkEnd w:id="135"/>
    <w:p>
      <w:pPr>
        <w:jc w:val="both"/>
        <w:ind w:right="3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Subordinated Indebtedness</w:t>
      </w:r>
      <w:r>
        <w:rPr>
          <w:rFonts w:ascii="Arial" w:cs="Arial" w:eastAsia="Arial" w:hAnsi="Arial"/>
          <w:sz w:val="16"/>
          <w:szCs w:val="16"/>
          <w:color w:val="auto"/>
        </w:rPr>
        <w:t>” means Indebtedness (including NMTC Indebtedness) of the Borrower or any Subsidiary that is expressly subordinated in right of payment to the prior payment in full of the Obligations pursuant to a subordination agreement or other subordination provisions, and containing such other payment terms, covenants, defaults and remedies, in each case that are reasonably satisfactory to the Administrative Agent.</w:t>
      </w:r>
    </w:p>
    <w:p>
      <w:pPr>
        <w:spacing w:after="0" w:line="10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Equity Interests having ordinary voting power for the election of directors or equivalent governing body (other than Equity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 Line Lender</w:t>
      </w:r>
      <w:r>
        <w:rPr>
          <w:rFonts w:ascii="Arial" w:cs="Arial" w:eastAsia="Arial" w:hAnsi="Arial"/>
          <w:sz w:val="16"/>
          <w:szCs w:val="16"/>
          <w:color w:val="auto"/>
        </w:rPr>
        <w:t>” means Bank of America in its capacity as provider of Swing Line Loans, or any successor swing line lender hereunder.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 Notice</w:t>
      </w:r>
      <w:r>
        <w:rPr>
          <w:rFonts w:ascii="Arial" w:cs="Arial" w:eastAsia="Arial" w:hAnsi="Arial"/>
          <w:sz w:val="18"/>
          <w:szCs w:val="18"/>
          <w:color w:val="auto"/>
        </w:rPr>
        <w:t xml:space="preserve">” means a notice of a Borrowing of Swing Line Loans pursuant to </w:t>
      </w:r>
      <w:r>
        <w:rPr>
          <w:rFonts w:ascii="Arial" w:cs="Arial" w:eastAsia="Arial" w:hAnsi="Arial"/>
          <w:sz w:val="18"/>
          <w:szCs w:val="18"/>
          <w:u w:val="single" w:color="auto"/>
          <w:color w:val="auto"/>
        </w:rPr>
        <w:t>Section 2.04(b)</w:t>
      </w:r>
      <w:r>
        <w:rPr>
          <w:rFonts w:ascii="Arial" w:cs="Arial" w:eastAsia="Arial" w:hAnsi="Arial"/>
          <w:sz w:val="18"/>
          <w:szCs w:val="18"/>
          <w:color w:val="auto"/>
        </w:rPr>
        <w:t xml:space="preserve">, which, if in writing,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$5 million. The Swing Line Sublimit is part of, and not in addition to, the Aggregate Revolving Commitments.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136" w:name="page137"/>
    <w:bookmarkEnd w:id="136"/>
    <w:p>
      <w:pPr>
        <w:ind w:right="1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0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Taxes</w:t>
      </w:r>
      <w:r>
        <w:rPr>
          <w:rFonts w:ascii="Arial" w:cs="Arial" w:eastAsia="Arial" w:hAnsi="Arial"/>
          <w:sz w:val="16"/>
          <w:szCs w:val="16"/>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xml:space="preserve">” means, as to each Lender, its obligation to make its portion of the Term Loan to the Borrower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in the principal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The aggregate principal amount of the Term Loan Commitments of all of the Lenders as in effect on the Closing Date is ONE HUNDRED MILLION DOLLARS ($100,000,000).</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xml:space="preserve">” means (a) for purposes of </w:t>
      </w:r>
      <w:r>
        <w:rPr>
          <w:rFonts w:ascii="Arial" w:cs="Arial" w:eastAsia="Arial" w:hAnsi="Arial"/>
          <w:sz w:val="18"/>
          <w:szCs w:val="18"/>
          <w:u w:val="single" w:color="auto"/>
          <w:color w:val="auto"/>
        </w:rPr>
        <w:t>Section 9.01(e)(iii)</w:t>
      </w:r>
      <w:r>
        <w:rPr>
          <w:rFonts w:ascii="Arial" w:cs="Arial" w:eastAsia="Arial" w:hAnsi="Arial"/>
          <w:sz w:val="18"/>
          <w:szCs w:val="18"/>
          <w:color w:val="auto"/>
        </w:rPr>
        <w:t xml:space="preserve">, $1 million, and (b) for all other purposes, as of any date of determination, an amount equal to 10% of Consolidated EBITDA for the period of the four fiscal quarters most recently ended for which the Borrower has delivered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w:t>
      </w:r>
      <w:r>
        <w:rPr>
          <w:rFonts w:ascii="Arial" w:cs="Arial" w:eastAsia="Arial" w:hAnsi="Arial"/>
          <w:sz w:val="18"/>
          <w:szCs w:val="18"/>
          <w:color w:val="auto"/>
        </w:rPr>
        <w:t>” means Title IV of the Higher Education Act.</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 Compliance Audit</w:t>
      </w:r>
      <w:r>
        <w:rPr>
          <w:rFonts w:ascii="Arial" w:cs="Arial" w:eastAsia="Arial" w:hAnsi="Arial"/>
          <w:sz w:val="18"/>
          <w:szCs w:val="18"/>
          <w:color w:val="auto"/>
        </w:rPr>
        <w:t>” means, with respect to any School, the annual compliance audit of such School’s administration of its Title IV Programs as required under 34 C.F.R. Section 668.23.</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 Programs</w:t>
      </w:r>
      <w:r>
        <w:rPr>
          <w:rFonts w:ascii="Arial" w:cs="Arial" w:eastAsia="Arial" w:hAnsi="Arial"/>
          <w:sz w:val="18"/>
          <w:szCs w:val="18"/>
          <w:color w:val="auto"/>
        </w:rPr>
        <w:t>” means the Title IV Programs as defined in 34 C.F.R. Section 668.1(c).</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Credit Exposure</w:t>
      </w:r>
      <w:r>
        <w:rPr>
          <w:rFonts w:ascii="Arial" w:cs="Arial" w:eastAsia="Arial" w:hAnsi="Arial"/>
          <w:sz w:val="16"/>
          <w:szCs w:val="16"/>
          <w:color w:val="auto"/>
        </w:rPr>
        <w:t>” means, as to any Lender at any time, the aggregate of the Outstanding Amount of the Term Loan held by such Lender at such time, the unused Revolving Commitments of such Lender at such time and the Revolving Credit Exposure of such Lender at such time.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Revolving Outstandings</w:t>
      </w:r>
      <w:r>
        <w:rPr>
          <w:rFonts w:ascii="Arial" w:cs="Arial" w:eastAsia="Arial" w:hAnsi="Arial"/>
          <w:sz w:val="16"/>
          <w:szCs w:val="16"/>
          <w:color w:val="auto"/>
        </w:rPr>
        <w:t>” means the aggregate Outstanding Amount of all Revolving Loans, all Swing Line Loans and all L/C Obligations.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any Loan, its character as a Base Rate Loan or a Eurodollar Rate Loan.</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Letter of Credit, the Uniform Customs and Practice for Documentary Credits, International Chamber of Commerce (“</w:t>
      </w:r>
      <w:r>
        <w:rPr>
          <w:rFonts w:ascii="Arial" w:cs="Arial" w:eastAsia="Arial" w:hAnsi="Arial"/>
          <w:sz w:val="18"/>
          <w:szCs w:val="18"/>
          <w:u w:val="single" w:color="auto"/>
          <w:color w:val="auto"/>
        </w:rPr>
        <w:t>ICC</w:t>
      </w:r>
      <w:r>
        <w:rPr>
          <w:rFonts w:ascii="Arial" w:cs="Arial" w:eastAsia="Arial" w:hAnsi="Arial"/>
          <w:sz w:val="18"/>
          <w:szCs w:val="18"/>
          <w:color w:val="auto"/>
        </w:rPr>
        <w:t>”) Publication No. 600 (or such later version thereof as may be in effect at the time of issuance).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Internal Revenue Code.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137" w:name="page138"/>
    <w:bookmarkEnd w:id="13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3.01(e)(ii)(B)(III)</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means any Person 100% of whose Equity Interests are at the time owned by the Borrower directly or indirectly through other Persons 100% of whose Equity Interests are at the time owned, directly or indirectly, by the Borrower.</w:t>
      </w:r>
    </w:p>
    <w:p>
      <w:pPr>
        <w:spacing w:after="0" w:line="1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Other Interpretive Provisions</w:t>
      </w:r>
      <w:r>
        <w:rPr>
          <w:rFonts w:ascii="Arial" w:cs="Arial" w:eastAsia="Arial" w:hAnsi="Arial"/>
          <w:sz w:val="16"/>
          <w:szCs w:val="16"/>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90" w:lineRule="exact"/>
        <w:rPr>
          <w:sz w:val="20"/>
          <w:szCs w:val="20"/>
          <w:color w:val="auto"/>
        </w:rPr>
      </w:pPr>
    </w:p>
    <w:p>
      <w:pPr>
        <w:ind w:left="460" w:firstLine="443"/>
        <w:spacing w:after="0" w:line="301" w:lineRule="auto"/>
        <w:tabs>
          <w:tab w:leader="none" w:pos="1137" w:val="left"/>
        </w:tabs>
        <w:numPr>
          <w:ilvl w:val="1"/>
          <w:numId w:val="75"/>
        </w:numPr>
        <w:rPr>
          <w:rFonts w:ascii="Arial" w:cs="Arial" w:eastAsia="Arial" w:hAnsi="Arial"/>
          <w:sz w:val="15"/>
          <w:szCs w:val="15"/>
          <w:color w:val="auto"/>
        </w:rPr>
      </w:pPr>
      <w:r>
        <w:rPr>
          <w:rFonts w:ascii="Arial" w:cs="Arial" w:eastAsia="Arial" w:hAnsi="Arial"/>
          <w:sz w:val="15"/>
          <w:szCs w:val="15"/>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5"/>
          <w:szCs w:val="15"/>
          <w:u w:val="single" w:color="auto"/>
          <w:color w:val="auto"/>
        </w:rPr>
        <w:t>include</w:t>
      </w:r>
      <w:r>
        <w:rPr>
          <w:rFonts w:ascii="Arial" w:cs="Arial" w:eastAsia="Arial" w:hAnsi="Arial"/>
          <w:sz w:val="15"/>
          <w:szCs w:val="15"/>
          <w:color w:val="auto"/>
        </w:rPr>
        <w:t>,” “</w:t>
      </w:r>
      <w:r>
        <w:rPr>
          <w:rFonts w:ascii="Arial" w:cs="Arial" w:eastAsia="Arial" w:hAnsi="Arial"/>
          <w:sz w:val="15"/>
          <w:szCs w:val="15"/>
          <w:u w:val="single" w:color="auto"/>
          <w:color w:val="auto"/>
        </w:rPr>
        <w:t>includes</w:t>
      </w:r>
      <w:r>
        <w:rPr>
          <w:rFonts w:ascii="Arial" w:cs="Arial" w:eastAsia="Arial" w:hAnsi="Arial"/>
          <w:sz w:val="15"/>
          <w:szCs w:val="15"/>
          <w:color w:val="auto"/>
        </w:rPr>
        <w:t>” and “</w:t>
      </w:r>
      <w:r>
        <w:rPr>
          <w:rFonts w:ascii="Arial" w:cs="Arial" w:eastAsia="Arial" w:hAnsi="Arial"/>
          <w:sz w:val="15"/>
          <w:szCs w:val="15"/>
          <w:u w:val="single" w:color="auto"/>
          <w:color w:val="auto"/>
        </w:rPr>
        <w:t>including</w:t>
      </w:r>
      <w:r>
        <w:rPr>
          <w:rFonts w:ascii="Arial" w:cs="Arial" w:eastAsia="Arial" w:hAnsi="Arial"/>
          <w:sz w:val="15"/>
          <w:szCs w:val="15"/>
          <w:color w:val="auto"/>
        </w:rPr>
        <w:t>” shall be deemed to be followed by the phrase “without limitation.” The word “</w:t>
      </w:r>
      <w:r>
        <w:rPr>
          <w:rFonts w:ascii="Arial" w:cs="Arial" w:eastAsia="Arial" w:hAnsi="Arial"/>
          <w:sz w:val="15"/>
          <w:szCs w:val="15"/>
          <w:u w:val="single" w:color="auto"/>
          <w:color w:val="auto"/>
        </w:rPr>
        <w:t>will</w:t>
      </w:r>
      <w:r>
        <w:rPr>
          <w:rFonts w:ascii="Arial" w:cs="Arial" w:eastAsia="Arial" w:hAnsi="Arial"/>
          <w:sz w:val="15"/>
          <w:szCs w:val="15"/>
          <w:color w:val="auto"/>
        </w:rPr>
        <w:t>” shall be construed to have the same meaning and effect as the word “</w:t>
      </w:r>
      <w:r>
        <w:rPr>
          <w:rFonts w:ascii="Arial" w:cs="Arial" w:eastAsia="Arial" w:hAnsi="Arial"/>
          <w:sz w:val="15"/>
          <w:szCs w:val="15"/>
          <w:u w:val="single" w:color="auto"/>
          <w:color w:val="auto"/>
        </w:rPr>
        <w:t>shall</w:t>
      </w:r>
      <w:r>
        <w:rPr>
          <w:rFonts w:ascii="Arial" w:cs="Arial" w:eastAsia="Arial" w:hAnsi="Arial"/>
          <w:sz w:val="15"/>
          <w:szCs w:val="15"/>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5"/>
          <w:szCs w:val="15"/>
          <w:u w:val="single" w:color="auto"/>
          <w:color w:val="auto"/>
        </w:rPr>
        <w:t>hereto</w:t>
      </w:r>
      <w:r>
        <w:rPr>
          <w:rFonts w:ascii="Arial" w:cs="Arial" w:eastAsia="Arial" w:hAnsi="Arial"/>
          <w:sz w:val="15"/>
          <w:szCs w:val="15"/>
          <w:color w:val="auto"/>
        </w:rPr>
        <w:t>”, “</w:t>
      </w:r>
      <w:r>
        <w:rPr>
          <w:rFonts w:ascii="Arial" w:cs="Arial" w:eastAsia="Arial" w:hAnsi="Arial"/>
          <w:sz w:val="15"/>
          <w:szCs w:val="15"/>
          <w:u w:val="single" w:color="auto"/>
          <w:color w:val="auto"/>
        </w:rPr>
        <w:t>herein</w:t>
      </w:r>
      <w:r>
        <w:rPr>
          <w:rFonts w:ascii="Arial" w:cs="Arial" w:eastAsia="Arial" w:hAnsi="Arial"/>
          <w:sz w:val="15"/>
          <w:szCs w:val="15"/>
          <w:color w:val="auto"/>
        </w:rPr>
        <w:t>,” “</w:t>
      </w:r>
      <w:r>
        <w:rPr>
          <w:rFonts w:ascii="Arial" w:cs="Arial" w:eastAsia="Arial" w:hAnsi="Arial"/>
          <w:sz w:val="15"/>
          <w:szCs w:val="15"/>
          <w:u w:val="single" w:color="auto"/>
          <w:color w:val="auto"/>
        </w:rPr>
        <w:t>hereof</w:t>
      </w:r>
      <w:r>
        <w:rPr>
          <w:rFonts w:ascii="Arial" w:cs="Arial" w:eastAsia="Arial" w:hAnsi="Arial"/>
          <w:sz w:val="15"/>
          <w:szCs w:val="15"/>
          <w:color w:val="auto"/>
        </w:rPr>
        <w:t>” and “</w:t>
      </w:r>
      <w:r>
        <w:rPr>
          <w:rFonts w:ascii="Arial" w:cs="Arial" w:eastAsia="Arial" w:hAnsi="Arial"/>
          <w:sz w:val="15"/>
          <w:szCs w:val="15"/>
          <w:u w:val="single" w:color="auto"/>
          <w:color w:val="auto"/>
        </w:rPr>
        <w:t>hereunder</w:t>
      </w:r>
      <w:r>
        <w:rPr>
          <w:rFonts w:ascii="Arial" w:cs="Arial" w:eastAsia="Arial" w:hAnsi="Arial"/>
          <w:sz w:val="15"/>
          <w:szCs w:val="15"/>
          <w:color w:val="auto"/>
        </w:rPr>
        <w:t>,” and words of similar import when used in any Loan Document, shall be construed to refer to such Loan Document in its entirety and not to any particular provision thereof,</w:t>
      </w:r>
    </w:p>
    <w:p>
      <w:pPr>
        <w:spacing w:after="0" w:line="4" w:lineRule="exact"/>
        <w:rPr>
          <w:rFonts w:ascii="Arial" w:cs="Arial" w:eastAsia="Arial" w:hAnsi="Arial"/>
          <w:sz w:val="15"/>
          <w:szCs w:val="15"/>
          <w:color w:val="auto"/>
        </w:rPr>
      </w:pPr>
    </w:p>
    <w:p>
      <w:pPr>
        <w:ind w:left="460" w:firstLine="4"/>
        <w:spacing w:after="0" w:line="312" w:lineRule="auto"/>
        <w:tabs>
          <w:tab w:leader="none" w:pos="757" w:val="left"/>
        </w:tabs>
        <w:numPr>
          <w:ilvl w:val="0"/>
          <w:numId w:val="76"/>
        </w:numPr>
        <w:rPr>
          <w:rFonts w:ascii="Arial" w:cs="Arial" w:eastAsia="Arial" w:hAnsi="Arial"/>
          <w:sz w:val="15"/>
          <w:szCs w:val="15"/>
          <w:color w:val="auto"/>
        </w:rPr>
      </w:pPr>
      <w:r>
        <w:rPr>
          <w:rFonts w:ascii="Arial" w:cs="Arial" w:eastAsia="Arial" w:hAnsi="Arial"/>
          <w:sz w:val="15"/>
          <w:szCs w:val="15"/>
          <w:color w:val="auto"/>
        </w:rPr>
        <w:t>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(vi) the words “</w:t>
      </w:r>
      <w:r>
        <w:rPr>
          <w:rFonts w:ascii="Arial" w:cs="Arial" w:eastAsia="Arial" w:hAnsi="Arial"/>
          <w:sz w:val="15"/>
          <w:szCs w:val="15"/>
          <w:u w:val="single" w:color="auto"/>
          <w:color w:val="auto"/>
        </w:rPr>
        <w:t>asset</w:t>
      </w:r>
      <w:r>
        <w:rPr>
          <w:rFonts w:ascii="Arial" w:cs="Arial" w:eastAsia="Arial" w:hAnsi="Arial"/>
          <w:sz w:val="15"/>
          <w:szCs w:val="15"/>
          <w:color w:val="auto"/>
        </w:rPr>
        <w:t>” and “</w:t>
      </w:r>
      <w:r>
        <w:rPr>
          <w:rFonts w:ascii="Arial" w:cs="Arial" w:eastAsia="Arial" w:hAnsi="Arial"/>
          <w:sz w:val="15"/>
          <w:szCs w:val="15"/>
          <w:u w:val="single" w:color="auto"/>
          <w:color w:val="auto"/>
        </w:rPr>
        <w:t>property</w:t>
      </w:r>
      <w:r>
        <w:rPr>
          <w:rFonts w:ascii="Arial" w:cs="Arial" w:eastAsia="Arial" w:hAnsi="Arial"/>
          <w:sz w:val="15"/>
          <w:szCs w:val="15"/>
          <w:color w:val="auto"/>
        </w:rPr>
        <w:t>” shall be construed to have the same meaning and effect and to refer to any and all assets and properties, tangible and intangible, real and personal, including cash, securities, accounts and contract rights and (vii) the words “real property” shall include all fee and leasehold interests in such real property and all improvements located on such real property.</w:t>
      </w:r>
    </w:p>
    <w:p>
      <w:pPr>
        <w:spacing w:after="0" w:line="25" w:lineRule="exact"/>
        <w:rPr>
          <w:rFonts w:ascii="Arial" w:cs="Arial" w:eastAsia="Arial" w:hAnsi="Arial"/>
          <w:sz w:val="15"/>
          <w:szCs w:val="15"/>
          <w:color w:val="auto"/>
        </w:rPr>
      </w:pPr>
    </w:p>
    <w:p>
      <w:pPr>
        <w:ind w:left="460" w:right="60" w:firstLine="443"/>
        <w:spacing w:after="0" w:line="268" w:lineRule="auto"/>
        <w:tabs>
          <w:tab w:leader="none" w:pos="1147"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80" w:firstLine="443"/>
        <w:spacing w:after="0" w:line="268" w:lineRule="auto"/>
        <w:tabs>
          <w:tab w:leader="none" w:pos="1137" w:val="left"/>
        </w:tabs>
        <w:numPr>
          <w:ilvl w:val="1"/>
          <w:numId w:val="76"/>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u w:val="single" w:color="auto"/>
          <w:color w:val="auto"/>
        </w:rPr>
        <w:t>Accounting Terms; Calculation of Financial Covenants on a Pro Forma Basis</w:t>
      </w:r>
      <w:r>
        <w:rPr>
          <w:rFonts w:ascii="Arial" w:cs="Arial" w:eastAsia="Arial" w:hAnsi="Arial"/>
          <w:sz w:val="15"/>
          <w:szCs w:val="15"/>
          <w:color w:val="auto"/>
        </w:rPr>
        <w:t>.</w:t>
      </w:r>
    </w:p>
    <w:p>
      <w:pPr>
        <w:spacing w:after="0" w:line="90" w:lineRule="exact"/>
        <w:rPr>
          <w:sz w:val="20"/>
          <w:szCs w:val="20"/>
          <w:color w:val="auto"/>
        </w:rPr>
      </w:pPr>
    </w:p>
    <w:p>
      <w:pPr>
        <w:ind w:left="460" w:right="120" w:firstLine="443"/>
        <w:spacing w:after="0" w:line="288" w:lineRule="auto"/>
        <w:tabs>
          <w:tab w:leader="none" w:pos="1137"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 Notwithstanding anything herein to the contrary, each of Grand Canyon University Scholarship Foundation, an Arizona non-profit corporation, and Scholarships for GCU Students, an Arizona non-profit corporation, shall be excluded from all calculations of the financial covenants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(including for purposes of determining the Applicable Rate).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138" w:name="page139"/>
    <w:bookmarkEnd w:id="138"/>
    <w:p>
      <w:pPr>
        <w:ind w:left="460" w:firstLine="443"/>
        <w:spacing w:after="0" w:line="288" w:lineRule="auto"/>
        <w:tabs>
          <w:tab w:leader="none" w:pos="1147"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in GAAP</w:t>
      </w:r>
      <w:r>
        <w:rPr>
          <w:rFonts w:ascii="Arial" w:cs="Arial" w:eastAsia="Arial" w:hAnsi="Arial"/>
          <w:sz w:val="16"/>
          <w:szCs w:val="16"/>
          <w:color w:val="auto"/>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Lenders and the Loan Parties shall negotiate in good faith to amend such ratio or requirement to preserve the original intent thereof in light of such change in GAAP (subject to the approval of the Required Lenders); </w:t>
      </w:r>
      <w:r>
        <w:rPr>
          <w:rFonts w:ascii="Arial" w:cs="Arial" w:eastAsia="Arial" w:hAnsi="Arial"/>
          <w:sz w:val="16"/>
          <w:szCs w:val="16"/>
          <w:u w:val="single" w:color="auto"/>
          <w:color w:val="auto"/>
        </w:rPr>
        <w:t>provided that</w:t>
      </w:r>
      <w:r>
        <w:rPr>
          <w:rFonts w:ascii="Arial" w:cs="Arial" w:eastAsia="Arial" w:hAnsi="Arial"/>
          <w:sz w:val="16"/>
          <w:szCs w:val="16"/>
          <w:color w:val="auto"/>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38" w:lineRule="exact"/>
        <w:rPr>
          <w:rFonts w:ascii="Arial" w:cs="Arial" w:eastAsia="Arial" w:hAnsi="Arial"/>
          <w:sz w:val="16"/>
          <w:szCs w:val="16"/>
          <w:color w:val="auto"/>
        </w:rPr>
      </w:pPr>
    </w:p>
    <w:p>
      <w:pPr>
        <w:jc w:val="both"/>
        <w:ind w:left="460" w:firstLine="443"/>
        <w:spacing w:after="0" w:line="256" w:lineRule="auto"/>
        <w:tabs>
          <w:tab w:leader="none" w:pos="113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Entities</w:t>
      </w:r>
      <w:r>
        <w:rPr>
          <w:rFonts w:ascii="Arial" w:cs="Arial" w:eastAsia="Arial" w:hAnsi="Arial"/>
          <w:sz w:val="18"/>
          <w:szCs w:val="18"/>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62" w:lineRule="exact"/>
        <w:rPr>
          <w:rFonts w:ascii="Arial" w:cs="Arial" w:eastAsia="Arial" w:hAnsi="Arial"/>
          <w:sz w:val="18"/>
          <w:szCs w:val="18"/>
          <w:color w:val="auto"/>
        </w:rPr>
      </w:pPr>
    </w:p>
    <w:p>
      <w:pPr>
        <w:ind w:left="460" w:right="340" w:firstLine="443"/>
        <w:spacing w:after="0" w:line="259" w:lineRule="auto"/>
        <w:tabs>
          <w:tab w:leader="none" w:pos="1147"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Calculation of Financial Covenants on a Pro Forma Basis</w:t>
      </w:r>
      <w:r>
        <w:rPr>
          <w:rFonts w:ascii="Arial" w:cs="Arial" w:eastAsia="Arial" w:hAnsi="Arial"/>
          <w:sz w:val="18"/>
          <w:szCs w:val="18"/>
          <w:color w:val="auto"/>
        </w:rPr>
        <w:t xml:space="preserve">. Notwithstanding the above, the parties hereto acknowledge and agree that all calculations of the financial covenants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(including for purposes of determining the Applicable Rate) shall be made on a Pro Forma Basis with respect to any Acquisition, Disposition or Recovery Event occurring during the applicable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Any financial ratios required to be maintained by the Loan Parties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Times of Day</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specified, all references herein to times of day shall be references to Central time (daylight or standard, as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Letter of Credit Amounts</w:t>
      </w:r>
      <w:r>
        <w:rPr>
          <w:rFonts w:ascii="Arial" w:cs="Arial" w:eastAsia="Arial" w:hAnsi="Arial"/>
          <w:sz w:val="18"/>
          <w:szCs w:val="18"/>
          <w:color w:val="auto"/>
        </w:rPr>
        <w:t>.</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Unless otherwise specified herein, the amount of a Letter of Credit at any time shall be deemed to be the stated amount of such Letter of Credit in effect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COMMITMENTS AND CREDIT EXTENSIONS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Revolving Loans and Term Loan</w:t>
      </w:r>
      <w:r>
        <w:rPr>
          <w:rFonts w:ascii="Arial" w:cs="Arial" w:eastAsia="Arial" w:hAnsi="Arial"/>
          <w:sz w:val="18"/>
          <w:szCs w:val="18"/>
          <w:color w:val="auto"/>
        </w:rPr>
        <w:t>.</w:t>
      </w:r>
    </w:p>
    <w:p>
      <w:pPr>
        <w:spacing w:after="0" w:line="90" w:lineRule="exact"/>
        <w:rPr>
          <w:sz w:val="20"/>
          <w:szCs w:val="20"/>
          <w:color w:val="auto"/>
        </w:rPr>
      </w:pPr>
    </w:p>
    <w:p>
      <w:pPr>
        <w:ind w:left="460" w:right="40" w:firstLine="443"/>
        <w:spacing w:after="0" w:line="290" w:lineRule="auto"/>
        <w:tabs>
          <w:tab w:leader="none" w:pos="1137"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Revolving Loans</w:t>
      </w:r>
      <w:r>
        <w:rPr>
          <w:rFonts w:ascii="Arial" w:cs="Arial" w:eastAsia="Arial" w:hAnsi="Arial"/>
          <w:sz w:val="16"/>
          <w:szCs w:val="16"/>
          <w:color w:val="auto"/>
        </w:rPr>
        <w:t>. Subject to the terms and conditions set forth herein, each Lender severally agrees to make loans (each such loan, a “</w:t>
      </w:r>
      <w:r>
        <w:rPr>
          <w:rFonts w:ascii="Arial" w:cs="Arial" w:eastAsia="Arial" w:hAnsi="Arial"/>
          <w:sz w:val="16"/>
          <w:szCs w:val="16"/>
          <w:u w:val="single" w:color="auto"/>
          <w:color w:val="auto"/>
        </w:rPr>
        <w:t>Revolving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Loan</w:t>
      </w:r>
      <w:r>
        <w:rPr>
          <w:rFonts w:ascii="Arial" w:cs="Arial" w:eastAsia="Arial" w:hAnsi="Arial"/>
          <w:sz w:val="16"/>
          <w:szCs w:val="16"/>
          <w:color w:val="auto"/>
        </w:rPr>
        <w:t xml:space="preserve">”) to the Borrower in Dollars from time to time on any Business Day during the Availability Period in an aggregate amount not to exceed at any time outstanding the amount of such Lender’s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after giving effect to any Borrowing of Revolving Loans, (i) the Total Revolving Outstandings shall not exceed the Aggregate Revolving Commitments, and (ii) the Revolving Credit Exposure of any Lender shall not exceed such Lender’s Revolving Commitment. Within the limits of each Lender’s Revolving Commitment, and subject to the other terms and conditions hereof, the Borrower may 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Revolving Loans may be Base Rate Loans or Eurodollar Rate Loans, or a combination thereof, as further provided herein.</w:t>
      </w:r>
    </w:p>
    <w:p>
      <w:pPr>
        <w:spacing w:after="0" w:line="37" w:lineRule="exact"/>
        <w:rPr>
          <w:rFonts w:ascii="Arial" w:cs="Arial" w:eastAsia="Arial" w:hAnsi="Arial"/>
          <w:sz w:val="16"/>
          <w:szCs w:val="16"/>
          <w:color w:val="auto"/>
        </w:rPr>
      </w:pPr>
    </w:p>
    <w:p>
      <w:pPr>
        <w:ind w:left="1160" w:hanging="257"/>
        <w:spacing w:after="0"/>
        <w:tabs>
          <w:tab w:leader="none" w:pos="116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Term Loan</w:t>
      </w:r>
      <w:r>
        <w:rPr>
          <w:rFonts w:ascii="Arial" w:cs="Arial" w:eastAsia="Arial" w:hAnsi="Arial"/>
          <w:sz w:val="16"/>
          <w:szCs w:val="16"/>
          <w:color w:val="auto"/>
        </w:rPr>
        <w:t>. Subject to the terms and conditions set forth herein, each Lender severally agrees to make its portion of a term loan (the “</w:t>
      </w:r>
      <w:r>
        <w:rPr>
          <w:rFonts w:ascii="Arial" w:cs="Arial" w:eastAsia="Arial" w:hAnsi="Arial"/>
          <w:sz w:val="16"/>
          <w:szCs w:val="16"/>
          <w:u w:val="single" w:color="auto"/>
          <w:color w:val="auto"/>
        </w:rPr>
        <w:t>Term</w:t>
      </w:r>
    </w:p>
    <w:p>
      <w:pPr>
        <w:spacing w:after="0" w:line="38" w:lineRule="exact"/>
        <w:rPr>
          <w:sz w:val="20"/>
          <w:szCs w:val="20"/>
          <w:color w:val="auto"/>
        </w:rPr>
      </w:pPr>
    </w:p>
    <w:p>
      <w:pPr>
        <w:ind w:left="460" w:right="260"/>
        <w:spacing w:after="0" w:line="255" w:lineRule="auto"/>
        <w:rPr>
          <w:sz w:val="20"/>
          <w:szCs w:val="20"/>
          <w:color w:val="auto"/>
        </w:rPr>
      </w:pPr>
      <w:r>
        <w:rPr>
          <w:rFonts w:ascii="Arial" w:cs="Arial" w:eastAsia="Arial" w:hAnsi="Arial"/>
          <w:sz w:val="18"/>
          <w:szCs w:val="18"/>
          <w:u w:val="single" w:color="auto"/>
          <w:color w:val="auto"/>
        </w:rPr>
        <w:t>Loan</w:t>
      </w:r>
      <w:r>
        <w:rPr>
          <w:rFonts w:ascii="Arial" w:cs="Arial" w:eastAsia="Arial" w:hAnsi="Arial"/>
          <w:sz w:val="18"/>
          <w:szCs w:val="18"/>
          <w:color w:val="auto"/>
        </w:rPr>
        <w:t>”) to the Borrower in Dollars on the Closing Date in an amount not to exceed such Lender’s Term Loan Commitment. Amounts repaid on the Term Loan may not be reborrowed. The Term Loan may consist of Base Rate Loans or Eurodollar Rate Loans, or a combination thereof, as further provided herein.</w:t>
      </w:r>
    </w:p>
    <w:p>
      <w:pPr>
        <w:spacing w:after="0" w:line="18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u w:val="single" w:color="auto"/>
          <w:color w:val="auto"/>
        </w:rPr>
        <w:t>Borrowings, Conversions and Continuations of Loans</w:t>
      </w:r>
      <w:r>
        <w:rPr>
          <w:rFonts w:ascii="Arial" w:cs="Arial" w:eastAsia="Arial" w:hAnsi="Arial"/>
          <w:sz w:val="16"/>
          <w:szCs w:val="16"/>
          <w:color w:val="auto"/>
        </w:rPr>
        <w:t>.</w:t>
      </w:r>
    </w:p>
    <w:p>
      <w:pPr>
        <w:spacing w:after="0" w:line="90" w:lineRule="exact"/>
        <w:rPr>
          <w:sz w:val="20"/>
          <w:szCs w:val="20"/>
          <w:color w:val="auto"/>
        </w:rPr>
      </w:pPr>
    </w:p>
    <w:p>
      <w:pPr>
        <w:ind w:left="460" w:firstLine="443"/>
        <w:spacing w:after="0" w:line="285" w:lineRule="auto"/>
        <w:tabs>
          <w:tab w:leader="none" w:pos="1137"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Each Borrowing, each conversion of Loans from one Type to the other, and each continuation of Eurodollar Rate Loans shall be made upon the Borrower’s irrevocable notice to the Administrative Agent, which may be given by telephone. Each such notice must be received by the Administrative Agent not later than 12:00 noon (i) three Business Days prior to the requested date of any Borrowing of, conversion to or continuation of, Eurodollar Rate Loans or of any conversion of Eurodollar Rate Loans to Base Rate Loans, and (ii) on the requested date of any Borrowing of Base Rate Loans. Each telephonic notice by the Borrower pursuant to this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must be confirmed promptly by delivery to the Administrative Agent of a written Loan Notice, appropriately completed and signed by a Responsible Officer of the Borrower. Each Borrowing of, conversion to or continuation of Eurodollar Rate Loans shall be in a principal amount of $5,000,000 or a whole multiple of $1,000,000 in excess thereof. Except as provided in </w:t>
      </w: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2.04(c)</w:t>
      </w:r>
      <w:r>
        <w:rPr>
          <w:rFonts w:ascii="Arial" w:cs="Arial" w:eastAsia="Arial" w:hAnsi="Arial"/>
          <w:sz w:val="16"/>
          <w:szCs w:val="16"/>
          <w:color w:val="auto"/>
        </w:rPr>
        <w:t>, each Borrowing of or conversion to Base Rate Loans shall be in a principal amount of $500,000 or a whole multiple of $100,000 in excess thereof. Each Loan Notice (whether telephonic or written) shall specify (i) whether the Borrower is requesting a Borrowing, a conversion of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a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Loan Notice, but fails to specify an Interest Period, it will be deemed to have specified an Interest Period of one month. Notwithstanding anything to the contrary herein, a Swing Line Loan may not be converted to a Eurodollar Rate Loan.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140" w:name="page141"/>
    <w:bookmarkEnd w:id="140"/>
    <w:p>
      <w:pPr>
        <w:ind w:left="460" w:firstLine="443"/>
        <w:spacing w:after="0" w:line="286" w:lineRule="auto"/>
        <w:tabs>
          <w:tab w:leader="none" w:pos="1147" w:val="left"/>
        </w:tabs>
        <w:numPr>
          <w:ilvl w:val="0"/>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Following receipt of a Loan Notice,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Base Rate Loans described in the preceding subsection. In the case of a Borrowing, each Lender shall make the amount of its Loan available to the Administrative Agent in immediately available funds at the Administrative Agent’s Office not later than 2:00 p.m. on the Business Day specified in the applicable Loan Notice. Upon satisfaction of the applicable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(and, if such Borrowing is the initial Credit Extension,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on the date the Loan Notice with respect to a Borrowing of Revolving Loans is given by the Borrower, there are L/C Borrowings outstanding, then the proceeds of such Borrowing, first, shall be applied to the payment in full of any such L/C Borrowings and </w:t>
      </w:r>
      <w:r>
        <w:rPr>
          <w:rFonts w:ascii="Arial" w:cs="Arial" w:eastAsia="Arial" w:hAnsi="Arial"/>
          <w:sz w:val="16"/>
          <w:szCs w:val="16"/>
          <w:u w:val="single" w:color="auto"/>
          <w:color w:val="auto"/>
        </w:rPr>
        <w:t>second</w:t>
      </w:r>
      <w:r>
        <w:rPr>
          <w:rFonts w:ascii="Arial" w:cs="Arial" w:eastAsia="Arial" w:hAnsi="Arial"/>
          <w:sz w:val="16"/>
          <w:szCs w:val="16"/>
          <w:color w:val="auto"/>
        </w:rPr>
        <w:t>, shall be made available to the Borrower as provided above.</w:t>
      </w:r>
    </w:p>
    <w:p>
      <w:pPr>
        <w:spacing w:after="0" w:line="46" w:lineRule="exact"/>
        <w:rPr>
          <w:rFonts w:ascii="Arial" w:cs="Arial" w:eastAsia="Arial" w:hAnsi="Arial"/>
          <w:sz w:val="16"/>
          <w:szCs w:val="16"/>
          <w:color w:val="auto"/>
        </w:rPr>
      </w:pPr>
    </w:p>
    <w:p>
      <w:pPr>
        <w:ind w:left="460" w:right="120" w:firstLine="443"/>
        <w:spacing w:after="0" w:line="268" w:lineRule="auto"/>
        <w:tabs>
          <w:tab w:leader="none" w:pos="1137" w:val="left"/>
        </w:tabs>
        <w:numPr>
          <w:ilvl w:val="0"/>
          <w:numId w:val="81"/>
        </w:numPr>
        <w:rPr>
          <w:rFonts w:ascii="Arial" w:cs="Arial" w:eastAsia="Arial" w:hAnsi="Arial"/>
          <w:sz w:val="18"/>
          <w:szCs w:val="18"/>
          <w:color w:val="auto"/>
        </w:rPr>
      </w:pPr>
      <w:r>
        <w:rPr>
          <w:rFonts w:ascii="Arial" w:cs="Arial" w:eastAsia="Arial" w:hAnsi="Arial"/>
          <w:sz w:val="18"/>
          <w:szCs w:val="18"/>
          <w:color w:val="auto"/>
        </w:rPr>
        <w:t>During the existence of a Default, the Required Lenders may demand that any or all of the then outstanding Eurodollar Rate Loans be converted immediately to Base Rate Loans.</w:t>
      </w:r>
    </w:p>
    <w:p>
      <w:pPr>
        <w:spacing w:after="0" w:line="50" w:lineRule="exact"/>
        <w:rPr>
          <w:rFonts w:ascii="Arial" w:cs="Arial" w:eastAsia="Arial" w:hAnsi="Arial"/>
          <w:sz w:val="18"/>
          <w:szCs w:val="18"/>
          <w:color w:val="auto"/>
        </w:rPr>
      </w:pPr>
    </w:p>
    <w:p>
      <w:pPr>
        <w:jc w:val="both"/>
        <w:ind w:left="460" w:right="40" w:firstLine="443"/>
        <w:spacing w:after="0" w:line="256" w:lineRule="auto"/>
        <w:tabs>
          <w:tab w:leader="none" w:pos="114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62" w:lineRule="exact"/>
        <w:rPr>
          <w:rFonts w:ascii="Arial" w:cs="Arial" w:eastAsia="Arial" w:hAnsi="Arial"/>
          <w:sz w:val="18"/>
          <w:szCs w:val="18"/>
          <w:color w:val="auto"/>
        </w:rPr>
      </w:pPr>
    </w:p>
    <w:p>
      <w:pPr>
        <w:ind w:left="460" w:right="60" w:firstLine="443"/>
        <w:spacing w:after="0" w:line="259" w:lineRule="auto"/>
        <w:tabs>
          <w:tab w:leader="none" w:pos="1137" w:val="left"/>
        </w:tabs>
        <w:numPr>
          <w:ilvl w:val="0"/>
          <w:numId w:val="81"/>
        </w:numPr>
        <w:rPr>
          <w:rFonts w:ascii="Arial" w:cs="Arial" w:eastAsia="Arial" w:hAnsi="Arial"/>
          <w:sz w:val="18"/>
          <w:szCs w:val="18"/>
          <w:color w:val="auto"/>
        </w:rPr>
      </w:pPr>
      <w:r>
        <w:rPr>
          <w:rFonts w:ascii="Arial" w:cs="Arial" w:eastAsia="Arial" w:hAnsi="Arial"/>
          <w:sz w:val="18"/>
          <w:szCs w:val="18"/>
          <w:color w:val="auto"/>
        </w:rPr>
        <w:t>After giving effect to all Borrowings, all conversions of Loans from one Type to the other, and all continuations of Loans as the same Type, there shall not be more than four (4) Interest Periods in effect with respect to Revolving Loans and six (6) Interest Periods in effect with respect to the Term Loan.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90" w:lineRule="exact"/>
        <w:rPr>
          <w:sz w:val="20"/>
          <w:szCs w:val="20"/>
          <w:color w:val="auto"/>
        </w:rPr>
      </w:pPr>
    </w:p>
    <w:p>
      <w:pPr>
        <w:ind w:left="1140" w:hanging="237"/>
        <w:spacing w:after="0"/>
        <w:tabs>
          <w:tab w:leader="none" w:pos="11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421"/>
        <w:spacing w:after="0" w:line="286" w:lineRule="auto"/>
        <w:tabs>
          <w:tab w:leader="none" w:pos="1549"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set forth herein, (A) the L/C Issuer agrees, in reliance upon the agreements of the Lenders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(1) from time to time on any Business Day during the period from the Closing Date until the Maturity Date, to issue Letters of Credit in Dollars for the account of the Borrower or any Subsidiary, and to amend or extend Letters of Credit previously issued by it, in accordance with subsection (b) below, and (2) to honor drawings under the Letters of Credit; and (B) the Lenders severally agree to participate in Letters of Credit issued for the account of the Borrower or any Subsidiary and any drawings thereunder;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L/C Credit Extension with respect to any Letter of Credit, (x) the Total Revolving Outstandings shall not exceed the Aggregate Revolving Commitments, (y) the Revolving Credit Exposure of any Lender shall not exceed such Lender’s Revolving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141" w:name="page142"/>
    <w:bookmarkEnd w:id="141"/>
    <w:p>
      <w:pPr>
        <w:ind w:left="400" w:hanging="259"/>
        <w:spacing w:after="0"/>
        <w:tabs>
          <w:tab w:leader="none" w:pos="400"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L/C Issuer shall not issue any Letter of Credit if:</w:t>
      </w:r>
    </w:p>
    <w:p>
      <w:pPr>
        <w:spacing w:after="0" w:line="90" w:lineRule="exact"/>
        <w:rPr>
          <w:rFonts w:ascii="Arial" w:cs="Arial" w:eastAsia="Arial" w:hAnsi="Arial"/>
          <w:sz w:val="18"/>
          <w:szCs w:val="18"/>
          <w:color w:val="auto"/>
        </w:rPr>
      </w:pPr>
    </w:p>
    <w:p>
      <w:pPr>
        <w:ind w:left="300" w:right="40" w:firstLine="389"/>
        <w:spacing w:after="0" w:line="332" w:lineRule="auto"/>
        <w:tabs>
          <w:tab w:leader="none" w:pos="985" w:val="left"/>
        </w:tabs>
        <w:numPr>
          <w:ilvl w:val="1"/>
          <w:numId w:val="8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2.03(b)(iii)</w:t>
      </w:r>
      <w:r>
        <w:rPr>
          <w:rFonts w:ascii="Arial" w:cs="Arial" w:eastAsia="Arial" w:hAnsi="Arial"/>
          <w:sz w:val="16"/>
          <w:szCs w:val="16"/>
          <w:color w:val="auto"/>
        </w:rPr>
        <w:t>, the expiry date of the requested Letter of Credit would occur more than twelve months after the date of issuance or last extension, unless the Required Revolving Lenders have approved such expiry date; or</w:t>
      </w:r>
    </w:p>
    <w:p>
      <w:pPr>
        <w:spacing w:after="0" w:line="4" w:lineRule="exact"/>
        <w:rPr>
          <w:rFonts w:ascii="Arial" w:cs="Arial" w:eastAsia="Arial" w:hAnsi="Arial"/>
          <w:sz w:val="16"/>
          <w:szCs w:val="16"/>
          <w:color w:val="auto"/>
        </w:rPr>
      </w:pPr>
    </w:p>
    <w:p>
      <w:pPr>
        <w:ind w:left="300" w:firstLine="389"/>
        <w:spacing w:after="0" w:line="268" w:lineRule="auto"/>
        <w:tabs>
          <w:tab w:leader="none" w:pos="975"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date one year after the Maturity Date, unless all the Lenders that have Revolving Commitments have approved such expiry date.</w:t>
      </w:r>
    </w:p>
    <w:p>
      <w:pPr>
        <w:spacing w:after="0" w:line="50" w:lineRule="exact"/>
        <w:rPr>
          <w:rFonts w:ascii="Arial" w:cs="Arial" w:eastAsia="Arial" w:hAnsi="Arial"/>
          <w:sz w:val="18"/>
          <w:szCs w:val="18"/>
          <w:color w:val="auto"/>
        </w:rPr>
      </w:pPr>
    </w:p>
    <w:p>
      <w:pPr>
        <w:ind w:left="440" w:hanging="299"/>
        <w:spacing w:after="0"/>
        <w:tabs>
          <w:tab w:leader="none" w:pos="4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L/C Issuer shall not be under any obligation to issue any Letter of Credit if:</w:t>
      </w:r>
    </w:p>
    <w:p>
      <w:pPr>
        <w:spacing w:after="0" w:line="90" w:lineRule="exact"/>
        <w:rPr>
          <w:rFonts w:ascii="Arial" w:cs="Arial" w:eastAsia="Arial" w:hAnsi="Arial"/>
          <w:sz w:val="18"/>
          <w:szCs w:val="18"/>
          <w:color w:val="auto"/>
        </w:rPr>
      </w:pPr>
    </w:p>
    <w:p>
      <w:pPr>
        <w:ind w:left="300" w:right="20" w:firstLine="389"/>
        <w:spacing w:after="0" w:line="290" w:lineRule="auto"/>
        <w:tabs>
          <w:tab w:leader="none" w:pos="985"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37" w:lineRule="exact"/>
        <w:rPr>
          <w:rFonts w:ascii="Arial" w:cs="Arial" w:eastAsia="Arial" w:hAnsi="Arial"/>
          <w:sz w:val="16"/>
          <w:szCs w:val="16"/>
          <w:color w:val="auto"/>
        </w:rPr>
      </w:pPr>
    </w:p>
    <w:p>
      <w:pPr>
        <w:ind w:left="960" w:hanging="271"/>
        <w:spacing w:after="0"/>
        <w:tabs>
          <w:tab w:leader="none" w:pos="960"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the L/C Issuer applicable to letters of credit generally;</w:t>
      </w:r>
    </w:p>
    <w:p>
      <w:pPr>
        <w:spacing w:after="0" w:line="113" w:lineRule="exact"/>
        <w:rPr>
          <w:rFonts w:ascii="Arial" w:cs="Arial" w:eastAsia="Arial" w:hAnsi="Arial"/>
          <w:sz w:val="16"/>
          <w:szCs w:val="16"/>
          <w:color w:val="auto"/>
        </w:rPr>
      </w:pPr>
    </w:p>
    <w:p>
      <w:pPr>
        <w:ind w:left="300" w:right="100" w:firstLine="389"/>
        <w:spacing w:after="0" w:line="268" w:lineRule="auto"/>
        <w:tabs>
          <w:tab w:leader="none" w:pos="975" w:val="left"/>
        </w:tabs>
        <w:numPr>
          <w:ilvl w:val="1"/>
          <w:numId w:val="83"/>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the L/C Issuer, such Letter of Credit is in an initial stated amount less $500,000;</w:t>
      </w:r>
    </w:p>
    <w:p>
      <w:pPr>
        <w:spacing w:after="0" w:line="50" w:lineRule="exact"/>
        <w:rPr>
          <w:rFonts w:ascii="Arial" w:cs="Arial" w:eastAsia="Arial" w:hAnsi="Arial"/>
          <w:sz w:val="18"/>
          <w:szCs w:val="18"/>
          <w:color w:val="auto"/>
        </w:rPr>
      </w:pPr>
    </w:p>
    <w:p>
      <w:pPr>
        <w:ind w:left="980" w:hanging="291"/>
        <w:spacing w:after="0"/>
        <w:tabs>
          <w:tab w:leader="none" w:pos="9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such Letter of Credit is to be denominated in a currency other than Dollars;</w:t>
      </w:r>
    </w:p>
    <w:p>
      <w:pPr>
        <w:spacing w:after="0" w:line="90" w:lineRule="exact"/>
        <w:rPr>
          <w:rFonts w:ascii="Arial" w:cs="Arial" w:eastAsia="Arial" w:hAnsi="Arial"/>
          <w:sz w:val="18"/>
          <w:szCs w:val="18"/>
          <w:color w:val="auto"/>
        </w:rPr>
      </w:pPr>
    </w:p>
    <w:p>
      <w:pPr>
        <w:ind w:left="300" w:right="100" w:firstLine="389"/>
        <w:spacing w:after="0" w:line="255" w:lineRule="auto"/>
        <w:tabs>
          <w:tab w:leader="none" w:pos="965"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any Lender is at that time a Defaulting Lender, unless the L/C Issuer has entered into arrangements, including the delivery of Cash Collateral, satisfactory to the L/C Issuer (in its sole discretion) with the Borrower or such Defaulting Lender to eliminate the L/C Issuer’s actual or potential Fronting Exposure (after giving effect to </w:t>
      </w:r>
      <w:r>
        <w:rPr>
          <w:rFonts w:ascii="Arial" w:cs="Arial" w:eastAsia="Arial" w:hAnsi="Arial"/>
          <w:sz w:val="18"/>
          <w:szCs w:val="18"/>
          <w:u w:val="single" w:color="auto"/>
          <w:color w:val="auto"/>
        </w:rPr>
        <w:t>Section 2.15(b</w:t>
      </w:r>
      <w:r>
        <w:rPr>
          <w:rFonts w:ascii="Arial" w:cs="Arial" w:eastAsia="Arial" w:hAnsi="Arial"/>
          <w:sz w:val="18"/>
          <w:szCs w:val="18"/>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61" w:lineRule="exact"/>
        <w:rPr>
          <w:rFonts w:ascii="Arial" w:cs="Arial" w:eastAsia="Arial" w:hAnsi="Arial"/>
          <w:sz w:val="18"/>
          <w:szCs w:val="18"/>
          <w:color w:val="auto"/>
        </w:rPr>
      </w:pPr>
    </w:p>
    <w:p>
      <w:pPr>
        <w:ind w:left="940" w:hanging="251"/>
        <w:spacing w:after="0"/>
        <w:tabs>
          <w:tab w:leader="none" w:pos="9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such Letter of Credit contains any provisions for automatic reinstatement of the stated amount after any drawing thereunder.</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20"/>
          </w:cols>
          <w:pgMar w:left="1440" w:top="280" w:right="239" w:bottom="1440" w:gutter="0" w:footer="0" w:header="0"/>
        </w:sectPr>
      </w:pPr>
    </w:p>
    <w:bookmarkStart w:id="142" w:name="page143"/>
    <w:bookmarkEnd w:id="142"/>
    <w:p>
      <w:pPr>
        <w:ind w:left="17" w:right="80" w:firstLine="421"/>
        <w:spacing w:after="0" w:line="268" w:lineRule="auto"/>
        <w:tabs>
          <w:tab w:leader="none" w:pos="735" w:val="left"/>
        </w:tabs>
        <w:numPr>
          <w:ilvl w:val="2"/>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L/C Issuer shall not amend any Letter of Credit if the L/C Issuer would not be permitted at such time to issue such Letter of Credit in its amended form under the terms hereof.</w:t>
      </w:r>
    </w:p>
    <w:p>
      <w:pPr>
        <w:spacing w:after="0" w:line="50" w:lineRule="exact"/>
        <w:rPr>
          <w:rFonts w:ascii="Arial" w:cs="Arial" w:eastAsia="Arial" w:hAnsi="Arial"/>
          <w:sz w:val="18"/>
          <w:szCs w:val="18"/>
          <w:color w:val="auto"/>
        </w:rPr>
      </w:pPr>
    </w:p>
    <w:p>
      <w:pPr>
        <w:ind w:left="17" w:right="160" w:firstLine="421"/>
        <w:spacing w:after="0" w:line="259" w:lineRule="auto"/>
        <w:tabs>
          <w:tab w:leader="none" w:pos="686" w:val="left"/>
        </w:tabs>
        <w:numPr>
          <w:ilvl w:val="2"/>
          <w:numId w:val="84"/>
        </w:numPr>
        <w:rPr>
          <w:rFonts w:ascii="Arial" w:cs="Arial" w:eastAsia="Arial" w:hAnsi="Arial"/>
          <w:sz w:val="18"/>
          <w:szCs w:val="18"/>
          <w:color w:val="auto"/>
        </w:rPr>
      </w:pPr>
      <w:r>
        <w:rPr>
          <w:rFonts w:ascii="Arial" w:cs="Arial" w:eastAsia="Arial" w:hAnsi="Arial"/>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59" w:lineRule="exact"/>
        <w:rPr>
          <w:rFonts w:ascii="Arial" w:cs="Arial" w:eastAsia="Arial" w:hAnsi="Arial"/>
          <w:sz w:val="18"/>
          <w:szCs w:val="18"/>
          <w:color w:val="auto"/>
        </w:rPr>
      </w:pPr>
    </w:p>
    <w:p>
      <w:pPr>
        <w:ind w:left="17" w:firstLine="421"/>
        <w:spacing w:after="0" w:line="294" w:lineRule="auto"/>
        <w:tabs>
          <w:tab w:leader="none" w:pos="735" w:val="left"/>
        </w:tabs>
        <w:numPr>
          <w:ilvl w:val="2"/>
          <w:numId w:val="84"/>
        </w:numPr>
        <w:rPr>
          <w:rFonts w:ascii="Arial" w:cs="Arial" w:eastAsia="Arial" w:hAnsi="Arial"/>
          <w:sz w:val="16"/>
          <w:szCs w:val="16"/>
          <w:color w:val="auto"/>
        </w:rPr>
      </w:pPr>
      <w:r>
        <w:rPr>
          <w:rFonts w:ascii="Arial" w:cs="Arial" w:eastAsia="Arial" w:hAnsi="Arial"/>
          <w:sz w:val="16"/>
          <w:szCs w:val="16"/>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included the L/C Issuer with respect to such acts or omissions, and (B) as additionally provided herein with respect to the L/C Issuer.</w:t>
      </w:r>
    </w:p>
    <w:p>
      <w:pPr>
        <w:spacing w:after="0" w:line="34" w:lineRule="exact"/>
        <w:rPr>
          <w:rFonts w:ascii="Arial" w:cs="Arial" w:eastAsia="Arial" w:hAnsi="Arial"/>
          <w:sz w:val="16"/>
          <w:szCs w:val="16"/>
          <w:color w:val="auto"/>
        </w:rPr>
      </w:pPr>
    </w:p>
    <w:p>
      <w:pPr>
        <w:ind w:left="257" w:hanging="257"/>
        <w:spacing w:after="0"/>
        <w:tabs>
          <w:tab w:leader="none" w:pos="257"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 w:firstLine="421"/>
        <w:spacing w:after="0" w:line="301" w:lineRule="auto"/>
        <w:tabs>
          <w:tab w:leader="none" w:pos="647" w:val="left"/>
        </w:tabs>
        <w:numPr>
          <w:ilvl w:val="2"/>
          <w:numId w:val="85"/>
        </w:numPr>
        <w:rPr>
          <w:rFonts w:ascii="Arial" w:cs="Arial" w:eastAsia="Arial" w:hAnsi="Arial"/>
          <w:sz w:val="15"/>
          <w:szCs w:val="15"/>
          <w:color w:val="auto"/>
        </w:rPr>
      </w:pPr>
      <w:r>
        <w:rPr>
          <w:rFonts w:ascii="Arial" w:cs="Arial" w:eastAsia="Arial" w:hAnsi="Arial"/>
          <w:sz w:val="15"/>
          <w:szCs w:val="15"/>
          <w:color w:val="auto"/>
        </w:rPr>
        <w:t>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12:00 noon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w:t>
      </w:r>
    </w:p>
    <w:p>
      <w:pPr>
        <w:spacing w:after="0" w:line="4" w:lineRule="exact"/>
        <w:rPr>
          <w:rFonts w:ascii="Arial" w:cs="Arial" w:eastAsia="Arial" w:hAnsi="Arial"/>
          <w:sz w:val="15"/>
          <w:szCs w:val="15"/>
          <w:color w:val="auto"/>
        </w:rPr>
      </w:pPr>
    </w:p>
    <w:p>
      <w:pPr>
        <w:ind w:left="17" w:right="40" w:firstLine="1"/>
        <w:spacing w:after="0" w:line="287" w:lineRule="auto"/>
        <w:tabs>
          <w:tab w:leader="none" w:pos="295" w:val="left"/>
        </w:tabs>
        <w:numPr>
          <w:ilvl w:val="1"/>
          <w:numId w:val="85"/>
        </w:numPr>
        <w:rPr>
          <w:rFonts w:ascii="Arial" w:cs="Arial" w:eastAsia="Arial" w:hAnsi="Arial"/>
          <w:sz w:val="16"/>
          <w:szCs w:val="16"/>
          <w:color w:val="auto"/>
        </w:rPr>
      </w:pPr>
      <w:r>
        <w:rPr>
          <w:rFonts w:ascii="Arial" w:cs="Arial" w:eastAsia="Arial" w:hAnsi="Arial"/>
          <w:sz w:val="16"/>
          <w:szCs w:val="16"/>
          <w:color w:val="auto"/>
        </w:rPr>
        <w:t>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111"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477"/>
          </w:cols>
          <w:pgMar w:left="1143" w:top="280" w:right="279" w:bottom="1440" w:gutter="0" w:footer="0" w:header="0"/>
        </w:sectPr>
      </w:pPr>
    </w:p>
    <w:bookmarkStart w:id="143" w:name="page144"/>
    <w:bookmarkEnd w:id="143"/>
    <w:p>
      <w:pPr>
        <w:ind w:left="-280" w:firstLine="421"/>
        <w:spacing w:after="0" w:line="309" w:lineRule="auto"/>
        <w:tabs>
          <w:tab w:leader="none" w:pos="398" w:val="left"/>
        </w:tabs>
        <w:numPr>
          <w:ilvl w:val="0"/>
          <w:numId w:val="86"/>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shall not then be satisfied,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w:t>
      </w:r>
      <w:r>
        <w:rPr>
          <w:rFonts w:ascii="Arial" w:cs="Arial" w:eastAsia="Arial" w:hAnsi="Arial"/>
          <w:sz w:val="15"/>
          <w:szCs w:val="15"/>
          <w:u w:val="single" w:color="auto"/>
          <w:color w:val="auto"/>
        </w:rPr>
        <w:t>times</w:t>
      </w:r>
      <w:r>
        <w:rPr>
          <w:rFonts w:ascii="Arial" w:cs="Arial" w:eastAsia="Arial" w:hAnsi="Arial"/>
          <w:sz w:val="15"/>
          <w:szCs w:val="15"/>
          <w:color w:val="auto"/>
        </w:rPr>
        <w:t xml:space="preserve"> the amount of such Letter of Credit.</w:t>
      </w:r>
    </w:p>
    <w:p>
      <w:pPr>
        <w:spacing w:after="0" w:line="27" w:lineRule="exact"/>
        <w:rPr>
          <w:rFonts w:ascii="Arial" w:cs="Arial" w:eastAsia="Arial" w:hAnsi="Arial"/>
          <w:sz w:val="15"/>
          <w:szCs w:val="15"/>
          <w:color w:val="auto"/>
        </w:rPr>
      </w:pPr>
    </w:p>
    <w:p>
      <w:pPr>
        <w:ind w:left="-280" w:right="20" w:firstLine="421"/>
        <w:spacing w:after="0" w:line="285" w:lineRule="auto"/>
        <w:tabs>
          <w:tab w:leader="none" w:pos="447"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L/C Issuer may, in its sole discretion, agree to issue a Letter of Credit that has automatic extension provisions (each, an “</w:t>
      </w:r>
      <w:r>
        <w:rPr>
          <w:rFonts w:ascii="Arial" w:cs="Arial" w:eastAsia="Arial" w:hAnsi="Arial"/>
          <w:sz w:val="16"/>
          <w:szCs w:val="16"/>
          <w:u w:val="single" w:color="auto"/>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date one year after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any Loan Party that one or more of the applicable conditions specified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is not then satisfied, and in each such case directing the L/C Issuer not to permit such extension.</w:t>
      </w:r>
    </w:p>
    <w:p>
      <w:pPr>
        <w:spacing w:after="0" w:line="47" w:lineRule="exact"/>
        <w:rPr>
          <w:rFonts w:ascii="Arial" w:cs="Arial" w:eastAsia="Arial" w:hAnsi="Arial"/>
          <w:sz w:val="16"/>
          <w:szCs w:val="16"/>
          <w:color w:val="auto"/>
        </w:rPr>
      </w:pPr>
    </w:p>
    <w:p>
      <w:pPr>
        <w:ind w:left="-280" w:right="40" w:firstLine="421"/>
        <w:spacing w:after="0" w:line="306" w:lineRule="auto"/>
        <w:tabs>
          <w:tab w:leader="none" w:pos="437" w:val="left"/>
        </w:tabs>
        <w:numPr>
          <w:ilvl w:val="0"/>
          <w:numId w:val="86"/>
        </w:numPr>
        <w:rPr>
          <w:rFonts w:ascii="Arial" w:cs="Arial" w:eastAsia="Arial" w:hAnsi="Arial"/>
          <w:sz w:val="15"/>
          <w:szCs w:val="15"/>
          <w:color w:val="auto"/>
        </w:rPr>
      </w:pPr>
      <w:r>
        <w:rPr>
          <w:rFonts w:ascii="Arial" w:cs="Arial" w:eastAsia="Arial" w:hAnsi="Arial"/>
          <w:sz w:val="15"/>
          <w:szCs w:val="15"/>
          <w:color w:val="auto"/>
        </w:rPr>
        <w:t>If the Borrower so requests in any applicable Letter of Credit Application, the L/C Issuer may, in its sole discretion, agree to issue a Letter of Credit that permits the automatic reinstatement of all or a portion of the stated amount thereof after any drawing thereunder (each, an “</w:t>
      </w:r>
      <w:r>
        <w:rPr>
          <w:rFonts w:ascii="Arial" w:cs="Arial" w:eastAsia="Arial" w:hAnsi="Arial"/>
          <w:sz w:val="15"/>
          <w:szCs w:val="15"/>
          <w:u w:val="single" w:color="auto"/>
          <w:color w:val="auto"/>
        </w:rPr>
        <w:t>Auto-Reinstatement Letter of Credit</w:t>
      </w:r>
      <w:r>
        <w:rPr>
          <w:rFonts w:ascii="Arial" w:cs="Arial" w:eastAsia="Arial" w:hAnsi="Arial"/>
          <w:sz w:val="15"/>
          <w:szCs w:val="15"/>
          <w:color w:val="auto"/>
        </w:rPr>
        <w:t>”). Unless otherwise directed by the L/C Issuer, the Borrower shall not be required to make a specific request to the L/C Issuer to permit such reinstatement. Once an Auto-Reinstatement Letter of Credit has been issued, except as provided in the following sentence, the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Arial" w:cs="Arial" w:eastAsia="Arial" w:hAnsi="Arial"/>
          <w:sz w:val="15"/>
          <w:szCs w:val="15"/>
          <w:u w:val="single" w:color="auto"/>
          <w:color w:val="auto"/>
        </w:rPr>
        <w:t>Non-Reinstatement Deadline</w:t>
      </w:r>
      <w:r>
        <w:rPr>
          <w:rFonts w:ascii="Arial" w:cs="Arial" w:eastAsia="Arial" w:hAnsi="Arial"/>
          <w:sz w:val="15"/>
          <w:szCs w:val="15"/>
          <w:color w:val="auto"/>
        </w:rPr>
        <w:t xml:space="preserve">”), the L/C Issuer shall not permit such reinstatement if it has received a notice (which may be by telephone or in writing) on or before the day that is seven Business Days before the Non-Reinstatement Deadline (A) from the Administrative Agent that the Required Lenders have elected not to permit such reinstatement or (B) from the Administrative Agent, any Lender or any Loan Party that one or more of the applicable conditions specified in </w:t>
      </w:r>
      <w:r>
        <w:rPr>
          <w:rFonts w:ascii="Arial" w:cs="Arial" w:eastAsia="Arial" w:hAnsi="Arial"/>
          <w:sz w:val="15"/>
          <w:szCs w:val="15"/>
          <w:u w:val="single" w:color="auto"/>
          <w:color w:val="auto"/>
        </w:rPr>
        <w:t>Section 5.02</w:t>
      </w:r>
      <w:r>
        <w:rPr>
          <w:rFonts w:ascii="Arial" w:cs="Arial" w:eastAsia="Arial" w:hAnsi="Arial"/>
          <w:sz w:val="15"/>
          <w:szCs w:val="15"/>
          <w:color w:val="auto"/>
        </w:rPr>
        <w:t xml:space="preserve"> is not then satisfied (treating such reinstatement as an L/C Credit Extension for purposes of this clause) and, in each case, directing the L/C Issuer not to permit such reinstatement.</w:t>
      </w:r>
    </w:p>
    <w:p>
      <w:pPr>
        <w:spacing w:after="0" w:line="1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200"/>
          </w:cols>
          <w:pgMar w:left="1440" w:top="280" w:right="259" w:bottom="1440" w:gutter="0" w:footer="0" w:header="0"/>
        </w:sectPr>
      </w:pPr>
    </w:p>
    <w:bookmarkStart w:id="144" w:name="page145"/>
    <w:bookmarkEnd w:id="144"/>
    <w:p>
      <w:pPr>
        <w:jc w:val="both"/>
        <w:ind w:left="17" w:right="60" w:firstLine="421"/>
        <w:spacing w:after="0" w:line="259" w:lineRule="auto"/>
        <w:tabs>
          <w:tab w:leader="none" w:pos="686" w:val="left"/>
        </w:tabs>
        <w:numPr>
          <w:ilvl w:val="1"/>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59" w:lineRule="exact"/>
        <w:rPr>
          <w:rFonts w:ascii="Arial" w:cs="Arial" w:eastAsia="Arial" w:hAnsi="Arial"/>
          <w:sz w:val="18"/>
          <w:szCs w:val="18"/>
          <w:color w:val="auto"/>
        </w:rPr>
      </w:pPr>
    </w:p>
    <w:p>
      <w:pPr>
        <w:ind w:left="237" w:hanging="237"/>
        <w:spacing w:after="0"/>
        <w:tabs>
          <w:tab w:leader="none" w:pos="23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 w:firstLine="421"/>
        <w:spacing w:after="0" w:line="286" w:lineRule="auto"/>
        <w:tabs>
          <w:tab w:leader="none" w:pos="647" w:val="left"/>
        </w:tabs>
        <w:numPr>
          <w:ilvl w:val="1"/>
          <w:numId w:val="88"/>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notice of drawing under such Letter of Credit, the L/C Issuer shall notify the Borrower and the Administrative Agent thereof. Not later than 12:00 noon on the date of any payment by the L/C Issuer under a Letter of Credit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the Borrower shall reimburse the L/C Issuer through the Administrative Agent in an amount equal to the amount of such drawing. If the Borrower fails to so reimburse the L/C Issuer by such time, the Administrative Agent shall promptly notify each Lender of the Honor Date, the amount of the unreimbursed drawing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Lender’s Applicable Percentage thereof. In such event, the Borrower shall be deemed to have requested a Borrowing of Revolving Loans that are Base Rate Loans to be disbursed on the Honor Date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but subject to the unutilized portion of the Aggregate Revolving Commitments and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(other than the delivery of a Loan Notice). If the Unreimbursed Amount is paid on the Honor Date with a Revolving Loan, no Default shall be deemed to have occurred for failure of the Borrower to reimburse the L/C Issuer for such Unreimbursed Amount. Any notice given by the L/C Issuer or the Administrative Agent pursuant to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may be given by telephone if immediately confirmed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w:t>
      </w:r>
    </w:p>
    <w:p>
      <w:pPr>
        <w:spacing w:after="0" w:line="43" w:lineRule="exact"/>
        <w:rPr>
          <w:sz w:val="20"/>
          <w:szCs w:val="20"/>
          <w:color w:val="auto"/>
        </w:rPr>
      </w:pPr>
    </w:p>
    <w:p>
      <w:pPr>
        <w:ind w:left="17" w:right="200" w:firstLine="421"/>
        <w:spacing w:after="0" w:line="318" w:lineRule="auto"/>
        <w:tabs>
          <w:tab w:leader="none" w:pos="696" w:val="left"/>
        </w:tabs>
        <w:numPr>
          <w:ilvl w:val="0"/>
          <w:numId w:val="89"/>
        </w:numPr>
        <w:rPr>
          <w:rFonts w:ascii="Arial" w:cs="Arial" w:eastAsia="Arial" w:hAnsi="Arial"/>
          <w:sz w:val="15"/>
          <w:szCs w:val="15"/>
          <w:color w:val="auto"/>
        </w:rPr>
      </w:pPr>
      <w:r>
        <w:rPr>
          <w:rFonts w:ascii="Arial" w:cs="Arial" w:eastAsia="Arial" w:hAnsi="Arial"/>
          <w:sz w:val="15"/>
          <w:szCs w:val="15"/>
          <w:color w:val="auto"/>
        </w:rPr>
        <w:t xml:space="preserve">Each Lender shall upon any notice pursuant to </w:t>
      </w:r>
      <w:r>
        <w:rPr>
          <w:rFonts w:ascii="Arial" w:cs="Arial" w:eastAsia="Arial" w:hAnsi="Arial"/>
          <w:sz w:val="15"/>
          <w:szCs w:val="15"/>
          <w:u w:val="single" w:color="auto"/>
          <w:color w:val="auto"/>
        </w:rPr>
        <w:t>Section 2.03(c)(i)</w:t>
      </w:r>
      <w:r>
        <w:rPr>
          <w:rFonts w:ascii="Arial" w:cs="Arial" w:eastAsia="Arial" w:hAnsi="Arial"/>
          <w:sz w:val="15"/>
          <w:szCs w:val="15"/>
          <w:color w:val="auto"/>
        </w:rPr>
        <w:t xml:space="preserve"> make funds available (and the Administrative Agent may apply Cash Collateral provided for this purpose) for the account of the L/C Issuer at the Administrative Agent’s Office in an amount equal to its Applicable Percentage of the Unreimbursed Amount not later than 2:00 p.m. on the Business Day specified in such notice by the Administrative Agent, whereupon, subject to the provisions of </w:t>
      </w:r>
      <w:r>
        <w:rPr>
          <w:rFonts w:ascii="Arial" w:cs="Arial" w:eastAsia="Arial" w:hAnsi="Arial"/>
          <w:sz w:val="15"/>
          <w:szCs w:val="15"/>
          <w:u w:val="single" w:color="auto"/>
          <w:color w:val="auto"/>
        </w:rPr>
        <w:t>Section 2.03(c)(iii)</w:t>
      </w:r>
      <w:r>
        <w:rPr>
          <w:rFonts w:ascii="Arial" w:cs="Arial" w:eastAsia="Arial" w:hAnsi="Arial"/>
          <w:sz w:val="15"/>
          <w:szCs w:val="15"/>
          <w:color w:val="auto"/>
        </w:rPr>
        <w:t>, each Lender that so makes funds available shall be deemed to have made a Revolving Loan that is a Base Rate Loan to the Borrower in such amount. The Administrative Agent shall remit the funds so received to the L/C Issuer.</w:t>
      </w:r>
    </w:p>
    <w:p>
      <w:pPr>
        <w:spacing w:after="0" w:line="18" w:lineRule="exact"/>
        <w:rPr>
          <w:rFonts w:ascii="Arial" w:cs="Arial" w:eastAsia="Arial" w:hAnsi="Arial"/>
          <w:sz w:val="15"/>
          <w:szCs w:val="15"/>
          <w:color w:val="auto"/>
        </w:rPr>
      </w:pPr>
    </w:p>
    <w:p>
      <w:pPr>
        <w:ind w:left="17" w:right="40" w:firstLine="421"/>
        <w:spacing w:after="0" w:line="291" w:lineRule="auto"/>
        <w:tabs>
          <w:tab w:leader="none" w:pos="744"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With respect to any Unreimbursed Amount that is not fully refinanced by a Borrowing of Revolving Loans that are Base Rate Loans because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107"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477"/>
          </w:cols>
          <w:pgMar w:left="1143" w:top="280" w:right="279" w:bottom="1440" w:gutter="0" w:footer="0" w:header="0"/>
        </w:sectPr>
      </w:pPr>
    </w:p>
    <w:bookmarkStart w:id="145" w:name="page146"/>
    <w:bookmarkEnd w:id="145"/>
    <w:p>
      <w:pPr>
        <w:ind w:left="17" w:right="140" w:firstLine="421"/>
        <w:spacing w:after="0" w:line="259" w:lineRule="auto"/>
        <w:tabs>
          <w:tab w:leader="none" w:pos="735" w:val="left"/>
        </w:tabs>
        <w:numPr>
          <w:ilvl w:val="2"/>
          <w:numId w:val="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Until each Lender funds its Revolving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L/C Issuer for any amount drawn under any Letter of Credit, interest in respect of such Lender’s Applicable Percentage of such amount shall be solely for the account of the L/C Issuer.</w:t>
      </w:r>
    </w:p>
    <w:p>
      <w:pPr>
        <w:spacing w:after="0" w:line="59" w:lineRule="exact"/>
        <w:rPr>
          <w:rFonts w:ascii="Arial" w:cs="Arial" w:eastAsia="Arial" w:hAnsi="Arial"/>
          <w:sz w:val="18"/>
          <w:szCs w:val="18"/>
          <w:color w:val="auto"/>
        </w:rPr>
      </w:pPr>
    </w:p>
    <w:p>
      <w:pPr>
        <w:ind w:left="17" w:firstLine="421"/>
        <w:spacing w:after="0" w:line="289" w:lineRule="auto"/>
        <w:tabs>
          <w:tab w:leader="none" w:pos="686" w:val="left"/>
        </w:tabs>
        <w:numPr>
          <w:ilvl w:val="2"/>
          <w:numId w:val="90"/>
        </w:numPr>
        <w:rPr>
          <w:rFonts w:ascii="Arial" w:cs="Arial" w:eastAsia="Arial" w:hAnsi="Arial"/>
          <w:sz w:val="16"/>
          <w:szCs w:val="16"/>
          <w:color w:val="auto"/>
        </w:rPr>
      </w:pPr>
      <w:r>
        <w:rPr>
          <w:rFonts w:ascii="Arial" w:cs="Arial" w:eastAsia="Arial" w:hAnsi="Arial"/>
          <w:sz w:val="16"/>
          <w:szCs w:val="16"/>
          <w:color w:val="auto"/>
        </w:rPr>
        <w:t xml:space="preserve">Each Lender’s obligation to make Revolving Loans or L/C Advances to reimburse the L/C Issuer for amounts drawn under Letters of Credit, as contemplated by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the L/C Issuer, the Borrower, any Subsidiary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Lender’s obligation to make Revolving Loans pursuant to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(other than delivery by the Borrower of a Loan Notice). No such making of an L/C Advance shall relieve or otherwise impair the obligation of the Borrower to reimburse the L/C Issuer for the amount of any payment made by the L/C Issuer under any Letter of Credit, together with interest as provided herein.</w:t>
      </w:r>
    </w:p>
    <w:p>
      <w:pPr>
        <w:spacing w:after="0" w:line="37" w:lineRule="exact"/>
        <w:rPr>
          <w:rFonts w:ascii="Arial" w:cs="Arial" w:eastAsia="Arial" w:hAnsi="Arial"/>
          <w:sz w:val="16"/>
          <w:szCs w:val="16"/>
          <w:color w:val="auto"/>
        </w:rPr>
      </w:pPr>
    </w:p>
    <w:p>
      <w:pPr>
        <w:ind w:left="17" w:firstLine="421"/>
        <w:spacing w:after="0" w:line="301" w:lineRule="auto"/>
        <w:tabs>
          <w:tab w:leader="none" w:pos="735" w:val="left"/>
        </w:tabs>
        <w:numPr>
          <w:ilvl w:val="2"/>
          <w:numId w:val="90"/>
        </w:numPr>
        <w:rPr>
          <w:rFonts w:ascii="Arial" w:cs="Arial" w:eastAsia="Arial" w:hAnsi="Arial"/>
          <w:sz w:val="15"/>
          <w:szCs w:val="15"/>
          <w:color w:val="auto"/>
        </w:rPr>
      </w:pPr>
      <w:r>
        <w:rPr>
          <w:rFonts w:ascii="Arial" w:cs="Arial" w:eastAsia="Arial" w:hAnsi="Arial"/>
          <w:sz w:val="15"/>
          <w:szCs w:val="15"/>
          <w:color w:val="auto"/>
        </w:rPr>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5"/>
          <w:szCs w:val="15"/>
          <w:u w:val="single" w:color="auto"/>
          <w:color w:val="auto"/>
        </w:rPr>
        <w:t>Section 2.03(c)</w:t>
      </w:r>
      <w:r>
        <w:rPr>
          <w:rFonts w:ascii="Arial" w:cs="Arial" w:eastAsia="Arial" w:hAnsi="Arial"/>
          <w:sz w:val="15"/>
          <w:szCs w:val="15"/>
          <w:color w:val="auto"/>
        </w:rPr>
        <w:t xml:space="preserve"> by the time specified in </w:t>
      </w:r>
      <w:r>
        <w:rPr>
          <w:rFonts w:ascii="Arial" w:cs="Arial" w:eastAsia="Arial" w:hAnsi="Arial"/>
          <w:sz w:val="15"/>
          <w:szCs w:val="15"/>
          <w:u w:val="single" w:color="auto"/>
          <w:color w:val="auto"/>
        </w:rPr>
        <w:t>Section 2.03(c)(ii)</w:t>
      </w:r>
      <w:r>
        <w:rPr>
          <w:rFonts w:ascii="Arial" w:cs="Arial" w:eastAsia="Arial" w:hAnsi="Arial"/>
          <w:sz w:val="15"/>
          <w:szCs w:val="15"/>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Lender (through the Administrative Agent) with respect to any amounts owing under this clause</w:t>
      </w:r>
    </w:p>
    <w:p>
      <w:pPr>
        <w:spacing w:after="0" w:line="4" w:lineRule="exact"/>
        <w:rPr>
          <w:rFonts w:ascii="Arial" w:cs="Arial" w:eastAsia="Arial" w:hAnsi="Arial"/>
          <w:sz w:val="15"/>
          <w:szCs w:val="15"/>
          <w:color w:val="auto"/>
        </w:rPr>
      </w:pPr>
    </w:p>
    <w:p>
      <w:pPr>
        <w:ind w:left="317" w:hanging="299"/>
        <w:spacing w:after="0"/>
        <w:tabs>
          <w:tab w:leader="none" w:pos="317" w:val="left"/>
        </w:tabs>
        <w:numPr>
          <w:ilvl w:val="1"/>
          <w:numId w:val="91"/>
        </w:numPr>
        <w:rPr>
          <w:rFonts w:ascii="Arial" w:cs="Arial" w:eastAsia="Arial" w:hAnsi="Arial"/>
          <w:sz w:val="18"/>
          <w:szCs w:val="18"/>
          <w:color w:val="auto"/>
        </w:rPr>
      </w:pPr>
      <w:r>
        <w:rPr>
          <w:rFonts w:ascii="Arial" w:cs="Arial" w:eastAsia="Arial" w:hAnsi="Arial"/>
          <w:sz w:val="18"/>
          <w:szCs w:val="18"/>
          <w:color w:val="auto"/>
        </w:rPr>
        <w:t>shall be conclusive absent manifest error.</w:t>
      </w:r>
    </w:p>
    <w:p>
      <w:pPr>
        <w:spacing w:after="0" w:line="83" w:lineRule="exact"/>
        <w:rPr>
          <w:rFonts w:ascii="Arial" w:cs="Arial" w:eastAsia="Arial" w:hAnsi="Arial"/>
          <w:sz w:val="18"/>
          <w:szCs w:val="18"/>
          <w:color w:val="auto"/>
        </w:rPr>
      </w:pPr>
    </w:p>
    <w:p>
      <w:pPr>
        <w:ind w:left="257" w:hanging="257"/>
        <w:spacing w:after="0"/>
        <w:tabs>
          <w:tab w:leader="none" w:pos="25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7" w:right="20" w:firstLine="421"/>
        <w:spacing w:after="0" w:line="294" w:lineRule="auto"/>
        <w:tabs>
          <w:tab w:leader="none" w:pos="647" w:val="left"/>
        </w:tabs>
        <w:numPr>
          <w:ilvl w:val="2"/>
          <w:numId w:val="92"/>
        </w:numPr>
        <w:rPr>
          <w:rFonts w:ascii="Arial" w:cs="Arial" w:eastAsia="Arial" w:hAnsi="Arial"/>
          <w:sz w:val="16"/>
          <w:szCs w:val="16"/>
          <w:color w:val="auto"/>
        </w:rPr>
      </w:pPr>
      <w:r>
        <w:rPr>
          <w:rFonts w:ascii="Arial" w:cs="Arial" w:eastAsia="Arial" w:hAnsi="Arial"/>
          <w:sz w:val="16"/>
          <w:szCs w:val="16"/>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16"/>
          <w:szCs w:val="16"/>
          <w:u w:val="single" w:color="auto"/>
          <w:color w:val="auto"/>
        </w:rPr>
        <w:t>Section 2.03(c)</w:t>
      </w:r>
      <w:r>
        <w:rPr>
          <w:rFonts w:ascii="Arial" w:cs="Arial" w:eastAsia="Arial" w:hAnsi="Arial"/>
          <w:sz w:val="16"/>
          <w:szCs w:val="16"/>
          <w:color w:val="auto"/>
        </w:rPr>
        <w:t>,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thereof in the same funds as those received by the Administrative Agent.</w:t>
      </w:r>
    </w:p>
    <w:p>
      <w:pPr>
        <w:spacing w:after="0" w:line="34" w:lineRule="exact"/>
        <w:rPr>
          <w:rFonts w:ascii="Arial" w:cs="Arial" w:eastAsia="Arial" w:hAnsi="Arial"/>
          <w:sz w:val="16"/>
          <w:szCs w:val="16"/>
          <w:color w:val="auto"/>
        </w:rPr>
      </w:pPr>
    </w:p>
    <w:p>
      <w:pPr>
        <w:ind w:left="17" w:right="80" w:firstLine="421"/>
        <w:spacing w:after="0" w:line="291" w:lineRule="auto"/>
        <w:tabs>
          <w:tab w:leader="none" w:pos="696" w:val="left"/>
        </w:tabs>
        <w:numPr>
          <w:ilvl w:val="2"/>
          <w:numId w:val="92"/>
        </w:numPr>
        <w:rPr>
          <w:rFonts w:ascii="Arial" w:cs="Arial" w:eastAsia="Arial" w:hAnsi="Arial"/>
          <w:sz w:val="16"/>
          <w:szCs w:val="16"/>
          <w:color w:val="auto"/>
        </w:rPr>
      </w:pPr>
      <w:r>
        <w:rPr>
          <w:rFonts w:ascii="Arial" w:cs="Arial" w:eastAsia="Arial" w:hAnsi="Arial"/>
          <w:sz w:val="16"/>
          <w:szCs w:val="16"/>
          <w:color w:val="auto"/>
        </w:rPr>
        <w:t xml:space="preserve">If any payment received by the Administrative Agent for the account of the L/C Issuer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is required to be returned under any of the circumstances described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(including pursuant to any settlement entered into by the L/C Issuer in its discretion), each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07"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457"/>
          </w:cols>
          <w:pgMar w:left="1143" w:top="280" w:right="299" w:bottom="1440" w:gutter="0" w:footer="0" w:header="0"/>
        </w:sectPr>
      </w:pPr>
    </w:p>
    <w:bookmarkStart w:id="146" w:name="page147"/>
    <w:bookmarkEnd w:id="146"/>
    <w:p>
      <w:pPr>
        <w:ind w:right="200" w:firstLine="464"/>
        <w:spacing w:after="0" w:line="259"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Absolute</w:t>
      </w:r>
      <w:r>
        <w:rPr>
          <w:rFonts w:ascii="Arial" w:cs="Arial" w:eastAsia="Arial" w:hAnsi="Arial"/>
          <w:sz w:val="18"/>
          <w:szCs w:val="18"/>
          <w:color w:val="auto"/>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59" w:lineRule="exact"/>
        <w:rPr>
          <w:rFonts w:ascii="Arial" w:cs="Arial" w:eastAsia="Arial" w:hAnsi="Arial"/>
          <w:sz w:val="18"/>
          <w:szCs w:val="18"/>
          <w:color w:val="auto"/>
        </w:rPr>
      </w:pPr>
    </w:p>
    <w:p>
      <w:pPr>
        <w:ind w:left="1120" w:hanging="217"/>
        <w:spacing w:after="0"/>
        <w:tabs>
          <w:tab w:leader="none" w:pos="11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90" w:lineRule="exact"/>
        <w:rPr>
          <w:rFonts w:ascii="Arial" w:cs="Arial" w:eastAsia="Arial" w:hAnsi="Arial"/>
          <w:sz w:val="18"/>
          <w:szCs w:val="18"/>
          <w:color w:val="auto"/>
        </w:rPr>
      </w:pPr>
    </w:p>
    <w:p>
      <w:pPr>
        <w:ind w:left="460" w:firstLine="443"/>
        <w:spacing w:after="0" w:line="256" w:lineRule="auto"/>
        <w:tabs>
          <w:tab w:leader="none" w:pos="1157"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62" w:lineRule="exact"/>
        <w:rPr>
          <w:rFonts w:ascii="Arial" w:cs="Arial" w:eastAsia="Arial" w:hAnsi="Arial"/>
          <w:sz w:val="18"/>
          <w:szCs w:val="18"/>
          <w:color w:val="auto"/>
        </w:rPr>
      </w:pPr>
    </w:p>
    <w:p>
      <w:pPr>
        <w:ind w:left="460" w:right="80" w:firstLine="443"/>
        <w:spacing w:after="0" w:line="259" w:lineRule="auto"/>
        <w:tabs>
          <w:tab w:leader="none" w:pos="1205"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96" w:val="left"/>
        </w:tabs>
        <w:numPr>
          <w:ilvl w:val="1"/>
          <w:numId w:val="93"/>
        </w:numPr>
        <w:rPr>
          <w:rFonts w:ascii="Arial" w:cs="Arial" w:eastAsia="Arial" w:hAnsi="Arial"/>
          <w:sz w:val="18"/>
          <w:szCs w:val="18"/>
          <w:color w:val="auto"/>
        </w:rPr>
      </w:pPr>
      <w:r>
        <w:rPr>
          <w:rFonts w:ascii="Arial" w:cs="Arial" w:eastAsia="Arial" w:hAnsi="Arial"/>
          <w:sz w:val="18"/>
          <w:szCs w:val="18"/>
          <w:color w:val="auto"/>
        </w:rPr>
        <w:t>waiver by the L/C Issuer of any requirement that exists for the L/C Issuer’s protection and not the protection of the Borrower or any waiver by the L/C Issuer which does not in fact materially prejudice the Borrower;</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93"/>
        </w:numPr>
        <w:rPr>
          <w:rFonts w:ascii="Arial" w:cs="Arial" w:eastAsia="Arial" w:hAnsi="Arial"/>
          <w:sz w:val="16"/>
          <w:szCs w:val="16"/>
          <w:color w:val="auto"/>
        </w:rPr>
      </w:pPr>
      <w:r>
        <w:rPr>
          <w:rFonts w:ascii="Arial" w:cs="Arial" w:eastAsia="Arial" w:hAnsi="Arial"/>
          <w:sz w:val="16"/>
          <w:szCs w:val="16"/>
          <w:color w:val="auto"/>
        </w:rPr>
        <w:t>honor of a demand for payment presented electronically even if such Letter of Credit requires that demand be in the form of a draft;</w:t>
      </w:r>
    </w:p>
    <w:p>
      <w:pPr>
        <w:spacing w:after="0" w:line="113" w:lineRule="exact"/>
        <w:rPr>
          <w:rFonts w:ascii="Arial" w:cs="Arial" w:eastAsia="Arial" w:hAnsi="Arial"/>
          <w:sz w:val="16"/>
          <w:szCs w:val="16"/>
          <w:color w:val="auto"/>
        </w:rPr>
      </w:pPr>
    </w:p>
    <w:p>
      <w:pPr>
        <w:ind w:left="460" w:right="60" w:firstLine="443"/>
        <w:spacing w:after="0" w:line="259" w:lineRule="auto"/>
        <w:tabs>
          <w:tab w:leader="none" w:pos="1196"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59" w:lineRule="exact"/>
        <w:rPr>
          <w:rFonts w:ascii="Arial" w:cs="Arial" w:eastAsia="Arial" w:hAnsi="Arial"/>
          <w:sz w:val="18"/>
          <w:szCs w:val="18"/>
          <w:color w:val="auto"/>
        </w:rPr>
      </w:pPr>
    </w:p>
    <w:p>
      <w:pPr>
        <w:ind w:left="460" w:right="80" w:firstLine="443"/>
        <w:spacing w:after="0" w:line="298" w:lineRule="auto"/>
        <w:tabs>
          <w:tab w:leader="none" w:pos="1244" w:val="left"/>
        </w:tabs>
        <w:numPr>
          <w:ilvl w:val="1"/>
          <w:numId w:val="93"/>
        </w:numPr>
        <w:rPr>
          <w:rFonts w:ascii="Arial" w:cs="Arial" w:eastAsia="Arial" w:hAnsi="Arial"/>
          <w:sz w:val="16"/>
          <w:szCs w:val="16"/>
          <w:color w:val="auto"/>
        </w:rPr>
      </w:pPr>
      <w:r>
        <w:rPr>
          <w:rFonts w:ascii="Arial" w:cs="Arial" w:eastAsia="Arial" w:hAnsi="Arial"/>
          <w:sz w:val="16"/>
          <w:szCs w:val="16"/>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31" w:lineRule="exact"/>
        <w:rPr>
          <w:rFonts w:ascii="Arial" w:cs="Arial" w:eastAsia="Arial" w:hAnsi="Arial"/>
          <w:sz w:val="16"/>
          <w:szCs w:val="16"/>
          <w:color w:val="auto"/>
        </w:rPr>
      </w:pPr>
    </w:p>
    <w:p>
      <w:pPr>
        <w:ind w:left="460" w:right="220" w:firstLine="443"/>
        <w:spacing w:after="0" w:line="268" w:lineRule="auto"/>
        <w:tabs>
          <w:tab w:leader="none" w:pos="1293"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any Subsidiary.</w:t>
      </w:r>
    </w:p>
    <w:p>
      <w:pPr>
        <w:spacing w:after="0" w:line="132"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147" w:name="page148"/>
    <w:bookmarkEnd w:id="147"/>
    <w:p>
      <w:pPr>
        <w:ind w:left="-8" w:right="20" w:firstLine="464"/>
        <w:spacing w:after="0" w:line="283" w:lineRule="auto"/>
        <w:tabs>
          <w:tab w:leader="none" w:pos="668"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Role of L/C Issuer</w:t>
      </w:r>
      <w:r>
        <w:rPr>
          <w:rFonts w:ascii="Arial" w:cs="Arial" w:eastAsia="Arial" w:hAnsi="Arial"/>
          <w:sz w:val="16"/>
          <w:szCs w:val="16"/>
          <w:color w:val="auto"/>
        </w:rPr>
        <w:t>. Each Lender and the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w:t>
      </w:r>
    </w:p>
    <w:p>
      <w:pPr>
        <w:spacing w:after="0" w:line="2" w:lineRule="exact"/>
        <w:rPr>
          <w:rFonts w:ascii="Arial" w:cs="Arial" w:eastAsia="Arial" w:hAnsi="Arial"/>
          <w:sz w:val="16"/>
          <w:szCs w:val="16"/>
          <w:color w:val="auto"/>
        </w:rPr>
      </w:pPr>
    </w:p>
    <w:p>
      <w:pPr>
        <w:ind w:left="-8" w:right="60" w:firstLine="8"/>
        <w:spacing w:after="0" w:line="284" w:lineRule="auto"/>
        <w:tabs>
          <w:tab w:leader="none" w:pos="202"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any action taken or omitted in connection herewith at the request or with the approval of the Lenders, the Required Revolving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the Borrower from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(viii)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Arial" w:cs="Arial" w:eastAsia="Arial" w:hAnsi="Arial"/>
          <w:sz w:val="16"/>
          <w:szCs w:val="16"/>
          <w:u w:val="single" w:color="auto"/>
          <w:color w:val="auto"/>
        </w:rPr>
        <w:t>SWIFT</w:t>
      </w:r>
      <w:r>
        <w:rPr>
          <w:rFonts w:ascii="Arial" w:cs="Arial" w:eastAsia="Arial" w:hAnsi="Arial"/>
          <w:sz w:val="16"/>
          <w:szCs w:val="16"/>
          <w:color w:val="auto"/>
        </w:rPr>
        <w:t>”) message or overnight courier, or any other commercially reasonable means of communicating with a beneficiary.</w:t>
      </w:r>
    </w:p>
    <w:p>
      <w:pPr>
        <w:spacing w:after="0" w:line="129" w:lineRule="exact"/>
        <w:rPr>
          <w:rFonts w:ascii="Arial" w:cs="Arial" w:eastAsia="Arial" w:hAnsi="Arial"/>
          <w:sz w:val="16"/>
          <w:szCs w:val="16"/>
          <w:color w:val="auto"/>
        </w:rPr>
      </w:pPr>
    </w:p>
    <w:p>
      <w:pPr>
        <w:ind w:left="-8" w:firstLine="464"/>
        <w:spacing w:after="0" w:line="290" w:lineRule="auto"/>
        <w:tabs>
          <w:tab w:leader="none" w:pos="697"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Applicability of ISP and UCP; Limitation of Liability</w:t>
      </w:r>
      <w:r>
        <w:rPr>
          <w:rFonts w:ascii="Arial" w:cs="Arial" w:eastAsia="Arial" w:hAnsi="Arial"/>
          <w:sz w:val="16"/>
          <w:szCs w:val="16"/>
          <w:color w:val="auto"/>
        </w:rPr>
        <w:t>. Unless otherwise expressly agreed by the L/C Issuer and the Borrower when a Letter of Credit is issued, the rules of the ISP shall apply to each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Trade—International Financial Services Association (BAFT-IFSA), or the Institute of International Banking Law &amp; Practice, whether or not any Letter of Credit chooses such Law or practice.</w:t>
      </w:r>
    </w:p>
    <w:p>
      <w:pPr>
        <w:spacing w:after="0" w:line="118" w:lineRule="exact"/>
        <w:rPr>
          <w:rFonts w:ascii="Arial" w:cs="Arial" w:eastAsia="Arial" w:hAnsi="Arial"/>
          <w:sz w:val="16"/>
          <w:szCs w:val="16"/>
          <w:color w:val="auto"/>
        </w:rPr>
      </w:pPr>
    </w:p>
    <w:p>
      <w:pPr>
        <w:ind w:left="-8" w:right="160" w:firstLine="464"/>
        <w:spacing w:after="0" w:line="294" w:lineRule="auto"/>
        <w:tabs>
          <w:tab w:leader="none" w:pos="697" w:val="left"/>
        </w:tabs>
        <w:numPr>
          <w:ilvl w:val="1"/>
          <w:numId w:val="95"/>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xml:space="preserve">. The Borrower shall pay to the Administrative Agent for the account of each Lender in accordance, subject to </w:t>
      </w:r>
      <w:r>
        <w:rPr>
          <w:rFonts w:ascii="Arial" w:cs="Arial" w:eastAsia="Arial" w:hAnsi="Arial"/>
          <w:sz w:val="16"/>
          <w:szCs w:val="16"/>
          <w:u w:val="single" w:color="auto"/>
          <w:color w:val="auto"/>
        </w:rPr>
        <w:t>Section 2.15</w:t>
      </w:r>
      <w:r>
        <w:rPr>
          <w:rFonts w:ascii="Arial" w:cs="Arial" w:eastAsia="Arial" w:hAnsi="Arial"/>
          <w:sz w:val="16"/>
          <w:szCs w:val="16"/>
          <w:color w:val="auto"/>
        </w:rPr>
        <w:t>, with its Applicable Percentage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xml:space="preserve">”) for each Letter of Credit equal to the Applicable Rate for Revolving Loans that are Eurodollar Rate Loans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Letter of Credit Fees shall be (i) due and payable on the first Business Day after the end of each March, June,</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92"/>
          </w:cols>
          <w:pgMar w:left="248" w:top="280" w:right="259" w:bottom="1440" w:gutter="0" w:footer="0" w:header="0"/>
        </w:sectPr>
      </w:pPr>
    </w:p>
    <w:bookmarkStart w:id="148" w:name="page149"/>
    <w:bookmarkEnd w:id="148"/>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and December, commencing with the first such date to occur after the issuance of such Letter of Credit, on the Maturity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or at any time the Default Rate is in effect, all Letter of Credit Fees shall accrue at the Default Rate.</w:t>
      </w:r>
    </w:p>
    <w:p>
      <w:pPr>
        <w:spacing w:after="0" w:line="116" w:lineRule="exact"/>
        <w:rPr>
          <w:sz w:val="20"/>
          <w:szCs w:val="20"/>
          <w:color w:val="auto"/>
        </w:rPr>
      </w:pPr>
    </w:p>
    <w:p>
      <w:pPr>
        <w:ind w:right="140" w:firstLine="464"/>
        <w:spacing w:after="0" w:line="288" w:lineRule="auto"/>
        <w:tabs>
          <w:tab w:leader="none" w:pos="666"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Fronting Fee and Documentary and Processing Charges Payable to L/C Issuer</w:t>
      </w:r>
      <w:r>
        <w:rPr>
          <w:rFonts w:ascii="Arial" w:cs="Arial" w:eastAsia="Arial" w:hAnsi="Arial"/>
          <w:sz w:val="16"/>
          <w:szCs w:val="16"/>
          <w:color w:val="auto"/>
        </w:rPr>
        <w:t xml:space="preserve">. The Borrower shall pay directly to the L/C Issuer for its own account a fronting fee with respect to each Letter of Credit, at the rate per annum specified in the Fee Letter, computed on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19" w:lineRule="exact"/>
        <w:rPr>
          <w:rFonts w:ascii="Arial" w:cs="Arial" w:eastAsia="Arial" w:hAnsi="Arial"/>
          <w:sz w:val="16"/>
          <w:szCs w:val="16"/>
          <w:color w:val="auto"/>
        </w:rPr>
      </w:pPr>
    </w:p>
    <w:p>
      <w:pPr>
        <w:ind w:left="680" w:hanging="216"/>
        <w:spacing w:after="0"/>
        <w:tabs>
          <w:tab w:leader="none" w:pos="68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Conflict with Issuer Documents</w:t>
      </w:r>
      <w:r>
        <w:rPr>
          <w:rFonts w:ascii="Arial" w:cs="Arial" w:eastAsia="Arial" w:hAnsi="Arial"/>
          <w:sz w:val="16"/>
          <w:szCs w:val="16"/>
          <w:color w:val="auto"/>
        </w:rPr>
        <w:t>. In the event of any conflict between the terms hereof and the terms of any Issuer Document, the terms hereof shall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164" w:lineRule="exact"/>
        <w:rPr>
          <w:rFonts w:ascii="Arial" w:cs="Arial" w:eastAsia="Arial" w:hAnsi="Arial"/>
          <w:sz w:val="16"/>
          <w:szCs w:val="16"/>
          <w:color w:val="auto"/>
        </w:rPr>
      </w:pPr>
    </w:p>
    <w:p>
      <w:pPr>
        <w:ind w:right="140" w:firstLine="464"/>
        <w:spacing w:after="0" w:line="298" w:lineRule="auto"/>
        <w:tabs>
          <w:tab w:leader="none" w:pos="705"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Letters of Credit Issued for Subsidiaries</w:t>
      </w:r>
      <w:r>
        <w:rPr>
          <w:rFonts w:ascii="Arial" w:cs="Arial" w:eastAsia="Arial" w:hAnsi="Arial"/>
          <w:sz w:val="16"/>
          <w:szCs w:val="16"/>
          <w:color w:val="auto"/>
        </w:rPr>
        <w:t>. Notwithstanding that a Letter of Credit issued or outstanding hereunder is in support of any obligations of, or is for the account of, a Subsidiary, the Borrower shall be obligated to reimburse the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Swing Line Loans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6" w:lineRule="auto"/>
        <w:tabs>
          <w:tab w:leader="none" w:pos="69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Swing Line Facility</w:t>
      </w:r>
      <w:r>
        <w:rPr>
          <w:rFonts w:ascii="Arial" w:cs="Arial" w:eastAsia="Arial" w:hAnsi="Arial"/>
          <w:sz w:val="16"/>
          <w:szCs w:val="16"/>
          <w:color w:val="auto"/>
        </w:rPr>
        <w:t xml:space="preserve">. Subject to the terms and conditions set forth herein, the Swing Line Lender, in reliance upon the agreements of the other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may in its sole discretion make loans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to the Borrower in Dollars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Revolving Loans and L/C Obligations of the Lender acting as Swing Line Lender, may exceed the amount of such Lender’s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after giving effect to any Swing Line Loan, (A) the Total Revolving Outstandings shall not exceed the Aggregate Revolving Commitments and (B) the Revolving Credit Exposure of any Lender shall not exceed such Lender’s Revolving Commitment, (ii) the Borrower shall not use the proceeds of any Swing Line Loan to refinance any outstanding Swing Line Loan and (iii)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Each Swing Line Loan shall be a Base Rate Loan.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Swing Line Loan.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149" w:name="page150"/>
    <w:bookmarkEnd w:id="149"/>
    <w:p>
      <w:pPr>
        <w:ind w:left="-8" w:right="120" w:firstLine="464"/>
        <w:spacing w:after="0" w:line="303" w:lineRule="auto"/>
        <w:tabs>
          <w:tab w:leader="none" w:pos="697" w:val="left"/>
        </w:tabs>
        <w:numPr>
          <w:ilvl w:val="1"/>
          <w:numId w:val="98"/>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Borrowing Procedures</w:t>
      </w:r>
      <w:r>
        <w:rPr>
          <w:rFonts w:ascii="Arial" w:cs="Arial" w:eastAsia="Arial" w:hAnsi="Arial"/>
          <w:sz w:val="15"/>
          <w:szCs w:val="15"/>
          <w:color w:val="auto"/>
        </w:rPr>
        <w:t>. Each Borrowing of Swing Line Loans shall be made upon the Borrower’s irrevocable notice to the Swing Line Lender and the Administrative Agent, which may be given by telephone. Each such notice must be received by the Swing Line Lender and the Administrative Agent not later than 12:00 noon on the requested borrowing date, and shall specify (i) the amount to be borrowed, which shall be a minimum principal amount of $100,000, and</w:t>
      </w:r>
    </w:p>
    <w:p>
      <w:pPr>
        <w:spacing w:after="0" w:line="1" w:lineRule="exact"/>
        <w:rPr>
          <w:rFonts w:ascii="Arial" w:cs="Arial" w:eastAsia="Arial" w:hAnsi="Arial"/>
          <w:sz w:val="15"/>
          <w:szCs w:val="15"/>
          <w:color w:val="auto"/>
        </w:rPr>
      </w:pPr>
    </w:p>
    <w:p>
      <w:pPr>
        <w:ind w:left="-8" w:firstLine="8"/>
        <w:spacing w:after="0" w:line="287" w:lineRule="auto"/>
        <w:tabs>
          <w:tab w:leader="none" w:pos="250"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1:00 p.m. on the date of the proposed Borrowing of Swing Line Loans (A) directing the Swing Line Lender not to make such Swing Line Loan as a result of the limitations set forth in the first proviso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or (B) that one or more of the applicable conditions specified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is not then satisfied, then, subject to the terms and conditions hereof, the Swing Line Lender will, not later than 2:00 p.m. on the borrowing date specified in such Swing Line Loan Notice, make the amount of its Swing Line Loan available to the Borrower.</w:t>
      </w:r>
    </w:p>
    <w:p>
      <w:pPr>
        <w:spacing w:after="0" w:line="120" w:lineRule="exact"/>
        <w:rPr>
          <w:rFonts w:ascii="Arial" w:cs="Arial" w:eastAsia="Arial" w:hAnsi="Arial"/>
          <w:sz w:val="16"/>
          <w:szCs w:val="16"/>
          <w:color w:val="auto"/>
        </w:rPr>
      </w:pPr>
    </w:p>
    <w:p>
      <w:pPr>
        <w:ind w:left="692" w:hanging="236"/>
        <w:spacing w:after="0"/>
        <w:tabs>
          <w:tab w:leader="none" w:pos="692"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52" w:right="20" w:firstLine="443"/>
        <w:spacing w:after="0" w:line="286" w:lineRule="auto"/>
        <w:tabs>
          <w:tab w:leader="none" w:pos="1100" w:val="left"/>
        </w:tabs>
        <w:numPr>
          <w:ilvl w:val="2"/>
          <w:numId w:val="99"/>
        </w:numPr>
        <w:rPr>
          <w:rFonts w:ascii="Arial" w:cs="Arial" w:eastAsia="Arial" w:hAnsi="Arial"/>
          <w:sz w:val="16"/>
          <w:szCs w:val="16"/>
          <w:color w:val="auto"/>
        </w:rPr>
      </w:pPr>
      <w:r>
        <w:rPr>
          <w:rFonts w:ascii="Arial" w:cs="Arial" w:eastAsia="Arial" w:hAnsi="Arial"/>
          <w:sz w:val="16"/>
          <w:szCs w:val="16"/>
          <w:color w:val="auto"/>
        </w:rPr>
        <w:t xml:space="preserve">The Swing Line Lender at any time in its sole discretion may request, on behalf of the Borrower (which hereby irrevocably authorizes the Swing Line Lender to so request on its behalf), that each Lender make a Revolving Loan that is a Base Rate Loan in an amount equal to such Lender’s Applicable Percentage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The Swing Line Lender shall furnish the Borrower with a copy of the applicable Loan Notice promptly after delivering such notice to the Administrative Agent. Each Lender shall make an amount equal to its Applicable Percentage of the amount specified in such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2:00 p.m. on the day specified in such Loan Notice, whereupon, subject to </w:t>
      </w:r>
      <w:r>
        <w:rPr>
          <w:rFonts w:ascii="Arial" w:cs="Arial" w:eastAsia="Arial" w:hAnsi="Arial"/>
          <w:sz w:val="16"/>
          <w:szCs w:val="16"/>
          <w:u w:val="single" w:color="auto"/>
          <w:color w:val="auto"/>
        </w:rPr>
        <w:t>Section 2.04(c)(ii)</w:t>
      </w:r>
      <w:r>
        <w:rPr>
          <w:rFonts w:ascii="Arial" w:cs="Arial" w:eastAsia="Arial" w:hAnsi="Arial"/>
          <w:sz w:val="16"/>
          <w:szCs w:val="16"/>
          <w:color w:val="auto"/>
        </w:rPr>
        <w:t>, each Lender that so makes funds available shall be deemed to have made a Revolving Loan that is a Base Rate Loan to the Borrower in such amount. The Administrative Agent shall remit the funds so received to the Swing Line Lender.</w:t>
      </w:r>
    </w:p>
    <w:p>
      <w:pPr>
        <w:spacing w:after="0" w:line="46" w:lineRule="exact"/>
        <w:rPr>
          <w:rFonts w:ascii="Arial" w:cs="Arial" w:eastAsia="Arial" w:hAnsi="Arial"/>
          <w:sz w:val="16"/>
          <w:szCs w:val="16"/>
          <w:color w:val="auto"/>
        </w:rPr>
      </w:pPr>
    </w:p>
    <w:p>
      <w:pPr>
        <w:ind w:left="452" w:firstLine="443"/>
        <w:spacing w:after="0" w:line="298" w:lineRule="auto"/>
        <w:tabs>
          <w:tab w:leader="none" w:pos="1149" w:val="left"/>
        </w:tabs>
        <w:numPr>
          <w:ilvl w:val="2"/>
          <w:numId w:val="99"/>
        </w:numPr>
        <w:rPr>
          <w:rFonts w:ascii="Arial" w:cs="Arial" w:eastAsia="Arial" w:hAnsi="Arial"/>
          <w:sz w:val="16"/>
          <w:szCs w:val="16"/>
          <w:color w:val="auto"/>
        </w:rPr>
      </w:pPr>
      <w:r>
        <w:rPr>
          <w:rFonts w:ascii="Arial" w:cs="Arial" w:eastAsia="Arial" w:hAnsi="Arial"/>
          <w:sz w:val="16"/>
          <w:szCs w:val="16"/>
          <w:color w:val="auto"/>
        </w:rPr>
        <w:t xml:space="preserve">If for any reason any Swing Line Loan cannot be refinanced by such a Borrowing of Revolving Loans in accordance with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the request for Revolving Loans that are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shall be deemed payment in respect of such participation.</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12"/>
          </w:cols>
          <w:pgMar w:left="248" w:top="280" w:right="239" w:bottom="1440" w:gutter="0" w:footer="0" w:header="0"/>
        </w:sectPr>
      </w:pPr>
    </w:p>
    <w:bookmarkStart w:id="150" w:name="page151"/>
    <w:bookmarkEnd w:id="150"/>
    <w:p>
      <w:pPr>
        <w:ind w:left="420" w:right="40" w:firstLine="443"/>
        <w:spacing w:after="0" w:line="288" w:lineRule="auto"/>
        <w:tabs>
          <w:tab w:leader="none" w:pos="1165" w:val="left"/>
        </w:tabs>
        <w:numPr>
          <w:ilvl w:val="0"/>
          <w:numId w:val="1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2.04(c)(i)</w:t>
      </w:r>
      <w:r>
        <w:rPr>
          <w:rFonts w:ascii="Arial" w:cs="Arial" w:eastAsia="Arial" w:hAnsi="Arial"/>
          <w:sz w:val="16"/>
          <w:szCs w:val="16"/>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Revolving Loan included in the relevant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38" w:lineRule="exact"/>
        <w:rPr>
          <w:rFonts w:ascii="Arial" w:cs="Arial" w:eastAsia="Arial" w:hAnsi="Arial"/>
          <w:sz w:val="16"/>
          <w:szCs w:val="16"/>
          <w:color w:val="auto"/>
        </w:rPr>
      </w:pPr>
    </w:p>
    <w:p>
      <w:pPr>
        <w:ind w:left="1160" w:hanging="297"/>
        <w:spacing w:after="0"/>
        <w:tabs>
          <w:tab w:leader="none" w:pos="11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Each Lender’s obligation to make Revolving Loans or to purchase and fund risk participations in Swing Line Loans pursuant to this</w:t>
      </w:r>
    </w:p>
    <w:p>
      <w:pPr>
        <w:spacing w:after="0" w:line="38" w:lineRule="exact"/>
        <w:rPr>
          <w:sz w:val="20"/>
          <w:szCs w:val="20"/>
          <w:color w:val="auto"/>
        </w:rPr>
      </w:pPr>
    </w:p>
    <w:p>
      <w:pPr>
        <w:ind w:left="420" w:right="40"/>
        <w:spacing w:after="0" w:line="252" w:lineRule="auto"/>
        <w:rPr>
          <w:sz w:val="20"/>
          <w:szCs w:val="20"/>
          <w:color w:val="auto"/>
        </w:rPr>
      </w:pP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that such Lender may have against the Swing Line Lender, the Borrower, any Subsidiary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Lender’s obligation to make Revolving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No such funding of risk participations shall relieve or otherwise impair the obligation of the Borrower to repay Swing Line Loans, together with interest as provided herein.</w:t>
      </w:r>
    </w:p>
    <w:p>
      <w:pPr>
        <w:spacing w:after="0" w:line="148" w:lineRule="exact"/>
        <w:rPr>
          <w:sz w:val="20"/>
          <w:szCs w:val="20"/>
          <w:color w:val="auto"/>
        </w:rPr>
      </w:pPr>
    </w:p>
    <w:p>
      <w:pPr>
        <w:ind w:left="680" w:hanging="256"/>
        <w:spacing w:after="0"/>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20" w:right="40" w:firstLine="443"/>
        <w:spacing w:after="0" w:line="259" w:lineRule="auto"/>
        <w:tabs>
          <w:tab w:leader="none" w:pos="106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in the same funds as those received by the Swing Line Lender.</w:t>
      </w:r>
    </w:p>
    <w:p>
      <w:pPr>
        <w:spacing w:after="0" w:line="59" w:lineRule="exact"/>
        <w:rPr>
          <w:rFonts w:ascii="Arial" w:cs="Arial" w:eastAsia="Arial" w:hAnsi="Arial"/>
          <w:sz w:val="18"/>
          <w:szCs w:val="18"/>
          <w:color w:val="auto"/>
        </w:rPr>
      </w:pPr>
    </w:p>
    <w:p>
      <w:pPr>
        <w:ind w:left="420" w:firstLine="443"/>
        <w:spacing w:after="0" w:line="291" w:lineRule="auto"/>
        <w:tabs>
          <w:tab w:leader="none" w:pos="1117" w:val="left"/>
        </w:tabs>
        <w:numPr>
          <w:ilvl w:val="1"/>
          <w:numId w:val="101"/>
        </w:numPr>
        <w:rPr>
          <w:rFonts w:ascii="Arial" w:cs="Arial" w:eastAsia="Arial" w:hAnsi="Arial"/>
          <w:sz w:val="16"/>
          <w:szCs w:val="16"/>
          <w:color w:val="auto"/>
        </w:rPr>
      </w:pPr>
      <w:r>
        <w:rPr>
          <w:rFonts w:ascii="Arial" w:cs="Arial" w:eastAsia="Arial" w:hAnsi="Arial"/>
          <w:sz w:val="16"/>
          <w:szCs w:val="16"/>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120" w:lineRule="exact"/>
        <w:rPr>
          <w:rFonts w:ascii="Arial" w:cs="Arial" w:eastAsia="Arial" w:hAnsi="Arial"/>
          <w:sz w:val="16"/>
          <w:szCs w:val="16"/>
          <w:color w:val="auto"/>
        </w:rPr>
      </w:pPr>
    </w:p>
    <w:p>
      <w:pPr>
        <w:ind w:left="-40" w:right="420" w:firstLine="464"/>
        <w:spacing w:after="0" w:line="306" w:lineRule="auto"/>
        <w:tabs>
          <w:tab w:leader="none" w:pos="655"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Interest for Account of Swing Line Lender</w:t>
      </w:r>
      <w:r>
        <w:rPr>
          <w:rFonts w:ascii="Arial" w:cs="Arial" w:eastAsia="Arial" w:hAnsi="Arial"/>
          <w:sz w:val="16"/>
          <w:szCs w:val="16"/>
          <w:color w:val="auto"/>
        </w:rPr>
        <w:t xml:space="preserve">. The Swing Line Lender shall be responsible for invoicing the Borrower for interest on the Swing Line Loans. Until each Lender funds its Revolving Loans that are Base Rate Loans or risk participation pursuant to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to refinance such Lender’s Applicable Percentage of any Swing Line Loan, interest in respect of such Applicable Percentage shall be solely for the account of the Swing Line Lender.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80" w:top="280" w:right="259" w:bottom="1440" w:gutter="0" w:footer="0" w:header="0"/>
        </w:sectPr>
      </w:pPr>
    </w:p>
    <w:bookmarkStart w:id="151" w:name="page152"/>
    <w:bookmarkEnd w:id="151"/>
    <w:p>
      <w:pPr>
        <w:ind w:right="60" w:firstLine="464"/>
        <w:spacing w:after="0" w:line="268" w:lineRule="auto"/>
        <w:tabs>
          <w:tab w:leader="none" w:pos="676"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Directly to Swing Line Lender</w:t>
      </w:r>
      <w:r>
        <w:rPr>
          <w:rFonts w:ascii="Arial" w:cs="Arial" w:eastAsia="Arial" w:hAnsi="Arial"/>
          <w:sz w:val="18"/>
          <w:szCs w:val="18"/>
          <w:color w:val="auto"/>
        </w:rPr>
        <w:t>. The Borrower shall make all payments of principal and interest in respect of the Swing Line Loans directly to the Swing Line Lender.</w:t>
      </w:r>
    </w:p>
    <w:p>
      <w:pPr>
        <w:spacing w:after="0" w:line="131" w:lineRule="exact"/>
        <w:rPr>
          <w:rFonts w:ascii="Arial" w:cs="Arial" w:eastAsia="Arial" w:hAnsi="Arial"/>
          <w:sz w:val="18"/>
          <w:szCs w:val="18"/>
          <w:color w:val="auto"/>
        </w:rPr>
      </w:pPr>
    </w:p>
    <w:p>
      <w:pPr>
        <w:ind w:right="40" w:firstLine="464"/>
        <w:spacing w:after="0" w:line="289" w:lineRule="auto"/>
        <w:tabs>
          <w:tab w:leader="none" w:pos="705"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Auto Borrow Arrangement</w:t>
      </w:r>
      <w:r>
        <w:rPr>
          <w:rFonts w:ascii="Arial" w:cs="Arial" w:eastAsia="Arial" w:hAnsi="Arial"/>
          <w:sz w:val="16"/>
          <w:szCs w:val="16"/>
          <w:color w:val="auto"/>
        </w:rPr>
        <w:t>. In order to facilitate the borrowing of Swing Line Loans, the Borrower and the Swing Line Lender may mutually agree to, and are hereby authorized to, enter into an auto borrow agreement in form and substance reasonably satisfactory to the Swing Line Lender and the Administrative Agent (the “</w:t>
      </w:r>
      <w:r>
        <w:rPr>
          <w:rFonts w:ascii="Arial" w:cs="Arial" w:eastAsia="Arial" w:hAnsi="Arial"/>
          <w:sz w:val="16"/>
          <w:szCs w:val="16"/>
          <w:u w:val="single" w:color="auto"/>
          <w:color w:val="auto"/>
        </w:rPr>
        <w:t>Auto Borrow Agreement</w:t>
      </w:r>
      <w:r>
        <w:rPr>
          <w:rFonts w:ascii="Arial" w:cs="Arial" w:eastAsia="Arial" w:hAnsi="Arial"/>
          <w:sz w:val="16"/>
          <w:szCs w:val="16"/>
          <w:color w:val="auto"/>
        </w:rPr>
        <w:t>”) providing for the automatic advance by the Swing Line Lender of Swing Line Loans under the conditions set forth in the Auto Borrow Agreement, subject to the conditions set forth herein. At any time an Auto Borrow Agreement is in effect, advances under the Auto Borrow Agreement shall be deemed Swing Line Loans for all purposes hereof, except that Borrowings of Swing Line Loans under the Auto Borrow Agreement shall be made in accordance with the Auto Borrow Agreement. For purposes of determining the Total Revolving Outstandings at any time during which an Auto Borrow Agreement is in effect, the Outstanding Amount of all Swing Line Loans shall be deemed to be the sum of the Outstanding Amount of Swing Line Loans at such time plus the maximum amount available to be borrowed under such Auto Borrow Agreement at such time.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Voluntary Prepayments of Loans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320" w:firstLine="443"/>
        <w:spacing w:after="0" w:line="284" w:lineRule="auto"/>
        <w:tabs>
          <w:tab w:leader="none" w:pos="1108"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Revolving Loans and Term Loan</w:t>
      </w:r>
      <w:r>
        <w:rPr>
          <w:rFonts w:ascii="Arial" w:cs="Arial" w:eastAsia="Arial" w:hAnsi="Arial"/>
          <w:sz w:val="16"/>
          <w:szCs w:val="16"/>
          <w:color w:val="auto"/>
        </w:rPr>
        <w:t xml:space="preserve">. The Borrower may, upon notice from the Borrower to the Administrative Agent, at any time or from time to time voluntarily prepay Revolving Loans and the Term Loan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notice must be received by the Administrative Agent not later than 12:00 noon (1) three Business Days prior to any date of prepayment of Eurodollar Rate Loans and</w:t>
      </w:r>
    </w:p>
    <w:p>
      <w:pPr>
        <w:spacing w:after="0" w:line="1" w:lineRule="exact"/>
        <w:rPr>
          <w:rFonts w:ascii="Arial" w:cs="Arial" w:eastAsia="Arial" w:hAnsi="Arial"/>
          <w:sz w:val="16"/>
          <w:szCs w:val="16"/>
          <w:color w:val="auto"/>
        </w:rPr>
      </w:pPr>
    </w:p>
    <w:p>
      <w:pPr>
        <w:ind w:left="460"/>
        <w:spacing w:after="0" w:line="281" w:lineRule="auto"/>
        <w:rPr>
          <w:rFonts w:ascii="Arial" w:cs="Arial" w:eastAsia="Arial" w:hAnsi="Arial"/>
          <w:sz w:val="16"/>
          <w:szCs w:val="16"/>
          <w:color w:val="auto"/>
        </w:rPr>
      </w:pPr>
      <w:r>
        <w:rPr>
          <w:rFonts w:ascii="Arial" w:cs="Arial" w:eastAsia="Arial" w:hAnsi="Arial"/>
          <w:sz w:val="16"/>
          <w:szCs w:val="16"/>
          <w:color w:val="auto"/>
        </w:rPr>
        <w:t xml:space="preserve">(2) on the date of prepayment of Base Rate Loans; (B) any such prepayment of Eurodollar Rate Loans shall be in a principal amount of $5,000,000 or a whole multiple of $1,000,000 in excess thereof (or, if less, the entire principal amount thereof then outstanding); (C) any prepayment of Base Rate Loans shall be in a principal amount of $500,000 or a whole multiple of $100,000 in excess thereof (or, if less, the entire principal amount thereof then outstanding); and (D) any prepayment of the Term Loan shall be applied to the remaining principal amortization payments in inverse order of maturity.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Subject to</w:t>
      </w:r>
    </w:p>
    <w:p>
      <w:pPr>
        <w:spacing w:after="0" w:line="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u w:val="single" w:color="auto"/>
          <w:color w:val="auto"/>
        </w:rPr>
        <w:t>Section 2.15</w:t>
      </w:r>
      <w:r>
        <w:rPr>
          <w:rFonts w:ascii="Arial" w:cs="Arial" w:eastAsia="Arial" w:hAnsi="Arial"/>
          <w:sz w:val="16"/>
          <w:szCs w:val="16"/>
          <w:color w:val="auto"/>
        </w:rPr>
        <w:t>, each such prepayment shall be applied to the Loans of the Lenders in accordance with their respective Applicable Percentages.</w:t>
      </w:r>
    </w:p>
    <w:p>
      <w:pPr>
        <w:spacing w:after="0" w:line="106" w:lineRule="exact"/>
        <w:rPr>
          <w:rFonts w:ascii="Arial" w:cs="Arial" w:eastAsia="Arial" w:hAnsi="Arial"/>
          <w:sz w:val="16"/>
          <w:szCs w:val="16"/>
          <w:color w:val="auto"/>
        </w:rPr>
      </w:pPr>
    </w:p>
    <w:p>
      <w:pPr>
        <w:ind w:left="460" w:right="40" w:firstLine="443"/>
        <w:spacing w:after="0" w:line="254" w:lineRule="auto"/>
        <w:tabs>
          <w:tab w:leader="none" w:pos="1156" w:val="left"/>
        </w:tabs>
        <w:numPr>
          <w:ilvl w:val="1"/>
          <w:numId w:val="103"/>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 xml:space="preserve">. The Borrower may, upon notice to the Swing Line Lender (with a copy to the Administrative Agent), at any time or from time to time, voluntarily prepay Swing Line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notice must be received by the Swing Line Lender and the Administrative Agent not later than 12:00 noon on the date of the prepayment, and (ii) any such prepayment shall be in a minimum principal amount of $100,000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9" w:right="239" w:bottom="1440" w:gutter="0" w:footer="0" w:header="0"/>
        </w:sectPr>
      </w:pPr>
    </w:p>
    <w:bookmarkStart w:id="152" w:name="page153"/>
    <w:bookmarkEnd w:id="152"/>
    <w:p>
      <w:pPr>
        <w:ind w:left="260" w:hanging="256"/>
        <w:spacing w:after="0"/>
        <w:tabs>
          <w:tab w:leader="none" w:pos="2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Mandatory Prepayments of Loans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120" w:firstLine="443"/>
        <w:spacing w:after="0" w:line="255" w:lineRule="auto"/>
        <w:tabs>
          <w:tab w:leader="none" w:pos="648"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Revolving Commitments</w:t>
      </w:r>
      <w:r>
        <w:rPr>
          <w:rFonts w:ascii="Arial" w:cs="Arial" w:eastAsia="Arial" w:hAnsi="Arial"/>
          <w:sz w:val="18"/>
          <w:szCs w:val="18"/>
          <w:color w:val="auto"/>
        </w:rPr>
        <w:t xml:space="preserve">. If for any reason the Total Revolving Outstandings at any time exceed the Aggregate Revolving Commitments then in effect, the Borrower shall immediately prepay Revolving Loans and/or Swing Line Loans and/or Cash Collateralize the L/C Obligations in an aggregate amount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 shall not be required to Cash Collateralize the L/C Obligations pursuant to this </w:t>
      </w:r>
      <w:r>
        <w:rPr>
          <w:rFonts w:ascii="Arial" w:cs="Arial" w:eastAsia="Arial" w:hAnsi="Arial"/>
          <w:sz w:val="18"/>
          <w:szCs w:val="18"/>
          <w:u w:val="single" w:color="auto"/>
          <w:color w:val="auto"/>
        </w:rPr>
        <w:t>Section 2.05(b)(i)</w:t>
      </w:r>
      <w:r>
        <w:rPr>
          <w:rFonts w:ascii="Arial" w:cs="Arial" w:eastAsia="Arial" w:hAnsi="Arial"/>
          <w:sz w:val="18"/>
          <w:szCs w:val="18"/>
          <w:color w:val="auto"/>
        </w:rPr>
        <w:t xml:space="preserve"> unless after the prepayment in full of the Revolving Loans and Swing Line Loans the Total Revolving Outstandings exceed the Aggregate Revolving Commitments then in effect.</w:t>
      </w:r>
    </w:p>
    <w:p>
      <w:pPr>
        <w:spacing w:after="0" w:line="61" w:lineRule="exact"/>
        <w:rPr>
          <w:rFonts w:ascii="Arial" w:cs="Arial" w:eastAsia="Arial" w:hAnsi="Arial"/>
          <w:sz w:val="18"/>
          <w:szCs w:val="18"/>
          <w:color w:val="auto"/>
        </w:rPr>
      </w:pPr>
    </w:p>
    <w:p>
      <w:pPr>
        <w:ind w:firstLine="443"/>
        <w:spacing w:after="0" w:line="285" w:lineRule="auto"/>
        <w:tabs>
          <w:tab w:leader="none" w:pos="696"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Dispositions and Recovery Events</w:t>
      </w:r>
      <w:r>
        <w:rPr>
          <w:rFonts w:ascii="Arial" w:cs="Arial" w:eastAsia="Arial" w:hAnsi="Arial"/>
          <w:sz w:val="16"/>
          <w:szCs w:val="16"/>
          <w:color w:val="auto"/>
        </w:rPr>
        <w:t xml:space="preserve">. The Borrower shall prepay the Term Loan as hereafter provided in an aggregate amount equal to 100% of the Net Cash Proceeds of any Disposition (other than a Disposition of Excluded Fixed Assets) or Recovery Event (other than a Recovery Event with respect to Excluded Fixed Assets) that are not, within 365 days following receipt of such Net Cash Proceeds, committed to be reinvested pursuant to a legally binding commitment and, within 545 days following receipt of such Net Cash Proceeds, actually reinvested, in each case in property that is useful to the business of the Borrower and its Subsidiaries, which investment may include, in the case of a Recovery Event, the repair, restoration or replacement of the applicable property (it being understood that the Borrower shall prepay the Term Loan as hereafter provided in an amount equal to the amount of any Net Cash Proceeds not so committed to be reinvested during such 365 day period or actually reinvested during such 545 day period immediately upon the expiration of the applicable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aggregate amount of all such Net Cash Proceeds that may be reinvested in property other than Eligible Property is $5 million in any fiscal year and $10 million during the term of this Agreement and (B) if the aggregate amount of Net Cash Proceeds of all such Recovery Events received by the Borrower or any Subsidiary in any fiscal year exceeds the Threshold Amount, then the Borrower shall (1) deposit such excess amount of Net Cash Proceeds in a deposit account maintained with the Administrative Agent, (2) withdraw funds from such deposit account only to reinvest such Net Cash Proceeds in applicable property and (3) cause such deposit account to be subject at all times to first priority, perfected Liens in favor of the Administrative Agent, for the benefit of the holders of the Obligations, to secure the Obligations pursuant to documentation in form and substance satisfactory to the Administrative Agent.</w:t>
      </w:r>
    </w:p>
    <w:p>
      <w:pPr>
        <w:spacing w:after="0" w:line="47" w:lineRule="exact"/>
        <w:rPr>
          <w:rFonts w:ascii="Arial" w:cs="Arial" w:eastAsia="Arial" w:hAnsi="Arial"/>
          <w:sz w:val="16"/>
          <w:szCs w:val="16"/>
          <w:color w:val="auto"/>
        </w:rPr>
      </w:pPr>
    </w:p>
    <w:p>
      <w:pPr>
        <w:ind w:right="20" w:firstLine="443"/>
        <w:spacing w:after="0" w:line="332" w:lineRule="auto"/>
        <w:tabs>
          <w:tab w:leader="none" w:pos="745"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Debt Issuances</w:t>
      </w:r>
      <w:r>
        <w:rPr>
          <w:rFonts w:ascii="Arial" w:cs="Arial" w:eastAsia="Arial" w:hAnsi="Arial"/>
          <w:sz w:val="16"/>
          <w:szCs w:val="16"/>
          <w:color w:val="auto"/>
        </w:rPr>
        <w:t>. Within three (3) Business Days of the receipt by the Borrower or any Subsidiary of the Net Cash Proceeds of any Debt Issuance, the Borrower shall prepay the Term Loan as hereafter provided in an aggregate amount equal to 100% of such Net Cash Proceeds.</w:t>
      </w:r>
    </w:p>
    <w:p>
      <w:pPr>
        <w:spacing w:after="0" w:line="4" w:lineRule="exact"/>
        <w:rPr>
          <w:rFonts w:ascii="Arial" w:cs="Arial" w:eastAsia="Arial" w:hAnsi="Arial"/>
          <w:sz w:val="16"/>
          <w:szCs w:val="16"/>
          <w:color w:val="auto"/>
        </w:rPr>
      </w:pPr>
    </w:p>
    <w:p>
      <w:pPr>
        <w:ind w:left="740" w:hanging="297"/>
        <w:spacing w:after="0"/>
        <w:tabs>
          <w:tab w:leader="none" w:pos="740"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Application of Mandatory Prepayments</w:t>
      </w:r>
      <w:r>
        <w:rPr>
          <w:rFonts w:ascii="Arial" w:cs="Arial" w:eastAsia="Arial" w:hAnsi="Arial"/>
          <w:sz w:val="16"/>
          <w:szCs w:val="16"/>
          <w:color w:val="auto"/>
        </w:rPr>
        <w:t xml:space="preserve">. All amounts required to be paid pursuant to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shall be applied as follows:</w:t>
      </w:r>
    </w:p>
    <w:p>
      <w:pPr>
        <w:spacing w:after="0" w:line="113" w:lineRule="exact"/>
        <w:rPr>
          <w:rFonts w:ascii="Arial" w:cs="Arial" w:eastAsia="Arial" w:hAnsi="Arial"/>
          <w:sz w:val="16"/>
          <w:szCs w:val="16"/>
          <w:color w:val="auto"/>
        </w:rPr>
      </w:pPr>
    </w:p>
    <w:p>
      <w:pPr>
        <w:ind w:left="460" w:right="100" w:firstLine="421"/>
        <w:spacing w:after="0" w:line="268" w:lineRule="auto"/>
        <w:tabs>
          <w:tab w:leader="none" w:pos="1167" w:val="left"/>
        </w:tabs>
        <w:numPr>
          <w:ilvl w:val="2"/>
          <w:numId w:val="104"/>
        </w:numPr>
        <w:rPr>
          <w:rFonts w:ascii="Arial" w:cs="Arial" w:eastAsia="Arial" w:hAnsi="Arial"/>
          <w:sz w:val="18"/>
          <w:szCs w:val="18"/>
          <w:color w:val="auto"/>
        </w:rPr>
      </w:pPr>
      <w:r>
        <w:rPr>
          <w:rFonts w:ascii="Arial" w:cs="Arial" w:eastAsia="Arial" w:hAnsi="Arial"/>
          <w:sz w:val="18"/>
          <w:szCs w:val="18"/>
          <w:color w:val="auto"/>
        </w:rPr>
        <w:t xml:space="preserve">with respect to all amounts prepaid pursuant to </w:t>
      </w:r>
      <w:r>
        <w:rPr>
          <w:rFonts w:ascii="Arial" w:cs="Arial" w:eastAsia="Arial" w:hAnsi="Arial"/>
          <w:sz w:val="18"/>
          <w:szCs w:val="18"/>
          <w:u w:val="single" w:color="auto"/>
          <w:color w:val="auto"/>
        </w:rPr>
        <w:t>Section 2.05(b)(i)</w:t>
      </w:r>
      <w:r>
        <w:rPr>
          <w:rFonts w:ascii="Arial" w:cs="Arial" w:eastAsia="Arial" w:hAnsi="Arial"/>
          <w:sz w:val="18"/>
          <w:szCs w:val="18"/>
          <w:color w:val="auto"/>
        </w:rPr>
        <w:t xml:space="preserv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ratably to the L/C Borrowings and the Swing Line Loans,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outstanding Revolving Loans, and, </w:t>
      </w:r>
      <w:r>
        <w:rPr>
          <w:rFonts w:ascii="Arial" w:cs="Arial" w:eastAsia="Arial" w:hAnsi="Arial"/>
          <w:sz w:val="18"/>
          <w:szCs w:val="18"/>
          <w:u w:val="single" w:color="auto"/>
          <w:color w:val="auto"/>
        </w:rPr>
        <w:t>third</w:t>
      </w:r>
      <w:r>
        <w:rPr>
          <w:rFonts w:ascii="Arial" w:cs="Arial" w:eastAsia="Arial" w:hAnsi="Arial"/>
          <w:sz w:val="18"/>
          <w:szCs w:val="18"/>
          <w:color w:val="auto"/>
        </w:rPr>
        <w:t>, to Cash Collateralize the remaining L/C Obligations; and</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40"/>
          </w:cols>
          <w:pgMar w:left="700" w:top="280" w:right="259" w:bottom="1440" w:gutter="0" w:footer="0" w:header="0"/>
        </w:sectPr>
      </w:pPr>
    </w:p>
    <w:bookmarkStart w:id="153" w:name="page154"/>
    <w:bookmarkEnd w:id="153"/>
    <w:p>
      <w:pPr>
        <w:ind w:left="920" w:right="340" w:firstLine="421"/>
        <w:spacing w:after="0" w:line="268" w:lineRule="auto"/>
        <w:tabs>
          <w:tab w:leader="none" w:pos="1618"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respect to all amounts prepaid pursuant to </w:t>
      </w:r>
      <w:r>
        <w:rPr>
          <w:rFonts w:ascii="Arial" w:cs="Arial" w:eastAsia="Arial" w:hAnsi="Arial"/>
          <w:sz w:val="18"/>
          <w:szCs w:val="18"/>
          <w:u w:val="single" w:color="auto"/>
          <w:color w:val="auto"/>
        </w:rPr>
        <w:t>Sections 2.05(b)(ii)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to the Term Loan (to the remaining principal amortization payments in inverse order of maturity).</w:t>
      </w:r>
    </w:p>
    <w:p>
      <w:pPr>
        <w:spacing w:after="0" w:line="51" w:lineRule="exact"/>
        <w:rPr>
          <w:sz w:val="20"/>
          <w:szCs w:val="20"/>
          <w:color w:val="auto"/>
        </w:rPr>
      </w:pPr>
    </w:p>
    <w:p>
      <w:pPr>
        <w:jc w:val="both"/>
        <w:ind w:left="920" w:right="20"/>
        <w:spacing w:after="0" w:line="306" w:lineRule="auto"/>
        <w:rPr>
          <w:sz w:val="20"/>
          <w:szCs w:val="20"/>
          <w:color w:val="auto"/>
        </w:rPr>
      </w:pPr>
      <w:r>
        <w:rPr>
          <w:rFonts w:ascii="Arial" w:cs="Arial" w:eastAsia="Arial" w:hAnsi="Arial"/>
          <w:sz w:val="16"/>
          <w:szCs w:val="16"/>
          <w:color w:val="auto"/>
        </w:rPr>
        <w:t xml:space="preserve">Within the parameters of the applications set forth above, prepayments shall be applied first to Base Rate Loans and then to Eurodollar Rate Loans in direct order of Interest Period maturities. All prepayments under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shall be subject to </w:t>
      </w:r>
      <w:r>
        <w:rPr>
          <w:rFonts w:ascii="Arial" w:cs="Arial" w:eastAsia="Arial" w:hAnsi="Arial"/>
          <w:sz w:val="16"/>
          <w:szCs w:val="16"/>
          <w:u w:val="single" w:color="auto"/>
          <w:color w:val="auto"/>
        </w:rPr>
        <w:t>Section 3.05</w:t>
      </w:r>
      <w:r>
        <w:rPr>
          <w:rFonts w:ascii="Arial" w:cs="Arial" w:eastAsia="Arial" w:hAnsi="Arial"/>
          <w:sz w:val="16"/>
          <w:szCs w:val="16"/>
          <w:color w:val="auto"/>
        </w:rPr>
        <w:t>, but otherwise without premium or penalty, and shall be accompanied by interest on the principal amount prepaid through the date of prepayment.</w:t>
      </w:r>
    </w:p>
    <w:p>
      <w:pPr>
        <w:spacing w:after="0" w:line="14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u w:val="single" w:color="auto"/>
          <w:color w:val="auto"/>
        </w:rPr>
        <w:t>Termination or Reduction of Aggregate Revolving Commitments</w:t>
      </w:r>
      <w:r>
        <w:rPr>
          <w:rFonts w:ascii="Arial" w:cs="Arial" w:eastAsia="Arial" w:hAnsi="Arial"/>
          <w:sz w:val="16"/>
          <w:szCs w:val="16"/>
          <w:color w:val="auto"/>
        </w:rPr>
        <w:t>.</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Borrower may, upon notice to the Administrative Agent, terminate, in whole or in part, the Aggregate Revolving Commitments, or from time to time permanently reduce the Aggregate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notice shall be received by the Administrative Agent not later than 12:00 noon five Business Days prior to the date of termination or reduction, (ii) any such partial reduction shall be in an aggregate amount of $5,000,000 or any whole multiple of $1,000,000 in excess thereof, (iii) the Borrower shall not terminate or reduce the Aggregate Revolving Commitments if, after giving effect thereto and to any concurrent prepayments hereunder, the Total Revolving Outstandings would exceed the Aggregate Revolving Commitments and (iv) if, after giving effect to any reduction of the Aggregate Revolving Commitments, the Letter of Credit Sublimit or the Swing Line Sublimit exceeds the amount of the Aggregate Revolving Commitments, such sublimit shall be automatically reduced by the amount of such excess; </w:t>
      </w:r>
      <w:r>
        <w:rPr>
          <w:rFonts w:ascii="Arial" w:cs="Arial" w:eastAsia="Arial" w:hAnsi="Arial"/>
          <w:sz w:val="16"/>
          <w:szCs w:val="16"/>
          <w:u w:val="single" w:color="auto"/>
          <w:color w:val="auto"/>
        </w:rPr>
        <w:t>provided</w:t>
      </w:r>
      <w:r>
        <w:rPr>
          <w:rFonts w:ascii="Arial" w:cs="Arial" w:eastAsia="Arial" w:hAnsi="Arial"/>
          <w:sz w:val="16"/>
          <w:szCs w:val="16"/>
          <w:color w:val="auto"/>
        </w:rPr>
        <w:t>, that any notice so given to the Administrative Agent in connection with a refinancing of all Obligations (other than contingent indemnification obligations not yet due and payable) may be conditional on the effectiveness of the replacement credit agreement or other similar document and may be revoked by the Borrower if such condition is not satisfied. The Administrative Agent will promptly notify the Lenders of any such notice of termination or reduction of the Aggregate Revolving Commitments. Any reduction of the Aggregate Revolving Commitments shall be applied to the Revolving Commitment of each Lender according to its Applicable Percentage. All fees accrued until the effective date of any termination of the Aggregate Revolving Commitments shall be paid on the effective date of such termination.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Repayment of Loans</w:t>
      </w:r>
      <w:r>
        <w:rPr>
          <w:rFonts w:ascii="Arial" w:cs="Arial" w:eastAsia="Arial" w:hAnsi="Arial"/>
          <w:sz w:val="18"/>
          <w:szCs w:val="18"/>
          <w:color w:val="auto"/>
        </w:rPr>
        <w:t>.</w:t>
      </w:r>
    </w:p>
    <w:p>
      <w:pPr>
        <w:spacing w:after="0" w:line="171" w:lineRule="exact"/>
        <w:rPr>
          <w:sz w:val="20"/>
          <w:szCs w:val="20"/>
          <w:color w:val="auto"/>
        </w:rPr>
      </w:pPr>
    </w:p>
    <w:p>
      <w:pPr>
        <w:ind w:right="100" w:firstLine="464"/>
        <w:spacing w:after="0" w:line="268" w:lineRule="auto"/>
        <w:tabs>
          <w:tab w:leader="none" w:pos="69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The Borrower shall repay to the Lenders on the Maturity Date the aggregate principal amount of all Revolving Loans outstanding on such date.</w:t>
      </w:r>
    </w:p>
    <w:p>
      <w:pPr>
        <w:spacing w:after="0" w:line="131" w:lineRule="exact"/>
        <w:rPr>
          <w:rFonts w:ascii="Arial" w:cs="Arial" w:eastAsia="Arial" w:hAnsi="Arial"/>
          <w:sz w:val="18"/>
          <w:szCs w:val="18"/>
          <w:color w:val="auto"/>
        </w:rPr>
      </w:pPr>
    </w:p>
    <w:p>
      <w:pPr>
        <w:ind w:firstLine="464"/>
        <w:spacing w:after="0" w:line="268" w:lineRule="auto"/>
        <w:tabs>
          <w:tab w:leader="none" w:pos="70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 The Borrower shall repay each Swing Line Loan on the earlier to occur of (i) the date ten Business Days after such Swing Line Loan is made and (ii) the Maturity Date.</w:t>
      </w:r>
    </w:p>
    <w:p>
      <w:pPr>
        <w:spacing w:after="0" w:line="131" w:lineRule="exact"/>
        <w:rPr>
          <w:rFonts w:ascii="Arial" w:cs="Arial" w:eastAsia="Arial" w:hAnsi="Arial"/>
          <w:sz w:val="18"/>
          <w:szCs w:val="18"/>
          <w:color w:val="auto"/>
        </w:rPr>
      </w:pPr>
    </w:p>
    <w:p>
      <w:pPr>
        <w:ind w:firstLine="464"/>
        <w:spacing w:after="0" w:line="298" w:lineRule="auto"/>
        <w:tabs>
          <w:tab w:leader="none" w:pos="695"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Term Loan</w:t>
      </w:r>
      <w:r>
        <w:rPr>
          <w:rFonts w:ascii="Arial" w:cs="Arial" w:eastAsia="Arial" w:hAnsi="Arial"/>
          <w:sz w:val="16"/>
          <w:szCs w:val="16"/>
          <w:color w:val="auto"/>
        </w:rPr>
        <w:t xml:space="preserve">. The Borrower shall repay the outstanding principal amount of the Term Loan as follows (as such installments may hereafter be adjusted as a result of prepayments made pursuant to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unless accelerated sooner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(i) on the first day of each calendar month, commencing on the first such day occurring after the Closing Date, the Borrower shall repay the principal amount of the Term Loan in the amount of $555,556 and (ii) on the Maturity Date the Borrower shall repay in full the Outstanding Amount of the Term Loan.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90" w:lineRule="exact"/>
        <w:rPr>
          <w:sz w:val="20"/>
          <w:szCs w:val="20"/>
          <w:color w:val="auto"/>
        </w:rPr>
      </w:pPr>
    </w:p>
    <w:p>
      <w:pPr>
        <w:ind w:left="460" w:right="40" w:firstLine="4"/>
        <w:spacing w:after="0" w:line="294" w:lineRule="auto"/>
        <w:tabs>
          <w:tab w:leader="none" w:pos="69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(i) Subject to the provisions of subsections (a)(ii) and (b) below, (A) each Eurodollar Rate Loan shall bear interest on the outstanding principal amount thereof for each Interest Period at a rate per annum equal to the Eurodollar Rate for such Interest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(B) each Base Rate Loan shall bear interest on the outstanding principal amount thereof from the applicable borrowing date at a rate per annum equal to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and (C) each Swing Line Loan shall bear interest on the outstanding principal amount thereof from the applicable borrowing date at a rate per annum equal to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154" w:name="page155"/>
    <w:bookmarkEnd w:id="154"/>
    <w:p>
      <w:pPr>
        <w:ind w:left="460" w:right="40" w:firstLine="443"/>
        <w:spacing w:after="0" w:line="254" w:lineRule="auto"/>
        <w:tabs>
          <w:tab w:leader="none" w:pos="1157" w:val="left"/>
        </w:tabs>
        <w:numPr>
          <w:ilvl w:val="1"/>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Subject to the provisions of subsection (b) below, for the period from the Closing Date to the first Business Day of January 2013, the Term Loan shall bear interest as follows: (A) $19,541,527.73 of the Term Loan will bear interest on the outstanding principal amount thereof for each day during such period a rate per annum equal the Eurodollar Rate that would have been applicable to an Interest Period of one month commencing on December 3, 2012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and (b) the balance of the Term Loan will bear interest on the outstanding principal amount thereof for each day during such period a rate per annum equal to the Eurodollar Rate that would be applicable to an Interest Period of one month commencing on the Closing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63" w:lineRule="exact"/>
        <w:rPr>
          <w:rFonts w:ascii="Arial" w:cs="Arial" w:eastAsia="Arial" w:hAnsi="Arial"/>
          <w:sz w:val="18"/>
          <w:szCs w:val="18"/>
          <w:color w:val="auto"/>
        </w:rPr>
      </w:pPr>
    </w:p>
    <w:p>
      <w:pPr>
        <w:ind w:left="460" w:right="380" w:firstLine="4"/>
        <w:spacing w:after="0" w:line="259" w:lineRule="auto"/>
        <w:tabs>
          <w:tab w:leader="none" w:pos="70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59" w:lineRule="exact"/>
        <w:rPr>
          <w:rFonts w:ascii="Arial" w:cs="Arial" w:eastAsia="Arial" w:hAnsi="Arial"/>
          <w:sz w:val="18"/>
          <w:szCs w:val="18"/>
          <w:color w:val="auto"/>
        </w:rPr>
      </w:pPr>
    </w:p>
    <w:p>
      <w:pPr>
        <w:ind w:left="460" w:right="20" w:firstLine="443"/>
        <w:spacing w:after="0" w:line="306" w:lineRule="auto"/>
        <w:tabs>
          <w:tab w:leader="none" w:pos="1157" w:val="left"/>
        </w:tabs>
        <w:numPr>
          <w:ilvl w:val="1"/>
          <w:numId w:val="109"/>
        </w:numPr>
        <w:rPr>
          <w:rFonts w:ascii="Arial" w:cs="Arial" w:eastAsia="Arial" w:hAnsi="Arial"/>
          <w:sz w:val="16"/>
          <w:szCs w:val="16"/>
          <w:color w:val="auto"/>
        </w:rPr>
      </w:pPr>
      <w:r>
        <w:rPr>
          <w:rFonts w:ascii="Arial" w:cs="Arial" w:eastAsia="Arial" w:hAnsi="Arial"/>
          <w:sz w:val="16"/>
          <w:szCs w:val="16"/>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26" w:lineRule="exact"/>
        <w:rPr>
          <w:sz w:val="20"/>
          <w:szCs w:val="20"/>
          <w:color w:val="auto"/>
        </w:rPr>
      </w:pPr>
    </w:p>
    <w:p>
      <w:pPr>
        <w:ind w:left="460" w:firstLine="443"/>
        <w:spacing w:after="0" w:line="259" w:lineRule="auto"/>
        <w:tabs>
          <w:tab w:leader="none" w:pos="120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Upon the request of the Required Lenders, while any Event of Default exists (other than as set forth in clauses (b)(i) and (b)(ii) above), the Borrower shall pay interest on the principal amount of all outstanding Obligations hereunder at a fluctuating interest rate per annum at all times equal to the Default Rate to the fullest extent permitted by applicable Laws.</w:t>
      </w:r>
    </w:p>
    <w:p>
      <w:pPr>
        <w:spacing w:after="0" w:line="59" w:lineRule="exact"/>
        <w:rPr>
          <w:rFonts w:ascii="Arial" w:cs="Arial" w:eastAsia="Arial" w:hAnsi="Arial"/>
          <w:sz w:val="18"/>
          <w:szCs w:val="18"/>
          <w:color w:val="auto"/>
        </w:rPr>
      </w:pPr>
    </w:p>
    <w:p>
      <w:pPr>
        <w:ind w:left="1200" w:hanging="297"/>
        <w:spacing w:after="0"/>
        <w:tabs>
          <w:tab w:leader="none" w:pos="12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Accrued and unpaid interest on past due amounts (including interest on past due interest) shall be due and payable upon demand.</w:t>
      </w:r>
    </w:p>
    <w:p>
      <w:pPr>
        <w:spacing w:after="0" w:line="194" w:lineRule="exact"/>
        <w:rPr>
          <w:rFonts w:ascii="Arial" w:cs="Arial" w:eastAsia="Arial" w:hAnsi="Arial"/>
          <w:sz w:val="16"/>
          <w:szCs w:val="16"/>
          <w:color w:val="auto"/>
        </w:rPr>
      </w:pPr>
    </w:p>
    <w:p>
      <w:pPr>
        <w:jc w:val="both"/>
        <w:ind w:right="280" w:firstLine="464"/>
        <w:spacing w:after="0" w:line="259" w:lineRule="auto"/>
        <w:tabs>
          <w:tab w:leader="none" w:pos="69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2.09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In addition to certain fees described in subsections (h) and (i) of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90" w:lineRule="exact"/>
        <w:rPr>
          <w:sz w:val="20"/>
          <w:szCs w:val="20"/>
          <w:color w:val="auto"/>
        </w:rPr>
      </w:pPr>
    </w:p>
    <w:p>
      <w:pPr>
        <w:ind w:left="460" w:right="80" w:firstLine="443"/>
        <w:spacing w:after="0" w:line="289" w:lineRule="auto"/>
        <w:tabs>
          <w:tab w:leader="none" w:pos="1137"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The Borrower shall pay to the Administrative Agent, for the account of each Lender in accordance with its Applicable Percentage, a commitment fee (the “</w:t>
      </w:r>
      <w:r>
        <w:rPr>
          <w:rFonts w:ascii="Arial" w:cs="Arial" w:eastAsia="Arial" w:hAnsi="Arial"/>
          <w:sz w:val="16"/>
          <w:szCs w:val="16"/>
          <w:u w:val="single" w:color="auto"/>
          <w:color w:val="auto"/>
        </w:rPr>
        <w:t>Commitment Fee</w:t>
      </w:r>
      <w:r>
        <w:rPr>
          <w:rFonts w:ascii="Arial" w:cs="Arial" w:eastAsia="Arial" w:hAnsi="Arial"/>
          <w:sz w:val="16"/>
          <w:szCs w:val="16"/>
          <w:color w:val="auto"/>
        </w:rPr>
        <w:t xml:space="preserve">”) equal to the product of (i) twenty-five basis points (0.25%)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(ii) the actual daily amount by which the Aggregate Revolving Commitments exceed the sum of (A) the Outstanding Amount of Revolving Loans and (B) the Outstanding Amount of L/C Obligations, subject to adjustment as provided in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For the avoidance of doubt, the Outstanding Amount of Swing Line Loans shall not be counted towards or considered usage of the Aggregate Revolving Commitments for purposes of determining the Commitment Fee. The Commitment Fee shall accrue at all times during the Availability Period, including at any time during which one or more of the conditions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80" w:right="259" w:bottom="1440" w:gutter="0" w:footer="0" w:header="0"/>
        </w:sectPr>
      </w:pPr>
    </w:p>
    <w:bookmarkStart w:id="155" w:name="page156"/>
    <w:bookmarkEnd w:id="155"/>
    <w:p>
      <w:pPr>
        <w:ind w:left="1160" w:hanging="257"/>
        <w:spacing w:after="0"/>
        <w:tabs>
          <w:tab w:leader="none" w:pos="11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Fees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firstLine="421"/>
        <w:spacing w:after="0" w:line="332" w:lineRule="auto"/>
        <w:tabs>
          <w:tab w:leader="none" w:pos="1549" w:val="left"/>
        </w:tabs>
        <w:numPr>
          <w:ilvl w:val="1"/>
          <w:numId w:val="113"/>
        </w:numPr>
        <w:rPr>
          <w:rFonts w:ascii="Arial" w:cs="Arial" w:eastAsia="Arial" w:hAnsi="Arial"/>
          <w:sz w:val="16"/>
          <w:szCs w:val="16"/>
          <w:color w:val="auto"/>
        </w:rPr>
      </w:pPr>
      <w:r>
        <w:rPr>
          <w:rFonts w:ascii="Arial" w:cs="Arial" w:eastAsia="Arial" w:hAnsi="Arial"/>
          <w:sz w:val="16"/>
          <w:szCs w:val="16"/>
          <w:color w:val="auto"/>
        </w:rPr>
        <w:t>The Borrower shall pay to the Arranger and the Administrative Agent for their own respective accounts fees in the amounts and at the times specified in the Fee Letter. Such fees shall be fully earned when paid and shall not be refundable for any reason whatsoever.</w:t>
      </w:r>
    </w:p>
    <w:p>
      <w:pPr>
        <w:spacing w:after="0" w:line="4" w:lineRule="exact"/>
        <w:rPr>
          <w:rFonts w:ascii="Arial" w:cs="Arial" w:eastAsia="Arial" w:hAnsi="Arial"/>
          <w:sz w:val="16"/>
          <w:szCs w:val="16"/>
          <w:color w:val="auto"/>
        </w:rPr>
      </w:pPr>
    </w:p>
    <w:p>
      <w:pPr>
        <w:ind w:left="920" w:right="240" w:firstLine="421"/>
        <w:spacing w:after="0" w:line="268" w:lineRule="auto"/>
        <w:tabs>
          <w:tab w:leader="none" w:pos="1598"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 that is repaid on the same day on which it is made shall, subject to </w:t>
      </w:r>
      <w:r>
        <w:rPr>
          <w:rFonts w:ascii="Arial" w:cs="Arial" w:eastAsia="Arial" w:hAnsi="Arial"/>
          <w:sz w:val="16"/>
          <w:szCs w:val="16"/>
          <w:u w:val="single" w:color="auto"/>
          <w:color w:val="auto"/>
        </w:rPr>
        <w:t>Section 2.12(a)</w:t>
      </w:r>
      <w:r>
        <w:rPr>
          <w:rFonts w:ascii="Arial" w:cs="Arial" w:eastAsia="Arial" w:hAnsi="Arial"/>
          <w:sz w:val="16"/>
          <w:szCs w:val="16"/>
          <w:color w:val="auto"/>
        </w:rPr>
        <w:t>, bear interest for one day. Each determination by the Administrative Agent of an interest rate or fee hereunder shall be conclusive and binding for all purposes, absent manifest error.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Evidence of Debt</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8" w:lineRule="auto"/>
        <w:tabs>
          <w:tab w:leader="none" w:pos="69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promissory note, which shall evidence such Lender’s Loans in addition to such accounts or records. Each such promissory note shall be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 “</w:t>
      </w:r>
      <w:r>
        <w:rPr>
          <w:rFonts w:ascii="Arial" w:cs="Arial" w:eastAsia="Arial" w:hAnsi="Arial"/>
          <w:sz w:val="16"/>
          <w:szCs w:val="16"/>
          <w:u w:val="single" w:color="auto"/>
          <w:color w:val="auto"/>
        </w:rPr>
        <w:t>Note</w:t>
      </w:r>
      <w:r>
        <w:rPr>
          <w:rFonts w:ascii="Arial" w:cs="Arial" w:eastAsia="Arial" w:hAnsi="Arial"/>
          <w:sz w:val="16"/>
          <w:szCs w:val="16"/>
          <w:color w:val="auto"/>
        </w:rPr>
        <w:t>”). Each Lender may attach schedules to its Note and endorse thereon the date, Type (if applicable), amount and maturity of its Loans and payments with respect thereto.</w:t>
      </w:r>
    </w:p>
    <w:p>
      <w:pPr>
        <w:spacing w:after="0" w:line="119" w:lineRule="exact"/>
        <w:rPr>
          <w:rFonts w:ascii="Arial" w:cs="Arial" w:eastAsia="Arial" w:hAnsi="Arial"/>
          <w:sz w:val="16"/>
          <w:szCs w:val="16"/>
          <w:color w:val="auto"/>
        </w:rPr>
      </w:pPr>
    </w:p>
    <w:p>
      <w:pPr>
        <w:jc w:val="both"/>
        <w:ind w:right="20" w:firstLine="464"/>
        <w:spacing w:after="0" w:line="298" w:lineRule="auto"/>
        <w:tabs>
          <w:tab w:leader="none" w:pos="70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 addition to the accounts and records referred to in subsection (a) above,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80" w:right="27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2.12 </w:t>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9" w:lineRule="auto"/>
        <w:tabs>
          <w:tab w:leader="none" w:pos="695"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18" w:lineRule="exact"/>
        <w:rPr>
          <w:rFonts w:ascii="Arial" w:cs="Arial" w:eastAsia="Arial" w:hAnsi="Arial"/>
          <w:sz w:val="16"/>
          <w:szCs w:val="16"/>
          <w:color w:val="auto"/>
        </w:rPr>
      </w:pPr>
    </w:p>
    <w:p>
      <w:pPr>
        <w:ind w:firstLine="464"/>
        <w:spacing w:after="0" w:line="285" w:lineRule="auto"/>
        <w:tabs>
          <w:tab w:leader="none" w:pos="705"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Funding by Lenders; Presumption by Administrative Agent</w:t>
      </w:r>
      <w:r>
        <w:rPr>
          <w:rFonts w:ascii="Arial" w:cs="Arial" w:eastAsia="Arial" w:hAnsi="Arial"/>
          <w:sz w:val="16"/>
          <w:szCs w:val="16"/>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Base Rate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42" w:lineRule="exact"/>
        <w:rPr>
          <w:rFonts w:ascii="Arial" w:cs="Arial" w:eastAsia="Arial" w:hAnsi="Arial"/>
          <w:sz w:val="16"/>
          <w:szCs w:val="16"/>
          <w:color w:val="auto"/>
        </w:rPr>
      </w:pPr>
    </w:p>
    <w:p>
      <w:pPr>
        <w:ind w:left="460" w:right="20" w:firstLine="443"/>
        <w:spacing w:after="0" w:line="289" w:lineRule="auto"/>
        <w:tabs>
          <w:tab w:leader="none" w:pos="1156" w:val="left"/>
        </w:tabs>
        <w:numPr>
          <w:ilvl w:val="1"/>
          <w:numId w:val="115"/>
        </w:numPr>
        <w:rPr>
          <w:rFonts w:ascii="Arial" w:cs="Arial" w:eastAsia="Arial" w:hAnsi="Arial"/>
          <w:sz w:val="16"/>
          <w:szCs w:val="16"/>
          <w:color w:val="auto"/>
        </w:rPr>
      </w:pPr>
      <w:r>
        <w:rPr>
          <w:rFonts w:ascii="Arial" w:cs="Arial" w:eastAsia="Arial" w:hAnsi="Arial"/>
          <w:sz w:val="16"/>
          <w:szCs w:val="16"/>
          <w:u w:val="single" w:color="auto"/>
          <w:color w:val="auto"/>
        </w:rPr>
        <w:t>Payments by Borrower; Presumptions by Administrative Agent</w:t>
      </w:r>
      <w:r>
        <w:rPr>
          <w:rFonts w:ascii="Arial" w:cs="Arial" w:eastAsia="Arial" w:hAnsi="Arial"/>
          <w:sz w:val="16"/>
          <w:szCs w:val="16"/>
          <w:color w:val="auto"/>
        </w:rPr>
        <w:t>. Unless the Administrative Agent shall have received notice from the Borrower prior to the time at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Lenders or the L/C Issuer, as the case may be, the amount due. In such event, if the Borrower has not in fact made such payment, then each of the Lenders or the L/C Issuer, as the case may be, severally agrees to repay to the Administrative Agent forthwith on demand the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157" w:name="page158"/>
    <w:bookmarkEnd w:id="157"/>
    <w:p>
      <w:pPr>
        <w:ind w:left="460" w:right="6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notice of the Administrative Agent to any Lender or the Borrower with respect to any amount owing under this subsection (b) shall be conclusive, absent manifest error.</w:t>
      </w:r>
    </w:p>
    <w:p>
      <w:pPr>
        <w:spacing w:after="0" w:line="132" w:lineRule="exact"/>
        <w:rPr>
          <w:sz w:val="20"/>
          <w:szCs w:val="20"/>
          <w:color w:val="auto"/>
        </w:rPr>
      </w:pPr>
    </w:p>
    <w:p>
      <w:pPr>
        <w:ind w:right="40" w:firstLine="464"/>
        <w:spacing w:after="0" w:line="298" w:lineRule="auto"/>
        <w:tabs>
          <w:tab w:leader="none" w:pos="695"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Failure to Satisfy Conditions Precedent</w:t>
      </w:r>
      <w:r>
        <w:rPr>
          <w:rFonts w:ascii="Arial" w:cs="Arial" w:eastAsia="Arial" w:hAnsi="Arial"/>
          <w:sz w:val="16"/>
          <w:szCs w:val="16"/>
          <w:color w:val="auto"/>
        </w:rPr>
        <w:t xml:space="preserve">. If any Lender makes available to the Administrative Agent funds for any Loan to be made by such Lender as provided in the foregoing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such funds are not made available to the Borrower by the Administrative Agent because the conditions to the applicable Credit Extension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are not satisfied or waived in accordance with the terms hereof, the Administrative Agent shall return such funds (in like funds as received from such Lender) to such Lender, without interest.</w:t>
      </w:r>
    </w:p>
    <w:p>
      <w:pPr>
        <w:spacing w:after="0" w:line="112" w:lineRule="exact"/>
        <w:rPr>
          <w:rFonts w:ascii="Arial" w:cs="Arial" w:eastAsia="Arial" w:hAnsi="Arial"/>
          <w:sz w:val="16"/>
          <w:szCs w:val="16"/>
          <w:color w:val="auto"/>
        </w:rPr>
      </w:pPr>
    </w:p>
    <w:p>
      <w:pPr>
        <w:ind w:right="20" w:firstLine="464"/>
        <w:spacing w:after="0" w:line="255" w:lineRule="auto"/>
        <w:tabs>
          <w:tab w:leader="none" w:pos="705"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Loans, to fund participations in Letters of Credit and Swing Line Loans and to make payments pursuant to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are several and not joint. The failure of any Lender to make any Loan, to fund any such participation or to make any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ind w:right="580" w:firstLine="464"/>
        <w:spacing w:after="0" w:line="332" w:lineRule="auto"/>
        <w:tabs>
          <w:tab w:leader="none" w:pos="695"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Sharing of Payments by Lenders</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If any Lender shall, by exercising any right of setoff or counterclaim or otherwise, obtain 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7" w:lineRule="exact"/>
        <w:rPr>
          <w:sz w:val="20"/>
          <w:szCs w:val="20"/>
          <w:color w:val="auto"/>
        </w:rPr>
      </w:pPr>
    </w:p>
    <w:p>
      <w:pPr>
        <w:ind w:left="460" w:right="780" w:firstLine="443"/>
        <w:spacing w:after="0" w:line="332" w:lineRule="auto"/>
        <w:tabs>
          <w:tab w:leader="none" w:pos="1108"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4" w:lineRule="exact"/>
        <w:rPr>
          <w:rFonts w:ascii="Arial" w:cs="Arial" w:eastAsia="Arial" w:hAnsi="Arial"/>
          <w:sz w:val="16"/>
          <w:szCs w:val="16"/>
          <w:color w:val="auto"/>
        </w:rPr>
      </w:pPr>
    </w:p>
    <w:p>
      <w:pPr>
        <w:ind w:left="460" w:firstLine="443"/>
        <w:spacing w:after="0" w:line="294" w:lineRule="auto"/>
        <w:tabs>
          <w:tab w:leader="none" w:pos="115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the provisions of this Section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(C) any payment obtained by a Lender as consideration for the assignment of or sale of a participation in any of its Loans or subparticipations in L/C Obligations or Swing Line Loans to any assignee or participant, other than an assignment to the Borrower or any Subsidiary (as to which the provisions of this Section shall apply).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158" w:name="page159"/>
    <w:bookmarkEnd w:id="158"/>
    <w:p>
      <w:pPr>
        <w:ind w:right="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Cash Collateral</w:t>
      </w:r>
      <w:r>
        <w:rPr>
          <w:rFonts w:ascii="Arial" w:cs="Arial" w:eastAsia="Arial" w:hAnsi="Arial"/>
          <w:sz w:val="18"/>
          <w:szCs w:val="18"/>
          <w:color w:val="auto"/>
        </w:rPr>
        <w:t>.</w:t>
      </w:r>
    </w:p>
    <w:p>
      <w:pPr>
        <w:spacing w:after="0" w:line="171" w:lineRule="exact"/>
        <w:rPr>
          <w:sz w:val="20"/>
          <w:szCs w:val="20"/>
          <w:color w:val="auto"/>
        </w:rPr>
      </w:pPr>
    </w:p>
    <w:p>
      <w:pPr>
        <w:ind w:right="80" w:firstLine="464"/>
        <w:spacing w:after="0" w:line="291" w:lineRule="auto"/>
        <w:tabs>
          <w:tab w:leader="none" w:pos="695"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Certain Credit Support Events</w:t>
      </w:r>
      <w:r>
        <w:rPr>
          <w:rFonts w:ascii="Arial" w:cs="Arial" w:eastAsia="Arial" w:hAnsi="Arial"/>
          <w:sz w:val="16"/>
          <w:szCs w:val="16"/>
          <w:color w:val="auto"/>
        </w:rPr>
        <w:t xml:space="preserve">. If (i) the L/C Issuer has honored any full or partial drawing request under any Letter of Credit and such drawing has resulted in an L/C Borrowing, (ii) as of the Maturity Date, any L/C Obligation for any reason remains outstanding, (iii) the Borrower shall be required to provide Cash Collateral pursuant to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or (iv) there shall exist a Defaulting Lender, the Borrower shall immediately (in the case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or within one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after giving effect to </w:t>
      </w:r>
      <w:r>
        <w:rPr>
          <w:rFonts w:ascii="Arial" w:cs="Arial" w:eastAsia="Arial" w:hAnsi="Arial"/>
          <w:sz w:val="16"/>
          <w:szCs w:val="16"/>
          <w:u w:val="single" w:color="auto"/>
          <w:color w:val="auto"/>
        </w:rPr>
        <w:t>Section 2.15(b)</w:t>
      </w:r>
      <w:r>
        <w:rPr>
          <w:rFonts w:ascii="Arial" w:cs="Arial" w:eastAsia="Arial" w:hAnsi="Arial"/>
          <w:sz w:val="16"/>
          <w:szCs w:val="16"/>
          <w:color w:val="auto"/>
        </w:rPr>
        <w:t xml:space="preserve"> and any Cash Collateral provided by the Defaulting Lender).</w:t>
      </w:r>
    </w:p>
    <w:p>
      <w:pPr>
        <w:spacing w:after="0" w:line="120" w:lineRule="exact"/>
        <w:rPr>
          <w:rFonts w:ascii="Arial" w:cs="Arial" w:eastAsia="Arial" w:hAnsi="Arial"/>
          <w:sz w:val="16"/>
          <w:szCs w:val="16"/>
          <w:color w:val="auto"/>
        </w:rPr>
      </w:pPr>
    </w:p>
    <w:p>
      <w:pPr>
        <w:ind w:firstLine="464"/>
        <w:spacing w:after="0" w:line="287" w:lineRule="auto"/>
        <w:tabs>
          <w:tab w:leader="none" w:pos="705"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Section 2.14(c)</w:t>
      </w:r>
      <w:r>
        <w:rPr>
          <w:rFonts w:ascii="Arial" w:cs="Arial" w:eastAsia="Arial" w:hAnsi="Arial"/>
          <w:sz w:val="16"/>
          <w:szCs w:val="16"/>
          <w:color w:val="auto"/>
        </w:rPr>
        <w:t xml:space="preserve">. If at any time the Administrative Agent determines that Cash Collateral is subject to any right or claim of any Person other than the Administrative Agent or the L/C Issuer as herein provided (other than Liens permitted under </w:t>
      </w:r>
      <w:r>
        <w:rPr>
          <w:rFonts w:ascii="Arial" w:cs="Arial" w:eastAsia="Arial" w:hAnsi="Arial"/>
          <w:sz w:val="16"/>
          <w:szCs w:val="16"/>
          <w:u w:val="single" w:color="auto"/>
          <w:color w:val="auto"/>
        </w:rPr>
        <w:t>Section 8.01(m)</w:t>
      </w:r>
      <w:r>
        <w:rPr>
          <w:rFonts w:ascii="Arial" w:cs="Arial" w:eastAsia="Arial" w:hAnsi="Arial"/>
          <w:sz w:val="16"/>
          <w:szCs w:val="16"/>
          <w:color w:val="auto"/>
        </w:rPr>
        <w:t>),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122" w:lineRule="exact"/>
        <w:rPr>
          <w:rFonts w:ascii="Arial" w:cs="Arial" w:eastAsia="Arial" w:hAnsi="Arial"/>
          <w:sz w:val="16"/>
          <w:szCs w:val="16"/>
          <w:color w:val="auto"/>
        </w:rPr>
      </w:pPr>
    </w:p>
    <w:p>
      <w:pPr>
        <w:ind w:right="40" w:firstLine="464"/>
        <w:spacing w:after="0" w:line="298" w:lineRule="auto"/>
        <w:tabs>
          <w:tab w:leader="none" w:pos="695"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Notwithstanding anything to the contrary contained in this Agreement, Cash Collateral provided under any of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9.02</w:t>
      </w:r>
      <w:r>
        <w:rPr>
          <w:rFonts w:ascii="Arial" w:cs="Arial" w:eastAsia="Arial" w:hAnsi="Arial"/>
          <w:sz w:val="16"/>
          <w:szCs w:val="16"/>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12" w:lineRule="exact"/>
        <w:rPr>
          <w:rFonts w:ascii="Arial" w:cs="Arial" w:eastAsia="Arial" w:hAnsi="Arial"/>
          <w:sz w:val="16"/>
          <w:szCs w:val="16"/>
          <w:color w:val="auto"/>
        </w:rPr>
      </w:pPr>
    </w:p>
    <w:p>
      <w:pPr>
        <w:ind w:firstLine="464"/>
        <w:spacing w:after="0" w:line="290" w:lineRule="auto"/>
        <w:tabs>
          <w:tab w:leader="none" w:pos="705"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Section 11.06(b)(vi)</w:t>
      </w:r>
      <w:r>
        <w:rPr>
          <w:rFonts w:ascii="Arial" w:cs="Arial" w:eastAsia="Arial" w:hAnsi="Arial"/>
          <w:sz w:val="16"/>
          <w:szCs w:val="16"/>
          <w:color w:val="auto"/>
        </w:rPr>
        <w:t xml:space="preserve">)) or (ii) the good faith determination by the Administrative Agent and the L/C Issuer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however,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2.15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171" w:lineRule="exact"/>
        <w:rPr>
          <w:sz w:val="20"/>
          <w:szCs w:val="20"/>
          <w:color w:val="auto"/>
        </w:rPr>
      </w:pPr>
    </w:p>
    <w:p>
      <w:pPr>
        <w:ind w:right="140" w:firstLine="464"/>
        <w:spacing w:after="0" w:line="268" w:lineRule="auto"/>
        <w:tabs>
          <w:tab w:leader="none" w:pos="695"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50" w:lineRule="exact"/>
        <w:rPr>
          <w:rFonts w:ascii="Arial" w:cs="Arial" w:eastAsia="Arial" w:hAnsi="Arial"/>
          <w:sz w:val="18"/>
          <w:szCs w:val="18"/>
          <w:color w:val="auto"/>
        </w:rPr>
      </w:pPr>
    </w:p>
    <w:p>
      <w:pPr>
        <w:ind w:left="460" w:right="500" w:firstLine="443"/>
        <w:spacing w:after="0" w:line="268" w:lineRule="auto"/>
        <w:tabs>
          <w:tab w:leader="none" w:pos="1108"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right="80" w:firstLine="443"/>
        <w:spacing w:after="0" w:line="282" w:lineRule="auto"/>
        <w:tabs>
          <w:tab w:leader="none" w:pos="1156" w:val="left"/>
        </w:tabs>
        <w:numPr>
          <w:ilvl w:val="1"/>
          <w:numId w:val="119"/>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the L/C Issuer or Swing 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the L/C Issuer’s Fronting Exposure with respect to such Defaulting Lender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if so determined by the Administrative Agent and the Borrower, to be held in a deposit account and released pro rata in order to (x) satisfy such Defaulting Lender’s potential future funding obligations with respect to Loans under this Agreement and</w:t>
      </w:r>
    </w:p>
    <w:p>
      <w:pPr>
        <w:spacing w:after="0" w:line="5" w:lineRule="exact"/>
        <w:rPr>
          <w:rFonts w:ascii="Arial" w:cs="Arial" w:eastAsia="Arial" w:hAnsi="Arial"/>
          <w:sz w:val="16"/>
          <w:szCs w:val="16"/>
          <w:color w:val="auto"/>
        </w:rPr>
      </w:pPr>
    </w:p>
    <w:p>
      <w:pPr>
        <w:ind w:left="460" w:firstLine="4"/>
        <w:spacing w:after="0" w:line="285" w:lineRule="auto"/>
        <w:tabs>
          <w:tab w:leader="none" w:pos="709"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Cash Collateralize the L/C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6"/>
          <w:szCs w:val="16"/>
          <w:u w:val="single" w:color="auto"/>
          <w:color w:val="auto"/>
        </w:rPr>
        <w:t>Section 2.15(b)</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2.15(a)(ii)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160" w:name="page161"/>
    <w:bookmarkEnd w:id="160"/>
    <w:p>
      <w:pPr>
        <w:ind w:left="760" w:hanging="316"/>
        <w:spacing w:after="0"/>
        <w:tabs>
          <w:tab w:leader="none" w:pos="76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Fees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00" w:right="320" w:firstLine="421"/>
        <w:spacing w:after="0" w:line="259" w:lineRule="auto"/>
        <w:tabs>
          <w:tab w:leader="none" w:pos="1607"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w:t>
      </w:r>
      <w:r>
        <w:rPr>
          <w:rFonts w:ascii="Arial" w:cs="Arial" w:eastAsia="Arial" w:hAnsi="Arial"/>
          <w:sz w:val="18"/>
          <w:szCs w:val="18"/>
          <w:b w:val="1"/>
          <w:bCs w:val="1"/>
          <w:color w:val="auto"/>
        </w:rPr>
        <w:t>.</w:t>
      </w:r>
    </w:p>
    <w:p>
      <w:pPr>
        <w:spacing w:after="0" w:line="59" w:lineRule="exact"/>
        <w:rPr>
          <w:rFonts w:ascii="Arial" w:cs="Arial" w:eastAsia="Arial" w:hAnsi="Arial"/>
          <w:sz w:val="18"/>
          <w:szCs w:val="18"/>
          <w:color w:val="auto"/>
        </w:rPr>
      </w:pPr>
    </w:p>
    <w:p>
      <w:pPr>
        <w:ind w:left="900" w:right="100" w:firstLine="421"/>
        <w:spacing w:after="0" w:line="259" w:lineRule="auto"/>
        <w:tabs>
          <w:tab w:leader="none" w:pos="1598"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900" w:firstLine="421"/>
        <w:spacing w:after="0" w:line="291" w:lineRule="auto"/>
        <w:tabs>
          <w:tab w:leader="none" w:pos="1598"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With respect to any fee payable under </w:t>
      </w:r>
      <w:r>
        <w:rPr>
          <w:rFonts w:ascii="Arial" w:cs="Arial" w:eastAsia="Arial" w:hAnsi="Arial"/>
          <w:sz w:val="16"/>
          <w:szCs w:val="16"/>
          <w:u w:val="single" w:color="auto"/>
          <w:color w:val="auto"/>
        </w:rPr>
        <w:t>Section 2.09(a)</w:t>
      </w:r>
      <w:r>
        <w:rPr>
          <w:rFonts w:ascii="Arial" w:cs="Arial" w:eastAsia="Arial" w:hAnsi="Arial"/>
          <w:sz w:val="16"/>
          <w:szCs w:val="16"/>
          <w:color w:val="auto"/>
        </w:rPr>
        <w:t xml:space="preserve"> or any Letter of Credit Fee not required to be paid to any Defaulting Lender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 Borrower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Arial" w:cs="Arial" w:eastAsia="Arial" w:hAnsi="Arial"/>
          <w:sz w:val="16"/>
          <w:szCs w:val="16"/>
          <w:u w:val="single" w:color="auto"/>
          <w:color w:val="auto"/>
        </w:rPr>
        <w:t>Section 2.15(b)</w:t>
      </w:r>
      <w:r>
        <w:rPr>
          <w:rFonts w:ascii="Arial" w:cs="Arial" w:eastAsia="Arial" w:hAnsi="Arial"/>
          <w:sz w:val="16"/>
          <w:szCs w:val="16"/>
          <w:color w:val="auto"/>
        </w:rPr>
        <w:t xml:space="preserve"> below, (y) pay to the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120" w:lineRule="exact"/>
        <w:rPr>
          <w:sz w:val="20"/>
          <w:szCs w:val="20"/>
          <w:color w:val="auto"/>
        </w:rPr>
      </w:pPr>
    </w:p>
    <w:p>
      <w:pPr>
        <w:ind w:left="-20" w:right="40" w:firstLine="464"/>
        <w:spacing w:after="0" w:line="289" w:lineRule="auto"/>
        <w:tabs>
          <w:tab w:leader="none" w:pos="685"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Percentages to Reduce Fronting Exposure</w:t>
      </w:r>
      <w:r>
        <w:rPr>
          <w:rFonts w:ascii="Arial" w:cs="Arial" w:eastAsia="Arial" w:hAnsi="Arial"/>
          <w:sz w:val="16"/>
          <w:szCs w:val="16"/>
          <w:color w:val="auto"/>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(x)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(y)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18" w:lineRule="exact"/>
        <w:rPr>
          <w:rFonts w:ascii="Arial" w:cs="Arial" w:eastAsia="Arial" w:hAnsi="Arial"/>
          <w:sz w:val="16"/>
          <w:szCs w:val="16"/>
          <w:color w:val="auto"/>
        </w:rPr>
      </w:pPr>
    </w:p>
    <w:p>
      <w:pPr>
        <w:ind w:left="-20" w:right="20" w:firstLine="464"/>
        <w:spacing w:after="0" w:line="256" w:lineRule="auto"/>
        <w:tabs>
          <w:tab w:leader="none" w:pos="675"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Section 2.15(b)</w:t>
      </w:r>
      <w:r>
        <w:rPr>
          <w:rFonts w:ascii="Arial" w:cs="Arial" w:eastAsia="Arial" w:hAnsi="Arial"/>
          <w:sz w:val="18"/>
          <w:szCs w:val="18"/>
          <w:color w:val="auto"/>
        </w:rPr>
        <w:t xml:space="preserve"> above cannot, or can only partially, be effected, the Borrower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20" w:right="60" w:firstLine="464"/>
        <w:spacing w:after="0" w:line="298" w:lineRule="auto"/>
        <w:tabs>
          <w:tab w:leader="none" w:pos="685"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If the Borrower, the Administrative Agent,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60" w:top="280" w:right="259" w:bottom="1440" w:gutter="0" w:footer="0" w:header="0"/>
        </w:sectPr>
      </w:pPr>
    </w:p>
    <w:bookmarkStart w:id="161" w:name="page162"/>
    <w:bookmarkEnd w:id="161"/>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cause the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6"/>
          <w:szCs w:val="16"/>
          <w:u w:val="single" w:color="auto"/>
          <w:color w:val="auto"/>
        </w:rPr>
        <w:t>Section 2.15(b)</w:t>
      </w:r>
      <w:r>
        <w:rPr>
          <w:rFonts w:ascii="Arial" w:cs="Arial" w:eastAsia="Arial" w:hAnsi="Arial"/>
          <w:sz w:val="16"/>
          <w:szCs w:val="16"/>
          <w:color w:val="auto"/>
        </w:rPr>
        <w:t xml:space="preserve">),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TAXES, YIELD PROTECTION AND ILLEGALITY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90" w:lineRule="exact"/>
        <w:rPr>
          <w:sz w:val="20"/>
          <w:szCs w:val="20"/>
          <w:color w:val="auto"/>
        </w:rPr>
      </w:pPr>
    </w:p>
    <w:p>
      <w:pPr>
        <w:ind w:left="700" w:hanging="236"/>
        <w:spacing w:after="0"/>
        <w:tabs>
          <w:tab w:leader="none" w:pos="70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0" w:firstLine="443"/>
        <w:spacing w:after="0" w:line="255" w:lineRule="auto"/>
        <w:tabs>
          <w:tab w:leader="none" w:pos="110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w:t>
      </w:r>
    </w:p>
    <w:p>
      <w:pPr>
        <w:spacing w:after="0" w:line="61" w:lineRule="exact"/>
        <w:rPr>
          <w:rFonts w:ascii="Arial" w:cs="Arial" w:eastAsia="Arial" w:hAnsi="Arial"/>
          <w:sz w:val="18"/>
          <w:szCs w:val="18"/>
          <w:color w:val="auto"/>
        </w:rPr>
      </w:pPr>
    </w:p>
    <w:p>
      <w:pPr>
        <w:ind w:left="460" w:right="20" w:firstLine="443"/>
        <w:spacing w:after="0" w:line="289" w:lineRule="auto"/>
        <w:tabs>
          <w:tab w:leader="none" w:pos="1157"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If any Loan Party or the Administrative Agent shall be required by the Internal Revenue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below, (B) the Administrative Agent shall timely pay the full amount withheld or deducted to the relevant Governmental Authority in accordance with the Internal Revenue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the applicable Recipient receives an amount equal to the sum it would have received had no such withholding or deduction been made.</w:t>
      </w:r>
    </w:p>
    <w:p>
      <w:pPr>
        <w:spacing w:after="0" w:line="37" w:lineRule="exact"/>
        <w:rPr>
          <w:rFonts w:ascii="Arial" w:cs="Arial" w:eastAsia="Arial" w:hAnsi="Arial"/>
          <w:sz w:val="16"/>
          <w:szCs w:val="16"/>
          <w:color w:val="auto"/>
        </w:rPr>
      </w:pPr>
    </w:p>
    <w:p>
      <w:pPr>
        <w:ind w:left="460" w:right="80" w:firstLine="443"/>
        <w:spacing w:after="0" w:line="289" w:lineRule="auto"/>
        <w:tabs>
          <w:tab w:leader="none" w:pos="1205"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If any Loan Party or the Administrative Agent shall be required by any applicable Laws other than the Internal Revenue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the applicable Recipient receives an amount equal to the sum it would have received had no such withholding or deduction been made.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80" w:right="279" w:bottom="1440" w:gutter="0" w:footer="0" w:header="0"/>
        </w:sectPr>
      </w:pPr>
    </w:p>
    <w:bookmarkStart w:id="162" w:name="page163"/>
    <w:bookmarkEnd w:id="162"/>
    <w:p>
      <w:pPr>
        <w:ind w:left="-40" w:firstLine="464"/>
        <w:spacing w:after="0" w:line="332" w:lineRule="auto"/>
        <w:tabs>
          <w:tab w:leader="none" w:pos="665"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Other Taxes by the Borrower</w:t>
      </w:r>
      <w:r>
        <w:rPr>
          <w:rFonts w:ascii="Arial" w:cs="Arial" w:eastAsia="Arial" w:hAnsi="Arial"/>
          <w:sz w:val="16"/>
          <w:szCs w:val="16"/>
          <w:color w:val="auto"/>
        </w:rPr>
        <w:t xml:space="preserve">. Without limiting the provisions of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above, the Loan Parties shall timely pay to the relevant Governmental Authority in accordance with applicable Law, or at the option of the Administrative Agent timely reimburse it for the payment of, any Other Taxes.</w:t>
      </w:r>
    </w:p>
    <w:p>
      <w:pPr>
        <w:spacing w:after="0" w:line="85" w:lineRule="exact"/>
        <w:rPr>
          <w:rFonts w:ascii="Arial" w:cs="Arial" w:eastAsia="Arial" w:hAnsi="Arial"/>
          <w:sz w:val="16"/>
          <w:szCs w:val="16"/>
          <w:color w:val="auto"/>
        </w:rPr>
      </w:pPr>
    </w:p>
    <w:p>
      <w:pPr>
        <w:ind w:left="660" w:hanging="236"/>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20" w:right="20" w:firstLine="443"/>
        <w:spacing w:after="0" w:line="288" w:lineRule="auto"/>
        <w:tabs>
          <w:tab w:leader="none" w:pos="1068" w:val="left"/>
        </w:tabs>
        <w:numPr>
          <w:ilvl w:val="1"/>
          <w:numId w:val="124"/>
        </w:numPr>
        <w:rPr>
          <w:rFonts w:ascii="Arial" w:cs="Arial" w:eastAsia="Arial" w:hAnsi="Arial"/>
          <w:sz w:val="16"/>
          <w:szCs w:val="16"/>
          <w:color w:val="auto"/>
        </w:rPr>
      </w:pPr>
      <w:r>
        <w:rPr>
          <w:rFonts w:ascii="Arial" w:cs="Arial" w:eastAsia="Arial" w:hAnsi="Arial"/>
          <w:sz w:val="16"/>
          <w:szCs w:val="16"/>
          <w:color w:val="auto"/>
        </w:rPr>
        <w:t xml:space="preserve">Each of the Loan Parties shall, and does hereby, jointly and severally indemnify each Recipient, and shall make payment in respect thereof within ten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 Each of the Loan Parties shall, and does hereby, jointly and severally indemnify the Administrative Agent, and shall make payment in respect thereof within ten days after demand therefor, for any amount which a Lender or the L/C Issuer for any reason fails to pay indefeasibly to the Administrative Agent as required pursuant to </w:t>
      </w:r>
      <w:r>
        <w:rPr>
          <w:rFonts w:ascii="Arial" w:cs="Arial" w:eastAsia="Arial" w:hAnsi="Arial"/>
          <w:sz w:val="16"/>
          <w:szCs w:val="16"/>
          <w:u w:val="single" w:color="auto"/>
          <w:color w:val="auto"/>
        </w:rPr>
        <w:t>Section 3.01(c)(ii)</w:t>
      </w:r>
      <w:r>
        <w:rPr>
          <w:rFonts w:ascii="Arial" w:cs="Arial" w:eastAsia="Arial" w:hAnsi="Arial"/>
          <w:sz w:val="16"/>
          <w:szCs w:val="16"/>
          <w:color w:val="auto"/>
        </w:rPr>
        <w:t xml:space="preserve"> below.</w:t>
      </w:r>
    </w:p>
    <w:p>
      <w:pPr>
        <w:spacing w:after="0" w:line="38" w:lineRule="exact"/>
        <w:rPr>
          <w:rFonts w:ascii="Arial" w:cs="Arial" w:eastAsia="Arial" w:hAnsi="Arial"/>
          <w:sz w:val="16"/>
          <w:szCs w:val="16"/>
          <w:color w:val="auto"/>
        </w:rPr>
      </w:pPr>
    </w:p>
    <w:p>
      <w:pPr>
        <w:ind w:left="420" w:right="60" w:firstLine="443"/>
        <w:spacing w:after="0" w:line="286" w:lineRule="auto"/>
        <w:tabs>
          <w:tab w:leader="none" w:pos="1117" w:val="left"/>
        </w:tabs>
        <w:numPr>
          <w:ilvl w:val="1"/>
          <w:numId w:val="124"/>
        </w:numPr>
        <w:rPr>
          <w:rFonts w:ascii="Arial" w:cs="Arial" w:eastAsia="Arial" w:hAnsi="Arial"/>
          <w:sz w:val="16"/>
          <w:szCs w:val="16"/>
          <w:color w:val="auto"/>
        </w:rPr>
      </w:pPr>
      <w:r>
        <w:rPr>
          <w:rFonts w:ascii="Arial" w:cs="Arial" w:eastAsia="Arial" w:hAnsi="Arial"/>
          <w:sz w:val="16"/>
          <w:szCs w:val="16"/>
          <w:color w:val="auto"/>
        </w:rPr>
        <w:t xml:space="preserve">Each Lender and the L/C Issuer shall, and does hereby, severally indemnify, and shall make payment in respect thereof within ten days after demand therefor, (A)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(B) the Administrative Agent and the Loan Parties, as applicable, against any Taxes attributable to such Lender’s failure to comply with the provisions of </w:t>
      </w:r>
      <w:r>
        <w:rPr>
          <w:rFonts w:ascii="Arial" w:cs="Arial" w:eastAsia="Arial" w:hAnsi="Arial"/>
          <w:sz w:val="16"/>
          <w:szCs w:val="16"/>
          <w:u w:val="single" w:color="auto"/>
          <w:color w:val="auto"/>
        </w:rPr>
        <w:t>Section 11.06(d)</w:t>
      </w:r>
      <w:r>
        <w:rPr>
          <w:rFonts w:ascii="Arial" w:cs="Arial" w:eastAsia="Arial" w:hAnsi="Arial"/>
          <w:sz w:val="16"/>
          <w:szCs w:val="16"/>
          <w:color w:val="auto"/>
        </w:rPr>
        <w:t xml:space="preserve"> relating to the maintenance of a Participant Register and (C) the Administrative Agent and the Loan Parties,as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16"/>
          <w:szCs w:val="16"/>
          <w:u w:val="single" w:color="auto"/>
          <w:color w:val="auto"/>
        </w:rPr>
        <w:t>clause (ii)</w:t>
      </w:r>
      <w:r>
        <w:rPr>
          <w:rFonts w:ascii="Arial" w:cs="Arial" w:eastAsia="Arial" w:hAnsi="Arial"/>
          <w:sz w:val="16"/>
          <w:szCs w:val="16"/>
          <w:color w:val="auto"/>
        </w:rPr>
        <w:t>.</w:t>
      </w:r>
    </w:p>
    <w:p>
      <w:pPr>
        <w:spacing w:after="0" w:line="127" w:lineRule="exact"/>
        <w:rPr>
          <w:rFonts w:ascii="Arial" w:cs="Arial" w:eastAsia="Arial" w:hAnsi="Arial"/>
          <w:sz w:val="16"/>
          <w:szCs w:val="16"/>
          <w:color w:val="auto"/>
        </w:rPr>
      </w:pPr>
    </w:p>
    <w:p>
      <w:pPr>
        <w:ind w:left="-40" w:right="100" w:firstLine="464"/>
        <w:spacing w:after="0" w:line="255" w:lineRule="auto"/>
        <w:tabs>
          <w:tab w:leader="none" w:pos="66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 or the Administrative Agent, as the case may be, after any payment of Taxes by the Borrower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42" w:lineRule="exact"/>
        <w:rPr>
          <w:rFonts w:ascii="Arial" w:cs="Arial" w:eastAsia="Arial" w:hAnsi="Arial"/>
          <w:sz w:val="18"/>
          <w:szCs w:val="18"/>
          <w:color w:val="auto"/>
        </w:rPr>
      </w:pPr>
    </w:p>
    <w:p>
      <w:pPr>
        <w:ind w:left="660" w:hanging="236"/>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80" w:top="280" w:right="259" w:bottom="1440" w:gutter="0" w:footer="0" w:header="0"/>
        </w:sectPr>
      </w:pPr>
    </w:p>
    <w:bookmarkStart w:id="163" w:name="page164"/>
    <w:bookmarkEnd w:id="163"/>
    <w:p>
      <w:pPr>
        <w:ind w:right="60" w:firstLine="443"/>
        <w:spacing w:after="0" w:line="287" w:lineRule="auto"/>
        <w:tabs>
          <w:tab w:leader="none" w:pos="648" w:val="left"/>
        </w:tabs>
        <w:numPr>
          <w:ilvl w:val="0"/>
          <w:numId w:val="1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3.01(e)(ii)(A)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(ii)(D)</w:t>
      </w:r>
      <w:r>
        <w:rPr>
          <w:rFonts w:ascii="Arial" w:cs="Arial" w:eastAsia="Arial" w:hAnsi="Arial"/>
          <w:sz w:val="16"/>
          <w:szCs w:val="16"/>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41" w:lineRule="exact"/>
        <w:rPr>
          <w:rFonts w:ascii="Arial" w:cs="Arial" w:eastAsia="Arial" w:hAnsi="Arial"/>
          <w:sz w:val="16"/>
          <w:szCs w:val="16"/>
          <w:color w:val="auto"/>
        </w:rPr>
      </w:pPr>
    </w:p>
    <w:p>
      <w:pPr>
        <w:ind w:left="700" w:hanging="257"/>
        <w:spacing w:after="0"/>
        <w:tabs>
          <w:tab w:leader="none" w:pos="7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the Borrower is a U.S. Person,</w:t>
      </w:r>
    </w:p>
    <w:p>
      <w:pPr>
        <w:spacing w:after="0" w:line="90" w:lineRule="exact"/>
        <w:rPr>
          <w:rFonts w:ascii="Arial" w:cs="Arial" w:eastAsia="Arial" w:hAnsi="Arial"/>
          <w:sz w:val="18"/>
          <w:szCs w:val="18"/>
          <w:color w:val="auto"/>
        </w:rPr>
      </w:pPr>
    </w:p>
    <w:p>
      <w:pPr>
        <w:ind w:left="460" w:right="20" w:firstLine="421"/>
        <w:spacing w:after="0" w:line="306" w:lineRule="auto"/>
        <w:tabs>
          <w:tab w:leader="none" w:pos="1167"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25" w:lineRule="exact"/>
        <w:rPr>
          <w:rFonts w:ascii="Arial" w:cs="Arial" w:eastAsia="Arial" w:hAnsi="Arial"/>
          <w:sz w:val="16"/>
          <w:szCs w:val="16"/>
          <w:color w:val="auto"/>
        </w:rPr>
      </w:pPr>
    </w:p>
    <w:p>
      <w:pPr>
        <w:ind w:left="460" w:right="60" w:firstLine="421"/>
        <w:spacing w:after="0" w:line="306" w:lineRule="auto"/>
        <w:tabs>
          <w:tab w:leader="none" w:pos="1158" w:val="left"/>
        </w:tabs>
        <w:numPr>
          <w:ilvl w:val="1"/>
          <w:numId w:val="125"/>
        </w:numPr>
        <w:rPr>
          <w:rFonts w:ascii="Arial" w:cs="Arial" w:eastAsia="Arial" w:hAnsi="Arial"/>
          <w:sz w:val="16"/>
          <w:szCs w:val="16"/>
          <w:color w:val="auto"/>
        </w:rPr>
      </w:pPr>
      <w:r>
        <w:rPr>
          <w:rFonts w:ascii="Arial" w:cs="Arial" w:eastAsia="Arial" w:hAnsi="Arial"/>
          <w:sz w:val="16"/>
          <w:szCs w:val="16"/>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25" w:lineRule="exact"/>
        <w:rPr>
          <w:rFonts w:ascii="Arial" w:cs="Arial" w:eastAsia="Arial" w:hAnsi="Arial"/>
          <w:sz w:val="16"/>
          <w:szCs w:val="16"/>
          <w:color w:val="auto"/>
        </w:rPr>
      </w:pPr>
    </w:p>
    <w:p>
      <w:pPr>
        <w:ind w:left="1040" w:firstLine="389"/>
        <w:spacing w:after="0" w:line="255" w:lineRule="auto"/>
        <w:tabs>
          <w:tab w:leader="none" w:pos="1686" w:val="left"/>
        </w:tabs>
        <w:numPr>
          <w:ilvl w:val="2"/>
          <w:numId w:val="125"/>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originals of IRS Form W-8BEN establishing an exemption from, or reduction of, U.S. federal withholding Tax pursuant to the “interest” article of such tax treaty and (y) with respect to any other applicable payments under any Loan Document, IRS Form W-8BEN establishing an exemption from, or reduction of, U.S. federal withholding Tax pursuant to the “business profits” or “other income” article of such tax treaty;</w:t>
      </w:r>
    </w:p>
    <w:p>
      <w:pPr>
        <w:spacing w:after="0" w:line="61" w:lineRule="exact"/>
        <w:rPr>
          <w:rFonts w:ascii="Arial" w:cs="Arial" w:eastAsia="Arial" w:hAnsi="Arial"/>
          <w:sz w:val="18"/>
          <w:szCs w:val="18"/>
          <w:color w:val="auto"/>
        </w:rPr>
      </w:pPr>
    </w:p>
    <w:p>
      <w:pPr>
        <w:ind w:left="1680" w:hanging="251"/>
        <w:spacing w:after="0"/>
        <w:tabs>
          <w:tab w:leader="none" w:pos="168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90" w:lineRule="exact"/>
        <w:rPr>
          <w:rFonts w:ascii="Arial" w:cs="Arial" w:eastAsia="Arial" w:hAnsi="Arial"/>
          <w:sz w:val="18"/>
          <w:szCs w:val="18"/>
          <w:color w:val="auto"/>
        </w:rPr>
      </w:pPr>
    </w:p>
    <w:p>
      <w:pPr>
        <w:ind w:left="1040" w:right="240" w:firstLine="389"/>
        <w:spacing w:after="0" w:line="294" w:lineRule="auto"/>
        <w:tabs>
          <w:tab w:leader="none" w:pos="1686" w:val="left"/>
        </w:tabs>
        <w:numPr>
          <w:ilvl w:val="2"/>
          <w:numId w:val="125"/>
        </w:numPr>
        <w:rPr>
          <w:rFonts w:ascii="Arial" w:cs="Arial" w:eastAsia="Arial" w:hAnsi="Arial"/>
          <w:sz w:val="16"/>
          <w:szCs w:val="16"/>
          <w:color w:val="auto"/>
        </w:rPr>
      </w:pPr>
      <w:r>
        <w:rPr>
          <w:rFonts w:ascii="Arial" w:cs="Arial" w:eastAsia="Arial" w:hAnsi="Arial"/>
          <w:sz w:val="16"/>
          <w:szCs w:val="16"/>
          <w:color w:val="auto"/>
        </w:rPr>
        <w:t xml:space="preserve">in the case of a Foreign Lender claiming the benefits of the exemption for portfolio interest under Section 881(c) of the Internal Revenue Code, (x) a certificate substantially in the form of </w:t>
      </w:r>
      <w:r>
        <w:rPr>
          <w:rFonts w:ascii="Arial" w:cs="Arial" w:eastAsia="Arial" w:hAnsi="Arial"/>
          <w:sz w:val="16"/>
          <w:szCs w:val="16"/>
          <w:u w:val="single" w:color="auto"/>
          <w:color w:val="auto"/>
        </w:rPr>
        <w:t>Exhibit H-1</w:t>
      </w:r>
      <w:r>
        <w:rPr>
          <w:rFonts w:ascii="Arial" w:cs="Arial" w:eastAsia="Arial" w:hAnsi="Arial"/>
          <w:sz w:val="16"/>
          <w:szCs w:val="16"/>
          <w:color w:val="auto"/>
        </w:rPr>
        <w:t xml:space="preserve">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Arial" w:cs="Arial" w:eastAsia="Arial" w:hAnsi="Arial"/>
          <w:sz w:val="16"/>
          <w:szCs w:val="16"/>
          <w:u w:val="single" w:color="auto"/>
          <w:color w:val="auto"/>
        </w:rPr>
        <w:t>U.S. Tax Compliance Certificate</w:t>
      </w:r>
      <w:r>
        <w:rPr>
          <w:rFonts w:ascii="Arial" w:cs="Arial" w:eastAsia="Arial" w:hAnsi="Arial"/>
          <w:sz w:val="16"/>
          <w:szCs w:val="16"/>
          <w:color w:val="auto"/>
        </w:rPr>
        <w:t>”) and (y) executed originals of IRS Form W-8BEN; or</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0"/>
          </w:cols>
          <w:pgMar w:left="700" w:top="280" w:right="239" w:bottom="1440" w:gutter="0" w:footer="0" w:header="0"/>
        </w:sectPr>
      </w:pPr>
    </w:p>
    <w:bookmarkStart w:id="164" w:name="page165"/>
    <w:bookmarkEnd w:id="164"/>
    <w:p>
      <w:pPr>
        <w:jc w:val="both"/>
        <w:ind w:left="1500" w:firstLine="389"/>
        <w:spacing w:after="0" w:line="294" w:lineRule="auto"/>
        <w:tabs>
          <w:tab w:leader="none" w:pos="2146" w:val="left"/>
        </w:tabs>
        <w:numPr>
          <w:ilvl w:val="3"/>
          <w:numId w:val="1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the extent a Foreign Lender is not the beneficial owner, executed originals of IRS Form W-8IMY, accompanied by IRS Form W-8ECI, IRS Form W-8BEN, a U.S. Tax Compliance Certificate substantially in the form of </w:t>
      </w:r>
      <w:r>
        <w:rPr>
          <w:rFonts w:ascii="Arial" w:cs="Arial" w:eastAsia="Arial" w:hAnsi="Arial"/>
          <w:sz w:val="16"/>
          <w:szCs w:val="16"/>
          <w:u w:val="single" w:color="auto"/>
          <w:color w:val="auto"/>
        </w:rPr>
        <w:t>Exhibit H-2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H-3</w:t>
      </w:r>
      <w:r>
        <w:rPr>
          <w:rFonts w:ascii="Arial" w:cs="Arial" w:eastAsia="Arial" w:hAnsi="Arial"/>
          <w:sz w:val="16"/>
          <w:szCs w:val="16"/>
          <w:color w:val="auto"/>
        </w:rPr>
        <w:t xml:space="preserve">, IRS Form W-9, and/or other certification documents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6"/>
          <w:szCs w:val="16"/>
          <w:u w:val="single" w:color="auto"/>
          <w:color w:val="auto"/>
        </w:rPr>
        <w:t>Exhibit H-4</w:t>
      </w:r>
      <w:r>
        <w:rPr>
          <w:rFonts w:ascii="Arial" w:cs="Arial" w:eastAsia="Arial" w:hAnsi="Arial"/>
          <w:sz w:val="16"/>
          <w:szCs w:val="16"/>
          <w:color w:val="auto"/>
        </w:rPr>
        <w:t xml:space="preserve"> on behalf of each such direct and indirect partner;</w:t>
      </w:r>
    </w:p>
    <w:p>
      <w:pPr>
        <w:spacing w:after="0" w:line="34" w:lineRule="exact"/>
        <w:rPr>
          <w:rFonts w:ascii="Arial" w:cs="Arial" w:eastAsia="Arial" w:hAnsi="Arial"/>
          <w:sz w:val="16"/>
          <w:szCs w:val="16"/>
          <w:color w:val="auto"/>
        </w:rPr>
      </w:pPr>
    </w:p>
    <w:p>
      <w:pPr>
        <w:ind w:left="920" w:right="20" w:firstLine="421"/>
        <w:spacing w:after="0" w:line="254" w:lineRule="auto"/>
        <w:tabs>
          <w:tab w:leader="none" w:pos="1618" w:val="left"/>
        </w:tabs>
        <w:numPr>
          <w:ilvl w:val="2"/>
          <w:numId w:val="127"/>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63" w:lineRule="exact"/>
        <w:rPr>
          <w:rFonts w:ascii="Arial" w:cs="Arial" w:eastAsia="Arial" w:hAnsi="Arial"/>
          <w:sz w:val="18"/>
          <w:szCs w:val="18"/>
          <w:color w:val="auto"/>
        </w:rPr>
      </w:pPr>
    </w:p>
    <w:p>
      <w:pPr>
        <w:ind w:left="920" w:right="80" w:firstLine="421"/>
        <w:spacing w:after="0" w:line="288" w:lineRule="auto"/>
        <w:tabs>
          <w:tab w:leader="none" w:pos="1627" w:val="left"/>
        </w:tabs>
        <w:numPr>
          <w:ilvl w:val="2"/>
          <w:numId w:val="127"/>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38" w:lineRule="exact"/>
        <w:rPr>
          <w:rFonts w:ascii="Arial" w:cs="Arial" w:eastAsia="Arial" w:hAnsi="Arial"/>
          <w:sz w:val="16"/>
          <w:szCs w:val="16"/>
          <w:color w:val="auto"/>
        </w:rPr>
      </w:pPr>
    </w:p>
    <w:p>
      <w:pPr>
        <w:ind w:left="460" w:right="320" w:firstLine="443"/>
        <w:spacing w:after="0" w:line="259" w:lineRule="auto"/>
        <w:tabs>
          <w:tab w:leader="none" w:pos="120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40" w:lineRule="exact"/>
        <w:rPr>
          <w:rFonts w:ascii="Arial" w:cs="Arial" w:eastAsia="Arial" w:hAnsi="Arial"/>
          <w:sz w:val="18"/>
          <w:szCs w:val="18"/>
          <w:color w:val="auto"/>
        </w:rPr>
      </w:pPr>
    </w:p>
    <w:p>
      <w:pPr>
        <w:ind w:left="680" w:hanging="216"/>
        <w:spacing w:after="0"/>
        <w:tabs>
          <w:tab w:leader="none" w:pos="68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Unless required by applicable Laws, at no time shall the Administrative Agent have any obligation to file for or</w:t>
      </w:r>
    </w:p>
    <w:p>
      <w:pPr>
        <w:spacing w:after="0" w:line="38" w:lineRule="exact"/>
        <w:rPr>
          <w:rFonts w:ascii="Arial" w:cs="Arial" w:eastAsia="Arial" w:hAnsi="Arial"/>
          <w:sz w:val="16"/>
          <w:szCs w:val="16"/>
          <w:color w:val="auto"/>
        </w:rPr>
      </w:pPr>
    </w:p>
    <w:p>
      <w:pPr>
        <w:ind w:right="20"/>
        <w:spacing w:after="0" w:line="302" w:lineRule="auto"/>
        <w:rPr>
          <w:rFonts w:ascii="Arial" w:cs="Arial" w:eastAsia="Arial" w:hAnsi="Arial"/>
          <w:sz w:val="16"/>
          <w:szCs w:val="16"/>
          <w:color w:val="auto"/>
        </w:rPr>
      </w:pPr>
      <w:r>
        <w:rPr>
          <w:rFonts w:ascii="Arial" w:cs="Arial" w:eastAsia="Arial" w:hAnsi="Arial"/>
          <w:sz w:val="16"/>
          <w:szCs w:val="16"/>
          <w:color w:val="auto"/>
        </w:rPr>
        <w:t>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165" w:name="page166"/>
    <w:bookmarkEnd w:id="165"/>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shall pay to the Loan Party an amount equal to such refund (but only to the extent of indemnity payments made, or additional amounts paid, by a Loan Party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23" w:lineRule="exact"/>
        <w:rPr>
          <w:sz w:val="20"/>
          <w:szCs w:val="20"/>
          <w:color w:val="auto"/>
        </w:rPr>
      </w:pPr>
    </w:p>
    <w:p>
      <w:pPr>
        <w:ind w:right="20" w:firstLine="464"/>
        <w:spacing w:after="0" w:line="259" w:lineRule="auto"/>
        <w:tabs>
          <w:tab w:leader="none" w:pos="70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or the L/C Issuer, the termination of the Aggregate Revolving Commitments and the repayment, satisfaction or discharge of all other Obligations.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Illegality</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any Lender determines that any Law has made it unlawful, or that any Governmental Authority has asserted that it is unlawful, for any Lender or its Lending Office to make, maintain or fund Loans whose interest is determined by reference to the Eurodollar Rate,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(a) any obligation of such Lender to make or continue Eurodollar Rate Loans or to convert Base Rate Loans to Eurodollar Rate Loans shall be suspended and (b)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0" w:right="2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3.03 </w:t>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If the Required Lenders determine that for any reason in connection with any request for a Eurodollar Rate Loan or a conversion to or continuation thereof that (a) Dollar deposits are not being offered to banks in the London interbank eurodollar market for the applicable amount and Interest Period of such Eurodollar Rate Loan, (b) adequate and reasonable means do not exist for determining the Eurodollar Base Rate for any requested Interest Period with respect to a proposed Eurodollar Rate Loan or in connection with an existing or proposed Base Rate Loan or (c) the Eurodollar Base Rate for any requested Interest Period with respect to a proposed Eurodollar Rate Loan does not adequately and fairly reflect the cost to such Lenders of funding such Loan, the Administrative Agent will promptly so notify the Borrower and each Lender. Thereafter, (x) the obligation of the Lenders to make or maintain Eurodollar Rate Loans shall be suspended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or, failing that, will be deemed to have converted such request into a request for a Borrowing of Base Rate Loans in the amount specified therein.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90" w:lineRule="exact"/>
        <w:rPr>
          <w:sz w:val="20"/>
          <w:szCs w:val="20"/>
          <w:color w:val="auto"/>
        </w:rPr>
      </w:pPr>
    </w:p>
    <w:p>
      <w:pPr>
        <w:ind w:left="1140" w:hanging="237"/>
        <w:spacing w:after="0"/>
        <w:tabs>
          <w:tab w:leader="none" w:pos="114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90" w:lineRule="exact"/>
        <w:rPr>
          <w:rFonts w:ascii="Arial" w:cs="Arial" w:eastAsia="Arial" w:hAnsi="Arial"/>
          <w:sz w:val="18"/>
          <w:szCs w:val="18"/>
          <w:color w:val="auto"/>
        </w:rPr>
      </w:pPr>
    </w:p>
    <w:p>
      <w:pPr>
        <w:ind w:left="920" w:right="20" w:firstLine="421"/>
        <w:spacing w:after="0" w:line="259" w:lineRule="auto"/>
        <w:tabs>
          <w:tab w:leader="none" w:pos="1549"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 (except any reserve requirement reflected in the Eurodollar Rate) or the L/C Issuer;</w:t>
      </w:r>
    </w:p>
    <w:p>
      <w:pPr>
        <w:spacing w:after="0" w:line="59" w:lineRule="exact"/>
        <w:rPr>
          <w:rFonts w:ascii="Arial" w:cs="Arial" w:eastAsia="Arial" w:hAnsi="Arial"/>
          <w:sz w:val="18"/>
          <w:szCs w:val="18"/>
          <w:color w:val="auto"/>
        </w:rPr>
      </w:pPr>
    </w:p>
    <w:p>
      <w:pPr>
        <w:jc w:val="both"/>
        <w:ind w:left="920" w:right="200" w:firstLine="421"/>
        <w:spacing w:after="0" w:line="259" w:lineRule="auto"/>
        <w:tabs>
          <w:tab w:leader="none" w:pos="159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59" w:lineRule="exact"/>
        <w:rPr>
          <w:rFonts w:ascii="Arial" w:cs="Arial" w:eastAsia="Arial" w:hAnsi="Arial"/>
          <w:sz w:val="18"/>
          <w:szCs w:val="18"/>
          <w:color w:val="auto"/>
        </w:rPr>
      </w:pPr>
    </w:p>
    <w:p>
      <w:pPr>
        <w:ind w:left="920" w:right="120" w:firstLine="421"/>
        <w:spacing w:after="0" w:line="268" w:lineRule="auto"/>
        <w:tabs>
          <w:tab w:leader="none" w:pos="1647" w:val="left"/>
        </w:tabs>
        <w:numPr>
          <w:ilvl w:val="1"/>
          <w:numId w:val="131"/>
        </w:numPr>
        <w:rPr>
          <w:rFonts w:ascii="Arial" w:cs="Arial" w:eastAsia="Arial" w:hAnsi="Arial"/>
          <w:sz w:val="18"/>
          <w:szCs w:val="18"/>
          <w:color w:val="auto"/>
        </w:rPr>
      </w:pPr>
      <w:r>
        <w:rPr>
          <w:rFonts w:ascii="Arial" w:cs="Arial" w:eastAsia="Arial" w:hAnsi="Arial"/>
          <w:sz w:val="18"/>
          <w:szCs w:val="18"/>
          <w:color w:val="auto"/>
        </w:rPr>
        <w:t>impose on any Lender or the L/C Issuer or the London interbank market any other condition, cost or expense affecting this Agreement or Eurodollar Rate Loans made by such Lender or any Letter of Credit or participation therein;</w:t>
      </w:r>
    </w:p>
    <w:p>
      <w:pPr>
        <w:spacing w:after="0" w:line="51"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and the result of any of the foregoing shall be to increase the cost to such Lender of making, converting to, continuing or maintaining any Loan the interest on which is determined by reference to the Eurodollar Rate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80" w:right="259" w:bottom="1440" w:gutter="0" w:footer="0" w:header="0"/>
        </w:sectPr>
      </w:pPr>
    </w:p>
    <w:bookmarkStart w:id="167" w:name="page168"/>
    <w:bookmarkEnd w:id="167"/>
    <w:p>
      <w:pPr>
        <w:ind w:right="60" w:firstLine="464"/>
        <w:spacing w:after="0" w:line="288" w:lineRule="auto"/>
        <w:tabs>
          <w:tab w:leader="none" w:pos="705"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Requirements</w:t>
      </w:r>
      <w:r>
        <w:rPr>
          <w:rFonts w:ascii="Arial" w:cs="Arial" w:eastAsia="Arial" w:hAnsi="Arial"/>
          <w:sz w:val="16"/>
          <w:szCs w:val="16"/>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19" w:lineRule="exact"/>
        <w:rPr>
          <w:rFonts w:ascii="Arial" w:cs="Arial" w:eastAsia="Arial" w:hAnsi="Arial"/>
          <w:sz w:val="16"/>
          <w:szCs w:val="16"/>
          <w:color w:val="auto"/>
        </w:rPr>
      </w:pPr>
    </w:p>
    <w:p>
      <w:pPr>
        <w:ind w:firstLine="464"/>
        <w:spacing w:after="0" w:line="256" w:lineRule="auto"/>
        <w:tabs>
          <w:tab w:leader="none" w:pos="695"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the L/C Issuer setting forth the amount or amounts necessary to compensate such Lender or the L/C Issuer or its holding company, as the case may be, as specified in subsection (a) or (b) of this Section and delivered to the Borrower shall be conclusive absent manifest error. The Borrower shall pay such Lender or the L/C Issuer, as the case may be, the amount shown as due on any such certificate within ten days after receipt thereof.</w:t>
      </w:r>
    </w:p>
    <w:p>
      <w:pPr>
        <w:spacing w:after="0" w:line="143" w:lineRule="exact"/>
        <w:rPr>
          <w:rFonts w:ascii="Arial" w:cs="Arial" w:eastAsia="Arial" w:hAnsi="Arial"/>
          <w:sz w:val="18"/>
          <w:szCs w:val="18"/>
          <w:color w:val="auto"/>
        </w:rPr>
      </w:pPr>
    </w:p>
    <w:p>
      <w:pPr>
        <w:ind w:right="20" w:firstLine="464"/>
        <w:spacing w:after="0" w:line="291" w:lineRule="auto"/>
        <w:tabs>
          <w:tab w:leader="none" w:pos="705"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Delay in Requests</w:t>
      </w:r>
      <w:r>
        <w:rPr>
          <w:rFonts w:ascii="Arial" w:cs="Arial" w:eastAsia="Arial" w:hAnsi="Arial"/>
          <w:sz w:val="16"/>
          <w:szCs w:val="16"/>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not be required to compensate a Lender or the L/C Issuer pursuant to the foregoing provisions of this Section for any increased costs incurred or reductions suffered more than nine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Compensation for Losses</w:t>
      </w:r>
      <w:r>
        <w:rPr>
          <w:rFonts w:ascii="Arial" w:cs="Arial" w:eastAsia="Arial" w:hAnsi="Arial"/>
          <w:sz w:val="18"/>
          <w:szCs w:val="18"/>
          <w:color w:val="auto"/>
        </w:rPr>
        <w:t>.</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51" w:lineRule="exact"/>
        <w:rPr>
          <w:sz w:val="20"/>
          <w:szCs w:val="20"/>
          <w:color w:val="auto"/>
        </w:rPr>
      </w:pPr>
    </w:p>
    <w:p>
      <w:pPr>
        <w:ind w:left="460" w:right="40" w:firstLine="443"/>
        <w:spacing w:after="0" w:line="268" w:lineRule="auto"/>
        <w:tabs>
          <w:tab w:leader="none" w:pos="113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Eurodollar Rate Loan on a day other than the last day of the Interest Period for such Loan (whether voluntary, mandatory, automatic, by reason of acceleration, or otherwise);</w:t>
      </w:r>
    </w:p>
    <w:p>
      <w:pPr>
        <w:spacing w:after="0" w:line="5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Eurodollar Rate Loan on the date or in the amount notified by the Borrower; or</w:t>
      </w:r>
    </w:p>
    <w:p>
      <w:pPr>
        <w:spacing w:after="0" w:line="50" w:lineRule="exact"/>
        <w:rPr>
          <w:rFonts w:ascii="Arial" w:cs="Arial" w:eastAsia="Arial" w:hAnsi="Arial"/>
          <w:sz w:val="18"/>
          <w:szCs w:val="18"/>
          <w:color w:val="auto"/>
        </w:rPr>
      </w:pPr>
    </w:p>
    <w:p>
      <w:pPr>
        <w:ind w:left="460" w:right="140" w:firstLine="443"/>
        <w:spacing w:after="0" w:line="268" w:lineRule="auto"/>
        <w:tabs>
          <w:tab w:leader="none" w:pos="113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3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including any loss or expense arising from the liquidation or reemployment of funds obtained by it to maintain such Loan or from fees payable to terminate the deposits from which such funds were obtained but excluding any loss of anticipated profits. The Borrower shall also pay any customary administrative fees charged by such Lender in connection with the foregoing.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80" w:right="259" w:bottom="1440" w:gutter="0" w:footer="0" w:header="0"/>
        </w:sectPr>
      </w:pPr>
    </w:p>
    <w:bookmarkStart w:id="168" w:name="page169"/>
    <w:bookmarkEnd w:id="168"/>
    <w:p>
      <w:pPr>
        <w:ind w:right="100" w:firstLine="456"/>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 purposes of calculating amounts payable by the Borrower to the Lenders under this </w:t>
      </w:r>
      <w:r>
        <w:rPr>
          <w:rFonts w:ascii="Arial" w:cs="Arial" w:eastAsia="Arial" w:hAnsi="Arial"/>
          <w:sz w:val="15"/>
          <w:szCs w:val="15"/>
          <w:u w:val="single" w:color="auto"/>
          <w:color w:val="auto"/>
        </w:rPr>
        <w:t>Section 3.05</w:t>
      </w:r>
      <w:r>
        <w:rPr>
          <w:rFonts w:ascii="Arial" w:cs="Arial" w:eastAsia="Arial" w:hAnsi="Arial"/>
          <w:sz w:val="15"/>
          <w:szCs w:val="15"/>
          <w:color w:val="auto"/>
        </w:rPr>
        <w:t>, each Lender shall be deemed to have funded each Eurodollar Rate Loan made by it at the Eurodollar Base Rate used in determining the Eurodollar Rate for such Loan by a matching deposit or other borrowing in the London interbank eurodollar market for a comparable amount and for a comparable period, whether or not such Eurodollar Rate Loan was in fact so funded.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Mitigation of Obligations; Replacement of Lenders</w:t>
      </w:r>
      <w:r>
        <w:rPr>
          <w:rFonts w:ascii="Arial" w:cs="Arial" w:eastAsia="Arial" w:hAnsi="Arial"/>
          <w:sz w:val="18"/>
          <w:szCs w:val="18"/>
          <w:color w:val="auto"/>
        </w:rPr>
        <w:t>.</w:t>
      </w:r>
    </w:p>
    <w:p>
      <w:pPr>
        <w:spacing w:after="0" w:line="171" w:lineRule="exact"/>
        <w:rPr>
          <w:sz w:val="20"/>
          <w:szCs w:val="20"/>
          <w:color w:val="auto"/>
        </w:rPr>
      </w:pPr>
    </w:p>
    <w:p>
      <w:pPr>
        <w:ind w:right="20" w:firstLine="464"/>
        <w:spacing w:after="0" w:line="286" w:lineRule="auto"/>
        <w:tabs>
          <w:tab w:leader="none" w:pos="695"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Designation of a Different Lending Office</w:t>
      </w:r>
      <w:r>
        <w:rPr>
          <w:rFonts w:ascii="Arial" w:cs="Arial" w:eastAsia="Arial" w:hAnsi="Arial"/>
          <w:sz w:val="16"/>
          <w:szCs w:val="16"/>
          <w:color w:val="auto"/>
        </w:rPr>
        <w:t xml:space="preserve">. If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or the Borrower is required to pay any Indemnified Taxes or additional amounts to any Lender, the L/C Issuer, or any Governmental Authority for the account of any Lender or the L/C Issuer pursuant to</w:t>
      </w:r>
    </w:p>
    <w:p>
      <w:pPr>
        <w:spacing w:after="0" w:line="288" w:lineRule="auto"/>
        <w:rPr>
          <w:rFonts w:ascii="Arial" w:cs="Arial" w:eastAsia="Arial" w:hAnsi="Arial"/>
          <w:sz w:val="16"/>
          <w:szCs w:val="16"/>
          <w:color w:val="auto"/>
        </w:rPr>
      </w:pP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gives a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then at the request of the Borrower such Lender or the L/C Issuer, as applicable, shall use reasonable efforts to designate a different Lending Office for funding or booking its Loans hereunder or to assign its rights and obligations hereunder to another of its offices, branches or affiliates, if, in the judgment of such Lender or the L/C Issuer, as applicable, such designation or assignment (i) 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122" w:lineRule="exact"/>
        <w:rPr>
          <w:rFonts w:ascii="Arial" w:cs="Arial" w:eastAsia="Arial" w:hAnsi="Arial"/>
          <w:sz w:val="16"/>
          <w:szCs w:val="16"/>
          <w:color w:val="auto"/>
        </w:rPr>
      </w:pPr>
    </w:p>
    <w:p>
      <w:pPr>
        <w:jc w:val="both"/>
        <w:ind w:right="440" w:firstLine="464"/>
        <w:spacing w:after="0" w:line="256" w:lineRule="auto"/>
        <w:tabs>
          <w:tab w:leader="none" w:pos="705"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 xml:space="preserve">All of the Loan Parties’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Revolving Commitments, repayment of all other Obligations hereunder and resignation of the Administrative Agent.</w:t>
      </w:r>
    </w:p>
    <w:p>
      <w:pPr>
        <w:spacing w:after="0" w:line="13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IV</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GUARANTY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The Guaranty</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of the Guarantors hereby jointly and severally guarantees to the Administrative Agent, each Lender and each other holder of the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The Guarantors hereby further agree that if any of the Obligations is not paid in full when due (whether at stated maturity, as a mandatory prepayment, by acceleration, as a mandatory cash collateralization or otherwise), the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80" w:right="259" w:bottom="1440" w:gutter="0" w:footer="0" w:header="0"/>
        </w:sectPr>
      </w:pPr>
    </w:p>
    <w:bookmarkStart w:id="169" w:name="page170"/>
    <w:bookmarkEnd w:id="169"/>
    <w:p>
      <w:pPr>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provision to the contrary contained herein or in any other of the Loan Documents or the other documents relating to the Obligations, the obligations of each Guarantor under this Agreement and the other Loan Documents shall not exceed an aggregate amount equal to the largest amount that would not render such obligations subject to avoidance under applicable Debtor Relief Laws.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Obligations Unconditional</w:t>
      </w:r>
      <w:r>
        <w:rPr>
          <w:rFonts w:ascii="Arial" w:cs="Arial" w:eastAsia="Arial" w:hAnsi="Arial"/>
          <w:sz w:val="18"/>
          <w:szCs w:val="18"/>
          <w:color w:val="auto"/>
        </w:rPr>
        <w:t>.</w:t>
      </w:r>
    </w:p>
    <w:p>
      <w:pPr>
        <w:spacing w:after="0" w:line="17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The obligations of the Guarantors under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are joint and several, absolute and unconditional, irrespective of the value, genuineness, validity, regularity or enforceability of any of the Loan Documents or other documents relating to the Obligations,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(other than payment in full of the Obligations in cash and termination or expiration of the Commitments), it being the intent of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that the obligations of the Guarantors hereunder shall be absolute and unconditional under any and all circumstances. Each Guarantor agrees that such Guarantor shall have no right of subrogation, indemnity, reimbursement or contribution against the Borrower or any other Guarantor for amounts paid under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until such time as the Obligations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42" w:lineRule="exact"/>
        <w:rPr>
          <w:sz w:val="20"/>
          <w:szCs w:val="20"/>
          <w:color w:val="auto"/>
        </w:rPr>
      </w:pPr>
    </w:p>
    <w:p>
      <w:pPr>
        <w:ind w:left="460" w:right="380" w:firstLine="443"/>
        <w:spacing w:after="0" w:line="268" w:lineRule="auto"/>
        <w:tabs>
          <w:tab w:leader="none" w:pos="11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any Guarantor, the time for any performance of or compliance with any of the Obligations shall be extended, or such performance or compliance shall be waived;</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of the acts mentioned in any of the provisions of any of the Loan Documents or any other document relating to the Obligations shall be done or omitted;</w:t>
      </w:r>
    </w:p>
    <w:p>
      <w:pPr>
        <w:spacing w:after="0" w:line="50" w:lineRule="exact"/>
        <w:rPr>
          <w:rFonts w:ascii="Arial" w:cs="Arial" w:eastAsia="Arial" w:hAnsi="Arial"/>
          <w:sz w:val="18"/>
          <w:szCs w:val="18"/>
          <w:color w:val="auto"/>
        </w:rPr>
      </w:pPr>
    </w:p>
    <w:p>
      <w:pPr>
        <w:ind w:left="460" w:right="100" w:firstLine="443"/>
        <w:spacing w:after="0" w:line="306" w:lineRule="auto"/>
        <w:tabs>
          <w:tab w:leader="none" w:pos="113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maturity of any of the Obligations shall be accelerated, or any of the Obligations shall be modified, supplemented or amended in any respect, or any right under any of the Loan Documents or any other document relating to the Obligations shall be waived or any other guarantee of any of the Obligations or any security therefor shall be released, impaired or exchanged in whole or in part or otherwise dealt with;</w:t>
      </w:r>
    </w:p>
    <w:p>
      <w:pPr>
        <w:spacing w:after="0" w:line="25"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Lien granted to, or in favor of, the Administrative Agent or any other holder of the Obligations as security for any of the Obligations shall fail to attach or be perfected; or</w:t>
      </w:r>
    </w:p>
    <w:p>
      <w:pPr>
        <w:spacing w:after="0" w:line="50" w:lineRule="exact"/>
        <w:rPr>
          <w:rFonts w:ascii="Arial" w:cs="Arial" w:eastAsia="Arial" w:hAnsi="Arial"/>
          <w:sz w:val="18"/>
          <w:szCs w:val="18"/>
          <w:color w:val="auto"/>
        </w:rPr>
      </w:pPr>
    </w:p>
    <w:p>
      <w:pPr>
        <w:ind w:left="460" w:right="760" w:firstLine="443"/>
        <w:spacing w:after="0" w:line="268" w:lineRule="auto"/>
        <w:tabs>
          <w:tab w:leader="none" w:pos="11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of the Obligations shall be determined to be void or voidable (including for the benefit of any creditor of any Guarantor) or shall be subordinated to the claims of any Person (including any creditor of any Guarantor).</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With respect to its obligations hereunder, each Guarantor hereby expressly waives diligence, presentment, demand of payment, protest and all notices whatsoever and any requirement that the Administrative Agent or any other holder of the Obligations exhaust any right, power or remedy or proceed against any Person under any of the Loan Documents or any other document relating to the Obligations or against any other Person under any other guarantee of, or security for, any of the Obligations.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4.03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171"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 xml:space="preserve">The obligations of each Guarantor under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Guarantor agrees that it will indemnify the Administrative Agent and each other holder of the Obligations on demand for all reasonable costs and expenses (including the fees, charges and disbursements of counsel)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16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6"/>
          <w:szCs w:val="16"/>
          <w:u w:val="single" w:color="auto"/>
          <w:color w:val="auto"/>
        </w:rPr>
        <w:t>Certain Additional Waivers</w:t>
      </w:r>
      <w:r>
        <w:rPr>
          <w:rFonts w:ascii="Arial" w:cs="Arial" w:eastAsia="Arial" w:hAnsi="Arial"/>
          <w:sz w:val="16"/>
          <w:szCs w:val="16"/>
          <w:color w:val="auto"/>
        </w:rPr>
        <w:t>.</w:t>
      </w:r>
    </w:p>
    <w:p>
      <w:pPr>
        <w:spacing w:after="0" w:line="171"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color w:val="auto"/>
        </w:rPr>
        <w:t xml:space="preserve">Each Guarantor agrees that such Guarantor shall have no right of recourse to security for the Obligations, except through the exercise of rights of subrogation pursuant to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through the exercise of rights of contribution pursuant to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4.05 </w:t>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 Guarantors agree that, to the fullest extent permitted by Law, as between the Guarantors, on the one hand, and the Administrative Agent and the other holders of the Obligations, on the other hand, the Obligations may be declared to be forthwith due and payable as specified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(and shall be deemed to have become automatically due and payable in the circumstances specified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for purposes of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Arial" w:cs="Arial" w:eastAsia="Arial" w:hAnsi="Arial"/>
          <w:sz w:val="16"/>
          <w:szCs w:val="16"/>
          <w:u w:val="single" w:color="auto"/>
          <w:color w:val="auto"/>
        </w:rPr>
        <w:t>Section 4.01</w:t>
      </w:r>
      <w:r>
        <w:rPr>
          <w:rFonts w:ascii="Arial" w:cs="Arial" w:eastAsia="Arial" w:hAnsi="Arial"/>
          <w:sz w:val="16"/>
          <w:szCs w:val="16"/>
          <w:color w:val="auto"/>
        </w:rPr>
        <w:t>. The Guarantors acknowledge and agree that their obligations hereunder are secured in accordance with the terms of the Collateral Documents and that the holders of the Obligations may exercise their remedies thereunder in accordance with the terms thereof.</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4.06 </w:t>
      </w:r>
      <w:r>
        <w:rPr>
          <w:rFonts w:ascii="Arial" w:cs="Arial" w:eastAsia="Arial" w:hAnsi="Arial"/>
          <w:sz w:val="18"/>
          <w:szCs w:val="18"/>
          <w:u w:val="single" w:color="auto"/>
          <w:color w:val="auto"/>
        </w:rPr>
        <w:t>Rights of Contribution</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the Obligations have been paid in full and the Commitments have terminated.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4.07 </w:t>
      </w:r>
      <w:r>
        <w:rPr>
          <w:rFonts w:ascii="Arial" w:cs="Arial" w:eastAsia="Arial" w:hAnsi="Arial"/>
          <w:sz w:val="18"/>
          <w:szCs w:val="18"/>
          <w:u w:val="single" w:color="auto"/>
          <w:color w:val="auto"/>
        </w:rPr>
        <w:t>Guarantee of Payment; Continuing Guarantee</w:t>
      </w:r>
      <w:r>
        <w:rPr>
          <w:rFonts w:ascii="Arial" w:cs="Arial" w:eastAsia="Arial" w:hAnsi="Arial"/>
          <w:sz w:val="18"/>
          <w:szCs w:val="18"/>
          <w:color w:val="auto"/>
        </w:rPr>
        <w:t>.</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The guarantee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a guaranty of payment and not of collection, is a continuing guarantee, and shall apply to the Obligations whenever arising.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171" w:name="page172"/>
    <w:bookmarkEnd w:id="17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CONDITIONS PRECEDENT TO CREDIT EXTENSIONS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Agreement shall be effective upon satisfaction of the following conditions precedent in each case in a manner satisfactory to the Administrative Agent and each Lender:</w:t>
      </w:r>
    </w:p>
    <w:p>
      <w:pPr>
        <w:spacing w:after="0" w:line="51" w:lineRule="exact"/>
        <w:rPr>
          <w:sz w:val="20"/>
          <w:szCs w:val="20"/>
          <w:color w:val="auto"/>
        </w:rPr>
      </w:pPr>
    </w:p>
    <w:p>
      <w:pPr>
        <w:ind w:left="460" w:right="20" w:firstLine="443"/>
        <w:spacing w:after="0" w:line="332" w:lineRule="auto"/>
        <w:tabs>
          <w:tab w:leader="none" w:pos="1137"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Loan Documents</w:t>
      </w:r>
      <w:r>
        <w:rPr>
          <w:rFonts w:ascii="Arial" w:cs="Arial" w:eastAsia="Arial" w:hAnsi="Arial"/>
          <w:sz w:val="16"/>
          <w:szCs w:val="16"/>
          <w:color w:val="auto"/>
        </w:rPr>
        <w:t>. Receipt by the Administrative Agent of executed counterparts of this Agreement and the other Loan Documents, each properly executed by a Responsible Officer of the signing Loan Party and, in the case of this Agreement, by each Lender.</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Loan to Value Ratio</w:t>
      </w:r>
      <w:r>
        <w:rPr>
          <w:rFonts w:ascii="Arial" w:cs="Arial" w:eastAsia="Arial" w:hAnsi="Arial"/>
          <w:sz w:val="18"/>
          <w:szCs w:val="18"/>
          <w:color w:val="auto"/>
        </w:rPr>
        <w:t>. The Loan to Value Ratio shall not exceed 80% on the Closing Date.</w:t>
      </w:r>
    </w:p>
    <w:p>
      <w:pPr>
        <w:spacing w:after="0" w:line="90" w:lineRule="exact"/>
        <w:rPr>
          <w:rFonts w:ascii="Arial" w:cs="Arial" w:eastAsia="Arial" w:hAnsi="Arial"/>
          <w:sz w:val="18"/>
          <w:szCs w:val="18"/>
          <w:color w:val="auto"/>
        </w:rPr>
      </w:pPr>
    </w:p>
    <w:p>
      <w:pPr>
        <w:ind w:left="460" w:right="820" w:firstLine="443"/>
        <w:spacing w:after="0" w:line="268" w:lineRule="auto"/>
        <w:tabs>
          <w:tab w:leader="none" w:pos="1137"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Opinions of Counsel</w:t>
      </w:r>
      <w:r>
        <w:rPr>
          <w:rFonts w:ascii="Arial" w:cs="Arial" w:eastAsia="Arial" w:hAnsi="Arial"/>
          <w:sz w:val="18"/>
          <w:szCs w:val="18"/>
          <w:color w:val="auto"/>
        </w:rPr>
        <w:t>. Receipt by the Administrative Agent of favorable opinions of legal counsel to the Loan Parties, addressed to the Administrative Agent and each Lender, dated as of the Closing Date.</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Organization Documents, Resolutions, Etc</w:t>
      </w:r>
      <w:r>
        <w:rPr>
          <w:rFonts w:ascii="Arial" w:cs="Arial" w:eastAsia="Arial" w:hAnsi="Arial"/>
          <w:sz w:val="18"/>
          <w:szCs w:val="18"/>
          <w:color w:val="auto"/>
        </w:rPr>
        <w:t>. Receipt by the Administrative Agent of the following:</w:t>
      </w:r>
    </w:p>
    <w:p>
      <w:pPr>
        <w:spacing w:after="0" w:line="90" w:lineRule="exact"/>
        <w:rPr>
          <w:rFonts w:ascii="Arial" w:cs="Arial" w:eastAsia="Arial" w:hAnsi="Arial"/>
          <w:sz w:val="18"/>
          <w:szCs w:val="18"/>
          <w:color w:val="auto"/>
        </w:rPr>
      </w:pPr>
    </w:p>
    <w:p>
      <w:pPr>
        <w:ind w:left="920" w:right="520" w:firstLine="421"/>
        <w:spacing w:after="0" w:line="259" w:lineRule="auto"/>
        <w:tabs>
          <w:tab w:leader="none" w:pos="1549" w:val="left"/>
        </w:tabs>
        <w:numPr>
          <w:ilvl w:val="1"/>
          <w:numId w:val="136"/>
        </w:numPr>
        <w:rPr>
          <w:rFonts w:ascii="Arial" w:cs="Arial" w:eastAsia="Arial" w:hAnsi="Arial"/>
          <w:sz w:val="18"/>
          <w:szCs w:val="18"/>
          <w:color w:val="auto"/>
        </w:rPr>
      </w:pPr>
      <w:r>
        <w:rPr>
          <w:rFonts w:ascii="Arial" w:cs="Arial" w:eastAsia="Arial" w:hAnsi="Arial"/>
          <w:sz w:val="18"/>
          <w:szCs w:val="18"/>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Closing Date;</w:t>
      </w:r>
    </w:p>
    <w:p>
      <w:pPr>
        <w:spacing w:after="0" w:line="59" w:lineRule="exact"/>
        <w:rPr>
          <w:rFonts w:ascii="Arial" w:cs="Arial" w:eastAsia="Arial" w:hAnsi="Arial"/>
          <w:sz w:val="18"/>
          <w:szCs w:val="18"/>
          <w:color w:val="auto"/>
        </w:rPr>
      </w:pPr>
    </w:p>
    <w:p>
      <w:pPr>
        <w:ind w:left="920" w:right="20" w:firstLine="421"/>
        <w:spacing w:after="0" w:line="306" w:lineRule="auto"/>
        <w:tabs>
          <w:tab w:leader="none" w:pos="159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w:t>
      </w:r>
    </w:p>
    <w:p>
      <w:pPr>
        <w:spacing w:after="0" w:line="25" w:lineRule="exact"/>
        <w:rPr>
          <w:rFonts w:ascii="Arial" w:cs="Arial" w:eastAsia="Arial" w:hAnsi="Arial"/>
          <w:sz w:val="16"/>
          <w:szCs w:val="16"/>
          <w:color w:val="auto"/>
        </w:rPr>
      </w:pPr>
    </w:p>
    <w:p>
      <w:pPr>
        <w:ind w:left="920" w:right="60" w:firstLine="421"/>
        <w:spacing w:after="0" w:line="332" w:lineRule="auto"/>
        <w:tabs>
          <w:tab w:leader="none" w:pos="1647" w:val="left"/>
        </w:tabs>
        <w:numPr>
          <w:ilvl w:val="1"/>
          <w:numId w:val="136"/>
        </w:numPr>
        <w:rPr>
          <w:rFonts w:ascii="Arial" w:cs="Arial" w:eastAsia="Arial" w:hAnsi="Arial"/>
          <w:sz w:val="16"/>
          <w:szCs w:val="16"/>
          <w:color w:val="auto"/>
        </w:rPr>
      </w:pPr>
      <w:r>
        <w:rPr>
          <w:rFonts w:ascii="Arial" w:cs="Arial" w:eastAsia="Arial" w:hAnsi="Arial"/>
          <w:sz w:val="16"/>
          <w:szCs w:val="16"/>
          <w:color w:val="auto"/>
        </w:rPr>
        <w:t>such documents and certifications as the Administrative Agent may require to evidence that each Loan Party is duly organized or formed, and is validly existing, in good standing and qualified to engage in business in its state of organization or formation.</w:t>
      </w:r>
    </w:p>
    <w:p>
      <w:pPr>
        <w:spacing w:after="0" w:line="4" w:lineRule="exact"/>
        <w:rPr>
          <w:rFonts w:ascii="Arial" w:cs="Arial" w:eastAsia="Arial" w:hAnsi="Arial"/>
          <w:sz w:val="16"/>
          <w:szCs w:val="16"/>
          <w:color w:val="auto"/>
        </w:rPr>
      </w:pPr>
    </w:p>
    <w:p>
      <w:pPr>
        <w:ind w:left="1140" w:hanging="237"/>
        <w:spacing w:after="0"/>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Personal Property Collateral</w:t>
      </w:r>
      <w:r>
        <w:rPr>
          <w:rFonts w:ascii="Arial" w:cs="Arial" w:eastAsia="Arial" w:hAnsi="Arial"/>
          <w:sz w:val="18"/>
          <w:szCs w:val="18"/>
          <w:color w:val="auto"/>
        </w:rPr>
        <w:t>. Receipt by the Administrative Agent of the following:</w:t>
      </w:r>
    </w:p>
    <w:p>
      <w:pPr>
        <w:spacing w:after="0" w:line="90" w:lineRule="exact"/>
        <w:rPr>
          <w:rFonts w:ascii="Arial" w:cs="Arial" w:eastAsia="Arial" w:hAnsi="Arial"/>
          <w:sz w:val="18"/>
          <w:szCs w:val="18"/>
          <w:color w:val="auto"/>
        </w:rPr>
      </w:pPr>
    </w:p>
    <w:p>
      <w:pPr>
        <w:ind w:left="920" w:right="500" w:firstLine="421"/>
        <w:spacing w:after="0" w:line="268" w:lineRule="auto"/>
        <w:tabs>
          <w:tab w:leader="none" w:pos="1549" w:val="left"/>
        </w:tabs>
        <w:numPr>
          <w:ilvl w:val="1"/>
          <w:numId w:val="136"/>
        </w:numPr>
        <w:rPr>
          <w:rFonts w:ascii="Arial" w:cs="Arial" w:eastAsia="Arial" w:hAnsi="Arial"/>
          <w:sz w:val="18"/>
          <w:szCs w:val="18"/>
          <w:color w:val="auto"/>
        </w:rPr>
      </w:pPr>
      <w:r>
        <w:rPr>
          <w:rFonts w:ascii="Arial" w:cs="Arial" w:eastAsia="Arial" w:hAnsi="Arial"/>
          <w:sz w:val="18"/>
          <w:szCs w:val="18"/>
          <w:color w:val="auto"/>
        </w:rPr>
        <w:t>searches of Uniform Commercial Code filings in the jurisdiction of formation of each Loan Party and each other jurisdiction deemed appropriate by the Administrative Agent;</w:t>
      </w:r>
    </w:p>
    <w:p>
      <w:pPr>
        <w:spacing w:after="0" w:line="50" w:lineRule="exact"/>
        <w:rPr>
          <w:rFonts w:ascii="Arial" w:cs="Arial" w:eastAsia="Arial" w:hAnsi="Arial"/>
          <w:sz w:val="18"/>
          <w:szCs w:val="18"/>
          <w:color w:val="auto"/>
        </w:rPr>
      </w:pPr>
    </w:p>
    <w:p>
      <w:pPr>
        <w:ind w:left="920" w:right="640" w:firstLine="421"/>
        <w:spacing w:after="0" w:line="268" w:lineRule="auto"/>
        <w:tabs>
          <w:tab w:leader="none" w:pos="159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UCC financing statements for each appropriate jurisdiction as is necessary, in the Administrative Agent’s discretion, to perfect the Administrative Agent’s security interest in the Collateral;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80" w:right="279" w:bottom="1440" w:gutter="0" w:footer="0" w:header="0"/>
        </w:sectPr>
      </w:pPr>
    </w:p>
    <w:bookmarkStart w:id="172" w:name="page173"/>
    <w:bookmarkEnd w:id="172"/>
    <w:p>
      <w:pPr>
        <w:ind w:left="460" w:right="60" w:firstLine="421"/>
        <w:spacing w:after="0" w:line="256" w:lineRule="auto"/>
        <w:tabs>
          <w:tab w:leader="none" w:pos="1187" w:val="left"/>
        </w:tabs>
        <w:numPr>
          <w:ilvl w:val="1"/>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certificates evidencing any certificated Equity Interests pledged to the Administrative Agent pursuant to the Security Agreement, together with duly executed in blank, undated stock powers attached thereto (unless, with respect to the pledged Equity Interests of any Foreign Subsidiary, such stock powers are deemed unnecessary by the Administrative Agent in its discretion under the law of the jurisdiction of organization of such Person);</w:t>
      </w:r>
    </w:p>
    <w:p>
      <w:pPr>
        <w:spacing w:after="0" w:line="62" w:lineRule="exact"/>
        <w:rPr>
          <w:rFonts w:ascii="Arial" w:cs="Arial" w:eastAsia="Arial" w:hAnsi="Arial"/>
          <w:sz w:val="18"/>
          <w:szCs w:val="18"/>
          <w:color w:val="auto"/>
        </w:rPr>
      </w:pPr>
    </w:p>
    <w:p>
      <w:pPr>
        <w:ind w:left="460" w:right="140" w:firstLine="421"/>
        <w:spacing w:after="0" w:line="268" w:lineRule="auto"/>
        <w:tabs>
          <w:tab w:leader="none" w:pos="1177" w:val="left"/>
        </w:tabs>
        <w:numPr>
          <w:ilvl w:val="1"/>
          <w:numId w:val="137"/>
        </w:numPr>
        <w:rPr>
          <w:rFonts w:ascii="Arial" w:cs="Arial" w:eastAsia="Arial" w:hAnsi="Arial"/>
          <w:sz w:val="18"/>
          <w:szCs w:val="18"/>
          <w:color w:val="auto"/>
        </w:rPr>
      </w:pPr>
      <w:r>
        <w:rPr>
          <w:rFonts w:ascii="Arial" w:cs="Arial" w:eastAsia="Arial" w:hAnsi="Arial"/>
          <w:sz w:val="18"/>
          <w:szCs w:val="18"/>
          <w:color w:val="auto"/>
        </w:rPr>
        <w:t>searches of ownership of, and Liens on, United States registered intellectual property of each Loan Party in the appropriate governmental offices; and</w:t>
      </w:r>
    </w:p>
    <w:p>
      <w:pPr>
        <w:spacing w:after="0" w:line="50" w:lineRule="exact"/>
        <w:rPr>
          <w:rFonts w:ascii="Arial" w:cs="Arial" w:eastAsia="Arial" w:hAnsi="Arial"/>
          <w:sz w:val="18"/>
          <w:szCs w:val="18"/>
          <w:color w:val="auto"/>
        </w:rPr>
      </w:pPr>
    </w:p>
    <w:p>
      <w:pPr>
        <w:ind w:left="460" w:right="240" w:firstLine="421"/>
        <w:spacing w:after="0" w:line="370" w:lineRule="auto"/>
        <w:tabs>
          <w:tab w:leader="none" w:pos="1128" w:val="left"/>
        </w:tabs>
        <w:numPr>
          <w:ilvl w:val="1"/>
          <w:numId w:val="137"/>
        </w:numPr>
        <w:rPr>
          <w:rFonts w:ascii="Arial" w:cs="Arial" w:eastAsia="Arial" w:hAnsi="Arial"/>
          <w:sz w:val="15"/>
          <w:szCs w:val="15"/>
          <w:color w:val="auto"/>
        </w:rPr>
      </w:pPr>
      <w:r>
        <w:rPr>
          <w:rFonts w:ascii="Arial" w:cs="Arial" w:eastAsia="Arial" w:hAnsi="Arial"/>
          <w:sz w:val="15"/>
          <w:szCs w:val="15"/>
          <w:color w:val="auto"/>
        </w:rPr>
        <w:t>duly executed notices of grant of security interest in the form required by the Security Agreement as are necessary, in the Administrative Agent’s discretion, to perfect the Administrative Agent’s security interest in the United States registered intellectual property of the Loan Parties.</w:t>
      </w:r>
    </w:p>
    <w:p>
      <w:pPr>
        <w:spacing w:after="0" w:line="62" w:lineRule="exact"/>
        <w:rPr>
          <w:rFonts w:ascii="Arial" w:cs="Arial" w:eastAsia="Arial" w:hAnsi="Arial"/>
          <w:sz w:val="15"/>
          <w:szCs w:val="15"/>
          <w:color w:val="auto"/>
        </w:rPr>
      </w:pPr>
    </w:p>
    <w:p>
      <w:pPr>
        <w:ind w:right="100" w:firstLine="443"/>
        <w:spacing w:after="0" w:line="268" w:lineRule="auto"/>
        <w:tabs>
          <w:tab w:leader="none" w:pos="657"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Real Property Collateral</w:t>
      </w:r>
      <w:r>
        <w:rPr>
          <w:rFonts w:ascii="Arial" w:cs="Arial" w:eastAsia="Arial" w:hAnsi="Arial"/>
          <w:sz w:val="18"/>
          <w:szCs w:val="18"/>
          <w:color w:val="auto"/>
        </w:rPr>
        <w:t>. Receipt by the Administrative Agent of each of the following (the “</w:t>
      </w:r>
      <w:r>
        <w:rPr>
          <w:rFonts w:ascii="Arial" w:cs="Arial" w:eastAsia="Arial" w:hAnsi="Arial"/>
          <w:sz w:val="18"/>
          <w:szCs w:val="18"/>
          <w:u w:val="single" w:color="auto"/>
          <w:color w:val="auto"/>
        </w:rPr>
        <w:t>Real Property Deliverables</w:t>
      </w:r>
      <w:r>
        <w:rPr>
          <w:rFonts w:ascii="Arial" w:cs="Arial" w:eastAsia="Arial" w:hAnsi="Arial"/>
          <w:sz w:val="18"/>
          <w:szCs w:val="18"/>
          <w:color w:val="auto"/>
        </w:rPr>
        <w:t>”) with respect to all real property of the Loan Parties (other than Excluded Real Property):</w:t>
      </w:r>
    </w:p>
    <w:p>
      <w:pPr>
        <w:spacing w:after="0" w:line="50" w:lineRule="exact"/>
        <w:rPr>
          <w:rFonts w:ascii="Arial" w:cs="Arial" w:eastAsia="Arial" w:hAnsi="Arial"/>
          <w:sz w:val="18"/>
          <w:szCs w:val="18"/>
          <w:color w:val="auto"/>
        </w:rPr>
      </w:pPr>
    </w:p>
    <w:p>
      <w:pPr>
        <w:ind w:left="1100" w:hanging="219"/>
        <w:spacing w:after="0"/>
        <w:tabs>
          <w:tab w:leader="none" w:pos="11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 Appraisal of such real property;</w:t>
      </w:r>
    </w:p>
    <w:p>
      <w:pPr>
        <w:spacing w:after="0" w:line="90" w:lineRule="exact"/>
        <w:rPr>
          <w:rFonts w:ascii="Arial" w:cs="Arial" w:eastAsia="Arial" w:hAnsi="Arial"/>
          <w:sz w:val="18"/>
          <w:szCs w:val="18"/>
          <w:color w:val="auto"/>
        </w:rPr>
      </w:pPr>
    </w:p>
    <w:p>
      <w:pPr>
        <w:ind w:left="1140" w:hanging="259"/>
        <w:spacing w:after="0"/>
        <w:tabs>
          <w:tab w:leader="none" w:pos="11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 fully executed and notarized Mortgage encumbering such real property;</w:t>
      </w:r>
    </w:p>
    <w:p>
      <w:pPr>
        <w:spacing w:after="0" w:line="90" w:lineRule="exact"/>
        <w:rPr>
          <w:rFonts w:ascii="Arial" w:cs="Arial" w:eastAsia="Arial" w:hAnsi="Arial"/>
          <w:sz w:val="18"/>
          <w:szCs w:val="18"/>
          <w:color w:val="auto"/>
        </w:rPr>
      </w:pPr>
    </w:p>
    <w:p>
      <w:pPr>
        <w:ind w:left="460" w:firstLine="421"/>
        <w:spacing w:after="0" w:line="286" w:lineRule="auto"/>
        <w:tabs>
          <w:tab w:leader="none" w:pos="1187" w:val="left"/>
        </w:tabs>
        <w:numPr>
          <w:ilvl w:val="1"/>
          <w:numId w:val="138"/>
        </w:numPr>
        <w:rPr>
          <w:rFonts w:ascii="Arial" w:cs="Arial" w:eastAsia="Arial" w:hAnsi="Arial"/>
          <w:sz w:val="16"/>
          <w:szCs w:val="16"/>
          <w:color w:val="auto"/>
        </w:rPr>
      </w:pPr>
      <w:r>
        <w:rPr>
          <w:rFonts w:ascii="Arial" w:cs="Arial" w:eastAsia="Arial" w:hAnsi="Arial"/>
          <w:sz w:val="16"/>
          <w:szCs w:val="16"/>
          <w:color w:val="auto"/>
        </w:rPr>
        <w:t>if requested by the Administrative Agent in its sole discretion, either (A) maps or plats of an as-built survey of the sites of such real property certified to the Administrative Agent and the title insurance company issuing the policies referred to in the following clause (iv) in a manner satisfactory to each of the Administrative Agent and such title insurance company, dated a date satisfactory to each of the Administrative Agent and such title insurance company by an independent professional licensed land surveyor, which maps or plats and the surveys on which they are based shall be sufficient to delete any standard printed survey exception contained in the applicable title policy and be made in accordance with the Minimum Standard Detail Requirements for Land Title Surveys jointly established and adopted by the American Land Title Association and the American Congress on Surveying and Mapping in 2011 with items 2, 3, 4, 6(b), 7(a), 7(b)(1), 7(c), 8, 9, 10, 11(a), 13, 14, 16,17, 18 and 19 on Table A thereof completed or (B) aerial surveys/zip maps of the sites of such real property satisfactory to each of the Administrative Agent and the title insurance company issuing the policies referred to in the following clause (iv), dated a date satisfactory to each of the Administrative Agent and such title insurance company, which aerial surveys/zip maps shall be sufficient to delete any standard printed survey exception contained in the applicable title policy and to allow such title insurance company to issue an endorsement to the applicable title policy insuring that the Mortgage to be insured under such title policy encumbers the property shown on such aerial surveys/zip maps;</w:t>
      </w:r>
    </w:p>
    <w:p>
      <w:pPr>
        <w:spacing w:after="0" w:line="43" w:lineRule="exact"/>
        <w:rPr>
          <w:rFonts w:ascii="Arial" w:cs="Arial" w:eastAsia="Arial" w:hAnsi="Arial"/>
          <w:sz w:val="16"/>
          <w:szCs w:val="16"/>
          <w:color w:val="auto"/>
        </w:rPr>
      </w:pPr>
    </w:p>
    <w:p>
      <w:pPr>
        <w:ind w:left="460" w:right="40" w:firstLine="421"/>
        <w:spacing w:after="0" w:line="298" w:lineRule="auto"/>
        <w:tabs>
          <w:tab w:leader="none" w:pos="1177"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ALTA mortgagee title insurance policies issued by a title insurance company acceptable to the Administrative Agent with respect to such real property, assuring the Administrative Agent that the Mortgage covering such real property creates a valid and enforceable first priority mortgage lien on such real property, free and clear of all defects and encumbrances except Permitted Liens, which title insurance policies shall otherwise be in form and substance satisfactory to the Administrative Agent and shall include such endorsements as are requested by the Administrative Agent;</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700" w:top="280" w:right="239" w:bottom="1440" w:gutter="0" w:footer="0" w:header="0"/>
        </w:sectPr>
      </w:pPr>
    </w:p>
    <w:bookmarkStart w:id="173" w:name="page174"/>
    <w:bookmarkEnd w:id="173"/>
    <w:p>
      <w:pPr>
        <w:ind w:left="460" w:firstLine="421"/>
        <w:spacing w:after="0" w:line="290" w:lineRule="auto"/>
        <w:tabs>
          <w:tab w:leader="none" w:pos="1128" w:val="left"/>
        </w:tabs>
        <w:numPr>
          <w:ilvl w:val="1"/>
          <w:numId w:val="1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evidence as to (A) whether such real property is in an area designated by the Federal Emergency Management Agency as having special flood or mud slide hazards (a “</w:t>
      </w:r>
      <w:r>
        <w:rPr>
          <w:rFonts w:ascii="Arial" w:cs="Arial" w:eastAsia="Arial" w:hAnsi="Arial"/>
          <w:sz w:val="16"/>
          <w:szCs w:val="16"/>
          <w:u w:val="single" w:color="auto"/>
          <w:color w:val="auto"/>
        </w:rPr>
        <w:t>Flood Hazard Property</w:t>
      </w:r>
      <w:r>
        <w:rPr>
          <w:rFonts w:ascii="Arial" w:cs="Arial" w:eastAsia="Arial" w:hAnsi="Arial"/>
          <w:sz w:val="16"/>
          <w:szCs w:val="16"/>
          <w:color w:val="auto"/>
        </w:rPr>
        <w:t>”) and (B) if such real property is a Flood Hazard Property, (1) whether the community in which such real property is located is participating in the National Flood Insurance Program, (2) the applicable Loan Party’s written acknowledgment of receipt of written notification from the Administrative Agent (x) as to the fact that such real property is a Flood Hazard Property and (y) as to whether the community in which each such Flood Hazard Property is located is participating in the National Flood Insurance Program and (3) copies of insurance policies or certificates of insurance of the Borrower and its Subsidiaries evidencing flood insurance satisfactory to the Administrative Agent and naming the Administrative Agent and its successors and/or assigns as sole loss payee on behalf of the Lenders;</w:t>
      </w:r>
    </w:p>
    <w:p>
      <w:pPr>
        <w:spacing w:after="0" w:line="37" w:lineRule="exact"/>
        <w:rPr>
          <w:rFonts w:ascii="Arial" w:cs="Arial" w:eastAsia="Arial" w:hAnsi="Arial"/>
          <w:sz w:val="16"/>
          <w:szCs w:val="16"/>
          <w:color w:val="auto"/>
        </w:rPr>
      </w:pPr>
    </w:p>
    <w:p>
      <w:pPr>
        <w:ind w:left="460" w:right="700" w:firstLine="421"/>
        <w:spacing w:after="0" w:line="268" w:lineRule="auto"/>
        <w:tabs>
          <w:tab w:leader="none" w:pos="1177"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 environmental assessment report, as to such real property, in form and substance and from professional firms acceptable to the Administrative Agent; and</w:t>
      </w:r>
    </w:p>
    <w:p>
      <w:pPr>
        <w:spacing w:after="0" w:line="50" w:lineRule="exact"/>
        <w:rPr>
          <w:rFonts w:ascii="Arial" w:cs="Arial" w:eastAsia="Arial" w:hAnsi="Arial"/>
          <w:sz w:val="18"/>
          <w:szCs w:val="18"/>
          <w:color w:val="auto"/>
        </w:rPr>
      </w:pPr>
    </w:p>
    <w:p>
      <w:pPr>
        <w:jc w:val="both"/>
        <w:ind w:left="460" w:right="60" w:firstLine="421"/>
        <w:spacing w:after="0" w:line="256" w:lineRule="auto"/>
        <w:tabs>
          <w:tab w:leader="none" w:pos="1226" w:val="left"/>
        </w:tabs>
        <w:numPr>
          <w:ilvl w:val="1"/>
          <w:numId w:val="139"/>
        </w:numPr>
        <w:rPr>
          <w:rFonts w:ascii="Arial" w:cs="Arial" w:eastAsia="Arial" w:hAnsi="Arial"/>
          <w:sz w:val="18"/>
          <w:szCs w:val="18"/>
          <w:color w:val="auto"/>
        </w:rPr>
      </w:pPr>
      <w:r>
        <w:rPr>
          <w:rFonts w:ascii="Arial" w:cs="Arial" w:eastAsia="Arial" w:hAnsi="Arial"/>
          <w:sz w:val="18"/>
          <w:szCs w:val="18"/>
          <w:color w:val="auto"/>
        </w:rPr>
        <w:t>evidence reasonably satisfactory to the Administrative Agent that such real property, and the uses of such real property, are in compliance in all material respects with all applicable zoning laws (the evidence submitted as to which should include the zoning designation made for such real property, the permitted uses of such real property under such zoning designation and, if available, zoning requirements as to parking, lot size, ingress, egress and building setbacks).</w:t>
      </w:r>
    </w:p>
    <w:p>
      <w:pPr>
        <w:spacing w:after="0" w:line="62" w:lineRule="exact"/>
        <w:rPr>
          <w:rFonts w:ascii="Arial" w:cs="Arial" w:eastAsia="Arial" w:hAnsi="Arial"/>
          <w:sz w:val="18"/>
          <w:szCs w:val="18"/>
          <w:color w:val="auto"/>
        </w:rPr>
      </w:pPr>
    </w:p>
    <w:p>
      <w:pPr>
        <w:ind w:right="560" w:firstLine="443"/>
        <w:spacing w:after="0" w:line="268" w:lineRule="auto"/>
        <w:tabs>
          <w:tab w:leader="none" w:pos="687"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Evidence of Insurance</w:t>
      </w:r>
      <w:r>
        <w:rPr>
          <w:rFonts w:ascii="Arial" w:cs="Arial" w:eastAsia="Arial" w:hAnsi="Arial"/>
          <w:sz w:val="18"/>
          <w:szCs w:val="18"/>
          <w:color w:val="auto"/>
        </w:rPr>
        <w:t>. Receipt by the Administrative Agent of copies of insurance policies or certificates of insurance of the Loan Parties evidencing liability and casualty insurance meeting the requirements set forth in the Loan Documents.</w:t>
      </w:r>
    </w:p>
    <w:p>
      <w:pPr>
        <w:spacing w:after="0" w:line="50" w:lineRule="exact"/>
        <w:rPr>
          <w:rFonts w:ascii="Arial" w:cs="Arial" w:eastAsia="Arial" w:hAnsi="Arial"/>
          <w:sz w:val="18"/>
          <w:szCs w:val="18"/>
          <w:color w:val="auto"/>
        </w:rPr>
      </w:pPr>
    </w:p>
    <w:p>
      <w:pPr>
        <w:ind w:right="60" w:firstLine="443"/>
        <w:spacing w:after="0" w:line="332" w:lineRule="auto"/>
        <w:tabs>
          <w:tab w:leader="none" w:pos="687"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Solvency Certificate</w:t>
      </w:r>
      <w:r>
        <w:rPr>
          <w:rFonts w:ascii="Arial" w:cs="Arial" w:eastAsia="Arial" w:hAnsi="Arial"/>
          <w:sz w:val="16"/>
          <w:szCs w:val="16"/>
          <w:color w:val="auto"/>
        </w:rPr>
        <w:t>. Receipt by the Administrative Agent of a certificate signed by the chief financial officer of the Borrower as to the Solvency of the Borrower and each Guarantor after giving effect to the Credit Extensions to be made on the Closing Date and the use of the proceeds thereof.</w:t>
      </w:r>
    </w:p>
    <w:p>
      <w:pPr>
        <w:spacing w:after="0" w:line="4" w:lineRule="exact"/>
        <w:rPr>
          <w:rFonts w:ascii="Arial" w:cs="Arial" w:eastAsia="Arial" w:hAnsi="Arial"/>
          <w:sz w:val="16"/>
          <w:szCs w:val="16"/>
          <w:color w:val="auto"/>
        </w:rPr>
      </w:pPr>
    </w:p>
    <w:p>
      <w:pPr>
        <w:ind w:right="180" w:firstLine="443"/>
        <w:spacing w:after="0" w:line="268" w:lineRule="auto"/>
        <w:tabs>
          <w:tab w:leader="none" w:pos="648"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xml:space="preserve">. Receipt by the Administrative Agent of a certificate signed by a Responsible Officer of the Borrower as of the Closing Date certifying that the conditions specified in </w:t>
      </w:r>
      <w:r>
        <w:rPr>
          <w:rFonts w:ascii="Arial" w:cs="Arial" w:eastAsia="Arial" w:hAnsi="Arial"/>
          <w:sz w:val="18"/>
          <w:szCs w:val="18"/>
          <w:u w:val="single" w:color="auto"/>
          <w:color w:val="auto"/>
        </w:rPr>
        <w:t>Sections 5.02(a)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as of the Closing Date.</w:t>
      </w:r>
    </w:p>
    <w:p>
      <w:pPr>
        <w:spacing w:after="0" w:line="50" w:lineRule="exact"/>
        <w:rPr>
          <w:rFonts w:ascii="Arial" w:cs="Arial" w:eastAsia="Arial" w:hAnsi="Arial"/>
          <w:sz w:val="18"/>
          <w:szCs w:val="18"/>
          <w:color w:val="auto"/>
        </w:rPr>
      </w:pPr>
    </w:p>
    <w:p>
      <w:pPr>
        <w:ind w:right="20" w:firstLine="443"/>
        <w:spacing w:after="0" w:line="259" w:lineRule="auto"/>
        <w:tabs>
          <w:tab w:leader="none" w:pos="648"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Refinance of Existing Indebtedness</w:t>
      </w:r>
      <w:r>
        <w:rPr>
          <w:rFonts w:ascii="Arial" w:cs="Arial" w:eastAsia="Arial" w:hAnsi="Arial"/>
          <w:sz w:val="18"/>
          <w:szCs w:val="18"/>
          <w:color w:val="auto"/>
        </w:rPr>
        <w:t xml:space="preserve">. The Borrower and its Subsidiaries shall have repaid all outstanding Indebtedness (other than Indebtedness permitted under </w:t>
      </w:r>
      <w:r>
        <w:rPr>
          <w:rFonts w:ascii="Arial" w:cs="Arial" w:eastAsia="Arial" w:hAnsi="Arial"/>
          <w:sz w:val="18"/>
          <w:szCs w:val="18"/>
          <w:u w:val="single" w:color="auto"/>
          <w:color w:val="auto"/>
        </w:rPr>
        <w:t>Section 8.03</w:t>
      </w:r>
      <w:r>
        <w:rPr>
          <w:rFonts w:ascii="Arial" w:cs="Arial" w:eastAsia="Arial" w:hAnsi="Arial"/>
          <w:sz w:val="18"/>
          <w:szCs w:val="18"/>
          <w:color w:val="auto"/>
        </w:rPr>
        <w:t>) (the “</w:t>
      </w:r>
      <w:r>
        <w:rPr>
          <w:rFonts w:ascii="Arial" w:cs="Arial" w:eastAsia="Arial" w:hAnsi="Arial"/>
          <w:sz w:val="18"/>
          <w:szCs w:val="18"/>
          <w:u w:val="single" w:color="auto"/>
          <w:color w:val="auto"/>
        </w:rPr>
        <w:t>Existing Indebtedness</w:t>
      </w:r>
      <w:r>
        <w:rPr>
          <w:rFonts w:ascii="Arial" w:cs="Arial" w:eastAsia="Arial" w:hAnsi="Arial"/>
          <w:sz w:val="18"/>
          <w:szCs w:val="18"/>
          <w:color w:val="auto"/>
        </w:rPr>
        <w:t>”) and terminated all commitments to extend credit with respect to the Existing Indebtedness, and all Liens securing the Existing Indebtedness shall have been released.</w:t>
      </w:r>
    </w:p>
    <w:p>
      <w:pPr>
        <w:spacing w:after="0" w:line="59" w:lineRule="exact"/>
        <w:rPr>
          <w:rFonts w:ascii="Arial" w:cs="Arial" w:eastAsia="Arial" w:hAnsi="Arial"/>
          <w:sz w:val="18"/>
          <w:szCs w:val="18"/>
          <w:color w:val="auto"/>
        </w:rPr>
      </w:pPr>
    </w:p>
    <w:p>
      <w:pPr>
        <w:ind w:left="700" w:hanging="257"/>
        <w:spacing w:after="0"/>
        <w:tabs>
          <w:tab w:leader="none" w:pos="70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Receipt by the Administrative Agent, the Arranger and the Lenders of any fees required to be paid on or before the Closing Date.</w:t>
      </w:r>
    </w:p>
    <w:p>
      <w:pPr>
        <w:spacing w:after="0" w:line="113" w:lineRule="exact"/>
        <w:rPr>
          <w:rFonts w:ascii="Arial" w:cs="Arial" w:eastAsia="Arial" w:hAnsi="Arial"/>
          <w:sz w:val="16"/>
          <w:szCs w:val="16"/>
          <w:color w:val="auto"/>
        </w:rPr>
      </w:pPr>
    </w:p>
    <w:p>
      <w:pPr>
        <w:ind w:right="180" w:firstLine="443"/>
        <w:spacing w:after="0" w:line="294" w:lineRule="auto"/>
        <w:tabs>
          <w:tab w:leader="none" w:pos="648"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Attorney Costs</w:t>
      </w:r>
      <w:r>
        <w:rPr>
          <w:rFonts w:ascii="Arial" w:cs="Arial" w:eastAsia="Arial" w:hAnsi="Arial"/>
          <w:sz w:val="16"/>
          <w:szCs w:val="16"/>
          <w:color w:val="auto"/>
        </w:rPr>
        <w:t>. Unless waived by the Administrative Agent, the Borrower shall have paid all reasonable fees, charges and disbursements of counsel to the Administrative Agent (directly to such counsel if requested by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 and the Administrative Agent).</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700" w:top="280" w:right="239" w:bottom="1440" w:gutter="0" w:footer="0" w:header="0"/>
        </w:sectPr>
      </w:pPr>
    </w:p>
    <w:bookmarkStart w:id="174" w:name="page175"/>
    <w:bookmarkEnd w:id="174"/>
    <w:p>
      <w:pPr>
        <w:ind w:right="1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Without limiting the generality of the provisions of the last paragraph of </w:t>
      </w:r>
      <w:r>
        <w:rPr>
          <w:rFonts w:ascii="Arial" w:cs="Arial" w:eastAsia="Arial" w:hAnsi="Arial"/>
          <w:sz w:val="16"/>
          <w:szCs w:val="16"/>
          <w:u w:val="single" w:color="auto"/>
          <w:color w:val="auto"/>
        </w:rPr>
        <w:t>Section 10.03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5.01</w:t>
      </w:r>
      <w:r>
        <w:rPr>
          <w:rFonts w:ascii="Arial" w:cs="Arial" w:eastAsia="Arial" w:hAnsi="Arial"/>
          <w:sz w:val="16"/>
          <w:szCs w:val="16"/>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5.02 </w:t>
      </w:r>
      <w:r>
        <w:rPr>
          <w:rFonts w:ascii="Arial" w:cs="Arial" w:eastAsia="Arial" w:hAnsi="Arial"/>
          <w:sz w:val="18"/>
          <w:szCs w:val="18"/>
          <w:u w:val="single" w:color="auto"/>
          <w:color w:val="auto"/>
        </w:rPr>
        <w:t>Conditions to all Credit Extensions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 of each Lender to honor any Request for Credit Extension (other than a Loan Notice requesting only a conversion of Loans to the other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Type or a continuation of Eurodollar Rate Loans) is subject to the following conditions precedent:</w:t>
      </w:r>
    </w:p>
    <w:p>
      <w:pPr>
        <w:spacing w:after="0" w:line="84" w:lineRule="exact"/>
        <w:rPr>
          <w:sz w:val="20"/>
          <w:szCs w:val="20"/>
          <w:color w:val="auto"/>
        </w:rPr>
      </w:pPr>
    </w:p>
    <w:p>
      <w:pPr>
        <w:ind w:left="460" w:right="40" w:firstLine="443"/>
        <w:spacing w:after="0" w:line="294" w:lineRule="auto"/>
        <w:tabs>
          <w:tab w:leader="none" w:pos="113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each Loan Party contained in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or any other Loan Document, or which are contained in any document furnished at any time under or in connection herewith or therewith, shall be true and correct shall be true and correct in all material respects, except for any representation and warranty that is qualified by materiality or reference to Material Adverse Effect which such representation and warranty shall be true and correct in all respects, on and as of the date of such Credit Extension, except to the extent that such representations and warranties specifically refer to an earlier date, in which case they shall be true and correct as of such earlier date.</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90" w:lineRule="exact"/>
        <w:rPr>
          <w:rFonts w:ascii="Arial" w:cs="Arial" w:eastAsia="Arial" w:hAnsi="Arial"/>
          <w:sz w:val="18"/>
          <w:szCs w:val="18"/>
          <w:color w:val="auto"/>
        </w:rPr>
      </w:pPr>
    </w:p>
    <w:p>
      <w:pPr>
        <w:ind w:left="460" w:right="360" w:firstLine="443"/>
        <w:spacing w:after="0" w:line="268" w:lineRule="auto"/>
        <w:tabs>
          <w:tab w:leader="none" w:pos="113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 or the Swing Line Lender shall have received a Request for Credit Extension in accordance with the requirements hereof.</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Each Request for Credit Extension (other than a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8"/>
          <w:szCs w:val="18"/>
          <w:u w:val="single" w:color="auto"/>
          <w:color w:val="auto"/>
        </w:rPr>
        <w:t>Sections 5.02(a)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30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ARTICLE VI</w:t>
      </w:r>
    </w:p>
    <w:p>
      <w:pPr>
        <w:spacing w:after="0" w:line="17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REPRESENTATIONS AND WARRANTIES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Loan Parties represent and warrant to the Administrative Agent and the Lenders that: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Existence, Qualification and Power</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Borrower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would not reasonably be expected to have a Material Adverse Effect.</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20"/>
          </w:cols>
          <w:pgMar w:left="240" w:top="280"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6.02 </w:t>
      </w:r>
      <w:r>
        <w:rPr>
          <w:rFonts w:ascii="Arial" w:cs="Arial" w:eastAsia="Arial" w:hAnsi="Arial"/>
          <w:sz w:val="18"/>
          <w:szCs w:val="18"/>
          <w:u w:val="single" w:color="auto"/>
          <w:color w:val="auto"/>
        </w:rPr>
        <w:t>Authorization; No Contravention</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execution, delivery and performance by each Loan Party of each Loan Document to which such Person is party have been duly authorized by all necessary corporate or other organizational action, and do not (a) contravene the terms of any of such Person’s Organization Documents; (b) conflict with or result in any breach or contravention of, or the creation of any Lien (other than any Lien created under the Loan Documents) under, or require any payment to be made under (i) any material Contractual Obligation to which such Person is a party or (ii) any order, injunction, writ or decree of any Governmental Authority or any arbitral award to which such Person or its property is subject; or (c) violate any Law.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(i) those that have already been obtained and are in full force and effect and (ii) filings to perfect the Liens created by, or otherwise contemplated by, the Collateral Documents.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Binding Effect</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Loan Document has been duly executed and delivered by each Loan Party that is party thereto. Each Loan Document constitutes a legal, valid and binding obligation of each Loan Party party thereto, enforceable against such Loan Party that is party thereto in accordance with its terms, except as enforceability may be limited by applicable Debtor Relief Laws or by equitable principles relating to enforceability.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Financial Statements; No Material Adverse Effect</w:t>
      </w:r>
      <w:r>
        <w:rPr>
          <w:rFonts w:ascii="Arial" w:cs="Arial" w:eastAsia="Arial" w:hAnsi="Arial"/>
          <w:sz w:val="18"/>
          <w:szCs w:val="18"/>
          <w:color w:val="auto"/>
        </w:rPr>
        <w:t>.</w:t>
      </w:r>
    </w:p>
    <w:p>
      <w:pPr>
        <w:spacing w:after="0" w:line="171" w:lineRule="exact"/>
        <w:rPr>
          <w:sz w:val="20"/>
          <w:szCs w:val="20"/>
          <w:color w:val="auto"/>
        </w:rPr>
      </w:pPr>
    </w:p>
    <w:p>
      <w:pPr>
        <w:ind w:right="280" w:firstLine="464"/>
        <w:spacing w:after="0" w:line="294" w:lineRule="auto"/>
        <w:tabs>
          <w:tab w:leader="none" w:pos="695"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The Audited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Indebtedness.</w:t>
      </w:r>
    </w:p>
    <w:p>
      <w:pPr>
        <w:spacing w:after="0" w:line="115" w:lineRule="exact"/>
        <w:rPr>
          <w:rFonts w:ascii="Arial" w:cs="Arial" w:eastAsia="Arial" w:hAnsi="Arial"/>
          <w:sz w:val="16"/>
          <w:szCs w:val="16"/>
          <w:color w:val="auto"/>
        </w:rPr>
      </w:pPr>
    </w:p>
    <w:p>
      <w:pPr>
        <w:ind w:right="320" w:firstLine="464"/>
        <w:spacing w:after="0" w:line="303" w:lineRule="auto"/>
        <w:tabs>
          <w:tab w:leader="none" w:pos="705" w:val="left"/>
        </w:tabs>
        <w:numPr>
          <w:ilvl w:val="1"/>
          <w:numId w:val="142"/>
        </w:numPr>
        <w:rPr>
          <w:rFonts w:ascii="Arial" w:cs="Arial" w:eastAsia="Arial" w:hAnsi="Arial"/>
          <w:sz w:val="15"/>
          <w:szCs w:val="15"/>
          <w:color w:val="auto"/>
        </w:rPr>
      </w:pPr>
      <w:r>
        <w:rPr>
          <w:rFonts w:ascii="Arial" w:cs="Arial" w:eastAsia="Arial" w:hAnsi="Arial"/>
          <w:sz w:val="15"/>
          <w:szCs w:val="15"/>
          <w:color w:val="auto"/>
        </w:rPr>
        <w:t>The Interim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for the period covered thereby, subject, in the case of clauses (i) and (ii), to the absence of footnotes and to normal year-end audit adjustments; and</w:t>
      </w:r>
    </w:p>
    <w:p>
      <w:pPr>
        <w:spacing w:after="0" w:line="1" w:lineRule="exact"/>
        <w:rPr>
          <w:rFonts w:ascii="Arial" w:cs="Arial" w:eastAsia="Arial" w:hAnsi="Arial"/>
          <w:sz w:val="15"/>
          <w:szCs w:val="15"/>
          <w:color w:val="auto"/>
        </w:rPr>
      </w:pPr>
    </w:p>
    <w:p>
      <w:pPr>
        <w:ind w:right="240" w:firstLine="8"/>
        <w:spacing w:after="0" w:line="261" w:lineRule="auto"/>
        <w:tabs>
          <w:tab w:leader="none" w:pos="30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show all material indebtedness and other liabilities, direct or contingent, of the Borrower and its Subsidiaries as of the date thereof, including liabilities for taxes, material commitments and Indebtedness.</w:t>
      </w:r>
    </w:p>
    <w:p>
      <w:pPr>
        <w:spacing w:after="0" w:line="137" w:lineRule="exact"/>
        <w:rPr>
          <w:rFonts w:ascii="Arial" w:cs="Arial" w:eastAsia="Arial" w:hAnsi="Arial"/>
          <w:sz w:val="18"/>
          <w:szCs w:val="18"/>
          <w:color w:val="auto"/>
        </w:rPr>
      </w:pPr>
    </w:p>
    <w:p>
      <w:pPr>
        <w:ind w:right="460" w:firstLine="464"/>
        <w:spacing w:after="0" w:line="294" w:lineRule="auto"/>
        <w:tabs>
          <w:tab w:leader="none" w:pos="695" w:val="left"/>
        </w:tabs>
        <w:numPr>
          <w:ilvl w:val="1"/>
          <w:numId w:val="143"/>
        </w:numPr>
        <w:rPr>
          <w:rFonts w:ascii="Arial" w:cs="Arial" w:eastAsia="Arial" w:hAnsi="Arial"/>
          <w:sz w:val="16"/>
          <w:szCs w:val="16"/>
          <w:color w:val="auto"/>
        </w:rPr>
      </w:pPr>
      <w:r>
        <w:rPr>
          <w:rFonts w:ascii="Arial" w:cs="Arial" w:eastAsia="Arial" w:hAnsi="Arial"/>
          <w:sz w:val="16"/>
          <w:szCs w:val="16"/>
          <w:color w:val="auto"/>
        </w:rPr>
        <w:t>From the date of the Audited Financial Statements to and including the Closing Date, there has been no Disposition or any Recovery Event of any material part of the business or property of the Borrower and its Subsidiaries, taken as a whole, and no purchase or other acquisition by any of them of any business or property (including any Equity Interests of any other Person) material in relation to the consolidated financial condition of the Borrower and its Subsidiaries, taken as a whole, in each case, which is not reflected in the foregoing financial statements or in the notes thereto and has not otherwise been disclosed in writing to the Lenders on or prior to the Closing Date.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176" w:name="page177"/>
    <w:bookmarkEnd w:id="176"/>
    <w:p>
      <w:pPr>
        <w:ind w:right="60" w:firstLine="464"/>
        <w:spacing w:after="0" w:line="256" w:lineRule="auto"/>
        <w:tabs>
          <w:tab w:leader="none" w:pos="705" w:val="left"/>
        </w:tabs>
        <w:numPr>
          <w:ilvl w:val="0"/>
          <w:numId w:val="1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financial statements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if any, (i) were prepared in accordance with GAAP consistently applied throughout the period covered thereby; and (ii) fairly present the financial condition of the Borrower and its Subsidiaries as of the date thereof and their results of operations for the period covered thereby, subject, in the case of clauses (i) and (ii) with respect to any financial statements delivered pursuant to </w:t>
      </w:r>
      <w:r>
        <w:rPr>
          <w:rFonts w:ascii="Arial" w:cs="Arial" w:eastAsia="Arial" w:hAnsi="Arial"/>
          <w:sz w:val="18"/>
          <w:szCs w:val="18"/>
          <w:u w:val="single" w:color="auto"/>
          <w:color w:val="auto"/>
        </w:rPr>
        <w:t>Section 7.01(b)</w:t>
      </w:r>
      <w:r>
        <w:rPr>
          <w:rFonts w:ascii="Arial" w:cs="Arial" w:eastAsia="Arial" w:hAnsi="Arial"/>
          <w:sz w:val="18"/>
          <w:szCs w:val="18"/>
          <w:color w:val="auto"/>
        </w:rPr>
        <w:t>, to the absence of footnotes and to normal year-end audit adjustments.</w:t>
      </w:r>
    </w:p>
    <w:p>
      <w:pPr>
        <w:spacing w:after="0" w:line="143" w:lineRule="exact"/>
        <w:rPr>
          <w:rFonts w:ascii="Arial" w:cs="Arial" w:eastAsia="Arial" w:hAnsi="Arial"/>
          <w:sz w:val="18"/>
          <w:szCs w:val="18"/>
          <w:color w:val="auto"/>
        </w:rPr>
      </w:pPr>
    </w:p>
    <w:p>
      <w:pPr>
        <w:ind w:right="340" w:firstLine="464"/>
        <w:spacing w:after="0" w:line="268" w:lineRule="auto"/>
        <w:tabs>
          <w:tab w:leader="none" w:pos="69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Since the date of the Audited Financial Statements, there has been no event or circumstance that has had or would reasonably be expected to have a Material Adverse Effect.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6.06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There are no actions, suits, proceedings, claims or disputes pending or, to the knowledge of the Responsible Officers of the Loan Parties, threatened in writing, at law, in equity, in arbitration or before any Governmental Authority, by or against the Borrower or any Subsidiary or against any of their properties or revenues that (a) purport to affect or pertain to this Agreement or any other Loan Document or any of the transactions contemplated hereby or (b) would reasonably be expected to have a Material Adverse Effect.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No Default</w:t>
      </w:r>
      <w:r>
        <w:rPr>
          <w:rFonts w:ascii="Arial" w:cs="Arial" w:eastAsia="Arial" w:hAnsi="Arial"/>
          <w:sz w:val="18"/>
          <w:szCs w:val="18"/>
          <w:color w:val="auto"/>
        </w:rPr>
        <w:t>.</w:t>
      </w:r>
    </w:p>
    <w:p>
      <w:pPr>
        <w:spacing w:after="0" w:line="171" w:lineRule="exact"/>
        <w:rPr>
          <w:sz w:val="20"/>
          <w:szCs w:val="20"/>
          <w:color w:val="auto"/>
        </w:rPr>
      </w:pPr>
    </w:p>
    <w:p>
      <w:pPr>
        <w:ind w:right="140" w:firstLine="464"/>
        <w:spacing w:after="0" w:line="268" w:lineRule="auto"/>
        <w:tabs>
          <w:tab w:leader="none" w:pos="69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Neither the Borrower nor any Subsidiary is in default under or with respect to any Contractual Obligation that would reasonably be expected to have a Material Adverse Effect.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 Default has occurred and is continuing.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Ownership of Property; Liens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of the Borrower and its Subsidiaries has good record and marketable title in fee simple to, or valid leasehold interests in, all real property necessary or used in the ordinary conduct of its business, except for such defects in title as would not reasonably be expected to have a Material Adverse Effect. The property of the Borrower and its Subsidiaries is not subject to any Liens other than Permitted Liens.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6.09 </w:t>
      </w:r>
      <w:r>
        <w:rPr>
          <w:rFonts w:ascii="Arial" w:cs="Arial" w:eastAsia="Arial" w:hAnsi="Arial"/>
          <w:sz w:val="18"/>
          <w:szCs w:val="18"/>
          <w:u w:val="single" w:color="auto"/>
          <w:color w:val="auto"/>
        </w:rPr>
        <w:t>Environmental Compliance</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would not reasonably be expected to have a Material Adverse Effect:</w:t>
      </w:r>
    </w:p>
    <w:p>
      <w:pPr>
        <w:spacing w:after="0" w:line="90" w:lineRule="exact"/>
        <w:rPr>
          <w:sz w:val="20"/>
          <w:szCs w:val="20"/>
          <w:color w:val="auto"/>
        </w:rPr>
      </w:pPr>
    </w:p>
    <w:p>
      <w:pPr>
        <w:jc w:val="both"/>
        <w:ind w:left="460" w:right="160" w:firstLine="443"/>
        <w:spacing w:after="0" w:line="298" w:lineRule="auto"/>
        <w:tabs>
          <w:tab w:leader="none" w:pos="1137"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Each of the facilities and real properties owned, leased or operated by the Borrower or any Subsidiary (the “</w:t>
      </w:r>
      <w:r>
        <w:rPr>
          <w:rFonts w:ascii="Arial" w:cs="Arial" w:eastAsia="Arial" w:hAnsi="Arial"/>
          <w:sz w:val="16"/>
          <w:szCs w:val="16"/>
          <w:u w:val="single" w:color="auto"/>
          <w:color w:val="auto"/>
        </w:rPr>
        <w:t>Facilities</w:t>
      </w:r>
      <w:r>
        <w:rPr>
          <w:rFonts w:ascii="Arial" w:cs="Arial" w:eastAsia="Arial" w:hAnsi="Arial"/>
          <w:sz w:val="16"/>
          <w:szCs w:val="16"/>
          <w:color w:val="auto"/>
        </w:rPr>
        <w:t>”) and all operations at the Facilities are in compliance with all applicable Environmental Laws, and there is no violation of any Environmental Law with respect to the Facilities or the businesses operated by the Borrower and its Subsidiaries at such time (the “</w:t>
      </w:r>
      <w:r>
        <w:rPr>
          <w:rFonts w:ascii="Arial" w:cs="Arial" w:eastAsia="Arial" w:hAnsi="Arial"/>
          <w:sz w:val="16"/>
          <w:szCs w:val="16"/>
          <w:u w:val="single" w:color="auto"/>
          <w:color w:val="auto"/>
        </w:rPr>
        <w:t>Businesses</w:t>
      </w:r>
      <w:r>
        <w:rPr>
          <w:rFonts w:ascii="Arial" w:cs="Arial" w:eastAsia="Arial" w:hAnsi="Arial"/>
          <w:sz w:val="16"/>
          <w:szCs w:val="16"/>
          <w:color w:val="auto"/>
        </w:rPr>
        <w:t>”), and there are no conditions relating to the Facilities or the Businesses that would reasonably be expected to give rise to liability under any applicable Environmental Laws.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80" w:right="259" w:bottom="1440" w:gutter="0" w:footer="0" w:header="0"/>
        </w:sectPr>
      </w:pPr>
    </w:p>
    <w:bookmarkStart w:id="177" w:name="page178"/>
    <w:bookmarkEnd w:id="177"/>
    <w:p>
      <w:pPr>
        <w:ind w:left="460" w:right="140" w:firstLine="443"/>
        <w:spacing w:after="0" w:line="268"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 of the Facilities contains, or has previously contained, any Hazardous Materials at, on or under the Facilities in amounts or concentrations that constitute or constituted a violation of, or could give rise to liability under, Environmental Laws.</w:t>
      </w:r>
    </w:p>
    <w:p>
      <w:pPr>
        <w:spacing w:after="0" w:line="50" w:lineRule="exact"/>
        <w:rPr>
          <w:rFonts w:ascii="Arial" w:cs="Arial" w:eastAsia="Arial" w:hAnsi="Arial"/>
          <w:sz w:val="18"/>
          <w:szCs w:val="18"/>
          <w:color w:val="auto"/>
        </w:rPr>
      </w:pPr>
    </w:p>
    <w:p>
      <w:pPr>
        <w:ind w:left="460" w:right="360" w:firstLine="443"/>
        <w:spacing w:after="0" w:line="256" w:lineRule="auto"/>
        <w:tabs>
          <w:tab w:leader="none" w:pos="113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Neither the Borrower nor any Subsidiary has received any written notice of, or inquiry from any Governmental Authority regarding, any violation, alleged violation, non-compliance, liability or potential liability arising under Environmental Laws with regard to any of the Facilities or the Businesses, nor does any Responsible Officer of any Loan Party have knowledge or reason to believe that any such notice will be received or is being threatened.</w:t>
      </w:r>
    </w:p>
    <w:p>
      <w:pPr>
        <w:spacing w:after="0" w:line="62" w:lineRule="exact"/>
        <w:rPr>
          <w:rFonts w:ascii="Arial" w:cs="Arial" w:eastAsia="Arial" w:hAnsi="Arial"/>
          <w:sz w:val="18"/>
          <w:szCs w:val="18"/>
          <w:color w:val="auto"/>
        </w:rPr>
      </w:pPr>
    </w:p>
    <w:p>
      <w:pPr>
        <w:ind w:left="460" w:right="120" w:firstLine="443"/>
        <w:spacing w:after="0" w:line="259" w:lineRule="auto"/>
        <w:tabs>
          <w:tab w:leader="none" w:pos="114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Hazardous Materials have not been transported or disposed of from the Facilities, or generated, treated, stored or disposed of at, on or under any of the Facilities or any other location, in each case by or on behalf of the Borrower or any Subsidiary in violation of, or in a manner that would be reasonably likely to give rise to liability under, any applicable Environmental Law.</w:t>
      </w:r>
    </w:p>
    <w:p>
      <w:pPr>
        <w:spacing w:after="0" w:line="59" w:lineRule="exact"/>
        <w:rPr>
          <w:rFonts w:ascii="Arial" w:cs="Arial" w:eastAsia="Arial" w:hAnsi="Arial"/>
          <w:sz w:val="18"/>
          <w:szCs w:val="18"/>
          <w:color w:val="auto"/>
        </w:rPr>
      </w:pPr>
    </w:p>
    <w:p>
      <w:pPr>
        <w:ind w:left="460" w:right="100" w:firstLine="443"/>
        <w:spacing w:after="0" w:line="255" w:lineRule="auto"/>
        <w:tabs>
          <w:tab w:leader="none" w:pos="113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 judicial proceeding or governmental or administrative action is pending or, to the knowledge of the Responsible Officers of the Loan Parties, threatened in writing, under any Environmental Law to which the Borrower or any Subsidiary is or, to the knowledge of the Responsible Officers of the Loan Parties, will be named as a party, nor are there any consent decrees or other decrees, consent orders, administrative orders or other orders, or other administrative or judicial requirements outstanding under any Environmental Law with respect to the Borrower, any Subsidiary, the Facilities or the Businesses.</w:t>
      </w:r>
    </w:p>
    <w:p>
      <w:pPr>
        <w:spacing w:after="0" w:line="61" w:lineRule="exact"/>
        <w:rPr>
          <w:rFonts w:ascii="Arial" w:cs="Arial" w:eastAsia="Arial" w:hAnsi="Arial"/>
          <w:sz w:val="18"/>
          <w:szCs w:val="18"/>
          <w:color w:val="auto"/>
        </w:rPr>
      </w:pPr>
    </w:p>
    <w:p>
      <w:pPr>
        <w:ind w:left="1120" w:hanging="217"/>
        <w:spacing w:after="0"/>
        <w:tabs>
          <w:tab w:leader="none" w:pos="11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There has been no release or threat of release of Hazardous Materials at or from the Facilities, or arising from or related to the operations</w:t>
      </w:r>
    </w:p>
    <w:p>
      <w:pPr>
        <w:spacing w:after="0" w:line="38" w:lineRule="exact"/>
        <w:rPr>
          <w:rFonts w:ascii="Arial" w:cs="Arial" w:eastAsia="Arial" w:hAnsi="Arial"/>
          <w:sz w:val="16"/>
          <w:szCs w:val="16"/>
          <w:color w:val="auto"/>
        </w:rPr>
      </w:pPr>
    </w:p>
    <w:p>
      <w:pPr>
        <w:ind w:left="460"/>
        <w:spacing w:after="0" w:line="261" w:lineRule="auto"/>
        <w:rPr>
          <w:rFonts w:ascii="Arial" w:cs="Arial" w:eastAsia="Arial" w:hAnsi="Arial"/>
          <w:sz w:val="16"/>
          <w:szCs w:val="16"/>
          <w:color w:val="auto"/>
        </w:rPr>
      </w:pPr>
      <w:r>
        <w:rPr>
          <w:rFonts w:ascii="Arial" w:cs="Arial" w:eastAsia="Arial" w:hAnsi="Arial"/>
          <w:sz w:val="18"/>
          <w:szCs w:val="18"/>
          <w:color w:val="auto"/>
        </w:rPr>
        <w:t>(including disposal) of the Borrower or any Subsidiary in connection with the Facilities or otherwise in connection with the Businesses, in violation of or in amounts or in a manner that could give rise to liability under Environmental Laws.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59" w:lineRule="auto"/>
        <w:tabs>
          <w:tab w:leader="none" w:pos="69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spacing w:after="0" w:line="140"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Borrower and its Subsidiaries maintain, if available, fully paid flood hazard insurance on all real property that is located in a special flood hazard area and that constitutes Collateral, on such terms and in such amounts as required by The National Flood Insurance Reform Act of 1994 or as otherwise required by the Administrative Agent.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Borrower and its Subsidiaries have filed all federal, state and other material tax returns and reports required to have been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the Borrower or any Subsidiary that would, if made, have a Material Adverse Effect. Neither the Borrower nor any Subsidiary is party to any tax sharing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280" w:right="25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6.12 </w:t>
      </w:r>
      <w:r>
        <w:rPr>
          <w:rFonts w:ascii="Arial" w:cs="Arial" w:eastAsia="Arial" w:hAnsi="Arial"/>
          <w:sz w:val="18"/>
          <w:szCs w:val="18"/>
          <w:u w:val="single" w:color="auto"/>
          <w:color w:val="auto"/>
        </w:rPr>
        <w:t>ERISA Compliance</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54" w:lineRule="auto"/>
        <w:tabs>
          <w:tab w:leader="none" w:pos="69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Plan is in compliance in all material respects with the applicable provisions of ERISA, the Internal Revenue Code and other Federal or state laws. Each Pension Plan that is intended to be a qualified plan under Section 401(a) of the Internal Revenue Code has received a favorable determination letter from the IRS to the effect that the form of such Plan is qualified under Section 401(a) of the Internal Revenue Code and the trust related thereto has been determined by the IRS to be exempt from federal income tax under Section 501(a) of the Internal Revenue Code, or an application for such a letter is currently being processed by the IRS. To the knowledge of the Responsible Officers of the Loan Parties, nothing has occurred that would reasonably be expected to prevent or cause the loss of such tax-qualified status.</w:t>
      </w:r>
    </w:p>
    <w:p>
      <w:pPr>
        <w:spacing w:after="0" w:line="144" w:lineRule="exact"/>
        <w:rPr>
          <w:rFonts w:ascii="Arial" w:cs="Arial" w:eastAsia="Arial" w:hAnsi="Arial"/>
          <w:sz w:val="18"/>
          <w:szCs w:val="18"/>
          <w:color w:val="auto"/>
        </w:rPr>
      </w:pPr>
    </w:p>
    <w:p>
      <w:pPr>
        <w:ind w:right="60" w:firstLine="464"/>
        <w:spacing w:after="0" w:line="335" w:lineRule="auto"/>
        <w:tabs>
          <w:tab w:leader="none" w:pos="705" w:val="left"/>
        </w:tabs>
        <w:numPr>
          <w:ilvl w:val="0"/>
          <w:numId w:val="149"/>
        </w:numPr>
        <w:rPr>
          <w:rFonts w:ascii="Arial" w:cs="Arial" w:eastAsia="Arial" w:hAnsi="Arial"/>
          <w:sz w:val="15"/>
          <w:szCs w:val="15"/>
          <w:color w:val="auto"/>
        </w:rPr>
      </w:pPr>
      <w:r>
        <w:rPr>
          <w:rFonts w:ascii="Arial" w:cs="Arial" w:eastAsia="Arial" w:hAnsi="Arial"/>
          <w:sz w:val="15"/>
          <w:szCs w:val="15"/>
          <w:color w:val="auto"/>
        </w:rPr>
        <w:t>There are no pending or, to the knowledge of the Responsible Officers of the Loan Parties, threatened claims, actions or lawsuits, or action by any Governmental Authority, with respect to any Plan that would reasonably be expected to have a Material Adverse Effect. There has been no prohibited transaction or violation of the fiduciary responsibility rules with respect to any Plan that has resulted or would reasonably be expected to result in a Material Adverse Effect.</w:t>
      </w:r>
    </w:p>
    <w:p>
      <w:pPr>
        <w:spacing w:after="0" w:line="88" w:lineRule="exact"/>
        <w:rPr>
          <w:rFonts w:ascii="Arial" w:cs="Arial" w:eastAsia="Arial" w:hAnsi="Arial"/>
          <w:sz w:val="15"/>
          <w:szCs w:val="15"/>
          <w:color w:val="auto"/>
        </w:rPr>
      </w:pPr>
    </w:p>
    <w:p>
      <w:pPr>
        <w:ind w:right="80" w:firstLine="464"/>
        <w:spacing w:after="0" w:line="286" w:lineRule="auto"/>
        <w:tabs>
          <w:tab w:leader="none" w:pos="695"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 No ERISA Event has occurred, and neither any Loan Party nor any ERISA Affiliate is aware of any fact, event or circumstance that would reasonably be expected to constitute or result in an ERISA Event with respect to any Pension Plan; (ii) each Loan Party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Internal Revenue Code) is 60% or higher and neither any Loan Party nor any ERISA Affiliate knows of any facts or circumstances that would reasonably be expected to cause the funding target attainment percentage for any such plan to drop below 60% as of the most recent valuation date; (iv) neither any Loan Party nor any ERISA Affiliate has incurred any liability to the PBGC other than for the payment of premiums, and there are no premium payments which have become due that are unpaid; (v) neither any Loan Party nor any ERISA Affiliate has engaged in a transaction that could be subject to Section 4069 or Section 4212(c) of ERISA; and (vi) no Pension Plan has been terminated by the plan administrator thereof nor by the PBGC, and no event or circumstance has occurred or exists that would reasonably be expected to cause the PBGC to institute proceedings under Title IV of ERISA to terminate any Pension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17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6.13</w:t>
      </w:r>
      <w:r>
        <w:rPr>
          <w:rFonts w:ascii="Arial" w:cs="Arial" w:eastAsia="Arial" w:hAnsi="Arial"/>
          <w:sz w:val="16"/>
          <w:szCs w:val="16"/>
          <w:color w:val="auto"/>
        </w:rPr>
        <w:t xml:space="preserve"> is a complete and accurate list as of the Closing Date of each Subsidiary, together with (a) jurisdiction of incorporation or organization, (b) number of shares of each class of Equity Interests outstanding, and (c) number and percentage of outstanding shares of each class owned (directly or indirectly) by the Borrower or any Subsidiary. The outstanding Equity Interests of each Subsidiary are validly issued, fully paid and non-assessable.</w:t>
      </w:r>
    </w:p>
    <w:p>
      <w:pPr>
        <w:spacing w:after="0" w:line="14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6"/>
          <w:szCs w:val="16"/>
          <w:u w:val="single" w:color="auto"/>
          <w:color w:val="auto"/>
        </w:rPr>
        <w:t>Margin Regulations; Investment Company Act</w:t>
      </w:r>
      <w:r>
        <w:rPr>
          <w:rFonts w:ascii="Arial" w:cs="Arial" w:eastAsia="Arial" w:hAnsi="Arial"/>
          <w:sz w:val="16"/>
          <w:szCs w:val="16"/>
          <w:color w:val="auto"/>
        </w:rPr>
        <w:t>.</w:t>
      </w:r>
    </w:p>
    <w:p>
      <w:pPr>
        <w:spacing w:after="0" w:line="171" w:lineRule="exact"/>
        <w:rPr>
          <w:sz w:val="20"/>
          <w:szCs w:val="20"/>
          <w:color w:val="auto"/>
        </w:rPr>
      </w:pPr>
    </w:p>
    <w:p>
      <w:pPr>
        <w:ind w:firstLine="464"/>
        <w:spacing w:after="0" w:line="254" w:lineRule="auto"/>
        <w:tabs>
          <w:tab w:leader="none" w:pos="69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Borrower only or of the Borrower and its Subsidiaries on a consolidated basis) subject to the provisions of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or subject to any restriction contained in any agreement or instrument between the Borrower and any Lender or any Affiliate of any Lender relating to Indebtedness and within the scope of </w:t>
      </w:r>
      <w:r>
        <w:rPr>
          <w:rFonts w:ascii="Arial" w:cs="Arial" w:eastAsia="Arial" w:hAnsi="Arial"/>
          <w:sz w:val="18"/>
          <w:szCs w:val="18"/>
          <w:u w:val="single" w:color="auto"/>
          <w:color w:val="auto"/>
        </w:rPr>
        <w:t>Section 9.01(e)</w:t>
      </w:r>
      <w:r>
        <w:rPr>
          <w:rFonts w:ascii="Arial" w:cs="Arial" w:eastAsia="Arial" w:hAnsi="Arial"/>
          <w:sz w:val="18"/>
          <w:szCs w:val="18"/>
          <w:color w:val="auto"/>
        </w:rPr>
        <w:t xml:space="preserve"> will be margin stock.</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179" w:name="page180"/>
    <w:bookmarkEnd w:id="179"/>
    <w:p>
      <w:pPr>
        <w:ind w:right="80" w:firstLine="464"/>
        <w:spacing w:after="0" w:line="268" w:lineRule="auto"/>
        <w:tabs>
          <w:tab w:leader="none" w:pos="705"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 of the Borrower, any Person Controlling the Borrower, or any Subsidiary is or is required to be registered as an “investment company” under the Investment Company Act of 1940.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Each Loan Party has disclosed to the Administrative Agent and the Lenders all agreements, instruments and corporate or other restrictions to which it or any of its Subsidiaries is subject, and all other matters known to it, that would reasonably be expected to result in a Material Adverse Effect. No report, financial statement, certificate or other information (excluding the projections and pro forma financial information referred to below)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when taken as a whole with the other information so furnished, any untrue statement of material fact or omits to state any material fact necessary to make the statements therein, in the light of the circumstances under which they were made, not misleading. The projections and pro forma financial information contained in the materials referenced above were based upon good faith estimates and assumptions believed by management of the Loan Parties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Each of the Borrower and each Subsidiary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Intellectual Property; Licenses, Etc</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Borrower and its Subsidiaries own, or possess the right to use, all of the trademarks, service marks, trade names, copyrights, patents, patent rights, franchises, licenses and other intellectual property rights (collectively, “</w:t>
      </w:r>
      <w:r>
        <w:rPr>
          <w:rFonts w:ascii="Arial" w:cs="Arial" w:eastAsia="Arial" w:hAnsi="Arial"/>
          <w:sz w:val="16"/>
          <w:szCs w:val="16"/>
          <w:u w:val="single" w:color="auto"/>
          <w:color w:val="auto"/>
        </w:rPr>
        <w:t>IP Rights</w:t>
      </w:r>
      <w:r>
        <w:rPr>
          <w:rFonts w:ascii="Arial" w:cs="Arial" w:eastAsia="Arial" w:hAnsi="Arial"/>
          <w:sz w:val="16"/>
          <w:szCs w:val="16"/>
          <w:color w:val="auto"/>
        </w:rPr>
        <w:t xml:space="preserve">”) that are reasonably necessary for the operation of their respective businesses. Set forth on </w:t>
      </w:r>
      <w:r>
        <w:rPr>
          <w:rFonts w:ascii="Arial" w:cs="Arial" w:eastAsia="Arial" w:hAnsi="Arial"/>
          <w:sz w:val="16"/>
          <w:szCs w:val="16"/>
          <w:u w:val="single" w:color="auto"/>
          <w:color w:val="auto"/>
        </w:rPr>
        <w:t>Schedule 6.17</w:t>
      </w:r>
      <w:r>
        <w:rPr>
          <w:rFonts w:ascii="Arial" w:cs="Arial" w:eastAsia="Arial" w:hAnsi="Arial"/>
          <w:sz w:val="16"/>
          <w:szCs w:val="16"/>
          <w:color w:val="auto"/>
        </w:rPr>
        <w:t xml:space="preserve"> is a list of (i) all IP Rights registered or pending registration with the United States Copyright Office or the United States Patent and Trademark Office that as of the Closing Date a Loan Party owns and (ii) all licenses of IP Rights registered with the United States Copyright Office or the United States Patent and Trademark Office as of the Closing Date. Except for such claims and infringements that would not reasonably be expected to have a Material Adverse Effect, no claim has been asserted and is pending by any Person challenging or questioning the use of any IP Rights or the validity or effectiveness of any IP Rights, nor does any Responsible Officer of any Loan Party know of any such claim, and, to the knowledge of the Responsible Officers of the Loan Parties, the use of any IP Rights by the Borrower or any Subsidiary, the granting of a right or a license in respect of any IP Rights from the Borrower or any Subsidiary does not infringe on any rights of any other Person. As of the Closing Date, none of the IP Rights owned by any Loan Party is subject to any licensing agreement or similar arrangement except as set forth on </w:t>
      </w:r>
      <w:r>
        <w:rPr>
          <w:rFonts w:ascii="Arial" w:cs="Arial" w:eastAsia="Arial" w:hAnsi="Arial"/>
          <w:sz w:val="16"/>
          <w:szCs w:val="16"/>
          <w:u w:val="single" w:color="auto"/>
          <w:color w:val="auto"/>
        </w:rPr>
        <w:t>Schedule 6.17</w:t>
      </w:r>
      <w:r>
        <w:rPr>
          <w:rFonts w:ascii="Arial" w:cs="Arial" w:eastAsia="Arial" w:hAnsi="Arial"/>
          <w:sz w:val="16"/>
          <w:szCs w:val="16"/>
          <w:color w:val="auto"/>
        </w:rPr>
        <w:t>.</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280" w:right="29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6.18 </w:t>
      </w:r>
      <w:r>
        <w:rPr>
          <w:rFonts w:ascii="Arial" w:cs="Arial" w:eastAsia="Arial" w:hAnsi="Arial"/>
          <w:sz w:val="18"/>
          <w:szCs w:val="18"/>
          <w:u w:val="single" w:color="auto"/>
          <w:color w:val="auto"/>
        </w:rPr>
        <w:t>Solvency</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Loan Parties are Solvent on a consolidated basis.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6.19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u w:val="single" w:color="auto"/>
          <w:color w:val="auto"/>
        </w:rPr>
        <w:t>Business Locations; Taxpayer Identification Number</w:t>
      </w:r>
      <w:r>
        <w:rPr>
          <w:rFonts w:ascii="Arial" w:cs="Arial" w:eastAsia="Arial" w:hAnsi="Arial"/>
          <w:sz w:val="18"/>
          <w:szCs w:val="18"/>
          <w:color w:val="auto"/>
        </w:rPr>
        <w:t>.</w:t>
      </w:r>
    </w:p>
    <w:p>
      <w:pPr>
        <w:spacing w:after="0" w:line="17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6.20-1</w:t>
      </w:r>
      <w:r>
        <w:rPr>
          <w:rFonts w:ascii="Arial" w:cs="Arial" w:eastAsia="Arial" w:hAnsi="Arial"/>
          <w:sz w:val="18"/>
          <w:szCs w:val="18"/>
          <w:color w:val="auto"/>
        </w:rPr>
        <w:t xml:space="preserve"> is a list of all real property located in the United States that is owned or leased by any Loan Party as of the Closing Date (identifying whether such real property is owned or leased and which Loan Party owns or leases such real property). Set forth on </w:t>
      </w:r>
      <w:r>
        <w:rPr>
          <w:rFonts w:ascii="Arial" w:cs="Arial" w:eastAsia="Arial" w:hAnsi="Arial"/>
          <w:sz w:val="18"/>
          <w:szCs w:val="18"/>
          <w:u w:val="single" w:color="auto"/>
          <w:color w:val="auto"/>
        </w:rPr>
        <w:t>Schedule 6.20-2</w:t>
      </w:r>
      <w:r>
        <w:rPr>
          <w:rFonts w:ascii="Arial" w:cs="Arial" w:eastAsia="Arial" w:hAnsi="Arial"/>
          <w:sz w:val="18"/>
          <w:szCs w:val="18"/>
          <w:color w:val="auto"/>
        </w:rPr>
        <w:t xml:space="preserve"> is the chief executive office, U.S. tax payer identification number and organizational identification number of each Loan Party as of the Closing Date. The exact legal name and state of organization of each Loan Party as of the Closing Date is as set forth on the signature pages hereto. Except as set forth on </w:t>
      </w:r>
      <w:r>
        <w:rPr>
          <w:rFonts w:ascii="Arial" w:cs="Arial" w:eastAsia="Arial" w:hAnsi="Arial"/>
          <w:sz w:val="18"/>
          <w:szCs w:val="18"/>
          <w:u w:val="single" w:color="auto"/>
          <w:color w:val="auto"/>
        </w:rPr>
        <w:t>Schedule 6.20-3</w:t>
      </w:r>
      <w:r>
        <w:rPr>
          <w:rFonts w:ascii="Arial" w:cs="Arial" w:eastAsia="Arial" w:hAnsi="Arial"/>
          <w:sz w:val="18"/>
          <w:szCs w:val="18"/>
          <w:color w:val="auto"/>
        </w:rPr>
        <w:t>, no Loan Party has during the five years preceding the Closing Date (i) changed its legal name, (ii) changed its state of formation, or (iii) been party to a merger, consolidation or other change in structure.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No Loan Party nor, to the knowledge of any Loan Party, any Related Party, (a) is currently the subject of any Sanctions, (b) is located, organized or residing in any Designated Jurisdiction or (c) is or has been (within the previous five (5) years) engaged in any transaction with any Person who is now or was then the subject of Sanctions or who is located, organized or residing in any Designated Jurisdiction. No Loan, nor the proceeds from any Loan, has been used, directly or indirectly, to lend, contribute, provide or has otherwise made available to fund any activity or business in any Designated Jurisdiction or to fund any activity or business of any Person located, organized or residing in any Designated Jurisdiction or who is the subject of any Sanctions, or in any other manner that will result in any violation by any Person (including any Lender, the Arranger, the Administrative Agent, the L/C Issuer or the Swing Line Lender) of Sanctions.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AFFIRMATIVE COVENANTS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So long as any Lender shall have any Commitment hereunder, any Loan or other Obligation hereunder (other than contingent indemnification obligations not yet due and payable) shall remain unpaid or unsatisfied, or any Letter of Credit shall remain outstanding, the Loan Parties shall and shall cause each Subsidiary to: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Deliver to the Administrative Agent, in form and detail reasonably satisfactory to the Administrative Agent:</w:t>
      </w:r>
    </w:p>
    <w:p>
      <w:pPr>
        <w:spacing w:after="0" w:line="90" w:lineRule="exact"/>
        <w:rPr>
          <w:sz w:val="20"/>
          <w:szCs w:val="20"/>
          <w:color w:val="auto"/>
        </w:rPr>
      </w:pPr>
    </w:p>
    <w:p>
      <w:pPr>
        <w:ind w:left="460" w:right="80" w:firstLine="443"/>
        <w:spacing w:after="0" w:line="289" w:lineRule="auto"/>
        <w:tabs>
          <w:tab w:leader="none" w:pos="1137"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as soon as available, but in any event within ninety days after the end of each fiscal year of the Borrower (or, if earlier, 15 days after the date required to be filed with the SEC (without giving effect to any extension permitted by the SEC)), commencing with the fiscal year ending December 31, 2012, the consolidated balance sheet of the Borrower and its Subsidiaries as at the end of such fiscal year, and the related consolidated statements of income or operations, changes in stockholders’ equity and cash flows for such fiscal year, setting forth in each case in comparative form the figures for the previous fiscal year, all in reasonable detail and prepared in accordance with GAAP, and in the case of such consolidated statements audited and accompanied by a report and opinion of an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80" w:right="259" w:bottom="1440" w:gutter="0" w:footer="0" w:header="0"/>
        </w:sectPr>
      </w:pPr>
    </w:p>
    <w:bookmarkStart w:id="181" w:name="page182"/>
    <w:bookmarkEnd w:id="181"/>
    <w:p>
      <w:pPr>
        <w:ind w:left="460" w:firstLine="443"/>
        <w:spacing w:after="0" w:line="288" w:lineRule="auto"/>
        <w:tabs>
          <w:tab w:leader="none" w:pos="1147" w:val="left"/>
        </w:tabs>
        <w:numPr>
          <w:ilvl w:val="0"/>
          <w:numId w:val="1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soon as available, but in any event within forty-five days after the end of each of the first three fiscal quarters of each fiscal year of the Borrower (or, if earlier, 5 days after the date required to be filed with the SEC (without giving effect to any extension permitted by the SEC)), commencing with the fiscal quarter ended March 31, 2013, the consolidated balance sheet of the Borrower and its Subsidiaries as at the end of such fiscal quarter, the related consolidated statements of income or operations for such fiscal quarter and for the portion of the Borrower’s fiscal year then ended, and the related consolidated statements of changes in stockholders’ equity and cash flows for the portion of the Borrower’s fiscal year then ended, in each case setting forth in comparative form, as applicable, the figures for the corresponding fiscal quarter of the previous fiscal year and the corresponding portion of the previous fiscal year, all in reasonable detail and in the case of such consolidated statements certified by the chief executive officer, chief financial officer, treasurer or controller of the Borrower as fairly presenting the financial condition, results of operations, stockholders’ equity and cash flows of the Borrower and its Subsidiaries in accordance with GAAP, subject only to normal year-end audit adjustments and the absence of footnotes; and</w:t>
      </w:r>
    </w:p>
    <w:p>
      <w:pPr>
        <w:spacing w:after="0" w:line="38" w:lineRule="exact"/>
        <w:rPr>
          <w:rFonts w:ascii="Arial" w:cs="Arial" w:eastAsia="Arial" w:hAnsi="Arial"/>
          <w:sz w:val="16"/>
          <w:szCs w:val="16"/>
          <w:color w:val="auto"/>
        </w:rPr>
      </w:pPr>
    </w:p>
    <w:p>
      <w:pPr>
        <w:ind w:left="460" w:right="80" w:firstLine="443"/>
        <w:spacing w:after="0" w:line="298" w:lineRule="auto"/>
        <w:tabs>
          <w:tab w:leader="none" w:pos="1137"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as soon as available, but in any event within seventy-five (75) days after the end of each fiscal year of the Borrower, commencing with the fiscal year ending December 31, 2012, forecasts prepared by management of the Borrower, in form satisfactory to the Administrative Agent, of consolidated balance sheets and statements of income or operations and cash flows of the Borrower and its Subsidiaries on an annual basis for the immediately following three fiscal years (including the fiscal year in which the Maturity Date occurs).</w:t>
      </w:r>
    </w:p>
    <w:p>
      <w:pPr>
        <w:spacing w:after="0" w:line="32" w:lineRule="exact"/>
        <w:rPr>
          <w:sz w:val="20"/>
          <w:szCs w:val="20"/>
          <w:color w:val="auto"/>
        </w:rPr>
      </w:pPr>
    </w:p>
    <w:p>
      <w:pPr>
        <w:ind w:left="460" w:right="360"/>
        <w:spacing w:after="0" w:line="259"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7.02(d)</w:t>
      </w:r>
      <w:r>
        <w:rPr>
          <w:rFonts w:ascii="Arial" w:cs="Arial" w:eastAsia="Arial" w:hAnsi="Arial"/>
          <w:sz w:val="18"/>
          <w:szCs w:val="18"/>
          <w:color w:val="auto"/>
        </w:rPr>
        <w:t>, the Borrower shall not be separately required to furnish such information under clause (a) or (b) above, but the foregoing shall not be in derogation of the obligation of the Borrower to furnish the information and materials described in clauses (a) and (b) above at the times specified therein.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Deliver to the Administrative Agent, in form and detail reasonably satisfactory to the Administrative Agent:</w:t>
      </w:r>
    </w:p>
    <w:p>
      <w:pPr>
        <w:spacing w:after="0" w:line="90" w:lineRule="exact"/>
        <w:rPr>
          <w:sz w:val="20"/>
          <w:szCs w:val="20"/>
          <w:color w:val="auto"/>
        </w:rPr>
      </w:pPr>
    </w:p>
    <w:p>
      <w:pPr>
        <w:ind w:left="460" w:right="40" w:firstLine="443"/>
        <w:spacing w:after="0" w:line="268" w:lineRule="auto"/>
        <w:tabs>
          <w:tab w:leader="none" w:pos="113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promptly after receipt by the Borrower or any Subsidiary from the DOE, the Cohort Default Rate for each School for each federal fiscal year and the DOE Ratio for each fiscal year of the Borrower;</w:t>
      </w:r>
    </w:p>
    <w:p>
      <w:pPr>
        <w:spacing w:after="0" w:line="50" w:lineRule="exact"/>
        <w:rPr>
          <w:rFonts w:ascii="Arial" w:cs="Arial" w:eastAsia="Arial" w:hAnsi="Arial"/>
          <w:sz w:val="18"/>
          <w:szCs w:val="18"/>
          <w:color w:val="auto"/>
        </w:rPr>
      </w:pPr>
    </w:p>
    <w:p>
      <w:pPr>
        <w:ind w:left="460" w:right="20" w:firstLine="443"/>
        <w:spacing w:after="0" w:line="256" w:lineRule="auto"/>
        <w:tabs>
          <w:tab w:leader="none" w:pos="114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duly completed Compliance Certificate signed by the chief executive officer, chief financial officer, treasurer or controller of the Borrower (which delivery may, unless the Administrative Agent, or a Lender requests executed originals, be by electronic communication including fax or email and shall be deemed to be an original authentic counterpart thereof for all purposes);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280" w:right="299" w:bottom="1440" w:gutter="0" w:footer="0" w:header="0"/>
        </w:sectPr>
      </w:pPr>
    </w:p>
    <w:bookmarkStart w:id="182" w:name="page183"/>
    <w:bookmarkEnd w:id="182"/>
    <w:p>
      <w:pPr>
        <w:ind w:left="1140" w:hanging="237"/>
        <w:spacing w:after="0"/>
        <w:tabs>
          <w:tab w:leader="none" w:pos="11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after the filing thereof with the DOE, a copy of the Borrower’s most recent Title IV Compliance Audit as filed with the DOE;</w:t>
      </w:r>
    </w:p>
    <w:p>
      <w:pPr>
        <w:spacing w:after="0" w:line="113" w:lineRule="exact"/>
        <w:rPr>
          <w:rFonts w:ascii="Arial" w:cs="Arial" w:eastAsia="Arial" w:hAnsi="Arial"/>
          <w:sz w:val="16"/>
          <w:szCs w:val="16"/>
          <w:color w:val="auto"/>
        </w:rPr>
      </w:pPr>
    </w:p>
    <w:p>
      <w:pPr>
        <w:ind w:left="460" w:right="100" w:firstLine="443"/>
        <w:spacing w:after="0" w:line="256"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promptly after the same are available, copies of each annual report or proxy statement sent to the equityholders of the Borrower or any Subsidiary, and copies of all annual, regular, periodic and special reports and registration statements which the Borrower or any Subsidiary may file or be required to file with the SEC under Section 13 or 15(d) of the Securities Exchange Act of 1934, and not otherwise required to be delivered to the Administrative Agent pursuant hereto;</w:t>
      </w:r>
    </w:p>
    <w:p>
      <w:pPr>
        <w:spacing w:after="0" w:line="62" w:lineRule="exact"/>
        <w:rPr>
          <w:rFonts w:ascii="Arial" w:cs="Arial" w:eastAsia="Arial" w:hAnsi="Arial"/>
          <w:sz w:val="18"/>
          <w:szCs w:val="18"/>
          <w:color w:val="auto"/>
        </w:rPr>
      </w:pPr>
    </w:p>
    <w:p>
      <w:pPr>
        <w:jc w:val="both"/>
        <w:ind w:left="460" w:right="80" w:firstLine="443"/>
        <w:spacing w:after="0" w:line="335" w:lineRule="auto"/>
        <w:tabs>
          <w:tab w:leader="none" w:pos="1137" w:val="left"/>
        </w:tabs>
        <w:numPr>
          <w:ilvl w:val="0"/>
          <w:numId w:val="155"/>
        </w:numPr>
        <w:rPr>
          <w:rFonts w:ascii="Arial" w:cs="Arial" w:eastAsia="Arial" w:hAnsi="Arial"/>
          <w:sz w:val="15"/>
          <w:szCs w:val="15"/>
          <w:color w:val="auto"/>
        </w:rPr>
      </w:pPr>
      <w:r>
        <w:rPr>
          <w:rFonts w:ascii="Arial" w:cs="Arial" w:eastAsia="Arial" w:hAnsi="Arial"/>
          <w:sz w:val="15"/>
          <w:szCs w:val="15"/>
          <w:color w:val="auto"/>
        </w:rPr>
        <w:t xml:space="preserve">concurrently with the delivery of the financial statements referred to in </w:t>
      </w:r>
      <w:r>
        <w:rPr>
          <w:rFonts w:ascii="Arial" w:cs="Arial" w:eastAsia="Arial" w:hAnsi="Arial"/>
          <w:sz w:val="15"/>
          <w:szCs w:val="15"/>
          <w:u w:val="single" w:color="auto"/>
          <w:color w:val="auto"/>
        </w:rPr>
        <w:t>Sections 7.01(a)</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 report signed by a Responsible Officer of the Borrower that supplements </w:t>
      </w:r>
      <w:r>
        <w:rPr>
          <w:rFonts w:ascii="Arial" w:cs="Arial" w:eastAsia="Arial" w:hAnsi="Arial"/>
          <w:sz w:val="15"/>
          <w:szCs w:val="15"/>
          <w:u w:val="single" w:color="auto"/>
          <w:color w:val="auto"/>
        </w:rPr>
        <w:t>Schedule 6.17</w:t>
      </w:r>
      <w:r>
        <w:rPr>
          <w:rFonts w:ascii="Arial" w:cs="Arial" w:eastAsia="Arial" w:hAnsi="Arial"/>
          <w:sz w:val="15"/>
          <w:szCs w:val="15"/>
          <w:color w:val="auto"/>
        </w:rPr>
        <w:t xml:space="preserve"> such that, as supplemented, such </w:t>
      </w:r>
      <w:r>
        <w:rPr>
          <w:rFonts w:ascii="Arial" w:cs="Arial" w:eastAsia="Arial" w:hAnsi="Arial"/>
          <w:sz w:val="15"/>
          <w:szCs w:val="15"/>
          <w:u w:val="single" w:color="auto"/>
          <w:color w:val="auto"/>
        </w:rPr>
        <w:t>Schedule</w:t>
      </w:r>
      <w:r>
        <w:rPr>
          <w:rFonts w:ascii="Arial" w:cs="Arial" w:eastAsia="Arial" w:hAnsi="Arial"/>
          <w:sz w:val="15"/>
          <w:szCs w:val="15"/>
          <w:color w:val="auto"/>
        </w:rPr>
        <w:t xml:space="preserve"> would be accurate and complete as of such date (if no supplement is required to cause such </w:t>
      </w:r>
      <w:r>
        <w:rPr>
          <w:rFonts w:ascii="Arial" w:cs="Arial" w:eastAsia="Arial" w:hAnsi="Arial"/>
          <w:sz w:val="15"/>
          <w:szCs w:val="15"/>
          <w:u w:val="single" w:color="auto"/>
          <w:color w:val="auto"/>
        </w:rPr>
        <w:t>Schedule</w:t>
      </w:r>
      <w:r>
        <w:rPr>
          <w:rFonts w:ascii="Arial" w:cs="Arial" w:eastAsia="Arial" w:hAnsi="Arial"/>
          <w:sz w:val="15"/>
          <w:szCs w:val="15"/>
          <w:color w:val="auto"/>
        </w:rPr>
        <w:t xml:space="preserve"> to be accurate and complete as of such date, then the Borrower shall not be required to deliver such a report);</w:t>
      </w:r>
    </w:p>
    <w:p>
      <w:pPr>
        <w:spacing w:after="0" w:line="7" w:lineRule="exact"/>
        <w:rPr>
          <w:rFonts w:ascii="Arial" w:cs="Arial" w:eastAsia="Arial" w:hAnsi="Arial"/>
          <w:sz w:val="15"/>
          <w:szCs w:val="15"/>
          <w:color w:val="auto"/>
        </w:rPr>
      </w:pPr>
    </w:p>
    <w:p>
      <w:pPr>
        <w:jc w:val="both"/>
        <w:ind w:left="460" w:right="80" w:firstLine="443"/>
        <w:spacing w:after="0" w:line="259" w:lineRule="auto"/>
        <w:tabs>
          <w:tab w:leader="none" w:pos="111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copies of any detailed audit reports, management letters or recommendations submitted to the board of directors (or the audit committee of the board of directors) of the Borrower by independent accountants in connection with the accounts or books of the Borrower or any Subsidiary, or any audit of any of them;</w:t>
      </w:r>
    </w:p>
    <w:p>
      <w:pPr>
        <w:spacing w:after="0" w:line="59" w:lineRule="exact"/>
        <w:rPr>
          <w:rFonts w:ascii="Arial" w:cs="Arial" w:eastAsia="Arial" w:hAnsi="Arial"/>
          <w:sz w:val="18"/>
          <w:szCs w:val="18"/>
          <w:color w:val="auto"/>
        </w:rPr>
      </w:pPr>
    </w:p>
    <w:p>
      <w:pPr>
        <w:ind w:left="460" w:right="240" w:firstLine="443"/>
        <w:spacing w:after="0" w:line="256"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promptly, and in any event within five Business Days after receipt thereof by the Borrower or any Subsidiary, copies of each notice or other correspondence received from the SEC (or comparable agency in any applicable non-U.S. jurisdiction) concerning any investigation or possible investigation or other inquiry by such agency (other than reviews of the Borrower’s periodic reports in the ordinary course) regarding financial or other operational results of the Borrower or any Subsidiary; and</w:t>
      </w:r>
    </w:p>
    <w:p>
      <w:pPr>
        <w:spacing w:after="0" w:line="62"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or corporate affairs of the Borrower or any Subsidiary (including consolidating financial statements), or compliance with the terms of the Loan Documents, as the Administrative Agent may from time to time reasonably request.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7.02(d)</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6"/>
          <w:szCs w:val="16"/>
          <w:u w:val="single" w:color="auto"/>
          <w:color w:val="auto"/>
        </w:rPr>
        <w:t>Schedule 11.02</w:t>
      </w:r>
      <w:r>
        <w:rPr>
          <w:rFonts w:ascii="Arial" w:cs="Arial" w:eastAsia="Arial" w:hAnsi="Arial"/>
          <w:sz w:val="16"/>
          <w:szCs w:val="16"/>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deliver paper copies of such documents to the Administrative Agent or any Lender upon its request to the Borrower to deliver such paper copies until a written request to cease delivering paper copies is given by the Administrative Agent or such Lender and (ii) the Borrower shall notify the Administrative Agent (by facsimile or electronic mail) of the posting of any such documents and provide to the Administrative Agent by electronic mail electronic versions (</w:t>
      </w:r>
      <w:r>
        <w:rPr>
          <w:rFonts w:ascii="Arial" w:cs="Arial" w:eastAsia="Arial" w:hAnsi="Arial"/>
          <w:sz w:val="16"/>
          <w:szCs w:val="16"/>
          <w:u w:val="single" w:color="auto"/>
          <w:color w:val="auto"/>
        </w:rPr>
        <w:t>i.e.</w:t>
      </w:r>
      <w:r>
        <w:rPr>
          <w:rFonts w:ascii="Arial" w:cs="Arial" w:eastAsia="Arial" w:hAnsi="Arial"/>
          <w:sz w:val="16"/>
          <w:szCs w:val="16"/>
          <w:color w:val="auto"/>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40"/>
          </w:cols>
          <w:pgMar w:left="240" w:top="280" w:right="319" w:bottom="1440" w:gutter="0" w:footer="0" w:header="0"/>
        </w:sectPr>
      </w:pPr>
    </w:p>
    <w:bookmarkStart w:id="183" w:name="page184"/>
    <w:bookmarkEnd w:id="183"/>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hereby acknowledges that (a) the Administrative Agent and/or the Arranger may, but shall not be obligated to, make available to the Lenders and the L/C Issuer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Debt Domain, IntraLinks, Syndtrak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for so long as the Borrower is the issuer of any outstanding debt or equity securities that are registered or issued pursuant to a private offering or is actively contemplating issuing any such securities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 the L/C Issuer and the Lenders to treat such Borrower Materials as not containing any material non-public information with respect to the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11.07</w:t>
      </w:r>
      <w:r>
        <w:rPr>
          <w:rFonts w:ascii="Arial" w:cs="Arial" w:eastAsia="Arial" w:hAnsi="Arial"/>
          <w:sz w:val="16"/>
          <w:szCs w:val="16"/>
          <w:color w:val="auto"/>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Promptly notify the Administrative Agent of:</w:t>
      </w:r>
    </w:p>
    <w:p>
      <w:pPr>
        <w:spacing w:after="0" w:line="90" w:lineRule="exact"/>
        <w:rPr>
          <w:sz w:val="20"/>
          <w:szCs w:val="20"/>
          <w:color w:val="auto"/>
        </w:rPr>
      </w:pPr>
    </w:p>
    <w:p>
      <w:pPr>
        <w:ind w:left="1140" w:hanging="237"/>
        <w:spacing w:after="0"/>
        <w:tabs>
          <w:tab w:leader="none" w:pos="11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90" w:lineRule="exact"/>
        <w:rPr>
          <w:rFonts w:ascii="Arial" w:cs="Arial" w:eastAsia="Arial" w:hAnsi="Arial"/>
          <w:sz w:val="18"/>
          <w:szCs w:val="18"/>
          <w:color w:val="auto"/>
        </w:rPr>
      </w:pPr>
    </w:p>
    <w:p>
      <w:pPr>
        <w:ind w:left="460" w:firstLine="443"/>
        <w:spacing w:after="0" w:line="291" w:lineRule="auto"/>
        <w:tabs>
          <w:tab w:leader="none" w:pos="114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any matter that has resulted or would reasonably be expected to result in a Material Adverse Effect, including each of the following to the extent the same has resulted or would reasonably be expected to result in a Material Adverse Effect: (i) any pending or, to the knowledge of any Responsible Officer of any Loan Party, threatened loss by any School of any of its Accreditations or any other accreditation, license, permit or authorization required for any School to participate in one or more Title IV Programs; (ii) any change to occur in state or federal laws, rules or governmental regulations or budgetary allocations or educational loan policies; and (iii) any pending or, to the knowledge of any Responsible Officer of any Loan Party, threatened in writing investigation, inquiry or proceeding against any School by the DOE, any state governmental agency or Accrediting Body;</w:t>
      </w:r>
    </w:p>
    <w:p>
      <w:pPr>
        <w:spacing w:after="0" w:line="39" w:lineRule="exact"/>
        <w:rPr>
          <w:rFonts w:ascii="Arial" w:cs="Arial" w:eastAsia="Arial" w:hAnsi="Arial"/>
          <w:sz w:val="16"/>
          <w:szCs w:val="16"/>
          <w:color w:val="auto"/>
        </w:rPr>
      </w:pPr>
    </w:p>
    <w:p>
      <w:pPr>
        <w:jc w:val="both"/>
        <w:ind w:left="460" w:firstLine="443"/>
        <w:spacing w:after="0" w:line="298" w:lineRule="auto"/>
        <w:tabs>
          <w:tab w:leader="none" w:pos="113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the occurrence of any of the events described in clauses (a), (b), (c) and (d) of the definition of “Significant Regulatory Event” or clause (i) of the second sentence of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in each case with respect to any School and, if applicable, a certificate signed by the chief executive officer, chief financial officer, treasurer or controller of the Borrower containing reasonably detailed calculations demonstrating that none of clauses (i) and (ii) of the definition of “Significant Regulatory Event” or clauses (A) and (B) of </w:t>
      </w:r>
      <w:r>
        <w:rPr>
          <w:rFonts w:ascii="Arial" w:cs="Arial" w:eastAsia="Arial" w:hAnsi="Arial"/>
          <w:sz w:val="16"/>
          <w:szCs w:val="16"/>
          <w:u w:val="single" w:color="auto"/>
          <w:color w:val="auto"/>
        </w:rPr>
        <w:t>Section 7.08</w:t>
      </w:r>
      <w:r>
        <w:rPr>
          <w:rFonts w:ascii="Arial" w:cs="Arial" w:eastAsia="Arial" w:hAnsi="Arial"/>
          <w:sz w:val="16"/>
          <w:szCs w:val="16"/>
          <w:color w:val="auto"/>
        </w:rPr>
        <w:t>, as the case may be, is applicable;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80" w:right="259" w:bottom="1440" w:gutter="0" w:footer="0" w:header="0"/>
        </w:sectPr>
      </w:pPr>
    </w:p>
    <w:bookmarkStart w:id="184" w:name="page185"/>
    <w:bookmarkEnd w:id="184"/>
    <w:p>
      <w:pPr>
        <w:ind w:left="1160" w:hanging="257"/>
        <w:spacing w:after="0"/>
        <w:tabs>
          <w:tab w:leader="none" w:pos="11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occurrence of any ERISA Event;</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3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any material change in accounting policies or financial reporting practices by the Borrower or any Subsidiary, including any determination by the Borrower referred to in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460" w:firstLine="443"/>
        <w:spacing w:after="0" w:line="268" w:lineRule="auto"/>
        <w:tabs>
          <w:tab w:leader="none" w:pos="111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change in any of the information provided in the eligibility application, to the extent required under 34 C.F.R. Section 600.20, of the Borrower or any Subsidiary or any School; and</w:t>
      </w:r>
    </w:p>
    <w:p>
      <w:pPr>
        <w:spacing w:after="0" w:line="50" w:lineRule="exact"/>
        <w:rPr>
          <w:rFonts w:ascii="Arial" w:cs="Arial" w:eastAsia="Arial" w:hAnsi="Arial"/>
          <w:sz w:val="18"/>
          <w:szCs w:val="18"/>
          <w:color w:val="auto"/>
        </w:rPr>
      </w:pPr>
    </w:p>
    <w:p>
      <w:pPr>
        <w:ind w:left="460" w:right="760" w:firstLine="443"/>
        <w:spacing w:after="0" w:line="268"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imposition by the DOE of a requirement that the Borrower, any Subsidiary or any School post or procure or obtain the issuance of a Regulatory Letter of Credit.</w:t>
      </w:r>
    </w:p>
    <w:p>
      <w:pPr>
        <w:spacing w:after="0" w:line="13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 xml:space="preserve">Each notice pursuant to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6"/>
          <w:szCs w:val="16"/>
          <w:u w:val="single" w:color="auto"/>
          <w:color w:val="auto"/>
        </w:rPr>
        <w:t>Section 7.03(a)</w:t>
      </w:r>
      <w:r>
        <w:rPr>
          <w:rFonts w:ascii="Arial" w:cs="Arial" w:eastAsia="Arial" w:hAnsi="Arial"/>
          <w:sz w:val="16"/>
          <w:szCs w:val="16"/>
          <w:color w:val="auto"/>
        </w:rPr>
        <w:t xml:space="preserve"> shall describe with particularity any and all provisions of this Agreement and any other Loan Document that have been breached.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Payment of Taxes</w:t>
      </w:r>
      <w:r>
        <w:rPr>
          <w:rFonts w:ascii="Arial" w:cs="Arial" w:eastAsia="Arial" w:hAnsi="Arial"/>
          <w:sz w:val="18"/>
          <w:szCs w:val="18"/>
          <w:color w:val="auto"/>
        </w:rPr>
        <w:t>.</w:t>
      </w:r>
    </w:p>
    <w:p>
      <w:pPr>
        <w:spacing w:after="0" w:line="171"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Pay and discharge as the same shall become due and payable all material obligations in respect of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7.05 </w:t>
      </w:r>
      <w:r>
        <w:rPr>
          <w:rFonts w:ascii="Arial" w:cs="Arial" w:eastAsia="Arial" w:hAnsi="Arial"/>
          <w:sz w:val="18"/>
          <w:szCs w:val="18"/>
          <w:u w:val="single" w:color="auto"/>
          <w:color w:val="auto"/>
        </w:rPr>
        <w:t>Preservation of Existence, Etc</w:t>
      </w:r>
      <w:r>
        <w:rPr>
          <w:rFonts w:ascii="Arial" w:cs="Arial" w:eastAsia="Arial" w:hAnsi="Arial"/>
          <w:sz w:val="18"/>
          <w:szCs w:val="18"/>
          <w:color w:val="auto"/>
        </w:rPr>
        <w:t>.</w:t>
      </w:r>
    </w:p>
    <w:p>
      <w:pPr>
        <w:spacing w:after="0" w:line="171" w:lineRule="exact"/>
        <w:rPr>
          <w:sz w:val="20"/>
          <w:szCs w:val="20"/>
          <w:color w:val="auto"/>
        </w:rPr>
      </w:pPr>
    </w:p>
    <w:p>
      <w:pPr>
        <w:ind w:right="380" w:firstLine="464"/>
        <w:spacing w:after="0" w:line="268" w:lineRule="auto"/>
        <w:tabs>
          <w:tab w:leader="none" w:pos="69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Preserve, renew and maintain in full force and effect its legal existence under the Laws of the jurisdiction of its organization except in a transaction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8.05</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420" w:firstLine="464"/>
        <w:spacing w:after="0" w:line="268" w:lineRule="auto"/>
        <w:tabs>
          <w:tab w:leader="none" w:pos="70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Preserve, renew and maintain in full force and effect its good standing under the Laws of the jurisdiction of its organization except in a transaction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8.05</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Take all reasonable action to maintain all rights, privileges, permits, licenses and franchises necessary or desirable in the normal conduct of its business, except to the extent that the failure to do so would not reasonably be expected to have a Material Adverse Effect.</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Preserve or renew all of its IP Rights, the non-preservation or non-renewal of which would reasonably be expected to have a Material Adverse Effect.</w:t>
      </w:r>
    </w:p>
    <w:p>
      <w:pPr>
        <w:spacing w:after="0" w:line="194" w:lineRule="exact"/>
        <w:rPr>
          <w:rFonts w:ascii="Arial" w:cs="Arial" w:eastAsia="Arial" w:hAnsi="Arial"/>
          <w:sz w:val="16"/>
          <w:szCs w:val="16"/>
          <w:color w:val="auto"/>
        </w:rPr>
      </w:pPr>
    </w:p>
    <w:p>
      <w:pPr>
        <w:ind w:right="140" w:firstLine="464"/>
        <w:spacing w:after="0" w:line="268" w:lineRule="auto"/>
        <w:tabs>
          <w:tab w:leader="none" w:pos="69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Maintain all accreditations, licenses, permits and authorizations required for each School to conduct its business, except to the extent that the failure to do so would not reasonably be expected to have a Material Adverse Effect.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0" w:right="2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7.06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w:t>
      </w:r>
    </w:p>
    <w:p>
      <w:pPr>
        <w:spacing w:after="0" w:line="171" w:lineRule="exact"/>
        <w:rPr>
          <w:sz w:val="20"/>
          <w:szCs w:val="20"/>
          <w:color w:val="auto"/>
        </w:rPr>
      </w:pPr>
    </w:p>
    <w:p>
      <w:pPr>
        <w:ind w:right="660" w:firstLine="464"/>
        <w:spacing w:after="0" w:line="268" w:lineRule="auto"/>
        <w:tabs>
          <w:tab w:leader="none" w:pos="69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Maintain, preserve and protect all of its material properties and equipment necessary in the operation of its business in good working order and condition, ordinary wear and tear excepted.</w:t>
      </w:r>
    </w:p>
    <w:p>
      <w:pPr>
        <w:spacing w:after="0" w:line="131"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Make all necessary repairs thereto and renewals and replacements thereof, except where the failure to do so would not reasonably be expected to have a Material Adverse Effect.</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Use the standard of care typical in the industry in the operation and maintenance of its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7.07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w:t>
      </w:r>
    </w:p>
    <w:p>
      <w:pPr>
        <w:spacing w:after="0" w:line="171" w:lineRule="exact"/>
        <w:rPr>
          <w:sz w:val="20"/>
          <w:szCs w:val="20"/>
          <w:color w:val="auto"/>
        </w:rPr>
      </w:pPr>
    </w:p>
    <w:p>
      <w:pPr>
        <w:ind w:right="80" w:firstLine="464"/>
        <w:spacing w:after="0" w:line="259" w:lineRule="auto"/>
        <w:tabs>
          <w:tab w:leader="none" w:pos="69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40" w:lineRule="exact"/>
        <w:rPr>
          <w:rFonts w:ascii="Arial" w:cs="Arial" w:eastAsia="Arial" w:hAnsi="Arial"/>
          <w:sz w:val="18"/>
          <w:szCs w:val="18"/>
          <w:color w:val="auto"/>
        </w:rPr>
      </w:pPr>
    </w:p>
    <w:p>
      <w:pPr>
        <w:ind w:right="40" w:firstLine="464"/>
        <w:spacing w:after="0" w:line="255" w:lineRule="auto"/>
        <w:tabs>
          <w:tab w:leader="none" w:pos="70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Without limiting the foregoing, (i) maintain, if available, fully paid flood hazard insurance on all real property that is located in a special flood hazard area and that constitutes Collateral, on such terms and in such amounts as required by The National Flood Insurance Reform Act of 1994 or as otherwise required by the Administrative Agent, (ii) furnish to the Administrative Agent evidence of the renewal (and payment of renewal premiums therefor) of all such policies prior to the expiration or lapse thereof, and (iii) furnish to the Administrative Agent prompt written notice of any redesignation of any such improved real property into or out of a special flood hazard area.</w:t>
      </w:r>
    </w:p>
    <w:p>
      <w:pPr>
        <w:spacing w:after="0" w:line="142" w:lineRule="exact"/>
        <w:rPr>
          <w:rFonts w:ascii="Arial" w:cs="Arial" w:eastAsia="Arial" w:hAnsi="Arial"/>
          <w:sz w:val="18"/>
          <w:szCs w:val="18"/>
          <w:color w:val="auto"/>
        </w:rPr>
      </w:pPr>
    </w:p>
    <w:p>
      <w:pPr>
        <w:ind w:right="100" w:firstLine="464"/>
        <w:spacing w:after="0" w:line="255" w:lineRule="auto"/>
        <w:tabs>
          <w:tab w:leader="none" w:pos="69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Cause the Administrative Agent and its successors and/or assigns to be named as lender’s loss payee or mortgagee as its interest may appear, and/or additional insured with respect to any such insurance providing liability coverage or coverage in respect of any Collateral, and cause each provider of any such insurance to agree, by endorsement upon the policy or policies issued by it or by independent instruments furnished to the Administrative Agent, that it will give the Administrative Agent thirty days (or such lesser amount as the Administrative Agent may agree) prior written notice before any such policy or policies shall be altered or canceled.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 xml:space="preserve">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 Without limiting the generality of the foregoing, comply with (i) all applicable Laws the violation of which would result in a substantial limitation on, or loss or suspension of, the eligibility of any School to participate in one or more Title IV Programs, which in the case of this clause (i) either (A) affects one or more Schools which either (x) contributed in the aggregate more than 15% of the Consolidated EBITDA for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(y) owned assets which comprise in the aggregate more than 15% of the total assets of the Borrower and its Subsidiaries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(B) would have caused the Loan Parties to fail to be in compliance with the financial covenants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if the aggregate amount of Consolidated EBITDA and Consolidated Tangible Net Worth contributed by such Schools during such period were excluded from the calculation of such financial covenants or (C) affects the eligibility of one or more Schools to participate in the William D. Ford Federal Direct Loan (Direct Loan) Program, the Federal Pell Grant Program or one or more other Title IV Programs that contributed in the aggregate more than 5% of the Title IV revenues received by the Borrower and its Subsidiaries for the fiscal year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w:t>
      </w:r>
    </w:p>
    <w:p>
      <w:pPr>
        <w:spacing w:after="0" w:line="5" w:lineRule="exact"/>
        <w:rPr>
          <w:sz w:val="20"/>
          <w:szCs w:val="20"/>
          <w:color w:val="auto"/>
        </w:rPr>
      </w:pPr>
    </w:p>
    <w:p>
      <w:pPr>
        <w:ind w:right="280" w:firstLine="8"/>
        <w:spacing w:after="0" w:line="281" w:lineRule="auto"/>
        <w:tabs>
          <w:tab w:leader="none" w:pos="25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federal Truth-in-Lending Act, 15 U.S.C. § 1601 et seq., and all other consumer credit laws applicable to the Borrower, any Subsidiary or any School in connection with the advancing of student loans, except to the extent the failure to do so would not reasonably be expected to have a Material Adverse Effect,</w:t>
      </w:r>
    </w:p>
    <w:p>
      <w:pPr>
        <w:spacing w:after="0" w:line="1" w:lineRule="exact"/>
        <w:rPr>
          <w:rFonts w:ascii="Arial" w:cs="Arial" w:eastAsia="Arial" w:hAnsi="Arial"/>
          <w:sz w:val="16"/>
          <w:szCs w:val="16"/>
          <w:color w:val="auto"/>
        </w:rPr>
      </w:pPr>
    </w:p>
    <w:p>
      <w:pPr>
        <w:ind w:right="40" w:firstLine="8"/>
        <w:spacing w:after="0" w:line="254" w:lineRule="auto"/>
        <w:tabs>
          <w:tab w:leader="none" w:pos="307"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all statutory and regulatory requirements for authorization to provide post-secondary education in the jurisdictions in which its educational facilities are located, except to the extent the failure to do so would not reasonably be expected to have a Material Adverse Effect and (iv) all of the factors of financial responsibility set forth in 34 C.F.R. Sections 668 Subpart L, except to the extent the failure to do so would not reasonably be expected to have a Material Adverse Effect.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280" w:right="2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7.09 </w:t>
      </w:r>
      <w:r>
        <w:rPr>
          <w:rFonts w:ascii="Arial" w:cs="Arial" w:eastAsia="Arial" w:hAnsi="Arial"/>
          <w:sz w:val="18"/>
          <w:szCs w:val="18"/>
          <w:u w:val="single" w:color="auto"/>
          <w:color w:val="auto"/>
        </w:rPr>
        <w:t>Books and Records</w:t>
      </w:r>
      <w:r>
        <w:rPr>
          <w:rFonts w:ascii="Arial" w:cs="Arial" w:eastAsia="Arial" w:hAnsi="Arial"/>
          <w:sz w:val="18"/>
          <w:szCs w:val="18"/>
          <w:color w:val="auto"/>
        </w:rPr>
        <w:t>.</w:t>
      </w:r>
    </w:p>
    <w:p>
      <w:pPr>
        <w:spacing w:after="0" w:line="171" w:lineRule="exact"/>
        <w:rPr>
          <w:sz w:val="20"/>
          <w:szCs w:val="20"/>
          <w:color w:val="auto"/>
        </w:rPr>
      </w:pPr>
    </w:p>
    <w:p>
      <w:pPr>
        <w:ind w:right="360" w:firstLine="464"/>
        <w:spacing w:after="0" w:line="332" w:lineRule="auto"/>
        <w:tabs>
          <w:tab w:leader="none" w:pos="69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Maintain proper books of record and account, in which full, true and correct entries in all material respects in conformity with GAAP consistently applied shall be made of all financial transactions and matters involving the assets and business of the Borrower or such Subsidiary, as the case may be.</w:t>
      </w:r>
    </w:p>
    <w:p>
      <w:pPr>
        <w:spacing w:after="0" w:line="85" w:lineRule="exact"/>
        <w:rPr>
          <w:rFonts w:ascii="Arial" w:cs="Arial" w:eastAsia="Arial" w:hAnsi="Arial"/>
          <w:sz w:val="16"/>
          <w:szCs w:val="16"/>
          <w:color w:val="auto"/>
        </w:rPr>
      </w:pPr>
    </w:p>
    <w:p>
      <w:pPr>
        <w:ind w:right="100" w:firstLine="464"/>
        <w:spacing w:after="0" w:line="268" w:lineRule="auto"/>
        <w:tabs>
          <w:tab w:leader="none" w:pos="70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Maintain such books of record and account in material conformity with all applicable requirements of any Governmental Authority having regulatory jurisdiction over the Borrower or such Subsidiary, as the case may be.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Inspection Rights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90" w:lineRule="auto"/>
        <w:tabs>
          <w:tab w:leader="none" w:pos="69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Permit representatives and independent contractors of the Administrative Agent to visit and inspect any of its properties, to examine its corporate, financial and operating records and make copies thereof or abstracts therefrom, to discuss its affairs, finances and accounts with its directors, officers and independent public accountants, all at the expense of the Borrower and at such reasonable times during normal business hours and as often as may be reasonably desired, upon reasonable advance notice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that (i) unless an Event of Default has occurred and is continuing, the Borrower shall be required to pay for only one field exam by the Administrative Agent in any fiscal year of the Borrower and (ii) if an Event of Default has occurred and is continuing the Administrative Agent (or any of its representatives or independent contractors) may do any of the foregoing at the expense of the Borrower at any time during normal business hours and without advance notice.</w:t>
      </w:r>
    </w:p>
    <w:p>
      <w:pPr>
        <w:spacing w:after="0" w:line="118" w:lineRule="exact"/>
        <w:rPr>
          <w:rFonts w:ascii="Arial" w:cs="Arial" w:eastAsia="Arial" w:hAnsi="Arial"/>
          <w:sz w:val="16"/>
          <w:szCs w:val="16"/>
          <w:color w:val="auto"/>
        </w:rPr>
      </w:pPr>
    </w:p>
    <w:p>
      <w:pPr>
        <w:ind w:right="60" w:firstLine="464"/>
        <w:spacing w:after="0" w:line="259" w:lineRule="auto"/>
        <w:tabs>
          <w:tab w:leader="none" w:pos="70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Permit representatives and independent contractors of the Administrative Agent to conduct Appraisals of the real property Collateral at the expense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an Event of Default has occurred and is continuing, the Administrative Agent shall not conduct more than one Appraisal of the real property Collateral in any calendar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Use of Proceeds</w:t>
      </w:r>
      <w:r>
        <w:rPr>
          <w:rFonts w:ascii="Arial" w:cs="Arial" w:eastAsia="Arial" w:hAnsi="Arial"/>
          <w:sz w:val="18"/>
          <w:szCs w:val="18"/>
          <w:color w:val="auto"/>
        </w:rPr>
        <w:t>.</w:t>
      </w:r>
    </w:p>
    <w:p>
      <w:pPr>
        <w:spacing w:after="0" w:line="171" w:lineRule="exact"/>
        <w:rPr>
          <w:sz w:val="20"/>
          <w:szCs w:val="20"/>
          <w:color w:val="auto"/>
        </w:rPr>
      </w:pPr>
    </w:p>
    <w:p>
      <w:pPr>
        <w:ind w:right="120" w:firstLine="464"/>
        <w:spacing w:after="0" w:line="259" w:lineRule="auto"/>
        <w:tabs>
          <w:tab w:leader="none" w:pos="69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Use the proceeds of the Term Loan solely to repay existing real estate term debt of the Borrower, to reimburse the Borrower for capital expenditures made by the Borrower prior to the Closing Date, for working capital, additional capital expenditures, share repurchases and other general corporate purposes in each case not in contravention of any Law or of any Loan Document.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20"/>
          </w:cols>
          <w:pgMar w:left="240" w:top="280" w:right="339" w:bottom="1440" w:gutter="0" w:footer="0" w:header="0"/>
        </w:sectPr>
      </w:pPr>
    </w:p>
    <w:bookmarkStart w:id="187" w:name="page188"/>
    <w:bookmarkEnd w:id="187"/>
    <w:p>
      <w:pPr>
        <w:ind w:right="60" w:firstLine="464"/>
        <w:spacing w:after="0" w:line="268" w:lineRule="auto"/>
        <w:tabs>
          <w:tab w:leader="none" w:pos="705"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Use the proceeds of all other Credit Extensions solely for working capital, capital expenditures, share repurchases and other general corporate purposes in each case not in contravention of any Law or of any Loan Document.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Within thirty days (or such later date as the Administrative Agent may agree in its sole discretion) after any Person becomes a Material Domestic Subsidiary, cause such Person to (i) become a Guarantor by executing and delivering to the Administrative Agent a Joinder Agreement and (ii) deliver to the Administrative Agent documents of the types referred to in </w:t>
      </w:r>
      <w:r>
        <w:rPr>
          <w:rFonts w:ascii="Arial" w:cs="Arial" w:eastAsia="Arial" w:hAnsi="Arial"/>
          <w:sz w:val="18"/>
          <w:szCs w:val="18"/>
          <w:u w:val="single" w:color="auto"/>
          <w:color w:val="auto"/>
        </w:rPr>
        <w:t>Sections 5.01(c)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favorable opinions of counsel to such Person (which shall cover, among other things, the legality, validity, binding effect and enforceability of the documentation referred to in clause (a)), all in form, content and scope reasonably satisfactory to the Administrative Agent.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Pledged Assets</w:t>
      </w:r>
      <w:r>
        <w:rPr>
          <w:rFonts w:ascii="Arial" w:cs="Arial" w:eastAsia="Arial" w:hAnsi="Arial"/>
          <w:sz w:val="18"/>
          <w:szCs w:val="18"/>
          <w:color w:val="auto"/>
        </w:rPr>
        <w:t>.</w:t>
      </w:r>
    </w:p>
    <w:p>
      <w:pPr>
        <w:spacing w:after="0" w:line="171" w:lineRule="exact"/>
        <w:rPr>
          <w:sz w:val="20"/>
          <w:szCs w:val="20"/>
          <w:color w:val="auto"/>
        </w:rPr>
      </w:pPr>
    </w:p>
    <w:p>
      <w:pPr>
        <w:ind w:right="160" w:firstLine="464"/>
        <w:spacing w:after="0" w:line="287" w:lineRule="auto"/>
        <w:tabs>
          <w:tab w:leader="none" w:pos="695"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Equity Interests</w:t>
      </w:r>
      <w:r>
        <w:rPr>
          <w:rFonts w:ascii="Arial" w:cs="Arial" w:eastAsia="Arial" w:hAnsi="Arial"/>
          <w:sz w:val="16"/>
          <w:szCs w:val="16"/>
          <w:color w:val="auto"/>
        </w:rPr>
        <w:t>. Cause (i) 100% of the issued and outstanding Equity Interests of each Material Domestic Subsidiary and (ii) 66% (or such greater percentage that, due to a change in an applicable Law after the date hereof, (A) would not reasonably be expected to cause the undistributed earnings of such Foreign Subsidiary as determined for United States federal income tax purposes to be treated as a deemed dividend to such Foreign Subsidiary’s United States parent and (B) would not reasonably be expected to cause any material adverse tax consequences) of the issued and outstanding Equity Interests entitled to vote (within the meaning of Treas. Reg. Section 1.956-2(c)(2)) and 100% of the issued and outstanding Equity Interests not entitled to vote (within the meaning of Treas. Reg. Section 1.956-2(c)(2)) in each Material Foreign Subsidiary directly owned by any Loan Party to be subject at all times to a first priority, perfected Lien in favor of the Administrative Agent, for the benefit of the holders of the Obligations, to secure the Obligations pursuant to the Collateral Documents (subject to Permitted Liens), and, in connection with the foregoing, deliver to the Administrative Agent such other documentation as the Administrative Agent may request including, any filings and deliveries to perfect such Liens, Organization Documents, resolutions and favorable opinions of counsel all in form, content and scope reasonably satisfactory to the Administrative Agent.</w:t>
      </w:r>
    </w:p>
    <w:p>
      <w:pPr>
        <w:spacing w:after="0" w:line="122" w:lineRule="exact"/>
        <w:rPr>
          <w:rFonts w:ascii="Arial" w:cs="Arial" w:eastAsia="Arial" w:hAnsi="Arial"/>
          <w:sz w:val="16"/>
          <w:szCs w:val="16"/>
          <w:color w:val="auto"/>
        </w:rPr>
      </w:pPr>
    </w:p>
    <w:p>
      <w:pPr>
        <w:ind w:firstLine="464"/>
        <w:spacing w:after="0" w:line="294" w:lineRule="auto"/>
        <w:tabs>
          <w:tab w:leader="none" w:pos="705"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Personal Property</w:t>
      </w:r>
      <w:r>
        <w:rPr>
          <w:rFonts w:ascii="Arial" w:cs="Arial" w:eastAsia="Arial" w:hAnsi="Arial"/>
          <w:sz w:val="16"/>
          <w:szCs w:val="16"/>
          <w:color w:val="auto"/>
        </w:rPr>
        <w:t>. Cause all personal property (other than Excluded Personal Property) of each Loan Party to be subject at all times to first priority, perfected Liens in favor of the Administrative Agent, for the benefit of the holders of the Obligations, to secure the Obligations pursuant to the Collateral Documents (subject to Permitted Liens) and, in connection with the foregoing, deliver to the Administrative Agent such other documentation as the Administrative Agent may reasonably request including filings and deliveries necessary to perfect such Liens, Organization Documents, resolutions and favorable opinions of counsel to such Person, all in form, content and scope reasonably satisfactory to the Administrative Agent.</w:t>
      </w:r>
    </w:p>
    <w:p>
      <w:pPr>
        <w:spacing w:after="0" w:line="115" w:lineRule="exact"/>
        <w:rPr>
          <w:rFonts w:ascii="Arial" w:cs="Arial" w:eastAsia="Arial" w:hAnsi="Arial"/>
          <w:sz w:val="16"/>
          <w:szCs w:val="16"/>
          <w:color w:val="auto"/>
        </w:rPr>
      </w:pPr>
    </w:p>
    <w:p>
      <w:pPr>
        <w:ind w:right="20" w:firstLine="464"/>
        <w:spacing w:after="0" w:line="255" w:lineRule="auto"/>
        <w:tabs>
          <w:tab w:leader="none" w:pos="695"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Real Property</w:t>
      </w:r>
      <w:r>
        <w:rPr>
          <w:rFonts w:ascii="Arial" w:cs="Arial" w:eastAsia="Arial" w:hAnsi="Arial"/>
          <w:sz w:val="18"/>
          <w:szCs w:val="18"/>
          <w:color w:val="auto"/>
        </w:rPr>
        <w:t>. Cause all real property of the Loan Parties (other than Excluded Real Property) to be subject at all times to first priority, perfected Liens in favor of the Administrative Agent, for the benefit of the holders of the Obligations, to secure the Obligations and, in connection with the foregoing, deliver to the Administrative Agent the Real Property Deliverables for such real property (other than, with respect to any such real property acquired after the Closing Date, an Appraisal), favorable opinions of counsel and such other documentation as the Administrative Agent may request, all in form, content and scope reasonably satisfactory to the Administrative Agent.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80" w:right="2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7.14 </w:t>
      </w:r>
      <w:r>
        <w:rPr>
          <w:rFonts w:ascii="Arial" w:cs="Arial" w:eastAsia="Arial" w:hAnsi="Arial"/>
          <w:sz w:val="18"/>
          <w:szCs w:val="18"/>
          <w:u w:val="single" w:color="auto"/>
          <w:color w:val="auto"/>
        </w:rPr>
        <w:t>Compliance with Contractual Obligations</w:t>
      </w:r>
      <w:r>
        <w:rPr>
          <w:rFonts w:ascii="Arial" w:cs="Arial" w:eastAsia="Arial" w:hAnsi="Arial"/>
          <w:sz w:val="18"/>
          <w:szCs w:val="18"/>
          <w:color w:val="auto"/>
        </w:rPr>
        <w:t>.</w:t>
      </w:r>
    </w:p>
    <w:p>
      <w:pPr>
        <w:spacing w:after="0" w:line="17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Comply with all requirements of Contractual Obligations (including lease agreements with respect to leasehold interests in real property) except in such instances in which (a) such requirement is being contested in good faith by appropriate proceedings diligently conducted; or (b) the failure to comply therewith would not reasonably be expected to have a Material Adverse Effect.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Maintenance of Primary Depository Relationship</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Maintain each Loan Party’s primary depository relationship, including business, cash management, operating and administrative deposit accounts, with one of more of the Lenders.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u w:val="single" w:color="auto"/>
          <w:color w:val="auto"/>
        </w:rPr>
        <w:t>Regulatory Letter of Credit</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required by any DOE requirement, promptly obtain and maintain a Regulatory Letter of Credit in compliance with all DOE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u w:val="single" w:color="auto"/>
          <w:color w:val="auto"/>
        </w:rPr>
        <w:t>Encroachments</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Promptly after the Closing Date use commercially reasonable efforts to record, or to cause to be recorded, documentation in form and substance reasonably satisfactory to the Administrative Agent in the applicable recording office that removes or modifies the easements described on </w:t>
      </w:r>
      <w:r>
        <w:rPr>
          <w:rFonts w:ascii="Arial" w:cs="Arial" w:eastAsia="Arial" w:hAnsi="Arial"/>
          <w:sz w:val="18"/>
          <w:szCs w:val="18"/>
          <w:u w:val="single" w:color="auto"/>
          <w:color w:val="auto"/>
        </w:rPr>
        <w:t>Schedule 7.17</w:t>
      </w:r>
      <w:r>
        <w:rPr>
          <w:rFonts w:ascii="Arial" w:cs="Arial" w:eastAsia="Arial" w:hAnsi="Arial"/>
          <w:sz w:val="18"/>
          <w:szCs w:val="18"/>
          <w:color w:val="auto"/>
        </w:rPr>
        <w:t xml:space="preserve"> such that after giving effect to such recording no structures owned by the Borrower encroach on such easements.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So long as any Lender shall have any Commitment hereunder, any Loan or other Obligation hereunder (other than contingent indemnification obligations not yet due and payable) shall remain unpaid or unsatisfied, or any Letter of Credit shall remain outstanding, no Loan Party shall, nor shall it permit any Subsidiary to, directly or indirectly: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Liens</w:t>
      </w:r>
      <w:r>
        <w:rPr>
          <w:rFonts w:ascii="Arial" w:cs="Arial" w:eastAsia="Arial" w:hAnsi="Arial"/>
          <w:sz w:val="18"/>
          <w:szCs w:val="18"/>
          <w:color w:val="auto"/>
        </w:rPr>
        <w:t>.</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Create, incur, assume or suffer to exist any Lien upon any of its property, assets or revenues, whether now owned or hereafter acquired, other than the following:</w:t>
      </w:r>
    </w:p>
    <w:p>
      <w:pPr>
        <w:spacing w:after="0" w:line="51" w:lineRule="exact"/>
        <w:rPr>
          <w:sz w:val="20"/>
          <w:szCs w:val="20"/>
          <w:color w:val="auto"/>
        </w:rPr>
      </w:pPr>
    </w:p>
    <w:p>
      <w:pPr>
        <w:ind w:left="1140" w:hanging="237"/>
        <w:spacing w:after="0"/>
        <w:tabs>
          <w:tab w:leader="none" w:pos="11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90" w:lineRule="exact"/>
        <w:rPr>
          <w:rFonts w:ascii="Arial" w:cs="Arial" w:eastAsia="Arial" w:hAnsi="Arial"/>
          <w:sz w:val="18"/>
          <w:szCs w:val="18"/>
          <w:color w:val="auto"/>
        </w:rPr>
      </w:pPr>
    </w:p>
    <w:p>
      <w:pPr>
        <w:ind w:left="460" w:right="120" w:firstLine="443"/>
        <w:spacing w:after="0" w:line="332" w:lineRule="auto"/>
        <w:tabs>
          <w:tab w:leader="none" w:pos="1147"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Liens existing on the date hereof and listed on </w:t>
      </w:r>
      <w:r>
        <w:rPr>
          <w:rFonts w:ascii="Arial" w:cs="Arial" w:eastAsia="Arial" w:hAnsi="Arial"/>
          <w:sz w:val="16"/>
          <w:szCs w:val="16"/>
          <w:u w:val="single" w:color="auto"/>
          <w:color w:val="auto"/>
        </w:rPr>
        <w:t>Schedule 8.01</w:t>
      </w:r>
      <w:r>
        <w:rPr>
          <w:rFonts w:ascii="Arial" w:cs="Arial" w:eastAsia="Arial" w:hAnsi="Arial"/>
          <w:sz w:val="16"/>
          <w:szCs w:val="16"/>
          <w:color w:val="auto"/>
        </w:rPr>
        <w:t xml:space="preserve"> and any modifications, replacements, renewals or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Liens do not extend to any property other than the property subject to such Liens on the Closing Date and the proceeds and products thereof;</w:t>
      </w:r>
    </w:p>
    <w:p>
      <w:pPr>
        <w:spacing w:after="0" w:line="4" w:lineRule="exact"/>
        <w:rPr>
          <w:rFonts w:ascii="Arial" w:cs="Arial" w:eastAsia="Arial" w:hAnsi="Arial"/>
          <w:sz w:val="16"/>
          <w:szCs w:val="16"/>
          <w:color w:val="auto"/>
        </w:rPr>
      </w:pPr>
    </w:p>
    <w:p>
      <w:pPr>
        <w:ind w:left="460" w:firstLine="443"/>
        <w:spacing w:after="0" w:line="259" w:lineRule="auto"/>
        <w:tabs>
          <w:tab w:leader="none" w:pos="1137"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Liens (other than Liens imposed under ERISA) for taxes, assessments or governmental charges or levies which are not overdue for a period of more than thirty (30) days or which are being contested in good faith and by appropriate proceedings diligently conducted, if adequate reserves with respect thereto are maintained on the books of the applicable Person in accordance with GAAP;</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80" w:right="239" w:bottom="1440" w:gutter="0" w:footer="0" w:header="0"/>
        </w:sectPr>
      </w:pPr>
    </w:p>
    <w:bookmarkStart w:id="189" w:name="page190"/>
    <w:bookmarkEnd w:id="189"/>
    <w:p>
      <w:pPr>
        <w:ind w:right="120" w:firstLine="443"/>
        <w:spacing w:after="0" w:line="256" w:lineRule="auto"/>
        <w:tabs>
          <w:tab w:leader="none" w:pos="687" w:val="left"/>
        </w:tabs>
        <w:numPr>
          <w:ilvl w:val="1"/>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Liens of landlords, carriers, warehousemen, mechanics, materialmen and repairmen and other like Liens arising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secure only amounts not overdue for a period of more than thirty (30) days or, if overdue for more than thirty days, are being contested in good faith by appropriate proceedings diligently conducted for which adequate reserves determined in accordance with GAAP have been established;</w:t>
      </w:r>
    </w:p>
    <w:p>
      <w:pPr>
        <w:spacing w:after="0" w:line="62" w:lineRule="exact"/>
        <w:rPr>
          <w:rFonts w:ascii="Arial" w:cs="Arial" w:eastAsia="Arial" w:hAnsi="Arial"/>
          <w:sz w:val="18"/>
          <w:szCs w:val="18"/>
          <w:color w:val="auto"/>
        </w:rPr>
      </w:pPr>
    </w:p>
    <w:p>
      <w:pPr>
        <w:ind w:right="220" w:firstLine="443"/>
        <w:spacing w:after="0" w:line="298" w:lineRule="auto"/>
        <w:tabs>
          <w:tab w:leader="none" w:pos="677"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 pledges or deposits in the ordinary course of business in connection with workers’ compensation, unemployment insurance and other social security legislation, other than any Lien imposed by ERISA,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31" w:lineRule="exact"/>
        <w:rPr>
          <w:rFonts w:ascii="Arial" w:cs="Arial" w:eastAsia="Arial" w:hAnsi="Arial"/>
          <w:sz w:val="16"/>
          <w:szCs w:val="16"/>
          <w:color w:val="auto"/>
        </w:rPr>
      </w:pPr>
    </w:p>
    <w:p>
      <w:pPr>
        <w:ind w:right="20" w:firstLine="443"/>
        <w:spacing w:after="0" w:line="259" w:lineRule="auto"/>
        <w:tabs>
          <w:tab w:leader="none" w:pos="65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and leases (other than Indebtedness for borrowed money), statutory obligations, surety, stay, custom and appeal bonds, performance bonds and other obligations of a like nature (including those to secure health, safety and environmental obligations) incurred in the ordinary course of business;</w:t>
      </w:r>
    </w:p>
    <w:p>
      <w:pPr>
        <w:spacing w:after="0" w:line="59" w:lineRule="exact"/>
        <w:rPr>
          <w:rFonts w:ascii="Arial" w:cs="Arial" w:eastAsia="Arial" w:hAnsi="Arial"/>
          <w:sz w:val="18"/>
          <w:szCs w:val="18"/>
          <w:color w:val="auto"/>
        </w:rPr>
      </w:pPr>
    </w:p>
    <w:p>
      <w:pPr>
        <w:ind w:right="200" w:firstLine="443"/>
        <w:spacing w:after="0" w:line="268" w:lineRule="auto"/>
        <w:tabs>
          <w:tab w:leader="none" w:pos="68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and minor title defects affecting real property which, in the aggregate do not in any case materially interfere with the ordinary conduct of the business of the applicable Person;</w:t>
      </w:r>
    </w:p>
    <w:p>
      <w:pPr>
        <w:spacing w:after="0" w:line="50" w:lineRule="exact"/>
        <w:rPr>
          <w:rFonts w:ascii="Arial" w:cs="Arial" w:eastAsia="Arial" w:hAnsi="Arial"/>
          <w:sz w:val="18"/>
          <w:szCs w:val="18"/>
          <w:color w:val="auto"/>
        </w:rPr>
      </w:pPr>
    </w:p>
    <w:p>
      <w:pPr>
        <w:ind w:right="320" w:firstLine="443"/>
        <w:spacing w:after="0" w:line="268" w:lineRule="auto"/>
        <w:tabs>
          <w:tab w:leader="none" w:pos="68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(or appeal or other surety bonds relating to such judgments) not constituting an Event of Default under </w:t>
      </w:r>
      <w:r>
        <w:rPr>
          <w:rFonts w:ascii="Arial" w:cs="Arial" w:eastAsia="Arial" w:hAnsi="Arial"/>
          <w:sz w:val="18"/>
          <w:szCs w:val="18"/>
          <w:u w:val="single" w:color="auto"/>
          <w:color w:val="auto"/>
        </w:rPr>
        <w:t>Section 9.01(h)</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660" w:hanging="217"/>
        <w:spacing w:after="0"/>
        <w:tabs>
          <w:tab w:leader="none" w:pos="66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under </w:t>
      </w:r>
      <w:r>
        <w:rPr>
          <w:rFonts w:ascii="Arial" w:cs="Arial" w:eastAsia="Arial" w:hAnsi="Arial"/>
          <w:sz w:val="16"/>
          <w:szCs w:val="16"/>
          <w:u w:val="single" w:color="auto"/>
          <w:color w:val="auto"/>
        </w:rPr>
        <w:t>Section 8.03(e)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Liens do not at any time encumber any property other than</w:t>
      </w:r>
    </w:p>
    <w:p>
      <w:pPr>
        <w:spacing w:after="0" w:line="38" w:lineRule="exact"/>
        <w:rPr>
          <w:rFonts w:ascii="Arial" w:cs="Arial" w:eastAsia="Arial" w:hAnsi="Arial"/>
          <w:sz w:val="16"/>
          <w:szCs w:val="16"/>
          <w:color w:val="auto"/>
        </w:rPr>
      </w:pPr>
    </w:p>
    <w:p>
      <w:pPr>
        <w:ind w:firstLine="4"/>
        <w:spacing w:after="0" w:line="323" w:lineRule="auto"/>
        <w:tabs>
          <w:tab w:leader="none" w:pos="28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the property financed by such Indebtedness and the proceeds and products of such property and (B) other Indebtedness permitted under </w:t>
      </w:r>
      <w:r>
        <w:rPr>
          <w:rFonts w:ascii="Arial" w:cs="Arial" w:eastAsia="Arial" w:hAnsi="Arial"/>
          <w:sz w:val="16"/>
          <w:szCs w:val="16"/>
          <w:u w:val="single" w:color="auto"/>
          <w:color w:val="auto"/>
        </w:rPr>
        <w:t>Section 8.03(e)</w:t>
      </w:r>
      <w:r>
        <w:rPr>
          <w:rFonts w:ascii="Arial" w:cs="Arial" w:eastAsia="Arial" w:hAnsi="Arial"/>
          <w:sz w:val="16"/>
          <w:szCs w:val="16"/>
          <w:color w:val="auto"/>
        </w:rPr>
        <w:t xml:space="preserve"> that is provided by the same lender and (ii) such Liens attach to such property concurrently with or within ninety days after the acquisition thereof;</w:t>
      </w:r>
    </w:p>
    <w:p>
      <w:pPr>
        <w:spacing w:after="0" w:line="11" w:lineRule="exact"/>
        <w:rPr>
          <w:rFonts w:ascii="Arial" w:cs="Arial" w:eastAsia="Arial" w:hAnsi="Arial"/>
          <w:sz w:val="16"/>
          <w:szCs w:val="16"/>
          <w:color w:val="auto"/>
        </w:rPr>
      </w:pPr>
    </w:p>
    <w:p>
      <w:pPr>
        <w:ind w:right="460" w:firstLine="443"/>
        <w:spacing w:after="0" w:line="268" w:lineRule="auto"/>
        <w:tabs>
          <w:tab w:leader="none" w:pos="64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8.03(f)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at any time encumber any property other than Excluded Fixed Assets and the proceeds and products of Excluded Fixed Assets;</w:t>
      </w:r>
    </w:p>
    <w:p>
      <w:pPr>
        <w:spacing w:after="0" w:line="50" w:lineRule="exact"/>
        <w:rPr>
          <w:rFonts w:ascii="Arial" w:cs="Arial" w:eastAsia="Arial" w:hAnsi="Arial"/>
          <w:sz w:val="18"/>
          <w:szCs w:val="18"/>
          <w:color w:val="auto"/>
        </w:rPr>
      </w:pPr>
    </w:p>
    <w:p>
      <w:pPr>
        <w:ind w:right="560" w:firstLine="443"/>
        <w:spacing w:after="0" w:line="268" w:lineRule="auto"/>
        <w:tabs>
          <w:tab w:leader="none" w:pos="687" w:val="left"/>
        </w:tabs>
        <w:numPr>
          <w:ilvl w:val="1"/>
          <w:numId w:val="169"/>
        </w:numPr>
        <w:rPr>
          <w:rFonts w:ascii="Arial" w:cs="Arial" w:eastAsia="Arial" w:hAnsi="Arial"/>
          <w:sz w:val="18"/>
          <w:szCs w:val="18"/>
          <w:color w:val="auto"/>
        </w:rPr>
      </w:pPr>
      <w:r>
        <w:rPr>
          <w:rFonts w:ascii="Arial" w:cs="Arial" w:eastAsia="Arial" w:hAnsi="Arial"/>
          <w:sz w:val="18"/>
          <w:szCs w:val="18"/>
          <w:color w:val="auto"/>
        </w:rPr>
        <w:t>leases, subleases, licenses or sublicenses granted to others not interfering in any material respect with the business of the Borrower or any Subsidiary;</w:t>
      </w:r>
    </w:p>
    <w:p>
      <w:pPr>
        <w:spacing w:after="0" w:line="50" w:lineRule="exact"/>
        <w:rPr>
          <w:rFonts w:ascii="Arial" w:cs="Arial" w:eastAsia="Arial" w:hAnsi="Arial"/>
          <w:sz w:val="18"/>
          <w:szCs w:val="18"/>
          <w:color w:val="auto"/>
        </w:rPr>
      </w:pPr>
    </w:p>
    <w:p>
      <w:pPr>
        <w:ind w:right="480" w:firstLine="443"/>
        <w:spacing w:after="0" w:line="268" w:lineRule="auto"/>
        <w:tabs>
          <w:tab w:leader="none" w:pos="64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any interest of title of a lessor under, and Liens arising from UCC financing statements (or equivalent filings, registrations or agreements in foreign jurisdictions) relating to, leases permitted by this Agreement;</w:t>
      </w:r>
    </w:p>
    <w:p>
      <w:pPr>
        <w:spacing w:after="0" w:line="50" w:lineRule="exact"/>
        <w:rPr>
          <w:rFonts w:ascii="Arial" w:cs="Arial" w:eastAsia="Arial" w:hAnsi="Arial"/>
          <w:sz w:val="18"/>
          <w:szCs w:val="18"/>
          <w:color w:val="auto"/>
        </w:rPr>
      </w:pPr>
    </w:p>
    <w:p>
      <w:pPr>
        <w:ind w:left="740" w:hanging="297"/>
        <w:spacing w:after="0"/>
        <w:tabs>
          <w:tab w:leader="none" w:pos="74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repurchase agreements permitted under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normal and customary rights of setoff upon deposits of cash in favor of banks or other depository institutions;</w:t>
      </w:r>
    </w:p>
    <w:p>
      <w:pPr>
        <w:spacing w:after="0" w:line="90" w:lineRule="exact"/>
        <w:rPr>
          <w:rFonts w:ascii="Arial" w:cs="Arial" w:eastAsia="Arial" w:hAnsi="Arial"/>
          <w:sz w:val="18"/>
          <w:szCs w:val="18"/>
          <w:color w:val="auto"/>
        </w:rPr>
      </w:pPr>
    </w:p>
    <w:p>
      <w:pPr>
        <w:ind w:left="700" w:hanging="257"/>
        <w:spacing w:after="0"/>
        <w:tabs>
          <w:tab w:leader="none" w:pos="7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Liens of a collection bank arising under Section 4-210 of the Uniform Commercial Code on items in the course of collection;</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20"/>
          </w:cols>
          <w:pgMar w:left="700" w:top="280" w:right="279" w:bottom="1440" w:gutter="0" w:footer="0" w:header="0"/>
        </w:sectPr>
      </w:pPr>
    </w:p>
    <w:bookmarkStart w:id="190" w:name="page191"/>
    <w:bookmarkEnd w:id="190"/>
    <w:p>
      <w:pPr>
        <w:ind w:left="460" w:right="2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Liens consisting of an agreement to Dispose of any property in a Disposition permitted under </w:t>
      </w:r>
      <w:r>
        <w:rPr>
          <w:rFonts w:ascii="Arial" w:cs="Arial" w:eastAsia="Arial" w:hAnsi="Arial"/>
          <w:sz w:val="18"/>
          <w:szCs w:val="18"/>
          <w:u w:val="single" w:color="auto"/>
          <w:color w:val="auto"/>
        </w:rPr>
        <w:t>Section 8.05</w:t>
      </w:r>
      <w:r>
        <w:rPr>
          <w:rFonts w:ascii="Arial" w:cs="Arial" w:eastAsia="Arial" w:hAnsi="Arial"/>
          <w:sz w:val="18"/>
          <w:szCs w:val="18"/>
          <w:color w:val="auto"/>
        </w:rPr>
        <w:t>, in each case, solely to the extent such Disposition would have been permitted on the date of the creation of such Lien;</w:t>
      </w:r>
    </w:p>
    <w:p>
      <w:pPr>
        <w:spacing w:after="0" w:line="50" w:lineRule="exact"/>
        <w:rPr>
          <w:rFonts w:ascii="Arial" w:cs="Arial" w:eastAsia="Arial" w:hAnsi="Arial"/>
          <w:sz w:val="18"/>
          <w:szCs w:val="18"/>
          <w:color w:val="auto"/>
        </w:rPr>
      </w:pPr>
    </w:p>
    <w:p>
      <w:pPr>
        <w:ind w:left="460" w:right="20" w:firstLine="443"/>
        <w:spacing w:after="0" w:line="268" w:lineRule="auto"/>
        <w:tabs>
          <w:tab w:leader="none" w:pos="114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Liens arising on any real property as a result of any eminent domain, condemnation or similar proceeding being commenced with respect to such real property;</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Liens in favor of any Loan Party securing Indebtedness permitted under </w:t>
      </w:r>
      <w:r>
        <w:rPr>
          <w:rFonts w:ascii="Arial" w:cs="Arial" w:eastAsia="Arial" w:hAnsi="Arial"/>
          <w:sz w:val="18"/>
          <w:szCs w:val="18"/>
          <w:u w:val="single" w:color="auto"/>
          <w:color w:val="auto"/>
        </w:rPr>
        <w:t>Section 8.03(c)</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firstLine="443"/>
        <w:spacing w:after="0" w:line="256" w:lineRule="auto"/>
        <w:tabs>
          <w:tab w:leader="none" w:pos="1127"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Liens existing on property at the time of its acquisition or existing on the property of any Person at the time such Person becomes a Subsidiary, in each case after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Lien was not created in contemplation of such acquisition or such Person becoming a Subsidiary, (ii) such Lien does not extend to or cover any other assets or property (other than proceeds or products of the property subject to such Lien), and (iii) the Indebtedness secured thereby is permitted under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560" w:firstLine="443"/>
        <w:spacing w:after="0" w:line="268" w:lineRule="auto"/>
        <w:tabs>
          <w:tab w:leader="none" w:pos="110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the Borrower or any of its Subsidiaries in connection with any letter of intent or purchase agreement permitted hereunder; and</w:t>
      </w:r>
    </w:p>
    <w:p>
      <w:pPr>
        <w:spacing w:after="0" w:line="50" w:lineRule="exact"/>
        <w:rPr>
          <w:rFonts w:ascii="Arial" w:cs="Arial" w:eastAsia="Arial" w:hAnsi="Arial"/>
          <w:sz w:val="18"/>
          <w:szCs w:val="18"/>
          <w:color w:val="auto"/>
        </w:rPr>
      </w:pPr>
    </w:p>
    <w:p>
      <w:pPr>
        <w:jc w:val="both"/>
        <w:ind w:left="460" w:right="440" w:firstLine="443"/>
        <w:spacing w:after="0" w:line="306" w:lineRule="auto"/>
        <w:tabs>
          <w:tab w:leader="none" w:pos="1147"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Liens on NMTC Property securing the NMTC Indebtedness the proceeds of which are (or will be) used to acquire or improve such NMTC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Liens are on property that is (or is required to be) Collateral then such Liens are subordinated to the Liens securing the Obligations pursuant to an intercreditor agreement in form and substance reasonably satisfactory to the Administrative Agent.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Investments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Make any Investments, except:</w:t>
      </w:r>
    </w:p>
    <w:p>
      <w:pPr>
        <w:spacing w:after="0" w:line="90" w:lineRule="exact"/>
        <w:rPr>
          <w:sz w:val="20"/>
          <w:szCs w:val="20"/>
          <w:color w:val="auto"/>
        </w:rPr>
      </w:pPr>
    </w:p>
    <w:p>
      <w:pPr>
        <w:ind w:left="1140" w:hanging="237"/>
        <w:spacing w:after="0"/>
        <w:tabs>
          <w:tab w:leader="none" w:pos="11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Investments in the form of cash or Cash Equivalents;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Investments outstanding on the date hereof and set forth in </w:t>
      </w:r>
      <w:r>
        <w:rPr>
          <w:rFonts w:ascii="Arial" w:cs="Arial" w:eastAsia="Arial" w:hAnsi="Arial"/>
          <w:sz w:val="18"/>
          <w:szCs w:val="18"/>
          <w:u w:val="single" w:color="auto"/>
          <w:color w:val="auto"/>
        </w:rPr>
        <w:t>Schedule 8.02</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Investments in any Person that is a Loan Party prior to giving effect to such Investment;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Investments by any Subsidiary that is not a Loan Party in any other Subsidiary that is not a Loan Party;</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Investments in any Domestic Subsidiary that is a Wholly Owned Subsidiary solely to provide funds to such Domestic Subsidiary to acquire real</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property;</w:t>
      </w:r>
    </w:p>
    <w:p>
      <w:pPr>
        <w:spacing w:after="0" w:line="83" w:lineRule="exact"/>
        <w:rPr>
          <w:rFonts w:ascii="Arial" w:cs="Arial" w:eastAsia="Arial" w:hAnsi="Arial"/>
          <w:sz w:val="16"/>
          <w:szCs w:val="16"/>
          <w:color w:val="auto"/>
        </w:rPr>
      </w:pPr>
    </w:p>
    <w:p>
      <w:pPr>
        <w:jc w:val="both"/>
        <w:ind w:left="460" w:right="80" w:firstLine="443"/>
        <w:spacing w:after="0" w:line="259" w:lineRule="auto"/>
        <w:tabs>
          <w:tab w:leader="none" w:pos="111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280" w:right="299" w:bottom="1440" w:gutter="0" w:footer="0" w:header="0"/>
        </w:sectPr>
      </w:pPr>
    </w:p>
    <w:bookmarkStart w:id="191" w:name="page192"/>
    <w:bookmarkEnd w:id="191"/>
    <w:p>
      <w:pPr>
        <w:ind w:left="1160" w:hanging="257"/>
        <w:spacing w:after="0"/>
        <w:tabs>
          <w:tab w:leader="none" w:pos="1160" w:val="left"/>
        </w:tabs>
        <w:numPr>
          <w:ilvl w:val="1"/>
          <w:numId w:val="17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Investments consisting of loans, advances and other extensions of credit to officers, directors and employees of the Borrower and its Subsidiaries</w:t>
      </w:r>
    </w:p>
    <w:p>
      <w:pPr>
        <w:spacing w:after="0" w:line="49" w:lineRule="exact"/>
        <w:rPr>
          <w:rFonts w:ascii="Arial" w:cs="Arial" w:eastAsia="Arial" w:hAnsi="Arial"/>
          <w:sz w:val="15"/>
          <w:szCs w:val="15"/>
          <w:color w:val="auto"/>
        </w:rPr>
      </w:pPr>
    </w:p>
    <w:p>
      <w:pPr>
        <w:ind w:left="460" w:right="60" w:firstLine="4"/>
        <w:spacing w:after="0" w:line="261" w:lineRule="auto"/>
        <w:tabs>
          <w:tab w:leader="none" w:pos="67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for reasonable and customary business-related travel, entertainment, relocation and analogous ordinary business purposes, or (ii) otherwise for business purposes in an amount not to exceed $2.5 million in the aggregate at any time outstanding;</w:t>
      </w:r>
    </w:p>
    <w:p>
      <w:pPr>
        <w:spacing w:after="0" w:line="56" w:lineRule="exact"/>
        <w:rPr>
          <w:rFonts w:ascii="Arial" w:cs="Arial" w:eastAsia="Arial" w:hAnsi="Arial"/>
          <w:sz w:val="18"/>
          <w:szCs w:val="18"/>
          <w:color w:val="auto"/>
        </w:rPr>
      </w:pPr>
    </w:p>
    <w:p>
      <w:pPr>
        <w:ind w:left="1160" w:hanging="257"/>
        <w:spacing w:after="0"/>
        <w:tabs>
          <w:tab w:leader="none" w:pos="11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 xml:space="preserve">to the extent constituting Investments, transactions permitted under </w:t>
      </w:r>
      <w:r>
        <w:rPr>
          <w:rFonts w:ascii="Arial" w:cs="Arial" w:eastAsia="Arial" w:hAnsi="Arial"/>
          <w:sz w:val="18"/>
          <w:szCs w:val="18"/>
          <w:u w:val="single" w:color="auto"/>
          <w:color w:val="auto"/>
        </w:rPr>
        <w:t>Sections 8.01</w:t>
      </w:r>
      <w:r>
        <w:rPr>
          <w:rFonts w:ascii="Arial" w:cs="Arial" w:eastAsia="Arial" w:hAnsi="Arial"/>
          <w:sz w:val="18"/>
          <w:szCs w:val="18"/>
          <w:color w:val="auto"/>
        </w:rPr>
        <w:t xml:space="preserve">,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w:t>
      </w:r>
      <w:r>
        <w:rPr>
          <w:rFonts w:ascii="Arial" w:cs="Arial" w:eastAsia="Arial" w:hAnsi="Arial"/>
          <w:sz w:val="18"/>
          <w:szCs w:val="18"/>
          <w:u w:val="single" w:color="auto"/>
          <w:color w:val="auto"/>
        </w:rPr>
        <w:t>8.04</w:t>
      </w:r>
      <w:r>
        <w:rPr>
          <w:rFonts w:ascii="Arial" w:cs="Arial" w:eastAsia="Arial" w:hAnsi="Arial"/>
          <w:sz w:val="18"/>
          <w:szCs w:val="18"/>
          <w:color w:val="auto"/>
        </w:rPr>
        <w:t xml:space="preserve">, </w:t>
      </w:r>
      <w:r>
        <w:rPr>
          <w:rFonts w:ascii="Arial" w:cs="Arial" w:eastAsia="Arial" w:hAnsi="Arial"/>
          <w:sz w:val="18"/>
          <w:szCs w:val="18"/>
          <w:u w:val="single" w:color="auto"/>
          <w:color w:val="auto"/>
        </w:rPr>
        <w:t>8.05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8.06</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 xml:space="preserve">Investments in Swap Contracts permitted under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40" w:firstLine="443"/>
        <w:spacing w:after="0" w:line="332" w:lineRule="auto"/>
        <w:tabs>
          <w:tab w:leader="none" w:pos="1108" w:val="left"/>
        </w:tabs>
        <w:numPr>
          <w:ilvl w:val="1"/>
          <w:numId w:val="173"/>
        </w:numPr>
        <w:rPr>
          <w:rFonts w:ascii="Arial" w:cs="Arial" w:eastAsia="Arial" w:hAnsi="Arial"/>
          <w:sz w:val="16"/>
          <w:szCs w:val="16"/>
          <w:color w:val="auto"/>
        </w:rPr>
      </w:pPr>
      <w:r>
        <w:rPr>
          <w:rFonts w:ascii="Arial" w:cs="Arial" w:eastAsia="Arial" w:hAnsi="Arial"/>
          <w:sz w:val="16"/>
          <w:szCs w:val="16"/>
          <w:color w:val="auto"/>
        </w:rPr>
        <w:t xml:space="preserve">Investments consisting of promissory notes and other noncash consideration received in connection with Dispositions permitted by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and any other sale, transfer, license, lease or other disposition of property not prohibited by the Loan Documents;</w:t>
      </w:r>
    </w:p>
    <w:p>
      <w:pPr>
        <w:spacing w:after="0" w:line="4" w:lineRule="exact"/>
        <w:rPr>
          <w:rFonts w:ascii="Arial" w:cs="Arial" w:eastAsia="Arial" w:hAnsi="Arial"/>
          <w:sz w:val="16"/>
          <w:szCs w:val="16"/>
          <w:color w:val="auto"/>
        </w:rPr>
      </w:pPr>
    </w:p>
    <w:p>
      <w:pPr>
        <w:ind w:left="1200" w:hanging="297"/>
        <w:spacing w:after="0"/>
        <w:tabs>
          <w:tab w:leader="none" w:pos="120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Investments (other than Acquisitions) to the extent that payment for such Investments is made solely with Equity Interests of the Borrower;</w:t>
      </w:r>
    </w:p>
    <w:p>
      <w:pPr>
        <w:spacing w:after="0" w:line="113" w:lineRule="exact"/>
        <w:rPr>
          <w:rFonts w:ascii="Arial" w:cs="Arial" w:eastAsia="Arial" w:hAnsi="Arial"/>
          <w:sz w:val="16"/>
          <w:szCs w:val="16"/>
          <w:color w:val="auto"/>
        </w:rPr>
      </w:pPr>
    </w:p>
    <w:p>
      <w:pPr>
        <w:ind w:left="460" w:firstLine="443"/>
        <w:spacing w:after="0" w:line="332" w:lineRule="auto"/>
        <w:tabs>
          <w:tab w:leader="none" w:pos="1147" w:val="left"/>
        </w:tabs>
        <w:numPr>
          <w:ilvl w:val="1"/>
          <w:numId w:val="173"/>
        </w:numPr>
        <w:rPr>
          <w:rFonts w:ascii="Arial" w:cs="Arial" w:eastAsia="Arial" w:hAnsi="Arial"/>
          <w:sz w:val="16"/>
          <w:szCs w:val="16"/>
          <w:color w:val="auto"/>
        </w:rPr>
      </w:pPr>
      <w:r>
        <w:rPr>
          <w:rFonts w:ascii="Arial" w:cs="Arial" w:eastAsia="Arial" w:hAnsi="Arial"/>
          <w:sz w:val="16"/>
          <w:szCs w:val="16"/>
          <w:color w:val="auto"/>
        </w:rPr>
        <w:t>Investments by the Borrower or any Domestic Subsidiary in an NMTC Subsidiary in an aggregate amount not to exceed the portion of the related NMTC Indebtedness that is to be funded by the Borrower and its Subsidiaries (each an “</w:t>
      </w:r>
      <w:r>
        <w:rPr>
          <w:rFonts w:ascii="Arial" w:cs="Arial" w:eastAsia="Arial" w:hAnsi="Arial"/>
          <w:sz w:val="16"/>
          <w:szCs w:val="16"/>
          <w:u w:val="single" w:color="auto"/>
          <w:color w:val="auto"/>
        </w:rPr>
        <w:t>NMTC Intercompany Investment</w:t>
      </w:r>
      <w:r>
        <w:rPr>
          <w:rFonts w:ascii="Arial" w:cs="Arial" w:eastAsia="Arial" w:hAnsi="Arial"/>
          <w:sz w:val="16"/>
          <w:szCs w:val="16"/>
          <w:color w:val="auto"/>
        </w:rPr>
        <w:t>”);</w:t>
      </w:r>
    </w:p>
    <w:p>
      <w:pPr>
        <w:spacing w:after="0" w:line="4" w:lineRule="exact"/>
        <w:rPr>
          <w:rFonts w:ascii="Arial" w:cs="Arial" w:eastAsia="Arial" w:hAnsi="Arial"/>
          <w:sz w:val="16"/>
          <w:szCs w:val="16"/>
          <w:color w:val="auto"/>
        </w:rPr>
      </w:pPr>
    </w:p>
    <w:p>
      <w:pPr>
        <w:ind w:left="460" w:right="360" w:firstLine="443"/>
        <w:spacing w:after="0" w:line="306" w:lineRule="auto"/>
        <w:tabs>
          <w:tab w:leader="none" w:pos="1147" w:val="left"/>
        </w:tabs>
        <w:numPr>
          <w:ilvl w:val="1"/>
          <w:numId w:val="173"/>
        </w:numPr>
        <w:rPr>
          <w:rFonts w:ascii="Arial" w:cs="Arial" w:eastAsia="Arial" w:hAnsi="Arial"/>
          <w:sz w:val="16"/>
          <w:szCs w:val="16"/>
          <w:color w:val="auto"/>
        </w:rPr>
      </w:pPr>
      <w:r>
        <w:rPr>
          <w:rFonts w:ascii="Arial" w:cs="Arial" w:eastAsia="Arial" w:hAnsi="Arial"/>
          <w:sz w:val="16"/>
          <w:szCs w:val="16"/>
          <w:color w:val="auto"/>
        </w:rPr>
        <w:t>Investments of a Subsidiary acquired after the Closing Date or of a Person that is merged into or consolidated with the Borrower or any Subsidiary after the Closing Date provided that such Investments were not made in contemplation of or in connection with such acquisition, merger or consolidation and were in existence on the date of such acquisition, merger or consolidation;</w:t>
      </w:r>
    </w:p>
    <w:p>
      <w:pPr>
        <w:spacing w:after="0" w:line="25" w:lineRule="exact"/>
        <w:rPr>
          <w:rFonts w:ascii="Arial" w:cs="Arial" w:eastAsia="Arial" w:hAnsi="Arial"/>
          <w:sz w:val="16"/>
          <w:szCs w:val="16"/>
          <w:color w:val="auto"/>
        </w:rPr>
      </w:pPr>
    </w:p>
    <w:p>
      <w:pPr>
        <w:ind w:left="460" w:firstLine="443"/>
        <w:spacing w:after="0" w:line="298" w:lineRule="auto"/>
        <w:tabs>
          <w:tab w:leader="none" w:pos="1147" w:val="left"/>
        </w:tabs>
        <w:numPr>
          <w:ilvl w:val="1"/>
          <w:numId w:val="173"/>
        </w:numPr>
        <w:rPr>
          <w:rFonts w:ascii="Arial" w:cs="Arial" w:eastAsia="Arial" w:hAnsi="Arial"/>
          <w:sz w:val="16"/>
          <w:szCs w:val="16"/>
          <w:color w:val="auto"/>
        </w:rPr>
      </w:pPr>
      <w:r>
        <w:rPr>
          <w:rFonts w:ascii="Arial" w:cs="Arial" w:eastAsia="Arial" w:hAnsi="Arial"/>
          <w:sz w:val="16"/>
          <w:szCs w:val="16"/>
          <w:color w:val="auto"/>
        </w:rPr>
        <w:t>Investments consisting of loans advanced by an NMTC Subsidiary to the lenders (or Affiliates of the lenders) of NMTC Indebtedness to be used by such lenders to fund a portion of such NMTC Indebtedness provided that (i) the amount of such loans advanced by such NMTC Subsidiary shall not exceed the amount of the NMTC Investment made in such NMTC Subsidiary (each an “</w:t>
      </w:r>
      <w:r>
        <w:rPr>
          <w:rFonts w:ascii="Arial" w:cs="Arial" w:eastAsia="Arial" w:hAnsi="Arial"/>
          <w:sz w:val="16"/>
          <w:szCs w:val="16"/>
          <w:u w:val="single" w:color="auto"/>
          <w:color w:val="auto"/>
        </w:rPr>
        <w:t>NMTC Intercompany Loan</w:t>
      </w:r>
      <w:r>
        <w:rPr>
          <w:rFonts w:ascii="Arial" w:cs="Arial" w:eastAsia="Arial" w:hAnsi="Arial"/>
          <w:sz w:val="16"/>
          <w:szCs w:val="16"/>
          <w:color w:val="auto"/>
        </w:rPr>
        <w:t>”) and (ii) substantially concurrent with making such NMTC Intercompany Loan such lenders shall fund the related NMTC Indebtedness; and</w:t>
      </w:r>
    </w:p>
    <w:p>
      <w:pPr>
        <w:spacing w:after="0" w:line="31" w:lineRule="exact"/>
        <w:rPr>
          <w:rFonts w:ascii="Arial" w:cs="Arial" w:eastAsia="Arial" w:hAnsi="Arial"/>
          <w:sz w:val="16"/>
          <w:szCs w:val="16"/>
          <w:color w:val="auto"/>
        </w:rPr>
      </w:pPr>
    </w:p>
    <w:p>
      <w:pPr>
        <w:ind w:left="460" w:right="100" w:firstLine="443"/>
        <w:spacing w:after="0" w:line="268" w:lineRule="auto"/>
        <w:tabs>
          <w:tab w:leader="none" w:pos="1147" w:val="left"/>
        </w:tabs>
        <w:numPr>
          <w:ilvl w:val="1"/>
          <w:numId w:val="173"/>
        </w:numPr>
        <w:rPr>
          <w:rFonts w:ascii="Arial" w:cs="Arial" w:eastAsia="Arial" w:hAnsi="Arial"/>
          <w:sz w:val="18"/>
          <w:szCs w:val="18"/>
          <w:color w:val="auto"/>
        </w:rPr>
      </w:pPr>
      <w:r>
        <w:rPr>
          <w:rFonts w:ascii="Arial" w:cs="Arial" w:eastAsia="Arial" w:hAnsi="Arial"/>
          <w:sz w:val="18"/>
          <w:szCs w:val="18"/>
          <w:color w:val="auto"/>
        </w:rPr>
        <w:t>Investments of a nature not contemplated in the foregoing clauses in an amount not to exceed the Threshold Amount (calculated at the date such Investment is made) in the aggregate at any time outstanding.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Indebtedness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Create, incur, assume or suffer to exist any Indebtedness, except: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Indebtedness under the Loan Documents;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280" w:right="279" w:bottom="1440" w:gutter="0" w:footer="0" w:header="0"/>
        </w:sectPr>
      </w:pPr>
    </w:p>
    <w:bookmarkStart w:id="192" w:name="page193"/>
    <w:bookmarkEnd w:id="192"/>
    <w:p>
      <w:pPr>
        <w:ind w:firstLine="443"/>
        <w:spacing w:after="0" w:line="254" w:lineRule="auto"/>
        <w:tabs>
          <w:tab w:leader="none" w:pos="687" w:val="left"/>
        </w:tabs>
        <w:numPr>
          <w:ilvl w:val="1"/>
          <w:numId w:val="1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Indebtedness outstanding on the date hereof and set forth in </w:t>
      </w:r>
      <w:r>
        <w:rPr>
          <w:rFonts w:ascii="Arial" w:cs="Arial" w:eastAsia="Arial" w:hAnsi="Arial"/>
          <w:sz w:val="18"/>
          <w:szCs w:val="18"/>
          <w:u w:val="single" w:color="auto"/>
          <w:color w:val="auto"/>
        </w:rPr>
        <w:t>Schedule 8.03</w:t>
      </w:r>
      <w:r>
        <w:rPr>
          <w:rFonts w:ascii="Arial" w:cs="Arial" w:eastAsia="Arial" w:hAnsi="Arial"/>
          <w:sz w:val="18"/>
          <w:szCs w:val="18"/>
          <w:color w:val="auto"/>
        </w:rPr>
        <w:t xml:space="preserve"> and any refinancings, refundings, renewals and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amount of such Indebtedness is not increased at the time of such refinancing, refunding, renewal or extension except by an amount equal to a reasonable premium or other reasonable amount paid, and fees and expenses reasonably incurred, in connection with such refinancing, refunding, renewal or extension and by an amount equal to any existing commitments unutilized thereunder and (ii) the material terms taken as a whole of such refinancing, refunding, renewal or extension are not materially less favorable to the Borrower and its Subsidiaries than the terms of the Indebtedness being refinanced, refunded, renewed or extended;</w:t>
      </w:r>
    </w:p>
    <w:p>
      <w:pPr>
        <w:spacing w:after="0" w:line="63" w:lineRule="exact"/>
        <w:rPr>
          <w:rFonts w:ascii="Arial" w:cs="Arial" w:eastAsia="Arial" w:hAnsi="Arial"/>
          <w:sz w:val="18"/>
          <w:szCs w:val="18"/>
          <w:color w:val="auto"/>
        </w:rPr>
      </w:pPr>
    </w:p>
    <w:p>
      <w:pPr>
        <w:ind w:left="680" w:hanging="237"/>
        <w:spacing w:after="0"/>
        <w:tabs>
          <w:tab w:leader="none" w:pos="6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 xml:space="preserve">intercompany Indebtedness permitted under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60" w:firstLine="443"/>
        <w:spacing w:after="0" w:line="255" w:lineRule="auto"/>
        <w:tabs>
          <w:tab w:leader="none" w:pos="687" w:val="left"/>
        </w:tabs>
        <w:numPr>
          <w:ilvl w:val="1"/>
          <w:numId w:val="174"/>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existing or arising under any Swap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61" w:lineRule="exact"/>
        <w:rPr>
          <w:rFonts w:ascii="Arial" w:cs="Arial" w:eastAsia="Arial" w:hAnsi="Arial"/>
          <w:sz w:val="18"/>
          <w:szCs w:val="18"/>
          <w:color w:val="auto"/>
        </w:rPr>
      </w:pPr>
    </w:p>
    <w:p>
      <w:pPr>
        <w:jc w:val="both"/>
        <w:ind w:right="20" w:firstLine="443"/>
        <w:spacing w:after="0" w:line="323" w:lineRule="auto"/>
        <w:tabs>
          <w:tab w:leader="none" w:pos="677" w:val="left"/>
        </w:tabs>
        <w:numPr>
          <w:ilvl w:val="1"/>
          <w:numId w:val="174"/>
        </w:numPr>
        <w:rPr>
          <w:rFonts w:ascii="Arial" w:cs="Arial" w:eastAsia="Arial" w:hAnsi="Arial"/>
          <w:sz w:val="15"/>
          <w:szCs w:val="15"/>
          <w:color w:val="auto"/>
        </w:rPr>
      </w:pPr>
      <w:r>
        <w:rPr>
          <w:rFonts w:ascii="Arial" w:cs="Arial" w:eastAsia="Arial" w:hAnsi="Arial"/>
          <w:sz w:val="15"/>
          <w:szCs w:val="15"/>
          <w:color w:val="auto"/>
        </w:rPr>
        <w:t xml:space="preserve">purchase money Indebtedness (including obligations in respect of capital leases and Synthetic Lease Obligations) hereafter incurred to finance the purchase, renovation or improvement of fixed assets, and renewals, refinancings and extensions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the aggregate principal amount of all such Indebtedness incurred in any fiscal year shall not exceed $5 million; (ii) the aggregate outstanding principal amount of all such Indebtedness shall not exceed $20 million at any one time outstanding; and (iii) such Indebtedness when incurred shall not exceed the purchase price of the asset(s) financed;</w:t>
      </w:r>
    </w:p>
    <w:p>
      <w:pPr>
        <w:spacing w:after="0" w:line="16" w:lineRule="exact"/>
        <w:rPr>
          <w:rFonts w:ascii="Arial" w:cs="Arial" w:eastAsia="Arial" w:hAnsi="Arial"/>
          <w:sz w:val="15"/>
          <w:szCs w:val="15"/>
          <w:color w:val="auto"/>
        </w:rPr>
      </w:pPr>
    </w:p>
    <w:p>
      <w:pPr>
        <w:ind w:right="40" w:firstLine="443"/>
        <w:spacing w:after="0" w:line="302" w:lineRule="auto"/>
        <w:tabs>
          <w:tab w:leader="none" w:pos="657" w:val="left"/>
        </w:tabs>
        <w:numPr>
          <w:ilvl w:val="1"/>
          <w:numId w:val="174"/>
        </w:numPr>
        <w:rPr>
          <w:rFonts w:ascii="Arial" w:cs="Arial" w:eastAsia="Arial" w:hAnsi="Arial"/>
          <w:sz w:val="15"/>
          <w:szCs w:val="15"/>
          <w:color w:val="auto"/>
        </w:rPr>
      </w:pPr>
      <w:r>
        <w:rPr>
          <w:rFonts w:ascii="Arial" w:cs="Arial" w:eastAsia="Arial" w:hAnsi="Arial"/>
          <w:sz w:val="15"/>
          <w:szCs w:val="15"/>
          <w:color w:val="auto"/>
        </w:rPr>
        <w:t xml:space="preserve">purchase money Indebtedness (including obligations in respect of capital leases and Synthetic Lease Obligations) hereafter incurred to finance the purchase, renovation or improvement of fixed assets that constitute Excluded Fixed Assets, and renewals, refinancings and extensions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such Indebtedness is expressly non-recourse to the Borrower or any Subsidiary or to any property of the Borrower or any Subsidiary other than the Excluded Fixed Assets, (ii) no Default exists immediately prior or after giving effect thereto, (ii) after giving effect to the incurrence of such Indebtedness on a Pro Forma Basis, (A) the Loan Parties would be in compliance with the financial covenants set forth in </w:t>
      </w:r>
      <w:r>
        <w:rPr>
          <w:rFonts w:ascii="Arial" w:cs="Arial" w:eastAsia="Arial" w:hAnsi="Arial"/>
          <w:sz w:val="15"/>
          <w:szCs w:val="15"/>
          <w:u w:val="single" w:color="auto"/>
          <w:color w:val="auto"/>
        </w:rPr>
        <w:t>Section 8.11</w:t>
      </w:r>
      <w:r>
        <w:rPr>
          <w:rFonts w:ascii="Arial" w:cs="Arial" w:eastAsia="Arial" w:hAnsi="Arial"/>
          <w:sz w:val="15"/>
          <w:szCs w:val="15"/>
          <w:color w:val="auto"/>
        </w:rPr>
        <w:t xml:space="preserve"> recomputed as of the end of the period of the four fiscal quarters most recently ended for which the Borrower has delivered financial statements pursuant to </w:t>
      </w:r>
      <w:r>
        <w:rPr>
          <w:rFonts w:ascii="Arial" w:cs="Arial" w:eastAsia="Arial" w:hAnsi="Arial"/>
          <w:sz w:val="15"/>
          <w:szCs w:val="15"/>
          <w:u w:val="single" w:color="auto"/>
          <w:color w:val="auto"/>
        </w:rPr>
        <w:t>Section 7.01(a)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(b)</w:t>
      </w:r>
      <w:r>
        <w:rPr>
          <w:rFonts w:ascii="Arial" w:cs="Arial" w:eastAsia="Arial" w:hAnsi="Arial"/>
          <w:sz w:val="15"/>
          <w:szCs w:val="15"/>
          <w:color w:val="auto"/>
        </w:rPr>
        <w:t xml:space="preserve"> and</w:t>
      </w:r>
    </w:p>
    <w:p>
      <w:pPr>
        <w:ind w:right="380" w:firstLine="4"/>
        <w:spacing w:after="0" w:line="323" w:lineRule="auto"/>
        <w:tabs>
          <w:tab w:leader="none" w:pos="27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the Consolidated Leverage Ratio set forth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recomputed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would not be greater than 1.75:1.0;</w:t>
      </w:r>
    </w:p>
    <w:p>
      <w:pPr>
        <w:spacing w:after="0" w:line="11" w:lineRule="exact"/>
        <w:rPr>
          <w:rFonts w:ascii="Arial" w:cs="Arial" w:eastAsia="Arial" w:hAnsi="Arial"/>
          <w:sz w:val="16"/>
          <w:szCs w:val="16"/>
          <w:color w:val="auto"/>
        </w:rPr>
      </w:pPr>
    </w:p>
    <w:p>
      <w:pPr>
        <w:ind w:right="260" w:firstLine="443"/>
        <w:spacing w:after="0" w:line="332" w:lineRule="auto"/>
        <w:tabs>
          <w:tab w:leader="none" w:pos="68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deferred purchase price obligations (including earn-out payment obligations) incurred in connection with Permitted Acquisitions provided that such obligations are subordinated to the Obligations in a manner and to an extent satisfactory to the Administrative Agent;</w:t>
      </w:r>
    </w:p>
    <w:p>
      <w:pPr>
        <w:spacing w:after="0" w:line="4" w:lineRule="exact"/>
        <w:rPr>
          <w:rFonts w:ascii="Arial" w:cs="Arial" w:eastAsia="Arial" w:hAnsi="Arial"/>
          <w:sz w:val="16"/>
          <w:szCs w:val="16"/>
          <w:color w:val="auto"/>
        </w:rPr>
      </w:pPr>
    </w:p>
    <w:p>
      <w:pPr>
        <w:ind w:right="100" w:firstLine="443"/>
        <w:spacing w:after="0" w:line="291" w:lineRule="auto"/>
        <w:tabs>
          <w:tab w:leader="none" w:pos="68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 xml:space="preserve">Subordinated Indebtedness provided that (i) no Default exists immediately prior or after giving effect thereto, (ii) after giving effect to the incurrence of such Subordinated Indebtedness on a Pro Forma Basis, (A) the Loan Parties would be in compliance with the financial covenants set forth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recomputed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(B) the Consolidated Leverage Ratio set forth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recomputed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would not be greater than 1.75:1.0 and (iii) immediately after giving effect to the incurrence of such Subordinated Indebtedness, Liquidity shall be at least $75 million;</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60"/>
          </w:cols>
          <w:pgMar w:left="700" w:top="280" w:right="239" w:bottom="1440" w:gutter="0" w:footer="0" w:header="0"/>
        </w:sectPr>
      </w:pPr>
    </w:p>
    <w:bookmarkStart w:id="193" w:name="page194"/>
    <w:bookmarkEnd w:id="193"/>
    <w:p>
      <w:pPr>
        <w:ind w:left="1120" w:hanging="217"/>
        <w:spacing w:after="0"/>
        <w:tabs>
          <w:tab w:leader="none" w:pos="11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Guarantees with respect to Indebtedness permitted under this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endorsement of negotiable instruments received in the usual course of business;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Indebtedness representing deferred compensation to employees of the Borrower or any Subsidiary incurred in the ordinary course of business;</w:t>
      </w:r>
    </w:p>
    <w:p>
      <w:pPr>
        <w:spacing w:after="0" w:line="113" w:lineRule="exact"/>
        <w:rPr>
          <w:rFonts w:ascii="Arial" w:cs="Arial" w:eastAsia="Arial" w:hAnsi="Arial"/>
          <w:sz w:val="16"/>
          <w:szCs w:val="16"/>
          <w:color w:val="auto"/>
        </w:rPr>
      </w:pPr>
    </w:p>
    <w:p>
      <w:pPr>
        <w:ind w:left="460" w:right="120" w:firstLine="443"/>
        <w:spacing w:after="0" w:line="268" w:lineRule="auto"/>
        <w:tabs>
          <w:tab w:leader="none" w:pos="110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Indebtedness incurred by the Borrower or its Subsidiaries in any Disposition constituting indemnification obligations or obligations in respect of purchase price or other similar adjustments;</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9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Indebtedness in respect of netting services, overdraft protections and similar arrangements in each case in connection with deposit accounts in the ordinary course of business;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 and</w:t>
      </w:r>
    </w:p>
    <w:p>
      <w:pPr>
        <w:spacing w:after="0" w:line="90" w:lineRule="exact"/>
        <w:rPr>
          <w:rFonts w:ascii="Arial" w:cs="Arial" w:eastAsia="Arial" w:hAnsi="Arial"/>
          <w:sz w:val="18"/>
          <w:szCs w:val="18"/>
          <w:color w:val="auto"/>
        </w:rPr>
      </w:pPr>
    </w:p>
    <w:p>
      <w:pPr>
        <w:ind w:left="460" w:right="140" w:firstLine="443"/>
        <w:spacing w:after="0" w:line="332" w:lineRule="auto"/>
        <w:tabs>
          <w:tab w:leader="none" w:pos="1147"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additional Indebtedness not covered by the foregoing clauses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the date of incurrence of such Indebtedness (after giving effect to such Indebtedness) the aggregate outstanding principal amount of all such Indebtedness shall not exceed the Threshold Amount.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Merge, dissolve, liquidate or consolidate with or into another Person, except that so long as no Default exists or would result therefrom, (a) the Borrower may merge or consolidate with any of its Subsidiaries provided that the Borrower is the continuing or surviving Person, (b) any Subsidiary may merge or consolidate with any other Subsidiary provided that if a Loan Party is a party to such transaction, the continuing or surviving Person is a Loan Party, (c) subject to clause (a) above, the Borrower or any Subsidiary may merge with any other Person in connection with a Permitted Acquisition provided that if the Borrower is a party thereto then the Borrower is the continuing or surviving Person and (d) any Subsidiary may dissolve, liquidate or wind up its affairs at any time provided that such dissolution, liquidation or winding up, as applicable, would not have a Material Adverse Effect.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8.05 </w:t>
      </w:r>
      <w:r>
        <w:rPr>
          <w:rFonts w:ascii="Arial" w:cs="Arial" w:eastAsia="Arial" w:hAnsi="Arial"/>
          <w:sz w:val="18"/>
          <w:szCs w:val="18"/>
          <w:u w:val="single" w:color="auto"/>
          <w:color w:val="auto"/>
        </w:rPr>
        <w:t>Dispositions</w:t>
      </w:r>
      <w:r>
        <w:rPr>
          <w:rFonts w:ascii="Arial" w:cs="Arial" w:eastAsia="Arial" w:hAnsi="Arial"/>
          <w:sz w:val="18"/>
          <w:szCs w:val="18"/>
          <w:color w:val="auto"/>
        </w:rPr>
        <w:t>.</w:t>
      </w:r>
    </w:p>
    <w:p>
      <w:pPr>
        <w:spacing w:after="0" w:line="171"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 xml:space="preserve">Make any Disposition unless (a) at least 75% of the consideration paid in connection therewith shall be cash or Cash Equivalents paid contemporaneous with consummation of such Disposition, (b) the consideration paid in connection therewith shall be in an amount not less than the fair market value of the property disposed of, (c) if such Disposition is a Sale and Leaseback Transaction, such Disposition is not prohibited by the terms of </w:t>
      </w:r>
      <w:r>
        <w:rPr>
          <w:rFonts w:ascii="Arial" w:cs="Arial" w:eastAsia="Arial" w:hAnsi="Arial"/>
          <w:sz w:val="15"/>
          <w:szCs w:val="15"/>
          <w:u w:val="single" w:color="auto"/>
          <w:color w:val="auto"/>
        </w:rPr>
        <w:t>Section 8.14</w:t>
      </w:r>
      <w:r>
        <w:rPr>
          <w:rFonts w:ascii="Arial" w:cs="Arial" w:eastAsia="Arial" w:hAnsi="Arial"/>
          <w:sz w:val="15"/>
          <w:szCs w:val="15"/>
          <w:color w:val="auto"/>
        </w:rPr>
        <w:t xml:space="preserve">, (d) such Disposition does not involve the Disposition of a minority equity interest in any Subsidiary, (e) such Disposition does not involve a Disposition of receivables other than receivables owned by or attributable to other property concurrently being Disposed of in a Disposition otherwise permitted under this </w:t>
      </w:r>
      <w:r>
        <w:rPr>
          <w:rFonts w:ascii="Arial" w:cs="Arial" w:eastAsia="Arial" w:hAnsi="Arial"/>
          <w:sz w:val="15"/>
          <w:szCs w:val="15"/>
          <w:u w:val="single" w:color="auto"/>
          <w:color w:val="auto"/>
        </w:rPr>
        <w:t>Section 8.05</w:t>
      </w:r>
      <w:r>
        <w:rPr>
          <w:rFonts w:ascii="Arial" w:cs="Arial" w:eastAsia="Arial" w:hAnsi="Arial"/>
          <w:sz w:val="15"/>
          <w:szCs w:val="15"/>
          <w:color w:val="auto"/>
        </w:rPr>
        <w:t xml:space="preserve"> and</w:t>
      </w:r>
    </w:p>
    <w:p>
      <w:pPr>
        <w:spacing w:after="0" w:line="2" w:lineRule="exact"/>
        <w:rPr>
          <w:sz w:val="20"/>
          <w:szCs w:val="20"/>
          <w:color w:val="auto"/>
        </w:rPr>
      </w:pPr>
    </w:p>
    <w:p>
      <w:pPr>
        <w:ind w:firstLine="8"/>
        <w:spacing w:after="0" w:line="261" w:lineRule="auto"/>
        <w:tabs>
          <w:tab w:leader="none" w:pos="21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aggregate net book value of all of the property (other than Excluded Fixed Assets) Disposed of by the Borrower and its Subsidiaries in any fiscal year shall not exceed (calculated at the date such Disposition is consummated) the Threshold Amount.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280" w:right="27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8.06 </w:t>
      </w:r>
      <w:r>
        <w:rPr>
          <w:rFonts w:ascii="Arial" w:cs="Arial" w:eastAsia="Arial" w:hAnsi="Arial"/>
          <w:sz w:val="18"/>
          <w:szCs w:val="18"/>
          <w:u w:val="single" w:color="auto"/>
          <w:color w:val="auto"/>
        </w:rPr>
        <w:t>Restricted Payments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Declare or make, directly or indirectly, any Restricted Payment, or incur any obligation (contingent or otherwise) to do so, except that so long as no Default has occurred and is continuing:</w:t>
      </w:r>
    </w:p>
    <w:p>
      <w:pPr>
        <w:spacing w:after="0" w:line="51" w:lineRule="exact"/>
        <w:rPr>
          <w:sz w:val="20"/>
          <w:szCs w:val="20"/>
          <w:color w:val="auto"/>
        </w:rPr>
      </w:pPr>
    </w:p>
    <w:p>
      <w:pPr>
        <w:ind w:left="460" w:right="280" w:firstLine="443"/>
        <w:spacing w:after="0" w:line="268" w:lineRule="auto"/>
        <w:tabs>
          <w:tab w:leader="none" w:pos="113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each Subsidiary may declare and make Restricted Payments to Persons that own Equity Interests in such Subsidiary, ratably according to their respective holdings of the type of Equity Interest in respect of which such Restricted Payment is being made;</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Borrower and each Subsidiary may declare and make dividend payments or other distributions payable solely in common Equity Interests of such Person; and</w:t>
      </w:r>
    </w:p>
    <w:p>
      <w:pPr>
        <w:spacing w:after="0" w:line="50" w:lineRule="exact"/>
        <w:rPr>
          <w:rFonts w:ascii="Arial" w:cs="Arial" w:eastAsia="Arial" w:hAnsi="Arial"/>
          <w:sz w:val="18"/>
          <w:szCs w:val="18"/>
          <w:color w:val="auto"/>
        </w:rPr>
      </w:pPr>
    </w:p>
    <w:p>
      <w:pPr>
        <w:ind w:left="460" w:right="80" w:firstLine="443"/>
        <w:spacing w:after="0" w:line="291" w:lineRule="auto"/>
        <w:tabs>
          <w:tab w:leader="none" w:pos="113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the Borrower may make other Restricted Payments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Default then exists, (ii) the Loan Parties would be in compliance with the financial covenants set forth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recomputed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after giving effect to such repurchase on a Pro Forma Basis, (iii) the Consolidated Leverage Ratio set forth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recomputed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after giving effect to such repurchase on a Pro Forma Basis would not be greater than 1.75:1.0 and (iv) immediately after giving effect to such repurchase, Liquidity shall be at least $75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8.07 </w:t>
      </w: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Engage in any material line of business substantially different from those lines of business conducted by the Borrower and its Subsidiaries on the Closing Date or any business reasonably related or incidental thereto.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Enter into or permit to exist any transaction or series of transactions with any Affiliate of such Person other than (a) transactions among the Loan Parties,</w:t>
      </w:r>
    </w:p>
    <w:p>
      <w:pPr>
        <w:spacing w:after="0" w:line="38" w:lineRule="exact"/>
        <w:rPr>
          <w:sz w:val="20"/>
          <w:szCs w:val="20"/>
          <w:color w:val="auto"/>
        </w:rPr>
      </w:pPr>
    </w:p>
    <w:p>
      <w:pPr>
        <w:ind w:right="80" w:firstLine="8"/>
        <w:spacing w:after="0" w:line="288" w:lineRule="auto"/>
        <w:tabs>
          <w:tab w:leader="none" w:pos="249" w:val="left"/>
        </w:tabs>
        <w:numPr>
          <w:ilvl w:val="0"/>
          <w:numId w:val="179"/>
        </w:numPr>
        <w:rPr>
          <w:rFonts w:ascii="Arial" w:cs="Arial" w:eastAsia="Arial" w:hAnsi="Arial"/>
          <w:sz w:val="16"/>
          <w:szCs w:val="16"/>
          <w:color w:val="auto"/>
        </w:rPr>
      </w:pPr>
      <w:r>
        <w:rPr>
          <w:rFonts w:ascii="Arial" w:cs="Arial" w:eastAsia="Arial" w:hAnsi="Arial"/>
          <w:sz w:val="16"/>
          <w:szCs w:val="16"/>
          <w:color w:val="auto"/>
        </w:rPr>
        <w:t xml:space="preserve">intercompany transactions expressly permitted by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(c) normal and reasonable compensation and reimbursement of expenses of officers and directors, (d) employment and severance arrangements among the Borrower, its Subsidiaries and their respective officers and employees in the ordinary course of business, (e) transactions permitted under the Borrower’s Related Party Transaction Policy as in effect on the date hereof and attached hereto as </w:t>
      </w:r>
      <w:r>
        <w:rPr>
          <w:rFonts w:ascii="Arial" w:cs="Arial" w:eastAsia="Arial" w:hAnsi="Arial"/>
          <w:sz w:val="16"/>
          <w:szCs w:val="16"/>
          <w:u w:val="single" w:color="auto"/>
          <w:color w:val="auto"/>
        </w:rPr>
        <w:t>Schedule 8.08</w:t>
      </w:r>
      <w:r>
        <w:rPr>
          <w:rFonts w:ascii="Arial" w:cs="Arial" w:eastAsia="Arial" w:hAnsi="Arial"/>
          <w:sz w:val="16"/>
          <w:szCs w:val="16"/>
          <w:color w:val="auto"/>
        </w:rPr>
        <w:t>, (f) the payment of customary fees and reasonable out of pocket costs to, and indemnities provided on behalf of, directors, officers and employees of the Borrower and its Subsidiaries in the ordinary course of business and (g) except as otherwise specifically limited in this Agreement, other transactions which are on terms and conditions substantially as favorable to such Person as would be obtainable by it in a comparable arms-length transaction with a Person other than an Affiliate.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80" w:right="2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8.09 </w:t>
      </w:r>
      <w:r>
        <w:rPr>
          <w:rFonts w:ascii="Arial" w:cs="Arial" w:eastAsia="Arial" w:hAnsi="Arial"/>
          <w:sz w:val="18"/>
          <w:szCs w:val="18"/>
          <w:u w:val="single" w:color="auto"/>
          <w:color w:val="auto"/>
        </w:rPr>
        <w:t>Burdensome Agreements</w:t>
      </w:r>
      <w:r>
        <w:rPr>
          <w:rFonts w:ascii="Arial" w:cs="Arial" w:eastAsia="Arial" w:hAnsi="Arial"/>
          <w:sz w:val="18"/>
          <w:szCs w:val="18"/>
          <w:color w:val="auto"/>
        </w:rPr>
        <w:t>.</w:t>
      </w:r>
    </w:p>
    <w:p>
      <w:pPr>
        <w:spacing w:after="0" w:line="171" w:lineRule="exact"/>
        <w:rPr>
          <w:sz w:val="20"/>
          <w:szCs w:val="20"/>
          <w:color w:val="auto"/>
        </w:rPr>
      </w:pPr>
    </w:p>
    <w:p>
      <w:pPr>
        <w:ind w:right="140" w:firstLine="456"/>
        <w:spacing w:after="0" w:line="303" w:lineRule="auto"/>
        <w:rPr>
          <w:sz w:val="20"/>
          <w:szCs w:val="20"/>
          <w:color w:val="auto"/>
        </w:rPr>
      </w:pPr>
      <w:r>
        <w:rPr>
          <w:rFonts w:ascii="Arial" w:cs="Arial" w:eastAsia="Arial" w:hAnsi="Arial"/>
          <w:sz w:val="15"/>
          <w:szCs w:val="15"/>
          <w:color w:val="auto"/>
        </w:rPr>
        <w:t>Enter into, or permit to exist, any Contractual Obligation that (a) encumbers or restricts the ability of any such Person to (i) make Restricted Payments to any Loan Party, (ii) pay any Indebtedness or other obligation owed to any Loan Party, (iii) make loans or advances to any Loan Party, (iv) transfer any of its property to any Loan Party, (v) pledge its property pursuant to the Loan Documents or any renewals, refinancings, exchanges, refundings or extension thereof or</w:t>
      </w:r>
    </w:p>
    <w:p>
      <w:pPr>
        <w:spacing w:after="0" w:line="1" w:lineRule="exact"/>
        <w:rPr>
          <w:sz w:val="20"/>
          <w:szCs w:val="20"/>
          <w:color w:val="auto"/>
        </w:rPr>
      </w:pPr>
    </w:p>
    <w:p>
      <w:pPr>
        <w:ind w:right="20" w:firstLine="8"/>
        <w:spacing w:after="0" w:line="285" w:lineRule="auto"/>
        <w:tabs>
          <w:tab w:leader="none" w:pos="297" w:val="left"/>
        </w:tabs>
        <w:numPr>
          <w:ilvl w:val="0"/>
          <w:numId w:val="180"/>
        </w:numPr>
        <w:rPr>
          <w:rFonts w:ascii="Arial" w:cs="Arial" w:eastAsia="Arial" w:hAnsi="Arial"/>
          <w:sz w:val="16"/>
          <w:szCs w:val="16"/>
          <w:color w:val="auto"/>
        </w:rPr>
      </w:pPr>
      <w:r>
        <w:rPr>
          <w:rFonts w:ascii="Arial" w:cs="Arial" w:eastAsia="Arial" w:hAnsi="Arial"/>
          <w:sz w:val="16"/>
          <w:szCs w:val="16"/>
          <w:color w:val="auto"/>
        </w:rPr>
        <w:t xml:space="preserve">act as a Loan Party pursuant to the Loan Documents or any renewals, refinancings, exchanges, refundings or extension thereof, except (in respect of any of the matters referred to in clauses (i)-(v) above) for (1) this Agreement and the other Loan Documents, (2) any document or instrument governing Indebtedness incurred pursuant to </w:t>
      </w:r>
      <w:r>
        <w:rPr>
          <w:rFonts w:ascii="Arial" w:cs="Arial" w:eastAsia="Arial" w:hAnsi="Arial"/>
          <w:sz w:val="16"/>
          <w:szCs w:val="16"/>
          <w:u w:val="single" w:color="auto"/>
          <w:color w:val="auto"/>
        </w:rPr>
        <w:t>Section 8.03(e)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8.03(f)</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purchased, renovated or improved in connection therewith, (3) any Permitted Lien or any document or instrument governing any Permitted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subject to such Permitted Lien, (4) any NMTC Documents provided that any such restriction therein relates only to the related NMTC Property, (4) customary restrictions and conditions contained in any agreement relating to the sale of any property permitted under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pending the consummation of such sale, (5) customary provisions in joint venture agreements and other similar agreements applicable to joint ventures permitted under Section 8.02 and applicable solely to such joint venture entered into in the ordinary course of business, (6) customary restrictions on leases, subleases, licenses or asset sale agreements otherwise permitted hereby so long as such restrictions relate to the assets subject thereto, (7) customary provisions restricting subletting or assignment of any lease governing a leasehold interest of the Borrower or any Subsidiary, (8) customary provisions restricting assignment of any agreement entered into in the ordinary course of business, (9) are restrictions on cash or other deposits imposed by customers under contracts entered into in the ordinary course of business and (10) are required by any applicable Law, including any rule or regulation of the DOE, any Accrediting Body or any state regulatory authority.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Use of Proceeds</w:t>
      </w:r>
      <w:r>
        <w:rPr>
          <w:rFonts w:ascii="Arial" w:cs="Arial" w:eastAsia="Arial" w:hAnsi="Arial"/>
          <w:sz w:val="18"/>
          <w:szCs w:val="18"/>
          <w:color w:val="auto"/>
        </w:rPr>
        <w:t>.</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171" w:lineRule="exact"/>
        <w:rPr>
          <w:sz w:val="20"/>
          <w:szCs w:val="20"/>
          <w:color w:val="auto"/>
        </w:rPr>
      </w:pPr>
    </w:p>
    <w:p>
      <w:pPr>
        <w:ind w:right="200" w:firstLine="464"/>
        <w:spacing w:after="0" w:line="268" w:lineRule="auto"/>
        <w:tabs>
          <w:tab w:leader="none" w:pos="695"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Permit the Consolidated Leverage Ratio as of the end of any fiscal quarter of the Borrower, commencing December 31, 2012, to be greater than 2.00:1.0.</w:t>
      </w:r>
    </w:p>
    <w:p>
      <w:pPr>
        <w:spacing w:after="0" w:line="131"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Permit the Consolidated Fixed Charge Coverage Ratio as of the end of any fiscal quarter of the Borrower, commencing December 31, 2012, to be less than 1.50:1.0.</w:t>
      </w:r>
    </w:p>
    <w:p>
      <w:pPr>
        <w:spacing w:after="0" w:line="131" w:lineRule="exact"/>
        <w:rPr>
          <w:rFonts w:ascii="Arial" w:cs="Arial" w:eastAsia="Arial" w:hAnsi="Arial"/>
          <w:sz w:val="18"/>
          <w:szCs w:val="18"/>
          <w:color w:val="auto"/>
        </w:rPr>
      </w:pPr>
    </w:p>
    <w:p>
      <w:pPr>
        <w:ind w:firstLine="464"/>
        <w:spacing w:after="0" w:line="294" w:lineRule="auto"/>
        <w:tabs>
          <w:tab w:leader="none" w:pos="695"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Consolidated Tangible Net Worth</w:t>
      </w:r>
      <w:r>
        <w:rPr>
          <w:rFonts w:ascii="Arial" w:cs="Arial" w:eastAsia="Arial" w:hAnsi="Arial"/>
          <w:sz w:val="16"/>
          <w:szCs w:val="16"/>
          <w:color w:val="auto"/>
        </w:rPr>
        <w:t>. Permit Consolidated Tangible Net Worth as of the end of any fiscal quarter of the Borrower, commencing December 31, 2012, to be less than the sum of (i) $156,600,000, (ii) an amount equal to 50% of the Consolidated Net Income earned each full fiscal quarter ending after June 30, 2012 (with no deduction for net loss in any such fiscal quarter) and (iii) an amount equal to 100% of the aggregate increases in stockholders’ equity of the Borrower and its Subsidiaries after the date hereof by reason of the issuance and sale of Equity Interests of the Borrower or any Subsidiary (other than issuances to the Borrower or a Wholly Owned Subsidiary), including upon any conversion of debt securities of the Borrower into such Equity Interests.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80" w:right="2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8.12 </w:t>
      </w:r>
      <w:r>
        <w:rPr>
          <w:rFonts w:ascii="Arial" w:cs="Arial" w:eastAsia="Arial" w:hAnsi="Arial"/>
          <w:sz w:val="18"/>
          <w:szCs w:val="18"/>
          <w:u w:val="single" w:color="auto"/>
          <w:color w:val="auto"/>
        </w:rPr>
        <w:t>Organization Documents; Fiscal Year; Legal Name, State of Formation and Form of Entity</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Amend, modify or change its Organization Documents in a manner adverse to the Lenders.</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Change its fiscal year.</w:t>
      </w:r>
    </w:p>
    <w:p>
      <w:pPr>
        <w:spacing w:after="0" w:line="171" w:lineRule="exact"/>
        <w:rPr>
          <w:rFonts w:ascii="Arial" w:cs="Arial" w:eastAsia="Arial" w:hAnsi="Arial"/>
          <w:sz w:val="18"/>
          <w:szCs w:val="18"/>
          <w:color w:val="auto"/>
        </w:rPr>
      </w:pPr>
    </w:p>
    <w:p>
      <w:pPr>
        <w:ind w:firstLine="464"/>
        <w:spacing w:after="0" w:line="268" w:lineRule="auto"/>
        <w:tabs>
          <w:tab w:leader="none" w:pos="69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Without providing ten (10) days prior written notice to the Administrative Agent (or such lesser period as the Administrative Agent may agree), change its name, state of formation or form of organization.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Ownership of Subsidiaries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Notwithstanding any other provisions of this Agreement to the contrary, (a) permit any Person (other than the Borrower or any Wholly Owned Subsidiary) to own any Equity Interests of any Subsidiary, except to qualify directors where required by applicable Law or to satisfy other requirements of applicable Law with respect to the ownership of Equity Interests of Foreign Subsidiaries, or (b) permit any Subsidiary to issue or have outstanding any shares of preferred Equity Interests.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Sale Leasebacks</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Enter into any Sale and Leaseback Transaction other than Sale and Leaseback Transactions with respect to Excluded Real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u w:val="single" w:color="auto"/>
          <w:color w:val="auto"/>
        </w:rPr>
        <w:t>Sanctions</w:t>
      </w:r>
      <w:r>
        <w:rPr>
          <w:rFonts w:ascii="Arial" w:cs="Arial" w:eastAsia="Arial" w:hAnsi="Arial"/>
          <w:sz w:val="18"/>
          <w:szCs w:val="18"/>
          <w:color w:val="auto"/>
        </w:rPr>
        <w:t>.</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Permit any Loan or the proceeds of any Loan, directly or indirectly, (a) to be lent, contributed or otherwise made available to fund any activity or business in any Designated Jurisdiction; (b) to fund any activity or business of any Person located, organized or residing in any Designated Jurisdiction or who is the subject of any Sanctions; or (c) in any other manner that will result in any violation by any Person (including any Lender, Arranger, Administrative Agent, L/C Issuer or Swing Line Lender) of any Sanctions.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Educational Covenants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DOE Ratio</w:t>
      </w:r>
      <w:r>
        <w:rPr>
          <w:rFonts w:ascii="Arial" w:cs="Arial" w:eastAsia="Arial" w:hAnsi="Arial"/>
          <w:sz w:val="18"/>
          <w:szCs w:val="18"/>
          <w:color w:val="auto"/>
        </w:rPr>
        <w:t>. Permit the DOE Ratio to be less than 1.50 as of the end of any fiscal year of the Borrower.</w:t>
      </w:r>
    </w:p>
    <w:p>
      <w:pPr>
        <w:spacing w:after="0" w:line="171" w:lineRule="exact"/>
        <w:rPr>
          <w:rFonts w:ascii="Arial" w:cs="Arial" w:eastAsia="Arial" w:hAnsi="Arial"/>
          <w:sz w:val="18"/>
          <w:szCs w:val="18"/>
          <w:color w:val="auto"/>
        </w:rPr>
      </w:pPr>
    </w:p>
    <w:p>
      <w:pPr>
        <w:jc w:val="both"/>
        <w:ind w:right="40" w:firstLine="464"/>
        <w:spacing w:after="0" w:line="255" w:lineRule="auto"/>
        <w:tabs>
          <w:tab w:leader="none" w:pos="705"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Cohort Default Rate</w:t>
      </w:r>
      <w:r>
        <w:rPr>
          <w:rFonts w:ascii="Arial" w:cs="Arial" w:eastAsia="Arial" w:hAnsi="Arial"/>
          <w:sz w:val="18"/>
          <w:szCs w:val="18"/>
          <w:color w:val="auto"/>
        </w:rPr>
        <w:t>. Permit the Cohort Default Rate for any School (i) with respect to any period prior to the release of official cohort default rates in approximately September 2014, to be equal to or greater than twenty-five percent (25%) for three consecutive federal fiscal years, (ii) with respect to the official three-year cohort default rates for federal fiscal year 2009, federal fiscal year 2010 and federal fiscal year 2011 and any three-year cohort default rates published thereafter, to be equal to or greater than thirty percent (30%) for three consecutive federal fiscal years or (iii) to exceed forty percent (40%) for any single federal fiscal year.</w:t>
      </w:r>
    </w:p>
    <w:p>
      <w:pPr>
        <w:spacing w:after="0" w:line="142" w:lineRule="exact"/>
        <w:rPr>
          <w:rFonts w:ascii="Arial" w:cs="Arial" w:eastAsia="Arial" w:hAnsi="Arial"/>
          <w:sz w:val="18"/>
          <w:szCs w:val="18"/>
          <w:color w:val="auto"/>
        </w:rPr>
      </w:pPr>
    </w:p>
    <w:p>
      <w:pPr>
        <w:ind w:left="700" w:hanging="236"/>
        <w:spacing w:after="0"/>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90/10 Rule</w:t>
      </w:r>
      <w:r>
        <w:rPr>
          <w:rFonts w:ascii="Arial" w:cs="Arial" w:eastAsia="Arial" w:hAnsi="Arial"/>
          <w:sz w:val="18"/>
          <w:szCs w:val="18"/>
          <w:color w:val="auto"/>
        </w:rPr>
        <w:t>. Permit any School to fail to be in compliance with the 90/10 Rule for two consecutive fiscal years.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280" w:right="299" w:bottom="1440" w:gutter="0" w:footer="0" w:header="0"/>
        </w:sectPr>
      </w:pPr>
    </w:p>
    <w:bookmarkStart w:id="197" w:name="page198"/>
    <w:bookmarkEnd w:id="197"/>
    <w:p>
      <w:pPr>
        <w:ind w:right="220" w:firstLine="464"/>
        <w:spacing w:after="0" w:line="259" w:lineRule="auto"/>
        <w:tabs>
          <w:tab w:leader="none" w:pos="705"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Long Term Student Receivables</w:t>
      </w:r>
      <w:r>
        <w:rPr>
          <w:rFonts w:ascii="Arial" w:cs="Arial" w:eastAsia="Arial" w:hAnsi="Arial"/>
          <w:sz w:val="18"/>
          <w:szCs w:val="18"/>
          <w:color w:val="auto"/>
        </w:rPr>
        <w:t>. Permit the aggregate outstanding principal amount of loans by the Borrower and its Subsidiaries to students and former students as of the end of any fiscal quarter of the Borrower to be less than an amount equal to 10% of Consolidated Tangible Net Worth as of the end of such fiscal quarter</w:t>
      </w:r>
    </w:p>
    <w:p>
      <w:pPr>
        <w:spacing w:after="0" w:line="140" w:lineRule="exact"/>
        <w:rPr>
          <w:rFonts w:ascii="Arial" w:cs="Arial" w:eastAsia="Arial" w:hAnsi="Arial"/>
          <w:sz w:val="18"/>
          <w:szCs w:val="18"/>
          <w:color w:val="auto"/>
        </w:rPr>
      </w:pPr>
    </w:p>
    <w:p>
      <w:pPr>
        <w:ind w:right="60" w:firstLine="464"/>
        <w:spacing w:after="0" w:line="255" w:lineRule="auto"/>
        <w:tabs>
          <w:tab w:leader="none" w:pos="695"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Gainful Employment Rule</w:t>
      </w:r>
      <w:r>
        <w:rPr>
          <w:rFonts w:ascii="Arial" w:cs="Arial" w:eastAsia="Arial" w:hAnsi="Arial"/>
          <w:sz w:val="18"/>
          <w:szCs w:val="18"/>
          <w:color w:val="auto"/>
        </w:rPr>
        <w:t xml:space="preserve">. Permit any School to fail to be in compliance with the “Gainful Employment” requirements under 34 C.F.R. Section 668.6 and 668.7 (as applicable) if such non-compliance would result in any substantial limitation on, or loss or suspension of, eligibility to participate in the William D. Ford Federal Direct Loan (Direct Loan) Program, the Federal Pell Grant Program or one or more other Title IV Programs that contributed in the aggregate more than 5% of the total revenues from Title IV Programs received by the Borrower and its Subsidiaries for the fiscal year most recently ended for which the Borrower has delivered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8.17 </w:t>
      </w:r>
      <w:r>
        <w:rPr>
          <w:rFonts w:ascii="Arial" w:cs="Arial" w:eastAsia="Arial" w:hAnsi="Arial"/>
          <w:sz w:val="18"/>
          <w:szCs w:val="18"/>
          <w:u w:val="single" w:color="auto"/>
          <w:color w:val="auto"/>
        </w:rPr>
        <w:t>NMTC Subsidiaries; NMTC Indebtedness</w:t>
      </w:r>
      <w:r>
        <w:rPr>
          <w:rFonts w:ascii="Arial" w:cs="Arial" w:eastAsia="Arial" w:hAnsi="Arial"/>
          <w:sz w:val="18"/>
          <w:szCs w:val="18"/>
          <w:color w:val="auto"/>
        </w:rPr>
        <w:t>.</w:t>
      </w:r>
    </w:p>
    <w:p>
      <w:pPr>
        <w:spacing w:after="0" w:line="171" w:lineRule="exact"/>
        <w:rPr>
          <w:sz w:val="20"/>
          <w:szCs w:val="20"/>
          <w:color w:val="auto"/>
        </w:rPr>
      </w:pPr>
    </w:p>
    <w:p>
      <w:pPr>
        <w:ind w:left="700" w:hanging="236"/>
        <w:spacing w:after="0"/>
        <w:tabs>
          <w:tab w:leader="none" w:pos="7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Notwithstanding any provision in this Agreement or any other Loan Document to the contrary:</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make any Investment in an NMTC Subsidiary other than an NMTC Intercompany Investment;</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make any disposition of any property to an NMTC Subsidiary; and</w:t>
      </w:r>
    </w:p>
    <w:p>
      <w:pPr>
        <w:spacing w:after="0" w:line="90" w:lineRule="exact"/>
        <w:rPr>
          <w:rFonts w:ascii="Arial" w:cs="Arial" w:eastAsia="Arial" w:hAnsi="Arial"/>
          <w:sz w:val="18"/>
          <w:szCs w:val="18"/>
          <w:color w:val="auto"/>
        </w:rPr>
      </w:pPr>
    </w:p>
    <w:p>
      <w:pPr>
        <w:ind w:left="460" w:right="520" w:firstLine="443"/>
        <w:spacing w:after="0" w:line="259" w:lineRule="auto"/>
        <w:tabs>
          <w:tab w:leader="none" w:pos="1205" w:val="left"/>
        </w:tabs>
        <w:numPr>
          <w:ilvl w:val="1"/>
          <w:numId w:val="185"/>
        </w:numPr>
        <w:rPr>
          <w:rFonts w:ascii="Arial" w:cs="Arial" w:eastAsia="Arial" w:hAnsi="Arial"/>
          <w:sz w:val="18"/>
          <w:szCs w:val="18"/>
          <w:color w:val="auto"/>
        </w:rPr>
      </w:pPr>
      <w:r>
        <w:rPr>
          <w:rFonts w:ascii="Arial" w:cs="Arial" w:eastAsia="Arial" w:hAnsi="Arial"/>
          <w:sz w:val="18"/>
          <w:szCs w:val="18"/>
          <w:color w:val="auto"/>
        </w:rPr>
        <w:t>permit an NMTC Subsidiary to (A) incur any Indebtedness, (B) own any property other than cash, Cash Equivalents and the NMTC Intercompany Loan made by such NMTC Subsidiary or (C) engage in any business other than making the NMTC Intercompany Loan made by such NMTC Subsidiary.</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With respect to any NMTC Indebtedness:</w:t>
      </w:r>
    </w:p>
    <w:p>
      <w:pPr>
        <w:spacing w:after="0" w:line="90" w:lineRule="exact"/>
        <w:rPr>
          <w:rFonts w:ascii="Arial" w:cs="Arial" w:eastAsia="Arial" w:hAnsi="Arial"/>
          <w:sz w:val="18"/>
          <w:szCs w:val="18"/>
          <w:color w:val="auto"/>
        </w:rPr>
      </w:pPr>
    </w:p>
    <w:p>
      <w:pPr>
        <w:ind w:left="460" w:right="140" w:firstLine="443"/>
        <w:spacing w:after="0" w:line="268" w:lineRule="auto"/>
        <w:tabs>
          <w:tab w:leader="none" w:pos="1108"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amend, modify, terminate or waive any of the terms of such NMTC Indebtedness if such amendment, modification or waiver would add, change or terminate any terms in a manner materially adverse to the Borrower or any Subsidiary;</w:t>
      </w:r>
    </w:p>
    <w:p>
      <w:pPr>
        <w:spacing w:after="0" w:line="50" w:lineRule="exact"/>
        <w:rPr>
          <w:rFonts w:ascii="Arial" w:cs="Arial" w:eastAsia="Arial" w:hAnsi="Arial"/>
          <w:sz w:val="18"/>
          <w:szCs w:val="18"/>
          <w:color w:val="auto"/>
        </w:rPr>
      </w:pPr>
    </w:p>
    <w:p>
      <w:pPr>
        <w:ind w:left="460" w:firstLine="443"/>
        <w:spacing w:after="0" w:line="259" w:lineRule="auto"/>
        <w:tabs>
          <w:tab w:leader="none" w:pos="1157" w:val="left"/>
        </w:tabs>
        <w:numPr>
          <w:ilvl w:val="1"/>
          <w:numId w:val="185"/>
        </w:numPr>
        <w:rPr>
          <w:rFonts w:ascii="Arial" w:cs="Arial" w:eastAsia="Arial" w:hAnsi="Arial"/>
          <w:sz w:val="18"/>
          <w:szCs w:val="18"/>
          <w:color w:val="auto"/>
        </w:rPr>
      </w:pPr>
      <w:r>
        <w:rPr>
          <w:rFonts w:ascii="Arial" w:cs="Arial" w:eastAsia="Arial" w:hAnsi="Arial"/>
          <w:sz w:val="18"/>
          <w:szCs w:val="18"/>
          <w:color w:val="auto"/>
        </w:rPr>
        <w:t>make (or give any notice with respect thereto) any voluntary or optional payment or prepayment or redemption or acquisition for value (including without limitation, by way of depositing money or securities with the trustee with respect thereto before due for the purpose of paying when due), refund, refinance or exchange of such NMTC Indebtedness; and</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make any payment of principal or interest on any NMTC Indebtedness in violation of the subordination provisions of such NMTC Indebtedness.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280" w:right="25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EVENTS OF DEFAULT AND REMEDIES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 following shall constitute an Event of Default:</w:t>
      </w:r>
    </w:p>
    <w:p>
      <w:pPr>
        <w:spacing w:after="0" w:line="90" w:lineRule="exact"/>
        <w:rPr>
          <w:sz w:val="20"/>
          <w:szCs w:val="20"/>
          <w:color w:val="auto"/>
        </w:rPr>
      </w:pPr>
    </w:p>
    <w:p>
      <w:pPr>
        <w:ind w:left="460" w:right="760" w:firstLine="443"/>
        <w:spacing w:after="0" w:line="305" w:lineRule="auto"/>
        <w:tabs>
          <w:tab w:leader="none" w:pos="1137" w:val="left"/>
        </w:tabs>
        <w:numPr>
          <w:ilvl w:val="1"/>
          <w:numId w:val="186"/>
        </w:numPr>
        <w:rPr>
          <w:rFonts w:ascii="Arial" w:cs="Arial" w:eastAsia="Arial" w:hAnsi="Arial"/>
          <w:sz w:val="15"/>
          <w:szCs w:val="15"/>
          <w:color w:val="auto"/>
        </w:rPr>
      </w:pPr>
      <w:r>
        <w:rPr>
          <w:rFonts w:ascii="Arial" w:cs="Arial" w:eastAsia="Arial" w:hAnsi="Arial"/>
          <w:sz w:val="15"/>
          <w:szCs w:val="15"/>
          <w:u w:val="single" w:color="auto"/>
          <w:color w:val="auto"/>
        </w:rPr>
        <w:t>Non-Payment</w:t>
      </w:r>
      <w:r>
        <w:rPr>
          <w:rFonts w:ascii="Arial" w:cs="Arial" w:eastAsia="Arial" w:hAnsi="Arial"/>
          <w:sz w:val="15"/>
          <w:szCs w:val="15"/>
          <w:color w:val="auto"/>
        </w:rPr>
        <w:t>. Any Loan Party fails to pay (i) when and as required to be paid herein, any amount of principal of any Loan or any L/C Obligation, or (ii) within three days after the same becomes due, any interest on any Loan or on any L/C Obligation, or any fee due hereunder, or</w:t>
      </w:r>
    </w:p>
    <w:p>
      <w:pPr>
        <w:ind w:left="780" w:hanging="316"/>
        <w:spacing w:after="0"/>
        <w:tabs>
          <w:tab w:leader="none" w:pos="7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within five days after the same becomes due, any other amount payable hereunder or under any other Loan Document; or</w:t>
      </w:r>
    </w:p>
    <w:p>
      <w:pPr>
        <w:spacing w:after="0" w:line="83" w:lineRule="exact"/>
        <w:rPr>
          <w:rFonts w:ascii="Arial" w:cs="Arial" w:eastAsia="Arial" w:hAnsi="Arial"/>
          <w:sz w:val="18"/>
          <w:szCs w:val="18"/>
          <w:color w:val="auto"/>
        </w:rPr>
      </w:pPr>
    </w:p>
    <w:p>
      <w:pPr>
        <w:ind w:left="1160" w:hanging="257"/>
        <w:spacing w:after="0"/>
        <w:tabs>
          <w:tab w:leader="none" w:pos="1160"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0" w:right="40" w:firstLine="421"/>
        <w:spacing w:after="0" w:line="268" w:lineRule="auto"/>
        <w:tabs>
          <w:tab w:leader="none" w:pos="1549" w:val="left"/>
        </w:tabs>
        <w:numPr>
          <w:ilvl w:val="2"/>
          <w:numId w:val="187"/>
        </w:numPr>
        <w:rPr>
          <w:rFonts w:ascii="Arial" w:cs="Arial" w:eastAsia="Arial" w:hAnsi="Arial"/>
          <w:sz w:val="18"/>
          <w:szCs w:val="18"/>
          <w:color w:val="auto"/>
        </w:rPr>
      </w:pPr>
      <w:r>
        <w:rPr>
          <w:rFonts w:ascii="Arial" w:cs="Arial" w:eastAsia="Arial" w:hAnsi="Arial"/>
          <w:sz w:val="18"/>
          <w:szCs w:val="18"/>
          <w:color w:val="auto"/>
        </w:rPr>
        <w:t xml:space="preserve">Any Loan Party fails to perform or observe any term, covenant or agreement contained in any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7.10</w:t>
      </w:r>
      <w:r>
        <w:rPr>
          <w:rFonts w:ascii="Arial" w:cs="Arial" w:eastAsia="Arial" w:hAnsi="Arial"/>
          <w:sz w:val="18"/>
          <w:szCs w:val="18"/>
          <w:color w:val="auto"/>
        </w:rPr>
        <w:t xml:space="preserve"> and such failure continues for five days; or</w:t>
      </w:r>
    </w:p>
    <w:p>
      <w:pPr>
        <w:spacing w:after="0" w:line="50" w:lineRule="exact"/>
        <w:rPr>
          <w:rFonts w:ascii="Arial" w:cs="Arial" w:eastAsia="Arial" w:hAnsi="Arial"/>
          <w:sz w:val="18"/>
          <w:szCs w:val="18"/>
          <w:color w:val="auto"/>
        </w:rPr>
      </w:pPr>
    </w:p>
    <w:p>
      <w:pPr>
        <w:ind w:left="1600" w:hanging="259"/>
        <w:spacing w:after="0"/>
        <w:tabs>
          <w:tab w:leader="none" w:pos="1600" w:val="left"/>
        </w:tabs>
        <w:numPr>
          <w:ilvl w:val="2"/>
          <w:numId w:val="187"/>
        </w:numPr>
        <w:rPr>
          <w:rFonts w:ascii="Arial" w:cs="Arial" w:eastAsia="Arial" w:hAnsi="Arial"/>
          <w:sz w:val="16"/>
          <w:szCs w:val="16"/>
          <w:color w:val="auto"/>
        </w:rPr>
      </w:pPr>
      <w:r>
        <w:rPr>
          <w:rFonts w:ascii="Arial" w:cs="Arial" w:eastAsia="Arial" w:hAnsi="Arial"/>
          <w:sz w:val="16"/>
          <w:szCs w:val="16"/>
          <w:color w:val="auto"/>
        </w:rPr>
        <w:t xml:space="preserve">Any Loan Party fails to perform or observe any term, covenant or agreement contained in any of </w:t>
      </w:r>
      <w:r>
        <w:rPr>
          <w:rFonts w:ascii="Arial" w:cs="Arial" w:eastAsia="Arial" w:hAnsi="Arial"/>
          <w:sz w:val="16"/>
          <w:szCs w:val="16"/>
          <w:u w:val="single" w:color="auto"/>
          <w:color w:val="auto"/>
        </w:rPr>
        <w:t>Section 7.03(a)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7.05(a)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u w:val="single" w:color="auto"/>
          <w:color w:val="auto"/>
        </w:rPr>
        <w:t>VIII</w:t>
      </w:r>
      <w:r>
        <w:rPr>
          <w:rFonts w:ascii="Arial" w:cs="Arial" w:eastAsia="Arial" w:hAnsi="Arial"/>
          <w:sz w:val="18"/>
          <w:szCs w:val="18"/>
          <w:color w:val="auto"/>
        </w:rPr>
        <w:t>; or</w:t>
      </w:r>
    </w:p>
    <w:p>
      <w:pPr>
        <w:spacing w:after="0" w:line="83" w:lineRule="exact"/>
        <w:rPr>
          <w:rFonts w:ascii="Arial" w:cs="Arial" w:eastAsia="Arial" w:hAnsi="Arial"/>
          <w:sz w:val="16"/>
          <w:szCs w:val="16"/>
          <w:color w:val="auto"/>
        </w:rPr>
      </w:pPr>
    </w:p>
    <w:p>
      <w:pPr>
        <w:ind w:left="460" w:right="580" w:firstLine="443"/>
        <w:spacing w:after="0" w:line="332" w:lineRule="auto"/>
        <w:tabs>
          <w:tab w:leader="none" w:pos="1137"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Other Defaults</w:t>
      </w:r>
      <w:r>
        <w:rPr>
          <w:rFonts w:ascii="Arial" w:cs="Arial" w:eastAsia="Arial" w:hAnsi="Arial"/>
          <w:sz w:val="16"/>
          <w:szCs w:val="16"/>
          <w:color w:val="auto"/>
        </w:rPr>
        <w:t>. Any Loan Party fails to perform or observe any other covenant or agreement (not specified in subsection (a) or (b) above) contained in any Loan Document on its part to be performed or observed and such failure continues for thirty days; or</w:t>
      </w:r>
    </w:p>
    <w:p>
      <w:pPr>
        <w:spacing w:after="0" w:line="4" w:lineRule="exact"/>
        <w:rPr>
          <w:rFonts w:ascii="Arial" w:cs="Arial" w:eastAsia="Arial" w:hAnsi="Arial"/>
          <w:sz w:val="16"/>
          <w:szCs w:val="16"/>
          <w:color w:val="auto"/>
        </w:rPr>
      </w:pPr>
    </w:p>
    <w:p>
      <w:pPr>
        <w:ind w:left="460" w:right="120" w:firstLine="443"/>
        <w:spacing w:after="0" w:line="298" w:lineRule="auto"/>
        <w:tabs>
          <w:tab w:leader="none" w:pos="1147"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Any representation, warranty, certification or statement of fact made or deemed made by or on behalf of any Loan Party herein, in any other Loan Document, or in any document executed by a Responsible Officer and delivered in connection herewith or therewith shall be incorrect or misleading in any material respect (or if such representation, warranty, certification or statement of fact is qualified by materiality or reference to Material Adverse Effect such representation, warranty, certification or statement of fact is incorrect or misleading in any respect); or</w:t>
      </w:r>
    </w:p>
    <w:p>
      <w:pPr>
        <w:spacing w:after="0" w:line="31" w:lineRule="exact"/>
        <w:rPr>
          <w:rFonts w:ascii="Arial" w:cs="Arial" w:eastAsia="Arial" w:hAnsi="Arial"/>
          <w:sz w:val="16"/>
          <w:szCs w:val="16"/>
          <w:color w:val="auto"/>
        </w:rPr>
      </w:pPr>
    </w:p>
    <w:p>
      <w:pPr>
        <w:ind w:left="460" w:firstLine="443"/>
        <w:spacing w:after="0" w:line="286" w:lineRule="auto"/>
        <w:tabs>
          <w:tab w:leader="none" w:pos="1137" w:val="left"/>
        </w:tabs>
        <w:numPr>
          <w:ilvl w:val="1"/>
          <w:numId w:val="187"/>
        </w:numPr>
        <w:rPr>
          <w:rFonts w:ascii="Arial" w:cs="Arial" w:eastAsia="Arial" w:hAnsi="Arial"/>
          <w:sz w:val="16"/>
          <w:szCs w:val="16"/>
          <w:color w:val="auto"/>
        </w:rPr>
      </w:pPr>
      <w:r>
        <w:rPr>
          <w:rFonts w:ascii="Arial" w:cs="Arial" w:eastAsia="Arial" w:hAnsi="Arial"/>
          <w:sz w:val="16"/>
          <w:szCs w:val="16"/>
          <w:u w:val="single" w:color="auto"/>
          <w:color w:val="auto"/>
        </w:rPr>
        <w:t>Cross-Default</w:t>
      </w:r>
      <w:r>
        <w:rPr>
          <w:rFonts w:ascii="Arial" w:cs="Arial" w:eastAsia="Arial" w:hAnsi="Arial"/>
          <w:sz w:val="16"/>
          <w:szCs w:val="16"/>
          <w:color w:val="auto"/>
        </w:rPr>
        <w:t>. (i) The Borrower or any Subsidiary fails to make any payment when due (whether by scheduled maturity, required prepayment, acceleration, demand, or otherwise) in respect of any Material Indebtedness; (ii) the Borrower or any Subsidiary fails to observe or perform any other agreement or condition relating to any Material Indebtedness or contained in any instrument or agreement evidencing, securing or relating thereto, or any other event occurs, the effect of which default or other event is to cause, or to permit the holder or holders of such Material Indebtedness (or a trustee or agent on behalf of such holder or holders) to cause, with the giving of notice if required, such Material Indebtedness to be demanded or to become due or to be repurchased, prepaid, defeased or redeemed (automatically or otherwise), or an offer to repurchase, prepay, defease or redeem such Material Indebtedness to be made, prior to its stated maturity; or (iii) there occurs under any Swap Contract an Early Termination Date (as defined in such Swap Contract) resulting from (A) any event of default under such Swap Contract as to which the Borrower or any Subsidiary is the Defaulting Party (as defined in such Swap Contract) or (B) any Termination Event (as so defined) under such Swap Contract as to which the Borrower or any Subsidiary is an Affected Party (as so defined) and, in either event, the Swap Termination Value owed by the Borrower or such Subsidiary as a result thereof is greater than the Threshold Amount;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80" w:right="259" w:bottom="1440" w:gutter="0" w:footer="0" w:header="0"/>
        </w:sectPr>
      </w:pPr>
    </w:p>
    <w:bookmarkStart w:id="199" w:name="page200"/>
    <w:bookmarkEnd w:id="199"/>
    <w:p>
      <w:pPr>
        <w:ind w:right="120" w:firstLine="443"/>
        <w:spacing w:after="0" w:line="253" w:lineRule="auto"/>
        <w:tabs>
          <w:tab w:leader="none" w:pos="657"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Insolvency Proceedings, Etc.</w:t>
      </w:r>
      <w:r>
        <w:rPr>
          <w:rFonts w:ascii="Arial" w:cs="Arial" w:eastAsia="Arial" w:hAnsi="Arial"/>
          <w:sz w:val="18"/>
          <w:szCs w:val="18"/>
          <w:color w:val="auto"/>
        </w:rPr>
        <w:t xml:space="preserve"> The Borrower or any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calendar days; or any proceeding under any Debtor Relief Law relating to any such Person or to all or any material part of its property is instituted without the consent of such Person and continues undismissed or unstayed for sixty calendar days, or an order for relief is entered in any such proceeding; or</w:t>
      </w:r>
    </w:p>
    <w:p>
      <w:pPr>
        <w:spacing w:after="0" w:line="66" w:lineRule="exact"/>
        <w:rPr>
          <w:rFonts w:ascii="Arial" w:cs="Arial" w:eastAsia="Arial" w:hAnsi="Arial"/>
          <w:sz w:val="18"/>
          <w:szCs w:val="18"/>
          <w:color w:val="auto"/>
        </w:rPr>
      </w:pPr>
    </w:p>
    <w:p>
      <w:pPr>
        <w:ind w:right="100" w:firstLine="443"/>
        <w:spacing w:after="0" w:line="306" w:lineRule="auto"/>
        <w:tabs>
          <w:tab w:leader="none" w:pos="687"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Inability to Pay Debts; Attachment</w:t>
      </w:r>
      <w:r>
        <w:rPr>
          <w:rFonts w:ascii="Arial" w:cs="Arial" w:eastAsia="Arial" w:hAnsi="Arial"/>
          <w:sz w:val="16"/>
          <w:szCs w:val="16"/>
          <w:color w:val="auto"/>
        </w:rPr>
        <w:t>. (i) The Borrower or any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days after its issue or levy; or</w:t>
      </w:r>
    </w:p>
    <w:p>
      <w:pPr>
        <w:spacing w:after="0" w:line="25" w:lineRule="exact"/>
        <w:rPr>
          <w:rFonts w:ascii="Arial" w:cs="Arial" w:eastAsia="Arial" w:hAnsi="Arial"/>
          <w:sz w:val="16"/>
          <w:szCs w:val="16"/>
          <w:color w:val="auto"/>
        </w:rPr>
      </w:pPr>
    </w:p>
    <w:p>
      <w:pPr>
        <w:ind w:right="140" w:firstLine="443"/>
        <w:spacing w:after="0" w:line="291" w:lineRule="auto"/>
        <w:tabs>
          <w:tab w:leader="none" w:pos="687"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Judgments</w:t>
      </w:r>
      <w:r>
        <w:rPr>
          <w:rFonts w:ascii="Arial" w:cs="Arial" w:eastAsia="Arial" w:hAnsi="Arial"/>
          <w:sz w:val="16"/>
          <w:szCs w:val="16"/>
          <w:color w:val="auto"/>
        </w:rPr>
        <w:t>. There is entered against the Borrower or any Subsidiary (i) one or more final judgments or orders for the payment of money in an aggregate amount (as to all such judgments or orders) exceeding the Threshold Amount (to the extent not covered by independent third-party insurance as to which the insurer has been notified of the claim and does not dispute coverage), or (ii) any one or more non-monetary final judgments that have, or would reasonably be expected to have a Material Adverse Effect and, in either case, (A) enforcement proceedings are commenced by any creditor upon such judgment or order, or (B) there is a period of thirty consecutive days during which a stay of enforcement of such judgment, by reason of a pending appeal or such judgment being paid, satisfied, vacated or bonded, or otherwise, is not in effect; or</w:t>
      </w:r>
    </w:p>
    <w:p>
      <w:pPr>
        <w:spacing w:after="0" w:line="39" w:lineRule="exact"/>
        <w:rPr>
          <w:rFonts w:ascii="Arial" w:cs="Arial" w:eastAsia="Arial" w:hAnsi="Arial"/>
          <w:sz w:val="16"/>
          <w:szCs w:val="16"/>
          <w:color w:val="auto"/>
        </w:rPr>
      </w:pPr>
    </w:p>
    <w:p>
      <w:pPr>
        <w:ind w:right="140" w:firstLine="443"/>
        <w:spacing w:after="0" w:line="256" w:lineRule="auto"/>
        <w:tabs>
          <w:tab w:leader="none" w:pos="648"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Sanctions</w:t>
      </w:r>
      <w:r>
        <w:rPr>
          <w:rFonts w:ascii="Arial" w:cs="Arial" w:eastAsia="Arial" w:hAnsi="Arial"/>
          <w:sz w:val="18"/>
          <w:szCs w:val="18"/>
          <w:color w:val="auto"/>
        </w:rPr>
        <w:t>. The DOE imposes one or more monetary sanctions against the Borrower or any Subsidiary (including monetary fines or requirements to repay Title IV funds) in an aggregate amount (as to all such monetary sanctions) exceeding the Threshold Amount and there is a period of thirty consecutive days during which a stay of enforcement of such monetary sanction, by reason of a pending appeal or such monetary sanction being paid, satisfied, vacated or bonded, or otherwise, is not in effect; or</w:t>
      </w:r>
    </w:p>
    <w:p>
      <w:pPr>
        <w:spacing w:after="0" w:line="62" w:lineRule="exact"/>
        <w:rPr>
          <w:rFonts w:ascii="Arial" w:cs="Arial" w:eastAsia="Arial" w:hAnsi="Arial"/>
          <w:sz w:val="18"/>
          <w:szCs w:val="18"/>
          <w:color w:val="auto"/>
        </w:rPr>
      </w:pPr>
    </w:p>
    <w:p>
      <w:pPr>
        <w:ind w:right="40" w:firstLine="443"/>
        <w:spacing w:after="0" w:line="255" w:lineRule="auto"/>
        <w:tabs>
          <w:tab w:leader="none" w:pos="648"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would reasonably be expected to result in liability of one or more Loan Parties under Title IV of ERISA to the Pension Plan, Multiemployer Plan or the PBGC in an aggregate amount in excess of the Threshold Amount, or (ii) one or more Loan Parties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61" w:lineRule="exact"/>
        <w:rPr>
          <w:rFonts w:ascii="Arial" w:cs="Arial" w:eastAsia="Arial" w:hAnsi="Arial"/>
          <w:sz w:val="18"/>
          <w:szCs w:val="18"/>
          <w:color w:val="auto"/>
        </w:rPr>
      </w:pPr>
    </w:p>
    <w:p>
      <w:pPr>
        <w:ind w:firstLine="443"/>
        <w:spacing w:after="0" w:line="294" w:lineRule="auto"/>
        <w:tabs>
          <w:tab w:leader="none" w:pos="687"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Invalidity of Loan Documents</w:t>
      </w:r>
      <w:r>
        <w:rPr>
          <w:rFonts w:ascii="Arial" w:cs="Arial" w:eastAsia="Arial" w:hAnsi="Arial"/>
          <w:sz w:val="16"/>
          <w:szCs w:val="16"/>
          <w:color w:val="auto"/>
        </w:rPr>
        <w:t>. Any provision of any Loan Document, at any time after its execution and delivery and for any reason other than as expressly permitted hereunder or thereunder or satisfaction in full of all the Obligations, ceases to be in full force and effect or ceases to give the Administrative Agent any material part of the Liens purported to be created thereby;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Loan Document; or</w:t>
      </w:r>
    </w:p>
    <w:p>
      <w:pPr>
        <w:spacing w:after="0" w:line="1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60"/>
          </w:cols>
          <w:pgMar w:left="700" w:top="280" w:right="239" w:bottom="1440" w:gutter="0" w:footer="0" w:header="0"/>
        </w:sectPr>
      </w:pPr>
    </w:p>
    <w:bookmarkStart w:id="200" w:name="page201"/>
    <w:bookmarkEnd w:id="200"/>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 </w:t>
      </w: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90" w:lineRule="exact"/>
        <w:rPr>
          <w:sz w:val="20"/>
          <w:szCs w:val="20"/>
          <w:color w:val="auto"/>
        </w:rPr>
      </w:pPr>
    </w:p>
    <w:p>
      <w:pPr>
        <w:ind w:right="4560" w:firstLine="1341"/>
        <w:spacing w:after="0" w:line="438" w:lineRule="auto"/>
        <w:tabs>
          <w:tab w:leader="none" w:pos="1542"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Significant Regulatory Event</w:t>
      </w:r>
      <w:r>
        <w:rPr>
          <w:rFonts w:ascii="Arial" w:cs="Arial" w:eastAsia="Arial" w:hAnsi="Arial"/>
          <w:sz w:val="18"/>
          <w:szCs w:val="18"/>
          <w:color w:val="auto"/>
        </w:rPr>
        <w:t xml:space="preserve">. There occurs a Significant Regulatory Event. 9.02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w:t>
      </w:r>
    </w:p>
    <w:p>
      <w:pPr>
        <w:spacing w:after="0" w:line="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any Event of Default occurs and is continuing, the Administrative Agent shall, at the request of, or may, with the consent of, the Required Lenders, take any or all of the following actions:</w:t>
      </w:r>
    </w:p>
    <w:p>
      <w:pPr>
        <w:spacing w:after="0" w:line="51" w:lineRule="exact"/>
        <w:rPr>
          <w:sz w:val="20"/>
          <w:szCs w:val="20"/>
          <w:color w:val="auto"/>
        </w:rPr>
      </w:pPr>
    </w:p>
    <w:p>
      <w:pPr>
        <w:ind w:left="460" w:right="380" w:firstLine="443"/>
        <w:spacing w:after="0" w:line="268" w:lineRule="auto"/>
        <w:tabs>
          <w:tab w:leader="none" w:pos="113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the L/C Issuer to make L/C Credit Extensions to be terminated, whereupon such commitments and obligation shall be terminated;</w:t>
      </w:r>
    </w:p>
    <w:p>
      <w:pPr>
        <w:spacing w:after="0" w:line="50" w:lineRule="exact"/>
        <w:rPr>
          <w:rFonts w:ascii="Arial" w:cs="Arial" w:eastAsia="Arial" w:hAnsi="Arial"/>
          <w:sz w:val="18"/>
          <w:szCs w:val="18"/>
          <w:color w:val="auto"/>
        </w:rPr>
      </w:pPr>
    </w:p>
    <w:p>
      <w:pPr>
        <w:ind w:left="460" w:right="140" w:firstLine="443"/>
        <w:spacing w:after="0" w:line="259"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require that the Borrower Cash Collateralize the L/C Obligations (in an amount equal to the Minimum Collateral Amount with respect thereto);</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460" w:right="160" w:firstLine="443"/>
        <w:spacing w:after="0" w:line="268" w:lineRule="auto"/>
        <w:tabs>
          <w:tab w:leader="none" w:pos="11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exercise on behalf of itself, the Lenders and the L/C Issuer all rights and remedies available to it, the Lenders and the L/C Issuer under the Loan Documents or applicable Law or at equity;</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 actual or deemed entry of an order for relief with respect to the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u w:val="single" w:color="auto"/>
          <w:color w:val="auto"/>
        </w:rPr>
        <w:t>Application of Funds</w:t>
      </w:r>
      <w:r>
        <w:rPr>
          <w:rFonts w:ascii="Arial" w:cs="Arial" w:eastAsia="Arial" w:hAnsi="Arial"/>
          <w:sz w:val="18"/>
          <w:szCs w:val="18"/>
          <w:color w:val="auto"/>
        </w:rPr>
        <w:t>.</w:t>
      </w:r>
    </w:p>
    <w:p>
      <w:pPr>
        <w:spacing w:after="0" w:line="171" w:lineRule="exact"/>
        <w:rPr>
          <w:sz w:val="20"/>
          <w:szCs w:val="20"/>
          <w:color w:val="auto"/>
        </w:rPr>
      </w:pPr>
    </w:p>
    <w:p>
      <w:pPr>
        <w:jc w:val="both"/>
        <w:ind w:right="540" w:firstLine="456"/>
        <w:spacing w:after="0" w:line="306" w:lineRule="auto"/>
        <w:rPr>
          <w:sz w:val="20"/>
          <w:szCs w:val="20"/>
          <w:color w:val="auto"/>
        </w:rPr>
      </w:pPr>
      <w:r>
        <w:rPr>
          <w:rFonts w:ascii="Arial" w:cs="Arial" w:eastAsia="Arial" w:hAnsi="Arial"/>
          <w:sz w:val="16"/>
          <w:szCs w:val="16"/>
          <w:color w:val="auto"/>
        </w:rPr>
        <w:t xml:space="preserve">After the exercise of remedies provided for in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any amounts received on account of the Obligations shall, subject to the provisions of </w:t>
      </w:r>
      <w:r>
        <w:rPr>
          <w:rFonts w:ascii="Arial" w:cs="Arial" w:eastAsia="Arial" w:hAnsi="Arial"/>
          <w:sz w:val="16"/>
          <w:szCs w:val="16"/>
          <w:u w:val="single" w:color="auto"/>
          <w:color w:val="auto"/>
        </w:rPr>
        <w:t>Sections 2.14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2.15</w:t>
      </w:r>
      <w:r>
        <w:rPr>
          <w:rFonts w:ascii="Arial" w:cs="Arial" w:eastAsia="Arial" w:hAnsi="Arial"/>
          <w:sz w:val="16"/>
          <w:szCs w:val="16"/>
          <w:color w:val="auto"/>
        </w:rPr>
        <w:t>, be applied by the Administrative Agent in the following order:</w:t>
      </w:r>
    </w:p>
    <w:p>
      <w:pPr>
        <w:spacing w:after="0" w:line="26" w:lineRule="exact"/>
        <w:rPr>
          <w:sz w:val="20"/>
          <w:szCs w:val="20"/>
          <w:color w:val="auto"/>
        </w:rPr>
      </w:pPr>
    </w:p>
    <w:p>
      <w:pPr>
        <w:ind w:left="460" w:right="180" w:firstLine="438"/>
        <w:spacing w:after="0" w:line="332" w:lineRule="auto"/>
        <w:rPr>
          <w:sz w:val="20"/>
          <w:szCs w:val="20"/>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6"/>
          <w:szCs w:val="16"/>
          <w:u w:val="single" w:color="auto"/>
          <w:color w:val="auto"/>
        </w:rPr>
        <w:t>Article III</w:t>
      </w:r>
      <w:r>
        <w:rPr>
          <w:rFonts w:ascii="Arial" w:cs="Arial" w:eastAsia="Arial" w:hAnsi="Arial"/>
          <w:sz w:val="16"/>
          <w:szCs w:val="16"/>
          <w:color w:val="auto"/>
        </w:rPr>
        <w:t>) payable to the Administrative Agent in its capacity as such;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80" w:right="239" w:bottom="1440" w:gutter="0" w:footer="0" w:header="0"/>
        </w:sectPr>
      </w:pPr>
    </w:p>
    <w:bookmarkStart w:id="201" w:name="page202"/>
    <w:bookmarkEnd w:id="201"/>
    <w:p>
      <w:pPr>
        <w:ind w:left="460" w:right="100" w:firstLine="438"/>
        <w:spacing w:after="0" w:line="256"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w:t>
      </w:r>
      <w:r>
        <w:rPr>
          <w:rFonts w:ascii="Arial" w:cs="Arial" w:eastAsia="Arial" w:hAnsi="Arial"/>
          <w:sz w:val="18"/>
          <w:szCs w:val="18"/>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arising under the Loan Documents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62" w:lineRule="exact"/>
        <w:rPr>
          <w:sz w:val="20"/>
          <w:szCs w:val="20"/>
          <w:color w:val="auto"/>
        </w:rPr>
      </w:pPr>
    </w:p>
    <w:p>
      <w:pPr>
        <w:jc w:val="both"/>
        <w:ind w:left="460" w:right="20" w:firstLine="438"/>
        <w:spacing w:after="0" w:line="259"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59" w:lineRule="exact"/>
        <w:rPr>
          <w:sz w:val="20"/>
          <w:szCs w:val="20"/>
          <w:color w:val="auto"/>
        </w:rPr>
      </w:pPr>
    </w:p>
    <w:p>
      <w:pPr>
        <w:ind w:left="460" w:right="40" w:firstLine="438"/>
        <w:spacing w:after="0" w:line="298" w:lineRule="auto"/>
        <w:rPr>
          <w:sz w:val="20"/>
          <w:szCs w:val="20"/>
          <w:color w:val="auto"/>
        </w:rPr>
      </w:pP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(a) payment of that portion of the Obligations constituting unpaid principal of the Loans and L/C Borrowings, (b) payment of Obligations then owing under any Secured Hedge Agreements, (c) payment of Obligations then owing under any Secured Cash Management Agreements and (d) Cash Collateralize that portion of L/C Obligations comprised of the aggregate undrawn amount of Letters of Credit, ratably among the Lenders, the L/C Issuer, the Hedge Banks and the Cash Management Banks in proportion to the respective amounts described in this clause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held by them; and</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Borrower or as otherwise required by Law.</w:t>
      </w:r>
    </w:p>
    <w:p>
      <w:pPr>
        <w:spacing w:after="0" w:line="171"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 xml:space="preserve">Subject to </w:t>
      </w:r>
      <w:r>
        <w:rPr>
          <w:rFonts w:ascii="Arial" w:cs="Arial" w:eastAsia="Arial" w:hAnsi="Arial"/>
          <w:sz w:val="15"/>
          <w:szCs w:val="15"/>
          <w:u w:val="single" w:color="auto"/>
          <w:color w:val="auto"/>
        </w:rPr>
        <w:t>Sections 2.03(c)</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2.14</w:t>
      </w:r>
      <w:r>
        <w:rPr>
          <w:rFonts w:ascii="Arial" w:cs="Arial" w:eastAsia="Arial" w:hAnsi="Arial"/>
          <w:sz w:val="15"/>
          <w:szCs w:val="15"/>
          <w:color w:val="auto"/>
        </w:rPr>
        <w:t xml:space="preserve">, amounts used to Cash Collateralize the aggregate undrawn amount of Letters of Credit pursuant to clause </w:t>
      </w:r>
      <w:r>
        <w:rPr>
          <w:rFonts w:ascii="Arial" w:cs="Arial" w:eastAsia="Arial" w:hAnsi="Arial"/>
          <w:sz w:val="15"/>
          <w:szCs w:val="15"/>
          <w:u w:val="single" w:color="auto"/>
          <w:color w:val="auto"/>
        </w:rPr>
        <w:t>Fourth</w:t>
      </w:r>
      <w:r>
        <w:rPr>
          <w:rFonts w:ascii="Arial" w:cs="Arial" w:eastAsia="Arial" w:hAnsi="Arial"/>
          <w:sz w:val="15"/>
          <w:szCs w:val="15"/>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8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Notwithstanding the foregoing, Obligations arising under Secured Cash Management Agreements and Secured Hedge Agreements shall be excluded from the application described above if the Administrative Agent has not received a written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Article X for itself and its Affiliates as if a “Lender” party hereto.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no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280" w:right="279" w:bottom="1440" w:gutter="0" w:footer="0" w:header="0"/>
        </w:sectPr>
      </w:pPr>
    </w:p>
    <w:bookmarkStart w:id="202" w:name="page203"/>
    <w:bookmarkEnd w:id="202"/>
    <w:p>
      <w:pPr>
        <w:ind w:right="8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shall also act as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xml:space="preserve">” under the Loan Documents, and each of the Lenders (in its capacities as a Lender, Swing Line Lender (if applicable), potential Hedge Banks and potential Cash Management Banks) and the L/C Issuer hereby irrevocably appoints and authorizes the Administrative Agent to act as the agent of such Lender and the L/C Issuer for purposes of acquiring, holding and enforcing any and all Liens on Collateral,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11.04(c)</w:t>
      </w:r>
      <w:r>
        <w:rPr>
          <w:rFonts w:ascii="Arial" w:cs="Arial" w:eastAsia="Arial" w:hAnsi="Arial"/>
          <w:sz w:val="16"/>
          <w:szCs w:val="16"/>
          <w:color w:val="auto"/>
        </w:rPr>
        <w:t>, as though such co-agents, sub-agents and attorneys-in-fact were the “collateral agent” under the Loan Documents) as if set forth in full herein with respect thereto.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Rights as a Lender</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4" w:lineRule="exact"/>
        <w:rPr>
          <w:sz w:val="20"/>
          <w:szCs w:val="20"/>
          <w:color w:val="auto"/>
        </w:rPr>
      </w:pPr>
    </w:p>
    <w:p>
      <w:pPr>
        <w:ind w:left="1140" w:hanging="237"/>
        <w:spacing w:after="0"/>
        <w:tabs>
          <w:tab w:leader="none" w:pos="11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90" w:lineRule="exact"/>
        <w:rPr>
          <w:rFonts w:ascii="Arial" w:cs="Arial" w:eastAsia="Arial" w:hAnsi="Arial"/>
          <w:sz w:val="18"/>
          <w:szCs w:val="18"/>
          <w:color w:val="auto"/>
        </w:rPr>
      </w:pPr>
    </w:p>
    <w:p>
      <w:pPr>
        <w:ind w:left="460" w:right="60" w:firstLine="443"/>
        <w:spacing w:after="0" w:line="290" w:lineRule="auto"/>
        <w:tabs>
          <w:tab w:leader="none" w:pos="1147"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280" w:right="319" w:bottom="1440" w:gutter="0" w:footer="0" w:header="0"/>
        </w:sectPr>
      </w:pPr>
    </w:p>
    <w:bookmarkStart w:id="203" w:name="page204"/>
    <w:bookmarkEnd w:id="203"/>
    <w:p>
      <w:pPr>
        <w:jc w:val="both"/>
        <w:ind w:left="460" w:firstLine="443"/>
        <w:spacing w:after="0" w:line="259" w:lineRule="auto"/>
        <w:tabs>
          <w:tab w:leader="none" w:pos="1137" w:val="left"/>
        </w:tabs>
        <w:numPr>
          <w:ilvl w:val="0"/>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6"/>
          <w:szCs w:val="16"/>
          <w:u w:val="single" w:color="auto"/>
          <w:color w:val="auto"/>
        </w:rPr>
        <w:t>Sections 11.01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9.02</w:t>
      </w:r>
      <w:r>
        <w:rPr>
          <w:rFonts w:ascii="Arial" w:cs="Arial" w:eastAsia="Arial" w:hAnsi="Arial"/>
          <w:sz w:val="16"/>
          <w:szCs w:val="16"/>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a Loan Party, a Lender or the L/C Issuer.</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document,or the creation, perfection or priority of any Lien purported to be created by the Collateral Documents, (v) the value or the sufficiency of any Collateral, or (vi) the satisfaction of any condition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elsewhere herein, other than to confirm receipt of items expressly required to be delivered to the Administrative Agent.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10.04 </w:t>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w:t>
      </w:r>
    </w:p>
    <w:p>
      <w:pPr>
        <w:spacing w:after="0" w:line="17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280" w:right="27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10.06 </w:t>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9" w:lineRule="auto"/>
        <w:tabs>
          <w:tab w:leader="none" w:pos="69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Administrative Agent may at any time give notice of its resignation to the Lenders, the L/C Issuer and the Borrower. Upon receipt of any such notice of resignation, the Required Lenders shall have the right, subject to the consent of the Borrower (such consent not to be unreasonably withheld or delayed) provided that no Event of Default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days after the retiring Administrative Agent gives notice of its resignation (or such earlier day as shall be agreed by the Required Lenders)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then the retiring Administrative Agent may (but shall not be obligated to) on behalf of the Lenders and the L/C Issuer, appoint a successor Administrative Agent meeting the qualifications set forth above. Whether or not a successor has been appointed, such resignation shall become effective in accordance with such notice on the Resignation Effective Date.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280" w:right="279" w:bottom="1440" w:gutter="0" w:footer="0" w:header="0"/>
        </w:sectPr>
      </w:pPr>
    </w:p>
    <w:bookmarkStart w:id="205" w:name="page206"/>
    <w:bookmarkEnd w:id="205"/>
    <w:p>
      <w:pPr>
        <w:ind w:right="20" w:firstLine="464"/>
        <w:spacing w:after="0" w:line="291" w:lineRule="auto"/>
        <w:tabs>
          <w:tab w:leader="none" w:pos="705" w:val="left"/>
        </w:tabs>
        <w:numPr>
          <w:ilvl w:val="0"/>
          <w:numId w:val="1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Person serving as Administrative Agent is a Defaulting Lender pursuant to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the definition thereof, the Required Lenders may, to the extent permitted by applicable law, by notice in writing to the Borrower and such Person remove such Person as Administrative Agent and, subject to the consent of the Borrower (such consent not to be unreasonably withheld or delayed) provided that no Event of Default has occurred and is continuing, appoint a successor. If no such successor shall have been so appointed by the Required Lenders and shall have accepted such appointment within thirty days (or such earlier day as shall be agreed by the Required Lenders) (the “</w:t>
      </w:r>
      <w:r>
        <w:rPr>
          <w:rFonts w:ascii="Arial" w:cs="Arial" w:eastAsia="Arial" w:hAnsi="Arial"/>
          <w:sz w:val="16"/>
          <w:szCs w:val="16"/>
          <w:u w:val="single" w:color="auto"/>
          <w:color w:val="auto"/>
        </w:rPr>
        <w:t>Removal Effective Date</w:t>
      </w:r>
      <w:r>
        <w:rPr>
          <w:rFonts w:ascii="Arial" w:cs="Arial" w:eastAsia="Arial" w:hAnsi="Arial"/>
          <w:sz w:val="16"/>
          <w:szCs w:val="16"/>
          <w:color w:val="auto"/>
        </w:rPr>
        <w:t>”), then such removal shall nonetheless become effective in accordance with such notice on the Removal Effective Date.</w:t>
      </w:r>
    </w:p>
    <w:p>
      <w:pPr>
        <w:spacing w:after="0" w:line="120" w:lineRule="exact"/>
        <w:rPr>
          <w:rFonts w:ascii="Arial" w:cs="Arial" w:eastAsia="Arial" w:hAnsi="Arial"/>
          <w:sz w:val="16"/>
          <w:szCs w:val="16"/>
          <w:color w:val="auto"/>
        </w:rPr>
      </w:pPr>
    </w:p>
    <w:p>
      <w:pPr>
        <w:ind w:right="20" w:firstLine="464"/>
        <w:spacing w:after="0" w:line="301" w:lineRule="auto"/>
        <w:tabs>
          <w:tab w:leader="none" w:pos="695" w:val="left"/>
        </w:tabs>
        <w:numPr>
          <w:ilvl w:val="0"/>
          <w:numId w:val="194"/>
        </w:numPr>
        <w:rPr>
          <w:rFonts w:ascii="Arial" w:cs="Arial" w:eastAsia="Arial" w:hAnsi="Arial"/>
          <w:sz w:val="15"/>
          <w:szCs w:val="15"/>
          <w:color w:val="auto"/>
        </w:rPr>
      </w:pPr>
      <w:r>
        <w:rPr>
          <w:rFonts w:ascii="Arial" w:cs="Arial" w:eastAsia="Arial" w:hAnsi="Arial"/>
          <w:sz w:val="15"/>
          <w:szCs w:val="15"/>
          <w:color w:val="auto"/>
        </w:rPr>
        <w:t>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w:t>
      </w:r>
    </w:p>
    <w:p>
      <w:pPr>
        <w:spacing w:after="0" w:line="4" w:lineRule="exact"/>
        <w:rPr>
          <w:rFonts w:ascii="Arial" w:cs="Arial" w:eastAsia="Arial" w:hAnsi="Arial"/>
          <w:sz w:val="15"/>
          <w:szCs w:val="15"/>
          <w:color w:val="auto"/>
        </w:rPr>
      </w:pPr>
    </w:p>
    <w:p>
      <w:pPr>
        <w:ind w:right="240"/>
        <w:spacing w:after="0" w:line="252" w:lineRule="auto"/>
        <w:rPr>
          <w:rFonts w:ascii="Arial" w:cs="Arial" w:eastAsia="Arial" w:hAnsi="Arial"/>
          <w:sz w:val="15"/>
          <w:szCs w:val="15"/>
          <w:color w:val="auto"/>
        </w:rPr>
      </w:pPr>
      <w:r>
        <w:rPr>
          <w:rFonts w:ascii="Arial" w:cs="Arial" w:eastAsia="Arial" w:hAnsi="Arial"/>
          <w:sz w:val="18"/>
          <w:szCs w:val="18"/>
          <w:u w:val="single" w:color="auto"/>
          <w:color w:val="auto"/>
        </w:rPr>
        <w:t>Section 3.01(g)</w:t>
      </w:r>
      <w:r>
        <w:rPr>
          <w:rFonts w:ascii="Arial" w:cs="Arial" w:eastAsia="Arial" w:hAnsi="Arial"/>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45" w:lineRule="exact"/>
        <w:rPr>
          <w:rFonts w:ascii="Arial" w:cs="Arial" w:eastAsia="Arial" w:hAnsi="Arial"/>
          <w:sz w:val="15"/>
          <w:szCs w:val="15"/>
          <w:color w:val="auto"/>
        </w:rPr>
      </w:pPr>
    </w:p>
    <w:p>
      <w:pPr>
        <w:ind w:firstLine="464"/>
        <w:spacing w:after="0" w:line="286" w:lineRule="auto"/>
        <w:tabs>
          <w:tab w:leader="none" w:pos="70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Any resignation by Bank of America as Administrative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by the Borrower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280" w:right="27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10.07 </w:t>
      </w:r>
      <w:r>
        <w:rPr>
          <w:rFonts w:ascii="Arial" w:cs="Arial" w:eastAsia="Arial" w:hAnsi="Arial"/>
          <w:sz w:val="18"/>
          <w:szCs w:val="18"/>
          <w:u w:val="single" w:color="auto"/>
          <w:color w:val="auto"/>
        </w:rPr>
        <w:t>Non-Reliance on Administrative Agent and Other Lenders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Anything herein to the contrary notwithstanding, none of the bookrunners, arrangers, syndication agents, documentation agents or co-agents shall have any powers, duties or responsibilities under this Agreement or any of the other Loan Documents, except in its capacity, as applicable, as the Administrative Agent, a Lender or the L/C Issuer hereunder.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62" w:lineRule="exact"/>
        <w:rPr>
          <w:sz w:val="20"/>
          <w:szCs w:val="20"/>
          <w:color w:val="auto"/>
        </w:rPr>
      </w:pPr>
    </w:p>
    <w:p>
      <w:pPr>
        <w:ind w:left="460" w:right="60" w:firstLine="443"/>
        <w:spacing w:after="0" w:line="294" w:lineRule="auto"/>
        <w:tabs>
          <w:tab w:leader="none" w:pos="113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6"/>
          <w:szCs w:val="16"/>
          <w:u w:val="single" w:color="auto"/>
          <w:color w:val="auto"/>
        </w:rPr>
        <w:t>Sections 2.03(h)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allowed in such judicial proceeding; and</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60"/>
          </w:cols>
          <w:pgMar w:left="240" w:top="280" w:right="299" w:bottom="1440" w:gutter="0" w:footer="0" w:header="0"/>
        </w:sectPr>
      </w:pPr>
    </w:p>
    <w:bookmarkStart w:id="207" w:name="page208"/>
    <w:bookmarkEnd w:id="207"/>
    <w:p>
      <w:pPr>
        <w:ind w:right="2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 xml:space="preserve">Without limiting the provisions of </w:t>
      </w:r>
      <w:r>
        <w:rPr>
          <w:rFonts w:ascii="Arial" w:cs="Arial" w:eastAsia="Arial" w:hAnsi="Arial"/>
          <w:sz w:val="18"/>
          <w:szCs w:val="18"/>
          <w:u w:val="single" w:color="auto"/>
          <w:color w:val="auto"/>
        </w:rPr>
        <w:t>Section 10.09</w:t>
      </w:r>
      <w:r>
        <w:rPr>
          <w:rFonts w:ascii="Arial" w:cs="Arial" w:eastAsia="Arial" w:hAnsi="Arial"/>
          <w:sz w:val="18"/>
          <w:szCs w:val="18"/>
          <w:color w:val="auto"/>
        </w:rPr>
        <w:t>, each of the Lenders (including in its capacities as a potential Cash Management Bank and a potential Hedge Bank) and the L/C Issuer irrevocably authorize the Administrative Agent, at its option and in its discretion,</w:t>
      </w:r>
    </w:p>
    <w:p>
      <w:pPr>
        <w:spacing w:after="0" w:line="51" w:lineRule="exact"/>
        <w:rPr>
          <w:sz w:val="20"/>
          <w:szCs w:val="20"/>
          <w:color w:val="auto"/>
        </w:rPr>
      </w:pPr>
    </w:p>
    <w:p>
      <w:pPr>
        <w:ind w:left="460" w:firstLine="443"/>
        <w:spacing w:after="0" w:line="283" w:lineRule="auto"/>
        <w:tabs>
          <w:tab w:leader="none" w:pos="113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to release any Lien on any property granted to or held by the Administrative Agent under any Loan Document (i) upon termination of the Aggregate Revolving Commitments and payment in full of the Obligations (other than (A) contingent indemnification obligations and (B) obligations and liabilities under Secured Cash Management Agreements and Secured Hedge Agreements as to which arrangements satisfactory to the applicable Cash Management Bank or Hedge Bank shall have been made) and the expiration or termination of all Letters of Credit (other than Letters of Credit as to which other arrangements satisfactory to the Administrative Agent and the L/C Issuer shall have been made), (ii) that is sold or otherwise disposed of as part of or in connection with any sale or other disposition permitted hereunder or under any other Loan Document or (iii) as approved in accordance with</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83" w:lineRule="exact"/>
        <w:rPr>
          <w:rFonts w:ascii="Arial" w:cs="Arial" w:eastAsia="Arial" w:hAnsi="Arial"/>
          <w:sz w:val="16"/>
          <w:szCs w:val="16"/>
          <w:color w:val="auto"/>
        </w:rPr>
      </w:pPr>
    </w:p>
    <w:p>
      <w:pPr>
        <w:ind w:left="460" w:right="140" w:firstLine="443"/>
        <w:spacing w:after="0" w:line="268" w:lineRule="auto"/>
        <w:tabs>
          <w:tab w:leader="none" w:pos="114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 8.01(i)</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3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to release any Guarantor from its obligations under the Guaranty if such Person ceases to be a Subsidiary as a result of a transaction permitted under the Loan Documents.</w:t>
      </w:r>
    </w:p>
    <w:p>
      <w:pPr>
        <w:spacing w:after="0" w:line="132"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5"/>
          <w:szCs w:val="15"/>
          <w:u w:val="single" w:color="auto"/>
          <w:color w:val="auto"/>
        </w:rPr>
        <w:t>Section 10.10</w:t>
      </w:r>
      <w:r>
        <w:rPr>
          <w:rFonts w:ascii="Arial" w:cs="Arial" w:eastAsia="Arial" w:hAnsi="Arial"/>
          <w:sz w:val="15"/>
          <w:szCs w:val="15"/>
          <w:color w:val="auto"/>
        </w:rPr>
        <w:t>.</w:t>
      </w:r>
    </w:p>
    <w:p>
      <w:pPr>
        <w:spacing w:after="0" w:line="6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Secured Cash Management Agreements and Secured Hedge Agreements</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No Cash Management Bank or Hedge Bank that obtains the benefit of the provisions of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except to the extent expressly provided herein and unless the Administrative Agent has received written notice of such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Obligations arising under Secured Cash Management Agreements and Secured Hedge Agreements in the case of a Maturity Date.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40" w:top="280" w:right="279" w:bottom="1440" w:gutter="0" w:footer="0" w:header="0"/>
        </w:sectPr>
      </w:pPr>
    </w:p>
    <w:bookmarkStart w:id="208" w:name="page209"/>
    <w:bookmarkEnd w:id="208"/>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Amendments, Etc</w:t>
      </w:r>
      <w:r>
        <w:rPr>
          <w:rFonts w:ascii="Arial" w:cs="Arial" w:eastAsia="Arial" w:hAnsi="Arial"/>
          <w:sz w:val="18"/>
          <w:szCs w:val="18"/>
          <w:color w:val="auto"/>
        </w:rPr>
        <w:t>.</w:t>
      </w:r>
    </w:p>
    <w:p>
      <w:pPr>
        <w:spacing w:after="0" w:line="17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 xml:space="preserve">No amendment or waiver of any provision of this Agreement or any other Loan Document, and no consent to any departure by any Loan Party therefrom, shall be effective unless in writing signed by the Required Lenders and the applicable Loan Party, and acknowledged by the Administrative Agent, and each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26" w:lineRule="exact"/>
        <w:rPr>
          <w:sz w:val="20"/>
          <w:szCs w:val="20"/>
          <w:color w:val="auto"/>
        </w:rPr>
      </w:pPr>
    </w:p>
    <w:p>
      <w:pPr>
        <w:ind w:left="1140" w:hanging="237"/>
        <w:spacing w:after="0"/>
        <w:tabs>
          <w:tab w:leader="none" w:pos="11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 such amendment, waiver or consent shall:</w:t>
      </w:r>
    </w:p>
    <w:p>
      <w:pPr>
        <w:spacing w:after="0" w:line="90" w:lineRule="exact"/>
        <w:rPr>
          <w:rFonts w:ascii="Arial" w:cs="Arial" w:eastAsia="Arial" w:hAnsi="Arial"/>
          <w:sz w:val="18"/>
          <w:szCs w:val="18"/>
          <w:color w:val="auto"/>
        </w:rPr>
      </w:pPr>
    </w:p>
    <w:p>
      <w:pPr>
        <w:ind w:left="920" w:right="160" w:firstLine="421"/>
        <w:spacing w:after="0" w:line="306" w:lineRule="auto"/>
        <w:tabs>
          <w:tab w:leader="none" w:pos="1549" w:val="left"/>
        </w:tabs>
        <w:numPr>
          <w:ilvl w:val="1"/>
          <w:numId w:val="197"/>
        </w:numPr>
        <w:rPr>
          <w:rFonts w:ascii="Arial" w:cs="Arial" w:eastAsia="Arial" w:hAnsi="Arial"/>
          <w:sz w:val="16"/>
          <w:szCs w:val="16"/>
          <w:color w:val="auto"/>
        </w:rPr>
      </w:pPr>
      <w:r>
        <w:rPr>
          <w:rFonts w:ascii="Arial" w:cs="Arial" w:eastAsia="Arial" w:hAnsi="Arial"/>
          <w:sz w:val="16"/>
          <w:szCs w:val="16"/>
          <w:color w:val="auto"/>
        </w:rPr>
        <w:t xml:space="preserve">extend or increase the Commitment of any Lender (or reinstate any Commitment terminated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without the written consent of such Lender (it being understood and agreed that a waiver of any condition precedent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or of any Default or a mandatory reduction in Commitments is not considered an extension or increase in Commitments of any Lender);</w:t>
      </w:r>
    </w:p>
    <w:p>
      <w:pPr>
        <w:spacing w:after="0" w:line="25" w:lineRule="exact"/>
        <w:rPr>
          <w:rFonts w:ascii="Arial" w:cs="Arial" w:eastAsia="Arial" w:hAnsi="Arial"/>
          <w:sz w:val="16"/>
          <w:szCs w:val="16"/>
          <w:color w:val="auto"/>
        </w:rPr>
      </w:pPr>
    </w:p>
    <w:p>
      <w:pPr>
        <w:jc w:val="both"/>
        <w:ind w:left="920" w:firstLine="421"/>
        <w:spacing w:after="0" w:line="335" w:lineRule="auto"/>
        <w:tabs>
          <w:tab w:leader="none" w:pos="1598" w:val="left"/>
        </w:tabs>
        <w:numPr>
          <w:ilvl w:val="1"/>
          <w:numId w:val="197"/>
        </w:numPr>
        <w:rPr>
          <w:rFonts w:ascii="Arial" w:cs="Arial" w:eastAsia="Arial" w:hAnsi="Arial"/>
          <w:sz w:val="15"/>
          <w:szCs w:val="15"/>
          <w:color w:val="auto"/>
        </w:rPr>
      </w:pPr>
      <w:r>
        <w:rPr>
          <w:rFonts w:ascii="Arial" w:cs="Arial" w:eastAsia="Arial" w:hAnsi="Arial"/>
          <w:sz w:val="15"/>
          <w:szCs w:val="15"/>
          <w:color w:val="auto"/>
        </w:rPr>
        <w:t>postpone any date fixed by this Agreement or any other Loan Document for any payment (excluding mandatory prepayments) of principal, interest, fees or other amounts due to the Lenders (or any of them) or any scheduled or mandatory reduction of the Commitments hereunder or under any other Loan Document without the written consent of each Lender entitled to receive such payment or whose Commitments are to be reduced;</w:t>
      </w:r>
    </w:p>
    <w:p>
      <w:pPr>
        <w:spacing w:after="0" w:line="7" w:lineRule="exact"/>
        <w:rPr>
          <w:rFonts w:ascii="Arial" w:cs="Arial" w:eastAsia="Arial" w:hAnsi="Arial"/>
          <w:sz w:val="15"/>
          <w:szCs w:val="15"/>
          <w:color w:val="auto"/>
        </w:rPr>
      </w:pPr>
    </w:p>
    <w:p>
      <w:pPr>
        <w:ind w:left="920" w:right="60" w:firstLine="421"/>
        <w:spacing w:after="0" w:line="291" w:lineRule="auto"/>
        <w:tabs>
          <w:tab w:leader="none" w:pos="1647" w:val="left"/>
        </w:tabs>
        <w:numPr>
          <w:ilvl w:val="1"/>
          <w:numId w:val="197"/>
        </w:numPr>
        <w:rPr>
          <w:rFonts w:ascii="Arial" w:cs="Arial" w:eastAsia="Arial" w:hAnsi="Arial"/>
          <w:sz w:val="16"/>
          <w:szCs w:val="16"/>
          <w:color w:val="auto"/>
        </w:rPr>
      </w:pPr>
      <w:r>
        <w:rPr>
          <w:rFonts w:ascii="Arial" w:cs="Arial" w:eastAsia="Arial" w:hAnsi="Arial"/>
          <w:sz w:val="16"/>
          <w:szCs w:val="16"/>
          <w:color w:val="auto"/>
        </w:rPr>
        <w:t xml:space="preserve">reduce the principal of, or the rate of interest specified herein on, any Loan or L/C Borrowing, or (subject to clause (i) of the final proviso to this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any fees or other amounts payable hereunder or under any other Loan Document without the written consent of each Lender entitled to receive such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only the consent of the Required Lenders shall be necessary (A) to amend the definition of “Default Rate” or to waive any obligation of the Borrower to pay interest or Letter of Credit Fees at the Default Rate or (B) to amend any financial covenant hereunder (or any defined term used therein) even if the effect of such amendment would be to reduce the rate of interest on any Loan or L/C Borrowing or to reduce any fee payable hereunder;</w:t>
      </w:r>
    </w:p>
    <w:p>
      <w:pPr>
        <w:spacing w:after="0" w:line="39" w:lineRule="exact"/>
        <w:rPr>
          <w:rFonts w:ascii="Arial" w:cs="Arial" w:eastAsia="Arial" w:hAnsi="Arial"/>
          <w:sz w:val="16"/>
          <w:szCs w:val="16"/>
          <w:color w:val="auto"/>
        </w:rPr>
      </w:pPr>
    </w:p>
    <w:p>
      <w:pPr>
        <w:ind w:left="920" w:right="280" w:firstLine="421"/>
        <w:spacing w:after="0" w:line="268" w:lineRule="auto"/>
        <w:tabs>
          <w:tab w:leader="none" w:pos="1637" w:val="left"/>
        </w:tabs>
        <w:numPr>
          <w:ilvl w:val="1"/>
          <w:numId w:val="197"/>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in a manner that would alter the pro rata sharing of payments required thereby without the written consent of each Lender directly affected thereby;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280" w:right="279" w:bottom="1440" w:gutter="0" w:footer="0" w:header="0"/>
        </w:sectPr>
      </w:pPr>
    </w:p>
    <w:bookmarkStart w:id="209" w:name="page210"/>
    <w:bookmarkEnd w:id="209"/>
    <w:p>
      <w:pPr>
        <w:ind w:left="920" w:right="380" w:firstLine="421"/>
        <w:spacing w:after="0" w:line="268" w:lineRule="auto"/>
        <w:tabs>
          <w:tab w:leader="none" w:pos="1588" w:val="left"/>
        </w:tabs>
        <w:numPr>
          <w:ilvl w:val="1"/>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change any provision of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or the definition of “Required Lenders” without the written consent of each Lender directly affected thereby;</w:t>
      </w:r>
    </w:p>
    <w:p>
      <w:pPr>
        <w:spacing w:after="0" w:line="50" w:lineRule="exact"/>
        <w:rPr>
          <w:rFonts w:ascii="Arial" w:cs="Arial" w:eastAsia="Arial" w:hAnsi="Arial"/>
          <w:sz w:val="18"/>
          <w:szCs w:val="18"/>
          <w:color w:val="auto"/>
        </w:rPr>
      </w:pPr>
    </w:p>
    <w:p>
      <w:pPr>
        <w:ind w:left="920" w:right="720" w:firstLine="421"/>
        <w:spacing w:after="0" w:line="268" w:lineRule="auto"/>
        <w:tabs>
          <w:tab w:leader="none" w:pos="163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without the written consent of each Lender whose Obligations are secured by such Collateral;</w:t>
      </w:r>
    </w:p>
    <w:p>
      <w:pPr>
        <w:spacing w:after="0" w:line="50" w:lineRule="exact"/>
        <w:rPr>
          <w:rFonts w:ascii="Arial" w:cs="Arial" w:eastAsia="Arial" w:hAnsi="Arial"/>
          <w:sz w:val="18"/>
          <w:szCs w:val="18"/>
          <w:color w:val="auto"/>
        </w:rPr>
      </w:pPr>
    </w:p>
    <w:p>
      <w:pPr>
        <w:ind w:left="920" w:right="420" w:firstLine="421"/>
        <w:spacing w:after="0" w:line="256" w:lineRule="auto"/>
        <w:tabs>
          <w:tab w:leader="none" w:pos="1686" w:val="left"/>
        </w:tabs>
        <w:numPr>
          <w:ilvl w:val="1"/>
          <w:numId w:val="198"/>
        </w:numPr>
        <w:rPr>
          <w:rFonts w:ascii="Arial" w:cs="Arial" w:eastAsia="Arial" w:hAnsi="Arial"/>
          <w:sz w:val="18"/>
          <w:szCs w:val="18"/>
          <w:color w:val="auto"/>
        </w:rPr>
      </w:pPr>
      <w:r>
        <w:rPr>
          <w:rFonts w:ascii="Arial" w:cs="Arial" w:eastAsia="Arial" w:hAnsi="Arial"/>
          <w:sz w:val="18"/>
          <w:szCs w:val="18"/>
          <w:color w:val="auto"/>
        </w:rPr>
        <w:t xml:space="preserve">release the Borrower without the consent of each Lender, or, except in connection with a transaction permitted under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all or substantially all of the value of the Guaranty without the written consent of each Lender whose Obligations are guaranteed thereby, except to the extent such release is permitted pursuant to </w:t>
      </w:r>
      <w:r>
        <w:rPr>
          <w:rFonts w:ascii="Arial" w:cs="Arial" w:eastAsia="Arial" w:hAnsi="Arial"/>
          <w:sz w:val="18"/>
          <w:szCs w:val="18"/>
          <w:u w:val="single" w:color="auto"/>
          <w:color w:val="auto"/>
        </w:rPr>
        <w:t>Section 10.10</w:t>
      </w:r>
      <w:r>
        <w:rPr>
          <w:rFonts w:ascii="Arial" w:cs="Arial" w:eastAsia="Arial" w:hAnsi="Arial"/>
          <w:sz w:val="18"/>
          <w:szCs w:val="18"/>
          <w:color w:val="auto"/>
        </w:rPr>
        <w:t xml:space="preserve"> (in which case such release may be made by the Administrative Agent acting alone); or</w:t>
      </w:r>
    </w:p>
    <w:p>
      <w:pPr>
        <w:spacing w:after="0" w:line="62" w:lineRule="exact"/>
        <w:rPr>
          <w:rFonts w:ascii="Arial" w:cs="Arial" w:eastAsia="Arial" w:hAnsi="Arial"/>
          <w:sz w:val="18"/>
          <w:szCs w:val="18"/>
          <w:color w:val="auto"/>
        </w:rPr>
      </w:pPr>
    </w:p>
    <w:p>
      <w:pPr>
        <w:ind w:left="460" w:right="220" w:firstLine="443"/>
        <w:spacing w:after="0" w:line="335" w:lineRule="auto"/>
        <w:tabs>
          <w:tab w:leader="none" w:pos="1147" w:val="left"/>
        </w:tabs>
        <w:numPr>
          <w:ilvl w:val="0"/>
          <w:numId w:val="199"/>
        </w:numPr>
        <w:rPr>
          <w:rFonts w:ascii="Arial" w:cs="Arial" w:eastAsia="Arial" w:hAnsi="Arial"/>
          <w:sz w:val="15"/>
          <w:szCs w:val="15"/>
          <w:color w:val="auto"/>
        </w:rPr>
      </w:pPr>
      <w:r>
        <w:rPr>
          <w:rFonts w:ascii="Arial" w:cs="Arial" w:eastAsia="Arial" w:hAnsi="Arial"/>
          <w:sz w:val="15"/>
          <w:szCs w:val="15"/>
          <w:color w:val="auto"/>
        </w:rPr>
        <w:t xml:space="preserve">prior to the termination of the Revolving Commitments, unless also signed by Required Revolving Lenders, no such amendment, waiver or consent shall, (i) waive any Default for purposes of </w:t>
      </w:r>
      <w:r>
        <w:rPr>
          <w:rFonts w:ascii="Arial" w:cs="Arial" w:eastAsia="Arial" w:hAnsi="Arial"/>
          <w:sz w:val="15"/>
          <w:szCs w:val="15"/>
          <w:u w:val="single" w:color="auto"/>
          <w:color w:val="auto"/>
        </w:rPr>
        <w:t>Section 5.02(b)</w:t>
      </w:r>
      <w:r>
        <w:rPr>
          <w:rFonts w:ascii="Arial" w:cs="Arial" w:eastAsia="Arial" w:hAnsi="Arial"/>
          <w:sz w:val="15"/>
          <w:szCs w:val="15"/>
          <w:color w:val="auto"/>
        </w:rPr>
        <w:t xml:space="preserve">, (ii) amend, change, waive, discharge or terminate </w:t>
      </w:r>
      <w:r>
        <w:rPr>
          <w:rFonts w:ascii="Arial" w:cs="Arial" w:eastAsia="Arial" w:hAnsi="Arial"/>
          <w:sz w:val="15"/>
          <w:szCs w:val="15"/>
          <w:u w:val="single" w:color="auto"/>
          <w:color w:val="auto"/>
        </w:rPr>
        <w:t>Sections 5.02</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9.01</w:t>
      </w:r>
      <w:r>
        <w:rPr>
          <w:rFonts w:ascii="Arial" w:cs="Arial" w:eastAsia="Arial" w:hAnsi="Arial"/>
          <w:sz w:val="15"/>
          <w:szCs w:val="15"/>
          <w:color w:val="auto"/>
        </w:rPr>
        <w:t xml:space="preserve"> in a manner adverse to such Lenders or (iii) amend, change, waive, discharge or terminate </w:t>
      </w:r>
      <w:r>
        <w:rPr>
          <w:rFonts w:ascii="Arial" w:cs="Arial" w:eastAsia="Arial" w:hAnsi="Arial"/>
          <w:sz w:val="15"/>
          <w:szCs w:val="15"/>
          <w:u w:val="single" w:color="auto"/>
          <w:color w:val="auto"/>
        </w:rPr>
        <w:t>Section 8.11</w:t>
      </w:r>
      <w:r>
        <w:rPr>
          <w:rFonts w:ascii="Arial" w:cs="Arial" w:eastAsia="Arial" w:hAnsi="Arial"/>
          <w:sz w:val="15"/>
          <w:szCs w:val="15"/>
          <w:color w:val="auto"/>
        </w:rPr>
        <w:t xml:space="preserve"> (or any defined term used therein) or this </w:t>
      </w:r>
      <w:r>
        <w:rPr>
          <w:rFonts w:ascii="Arial" w:cs="Arial" w:eastAsia="Arial" w:hAnsi="Arial"/>
          <w:sz w:val="15"/>
          <w:szCs w:val="15"/>
          <w:u w:val="single" w:color="auto"/>
          <w:color w:val="auto"/>
        </w:rPr>
        <w:t>Section 11.01(b)</w:t>
      </w:r>
      <w:r>
        <w:rPr>
          <w:rFonts w:ascii="Arial" w:cs="Arial" w:eastAsia="Arial" w:hAnsi="Arial"/>
          <w:sz w:val="15"/>
          <w:szCs w:val="15"/>
          <w:color w:val="auto"/>
        </w:rPr>
        <w:t>; or</w:t>
      </w:r>
    </w:p>
    <w:p>
      <w:pPr>
        <w:spacing w:after="0" w:line="7" w:lineRule="exact"/>
        <w:rPr>
          <w:rFonts w:ascii="Arial" w:cs="Arial" w:eastAsia="Arial" w:hAnsi="Arial"/>
          <w:sz w:val="15"/>
          <w:szCs w:val="15"/>
          <w:color w:val="auto"/>
        </w:rPr>
      </w:pPr>
    </w:p>
    <w:p>
      <w:pPr>
        <w:ind w:left="460" w:right="140" w:firstLine="443"/>
        <w:spacing w:after="0" w:line="268" w:lineRule="auto"/>
        <w:tabs>
          <w:tab w:leader="none" w:pos="113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unless also signed by the L/C Issuer, no amendment, waiver or consent shall affect the rights or duties of the L/C Issuer under this Agreement or any Issuer Document relating to any Letter of Credit issued or to be issued by it;</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unless also signed by the Swing Line Lender, no amendment, waiver or consent shall affect the rights or duties of the Swing Line Lender under this Agreement; and</w:t>
      </w:r>
    </w:p>
    <w:p>
      <w:pPr>
        <w:spacing w:after="0" w:line="50" w:lineRule="exact"/>
        <w:rPr>
          <w:rFonts w:ascii="Arial" w:cs="Arial" w:eastAsia="Arial" w:hAnsi="Arial"/>
          <w:sz w:val="18"/>
          <w:szCs w:val="18"/>
          <w:color w:val="auto"/>
        </w:rPr>
      </w:pPr>
    </w:p>
    <w:p>
      <w:pPr>
        <w:ind w:left="460" w:right="320" w:firstLine="443"/>
        <w:spacing w:after="0" w:line="268" w:lineRule="auto"/>
        <w:tabs>
          <w:tab w:leader="none" w:pos="113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unless also signed by the Administrative Agent, no amendment, waiver or consent shall affect the rights or duties of the Administrative Agent under this Agreement or any other Loan Document;</w:t>
      </w:r>
    </w:p>
    <w:p>
      <w:pPr>
        <w:spacing w:after="0" w:line="132" w:lineRule="exact"/>
        <w:rPr>
          <w:sz w:val="20"/>
          <w:szCs w:val="20"/>
          <w:color w:val="auto"/>
        </w:rPr>
      </w:pPr>
    </w:p>
    <w:p>
      <w:pPr>
        <w:spacing w:after="0" w:line="309" w:lineRule="auto"/>
        <w:rPr>
          <w:sz w:val="20"/>
          <w:szCs w:val="20"/>
          <w:color w:val="auto"/>
        </w:rPr>
      </w:pP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notwithstanding anything to the contrary herein, (i) the Fee Letter may be amended, or rights or privileges thereunder waived, in a writing executed only by the parties thereto, (ii) no Defaulting Lender shall have any right to approve or disapprove any amendment, waiver or consent hereunder (any amendment, waiver or consent which by its terms requires the consent of all Lenders or each affected Lender may be effected with the consent of the applicable Lenders other than Defaulting Lenders), except that (A) the Commitment of such Lender may not be increased or extended without the consent of such Lender and (B) any waiver, amendment or modification requiring the consent of all Lenders or each affected Lender that by its terms affects any Defaulting Lender disproportionately adversely relative to other affected Lenders shall require the consent of such Defaulting Lender, (iii)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(iv) the Required Lenders shall determine whether or not to allow a Loan Party to use cash collateral in the context of a bankruptcy or insolvency proceeding and such determination shall be binding on all of the Lenders.</w:t>
      </w:r>
    </w:p>
    <w:p>
      <w:pPr>
        <w:spacing w:after="0" w:line="108"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Notwithstanding any provision herein to the contrary, this Agreement may be amended with the written consent of the Required Lenders, the Administrative Agent and the Loan Parties (i) to add one or more additional revolving credit or term loan facilities to this Agreement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80" w:right="2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11.02 </w:t>
      </w: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w:t>
      </w:r>
    </w:p>
    <w:p>
      <w:pPr>
        <w:spacing w:after="0" w:line="171" w:lineRule="exact"/>
        <w:rPr>
          <w:sz w:val="20"/>
          <w:szCs w:val="20"/>
          <w:color w:val="auto"/>
        </w:rPr>
      </w:pPr>
    </w:p>
    <w:p>
      <w:pPr>
        <w:ind w:right="240" w:firstLine="464"/>
        <w:spacing w:after="0" w:line="256" w:lineRule="auto"/>
        <w:tabs>
          <w:tab w:leader="none" w:pos="695"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62" w:lineRule="exact"/>
        <w:rPr>
          <w:rFonts w:ascii="Arial" w:cs="Arial" w:eastAsia="Arial" w:hAnsi="Arial"/>
          <w:sz w:val="18"/>
          <w:szCs w:val="18"/>
          <w:color w:val="auto"/>
        </w:rPr>
      </w:pPr>
    </w:p>
    <w:p>
      <w:pPr>
        <w:ind w:left="460" w:right="60" w:firstLine="443"/>
        <w:spacing w:after="0" w:line="268" w:lineRule="auto"/>
        <w:tabs>
          <w:tab w:leader="none" w:pos="110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if to any Loan Party, the Administrative Agent, the L/C Issuer or the Swing Line Lender, to the address, facsimile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460" w:right="220" w:firstLine="443"/>
        <w:spacing w:after="0" w:line="306" w:lineRule="auto"/>
        <w:tabs>
          <w:tab w:leader="none" w:pos="1157" w:val="left"/>
        </w:tabs>
        <w:numPr>
          <w:ilvl w:val="1"/>
          <w:numId w:val="200"/>
        </w:numPr>
        <w:rPr>
          <w:rFonts w:ascii="Arial" w:cs="Arial" w:eastAsia="Arial" w:hAnsi="Arial"/>
          <w:sz w:val="16"/>
          <w:szCs w:val="16"/>
          <w:color w:val="auto"/>
        </w:rPr>
      </w:pPr>
      <w:r>
        <w:rPr>
          <w:rFonts w:ascii="Arial" w:cs="Arial" w:eastAsia="Arial" w:hAnsi="Arial"/>
          <w:sz w:val="16"/>
          <w:szCs w:val="16"/>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0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98" w:lineRule="exact"/>
        <w:rPr>
          <w:sz w:val="20"/>
          <w:szCs w:val="20"/>
          <w:color w:val="auto"/>
        </w:rPr>
      </w:pPr>
    </w:p>
    <w:p>
      <w:pPr>
        <w:ind w:right="20" w:firstLine="464"/>
        <w:spacing w:after="0" w:line="291" w:lineRule="auto"/>
        <w:tabs>
          <w:tab w:leader="none" w:pos="705" w:val="left"/>
        </w:tabs>
        <w:numPr>
          <w:ilvl w:val="0"/>
          <w:numId w:val="201"/>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the L/C Issuer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Borrower may each,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both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280" w:right="239" w:bottom="1440" w:gutter="0" w:footer="0" w:header="0"/>
        </w:sectPr>
      </w:pPr>
    </w:p>
    <w:bookmarkStart w:id="211" w:name="page212"/>
    <w:bookmarkEnd w:id="211"/>
    <w:p>
      <w:pPr>
        <w:ind w:left="-20" w:right="140" w:firstLine="464"/>
        <w:spacing w:after="0" w:line="287" w:lineRule="auto"/>
        <w:tabs>
          <w:tab w:leader="none" w:pos="675"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Platform</w:t>
      </w:r>
      <w:r>
        <w:rPr>
          <w:rFonts w:ascii="Arial" w:cs="Arial" w:eastAsia="Arial" w:hAnsi="Arial"/>
          <w:sz w:val="16"/>
          <w:szCs w:val="16"/>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u w:val="single" w:color="auto"/>
          <w:color w:val="auto"/>
        </w:rPr>
        <w:t>Agent Parties</w:t>
      </w:r>
      <w:r>
        <w:rPr>
          <w:rFonts w:ascii="Arial" w:cs="Arial" w:eastAsia="Arial" w:hAnsi="Arial"/>
          <w:sz w:val="16"/>
          <w:szCs w:val="16"/>
          <w:color w:val="auto"/>
        </w:rPr>
        <w:t>”) have any liability to any Loan Party, any Lender, the L/C Issuer or any other Person for losses, claims, damages, liabilities or expenses of any kind (whether in tort, contract or otherwise) arising out of any Loan Party’s or the Administrative Agent’s transmission of Borrower Materials through the Internet, except, as to any Agent Party, to the extent that such losses, claims, damages, liabilities or expenses are determined by a court of competent jurisdiction by a final and non-appealable judgment to have resulted from the gross negligence or willful misconduct of such Agent Party.</w:t>
      </w:r>
    </w:p>
    <w:p>
      <w:pPr>
        <w:spacing w:after="0" w:line="122" w:lineRule="exact"/>
        <w:rPr>
          <w:rFonts w:ascii="Arial" w:cs="Arial" w:eastAsia="Arial" w:hAnsi="Arial"/>
          <w:sz w:val="16"/>
          <w:szCs w:val="16"/>
          <w:color w:val="auto"/>
        </w:rPr>
      </w:pPr>
    </w:p>
    <w:p>
      <w:pPr>
        <w:ind w:left="-20" w:firstLine="464"/>
        <w:spacing w:after="0" w:line="287" w:lineRule="auto"/>
        <w:tabs>
          <w:tab w:leader="none" w:pos="685"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Loan Party, the Administrative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each Loan Party,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22" w:lineRule="exact"/>
        <w:rPr>
          <w:rFonts w:ascii="Arial" w:cs="Arial" w:eastAsia="Arial" w:hAnsi="Arial"/>
          <w:sz w:val="16"/>
          <w:szCs w:val="16"/>
          <w:color w:val="auto"/>
        </w:rPr>
      </w:pPr>
    </w:p>
    <w:p>
      <w:pPr>
        <w:ind w:left="-20" w:right="20" w:firstLine="464"/>
        <w:spacing w:after="0" w:line="290" w:lineRule="auto"/>
        <w:tabs>
          <w:tab w:leader="none" w:pos="675"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L/C Issuer and Lenders</w:t>
      </w:r>
      <w:r>
        <w:rPr>
          <w:rFonts w:ascii="Arial" w:cs="Arial" w:eastAsia="Arial" w:hAnsi="Arial"/>
          <w:sz w:val="16"/>
          <w:szCs w:val="16"/>
          <w:color w:val="auto"/>
        </w:rPr>
        <w:t>. The Administrative Agent, the L/C Issuer and the Lenders shall be entitled to rely in good faith and act upon any notices (including telephonic or electronic Loan Notices, Letter of Credit Applications and Swing 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60" w:top="280" w:right="2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11.03 </w:t>
      </w:r>
      <w:r>
        <w:rPr>
          <w:rFonts w:ascii="Arial" w:cs="Arial" w:eastAsia="Arial" w:hAnsi="Arial"/>
          <w:sz w:val="18"/>
          <w:szCs w:val="18"/>
          <w:u w:val="single" w:color="auto"/>
          <w:color w:val="auto"/>
        </w:rPr>
        <w:t>No Waiver; Cumulative Remedies; Enforcement</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16"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for the benefit of all the Lenders and the L/C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(subject to the terms of</w:t>
      </w:r>
    </w:p>
    <w:p>
      <w:pPr>
        <w:ind w:right="20"/>
        <w:spacing w:after="0" w:line="292" w:lineRule="auto"/>
        <w:rPr>
          <w:sz w:val="20"/>
          <w:szCs w:val="20"/>
          <w:color w:val="auto"/>
        </w:rPr>
      </w:pP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and (ii) in addition to the matters set forth in clauses (b), (c) and (d) of the preceding proviso and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any Lender may, with the consent of the Required Lenders, enforce any rights and remedies available to it and as authorized by the Required Lenders.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7" w:lineRule="auto"/>
        <w:tabs>
          <w:tab w:leader="none" w:pos="695"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Loan Parties shall pay (i) all reasonable documented out-of-pocket expenses incurred by the Administrative Agent and its Affiliates (including the reasonable documented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documented out-of-pocket expenses incurred by the L/C Issuer in connection with the issuance, amendment, renewal or extension of any Letter of Credit or any demand for payment thereunder and (iii) all reasonable documented out-of-pocket expenses incurred by the Administrative Agent, any Lender or the L/C Issuer (including the reasonable documented fees, charges and disbursements of any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40"/>
          </w:cols>
          <w:pgMar w:left="240" w:top="280" w:right="319" w:bottom="1440" w:gutter="0" w:footer="0" w:header="0"/>
        </w:sectPr>
      </w:pPr>
    </w:p>
    <w:bookmarkStart w:id="213" w:name="page214"/>
    <w:bookmarkEnd w:id="213"/>
    <w:p>
      <w:pPr>
        <w:ind w:left="-20" w:firstLine="464"/>
        <w:spacing w:after="0" w:line="284" w:lineRule="auto"/>
        <w:tabs>
          <w:tab w:leader="none" w:pos="685"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 by the Loan Parties</w:t>
      </w:r>
      <w:r>
        <w:rPr>
          <w:rFonts w:ascii="Arial" w:cs="Arial" w:eastAsia="Arial" w:hAnsi="Arial"/>
          <w:sz w:val="16"/>
          <w:szCs w:val="16"/>
          <w:color w:val="auto"/>
        </w:rPr>
        <w:t>. The Loan Parties shall indemnify the Administrative Agent (and any sub-agent thereof), each Lender and the L/C Issuer,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reasonable documented fees, charges and disbursements of any counsel for any Indemnitee) incurred by any Indemnitee or asserted against any Indemnitee by any Person (including any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Subsidiary, or any Environmental Liability related in any way to the Borrower or any Subsidiary, or (iv) any actual or prospective claim, litigation, investigation or proceeding relating to any of the foregoing, whether based on contract, tort or any other theory, whether brought by a third party or by any Loan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(including fees, charges and disbursements of counsel for such Indemnitee) (x) are determined by a court of competent jurisdiction by final and nonappealable judgment to have resulted from the gross negligence or willful misconduct of such Indemnitee, (y) result from a claim brought by any Loan Party against an Indemnitee for breach in bad faith of such Indemnitee’s obligations hereunder or under any other Loan Document, if such Loan Party has obtained a final and nonappealable judgment in its favor on such claim as determined by a court of competent jurisdiction or (z) arise from disputes between or among Indemnitees that do not involve an act or omission by (1) the Borrower, any Subsidiary or any Affiliate of the Borrower or (2) the Administrative Agent or the Arranger acting in its capacity as such. Without limiting the provisions of </w:t>
      </w:r>
      <w:r>
        <w:rPr>
          <w:rFonts w:ascii="Arial" w:cs="Arial" w:eastAsia="Arial" w:hAnsi="Arial"/>
          <w:sz w:val="16"/>
          <w:szCs w:val="16"/>
          <w:u w:val="single" w:color="auto"/>
          <w:color w:val="auto"/>
        </w:rPr>
        <w:t>Section 3.01(c)</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11.04(b)</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127" w:lineRule="exact"/>
        <w:rPr>
          <w:rFonts w:ascii="Arial" w:cs="Arial" w:eastAsia="Arial" w:hAnsi="Arial"/>
          <w:sz w:val="16"/>
          <w:szCs w:val="16"/>
          <w:color w:val="auto"/>
        </w:rPr>
      </w:pPr>
    </w:p>
    <w:p>
      <w:pPr>
        <w:ind w:left="-20" w:right="60" w:firstLine="464"/>
        <w:spacing w:after="0" w:line="287" w:lineRule="auto"/>
        <w:tabs>
          <w:tab w:leader="none" w:pos="675"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Borrower for any reason fails to indefeasibly pay any amount required under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w:t>
      </w:r>
      <w:r>
        <w:rPr>
          <w:rFonts w:ascii="Arial" w:cs="Arial" w:eastAsia="Arial" w:hAnsi="Arial"/>
          <w:sz w:val="16"/>
          <w:szCs w:val="16"/>
          <w:u w:val="single" w:color="auto"/>
          <w:color w:val="auto"/>
        </w:rPr>
        <w:t>subsection (c)</w:t>
      </w:r>
      <w:r>
        <w:rPr>
          <w:rFonts w:ascii="Arial" w:cs="Arial" w:eastAsia="Arial" w:hAnsi="Arial"/>
          <w:sz w:val="16"/>
          <w:szCs w:val="16"/>
          <w:color w:val="auto"/>
        </w:rPr>
        <w:t xml:space="preserve"> are subject to the provisions of </w:t>
      </w:r>
      <w:r>
        <w:rPr>
          <w:rFonts w:ascii="Arial" w:cs="Arial" w:eastAsia="Arial" w:hAnsi="Arial"/>
          <w:sz w:val="16"/>
          <w:szCs w:val="16"/>
          <w:u w:val="single" w:color="auto"/>
          <w:color w:val="auto"/>
        </w:rPr>
        <w:t>Section 2.12(d)</w:t>
      </w:r>
      <w:r>
        <w:rPr>
          <w:rFonts w:ascii="Arial" w:cs="Arial" w:eastAsia="Arial" w:hAnsi="Arial"/>
          <w:sz w:val="16"/>
          <w:szCs w:val="16"/>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60" w:top="280" w:right="239" w:bottom="1440" w:gutter="0" w:footer="0" w:header="0"/>
        </w:sectPr>
      </w:pPr>
    </w:p>
    <w:bookmarkStart w:id="214" w:name="page215"/>
    <w:bookmarkEnd w:id="214"/>
    <w:p>
      <w:pPr>
        <w:ind w:right="40" w:firstLine="464"/>
        <w:spacing w:after="0" w:line="289" w:lineRule="auto"/>
        <w:tabs>
          <w:tab w:leader="none" w:pos="705"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 of Consequential Damages, Etc.</w:t>
      </w:r>
      <w:r>
        <w:rPr>
          <w:rFonts w:ascii="Arial" w:cs="Arial" w:eastAsia="Arial" w:hAnsi="Arial"/>
          <w:sz w:val="16"/>
          <w:szCs w:val="16"/>
          <w:color w:val="auto"/>
        </w:rPr>
        <w:t xml:space="preserve">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18" w:lineRule="exact"/>
        <w:rPr>
          <w:rFonts w:ascii="Arial" w:cs="Arial" w:eastAsia="Arial" w:hAnsi="Arial"/>
          <w:sz w:val="16"/>
          <w:szCs w:val="16"/>
          <w:color w:val="auto"/>
        </w:rPr>
      </w:pPr>
    </w:p>
    <w:p>
      <w:pPr>
        <w:ind w:left="700" w:hanging="236"/>
        <w:spacing w:after="0"/>
        <w:tabs>
          <w:tab w:leader="none" w:pos="70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171" w:lineRule="exact"/>
        <w:rPr>
          <w:rFonts w:ascii="Arial" w:cs="Arial" w:eastAsia="Arial" w:hAnsi="Arial"/>
          <w:sz w:val="18"/>
          <w:szCs w:val="18"/>
          <w:color w:val="auto"/>
        </w:rPr>
      </w:pPr>
    </w:p>
    <w:p>
      <w:pPr>
        <w:jc w:val="both"/>
        <w:ind w:firstLine="464"/>
        <w:spacing w:after="0" w:line="259" w:lineRule="auto"/>
        <w:tabs>
          <w:tab w:leader="none" w:pos="676"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Section and the indemnity provisions of </w:t>
      </w:r>
      <w:r>
        <w:rPr>
          <w:rFonts w:ascii="Arial" w:cs="Arial" w:eastAsia="Arial" w:hAnsi="Arial"/>
          <w:sz w:val="18"/>
          <w:szCs w:val="18"/>
          <w:u w:val="single" w:color="auto"/>
          <w:color w:val="auto"/>
        </w:rPr>
        <w:t>Section 11.02(e)</w:t>
      </w:r>
      <w:r>
        <w:rPr>
          <w:rFonts w:ascii="Arial" w:cs="Arial" w:eastAsia="Arial" w:hAnsi="Arial"/>
          <w:sz w:val="18"/>
          <w:szCs w:val="18"/>
          <w:color w:val="auto"/>
        </w:rPr>
        <w:t xml:space="preserve"> shall survive the resignation of the Administrative Agent, the L/C Issuer and the Swing Line Lender, the replacement of any Lender, the termination of the Aggregate Revolving Commitments and the repayment, satisfaction or discharge of all the other Obligations.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Payments Set Aside</w:t>
      </w:r>
      <w:r>
        <w:rPr>
          <w:rFonts w:ascii="Arial" w:cs="Arial" w:eastAsia="Arial" w:hAnsi="Arial"/>
          <w:sz w:val="18"/>
          <w:szCs w:val="18"/>
          <w:color w:val="auto"/>
        </w:rPr>
        <w:t>.</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the extent that any payment by or on behalf of any Loan Party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71" w:lineRule="exact"/>
        <w:rPr>
          <w:sz w:val="20"/>
          <w:szCs w:val="20"/>
          <w:color w:val="auto"/>
        </w:rPr>
      </w:pPr>
    </w:p>
    <w:p>
      <w:pPr>
        <w:ind w:firstLine="464"/>
        <w:spacing w:after="0" w:line="288" w:lineRule="auto"/>
        <w:tabs>
          <w:tab w:leader="none" w:pos="695"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and the other Loan Documents shall be binding upon and inure to the benefit of the parties hereto and thereto and their respective successors and assigns permitted hereby, except that the Borrower may not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40"/>
          </w:cols>
          <w:pgMar w:left="240" w:top="280" w:right="319" w:bottom="1440" w:gutter="0" w:footer="0" w:header="0"/>
        </w:sectPr>
      </w:pPr>
    </w:p>
    <w:bookmarkStart w:id="215" w:name="page216"/>
    <w:bookmarkEnd w:id="215"/>
    <w:p>
      <w:pPr>
        <w:ind w:left="-40" w:right="500" w:firstLine="464"/>
        <w:spacing w:after="0" w:line="256" w:lineRule="auto"/>
        <w:tabs>
          <w:tab w:leader="none" w:pos="665"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in Swing Line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with respect to any credit facility) any such assignment shall be subject to the following conditions:</w:t>
      </w:r>
    </w:p>
    <w:p>
      <w:pPr>
        <w:spacing w:after="0" w:line="62" w:lineRule="exact"/>
        <w:rPr>
          <w:rFonts w:ascii="Arial" w:cs="Arial" w:eastAsia="Arial" w:hAnsi="Arial"/>
          <w:sz w:val="18"/>
          <w:szCs w:val="18"/>
          <w:color w:val="auto"/>
        </w:rPr>
      </w:pPr>
    </w:p>
    <w:p>
      <w:pPr>
        <w:ind w:left="1100" w:hanging="219"/>
        <w:spacing w:after="0"/>
        <w:tabs>
          <w:tab w:leader="none" w:pos="1100" w:val="left"/>
        </w:tabs>
        <w:numPr>
          <w:ilvl w:val="1"/>
          <w:numId w:val="207"/>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880" w:right="160" w:firstLine="421"/>
        <w:spacing w:after="0" w:line="298" w:lineRule="auto"/>
        <w:tabs>
          <w:tab w:leader="none" w:pos="1587" w:val="left"/>
        </w:tabs>
        <w:numPr>
          <w:ilvl w:val="2"/>
          <w:numId w:val="207"/>
        </w:numPr>
        <w:rPr>
          <w:rFonts w:ascii="Arial" w:cs="Arial" w:eastAsia="Arial" w:hAnsi="Arial"/>
          <w:sz w:val="16"/>
          <w:szCs w:val="16"/>
          <w:color w:val="auto"/>
        </w:rPr>
      </w:pPr>
      <w:r>
        <w:rPr>
          <w:rFonts w:ascii="Arial" w:cs="Arial" w:eastAsia="Arial" w:hAnsi="Arial"/>
          <w:sz w:val="16"/>
          <w:szCs w:val="16"/>
          <w:color w:val="auto"/>
        </w:rPr>
        <w:t xml:space="preserve">in the case of an assignment of the entire remaining amount of the assigning Lender’s Commitment under any credit facility provided hereunder and/or the Loans at the time owing to it (in each case with respect to any credit facility provided hereunder) or contemporaneous assignments to related Approved Funds that equal at least the amount specified in </w:t>
      </w:r>
      <w:r>
        <w:rPr>
          <w:rFonts w:ascii="Arial" w:cs="Arial" w:eastAsia="Arial" w:hAnsi="Arial"/>
          <w:sz w:val="16"/>
          <w:szCs w:val="16"/>
          <w:u w:val="single" w:color="auto"/>
          <w:color w:val="auto"/>
        </w:rPr>
        <w:t>paragraph (b)(i)(B)</w:t>
      </w:r>
      <w:r>
        <w:rPr>
          <w:rFonts w:ascii="Arial" w:cs="Arial" w:eastAsia="Arial" w:hAnsi="Arial"/>
          <w:sz w:val="16"/>
          <w:szCs w:val="16"/>
          <w:color w:val="auto"/>
        </w:rPr>
        <w:t xml:space="preserve"> of this Section in the aggregate or in the case of an assignment to a Lender, an Affiliate of a Lender or an Approved Fund, no minimum amount need be assigned; and</w:t>
      </w:r>
    </w:p>
    <w:p>
      <w:pPr>
        <w:spacing w:after="0" w:line="31" w:lineRule="exact"/>
        <w:rPr>
          <w:rFonts w:ascii="Arial" w:cs="Arial" w:eastAsia="Arial" w:hAnsi="Arial"/>
          <w:sz w:val="16"/>
          <w:szCs w:val="16"/>
          <w:color w:val="auto"/>
        </w:rPr>
      </w:pPr>
    </w:p>
    <w:p>
      <w:pPr>
        <w:ind w:left="880" w:firstLine="421"/>
        <w:spacing w:after="0" w:line="290" w:lineRule="auto"/>
        <w:tabs>
          <w:tab w:leader="none" w:pos="1578" w:val="left"/>
        </w:tabs>
        <w:numPr>
          <w:ilvl w:val="2"/>
          <w:numId w:val="207"/>
        </w:numPr>
        <w:rPr>
          <w:rFonts w:ascii="Arial" w:cs="Arial" w:eastAsia="Arial" w:hAnsi="Arial"/>
          <w:sz w:val="16"/>
          <w:szCs w:val="16"/>
          <w:color w:val="auto"/>
        </w:rPr>
      </w:pPr>
      <w:r>
        <w:rPr>
          <w:rFonts w:ascii="Arial" w:cs="Arial" w:eastAsia="Arial" w:hAnsi="Arial"/>
          <w:sz w:val="16"/>
          <w:szCs w:val="16"/>
          <w:color w:val="auto"/>
        </w:rPr>
        <w:t xml:space="preserve">in any case not described in </w:t>
      </w:r>
      <w:r>
        <w:rPr>
          <w:rFonts w:ascii="Arial" w:cs="Arial" w:eastAsia="Arial" w:hAnsi="Arial"/>
          <w:sz w:val="16"/>
          <w:szCs w:val="16"/>
          <w:u w:val="single" w:color="auto"/>
          <w:color w:val="auto"/>
        </w:rPr>
        <w:t>subsection (b)(i)(A)</w:t>
      </w:r>
      <w:r>
        <w:rPr>
          <w:rFonts w:ascii="Arial" w:cs="Arial" w:eastAsia="Arial" w:hAnsi="Arial"/>
          <w:sz w:val="16"/>
          <w:szCs w:val="16"/>
          <w:color w:val="auto"/>
        </w:rPr>
        <w:t xml:space="preserve">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provided hereunder, or $1,000,000, in the case of any assignment in respect of the term loan facility provided hereunder, unless each of the Administrative Agent and, so long as no Event of Default has occurred and is continuing, the Borrower otherwise consents (each such consent not to be unreasonably withheld or delayed).</w:t>
      </w:r>
    </w:p>
    <w:p>
      <w:pPr>
        <w:spacing w:after="0" w:line="37" w:lineRule="exact"/>
        <w:rPr>
          <w:sz w:val="20"/>
          <w:szCs w:val="20"/>
          <w:color w:val="auto"/>
        </w:rPr>
      </w:pPr>
    </w:p>
    <w:p>
      <w:pPr>
        <w:ind w:left="420" w:right="160" w:firstLine="443"/>
        <w:spacing w:after="0" w:line="255" w:lineRule="auto"/>
        <w:tabs>
          <w:tab w:leader="none" w:pos="1116"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clause (ii) shall not (A) apply to the Swing Line Lender’s rights and obligations in respect of Swing Line Loans or (B) prohibit any Lender from assigning all or a portion of its rights and obligations among the revolving credit facility provided hereunder and any separate revolving credit or term loan facilities provided pursuant to the last paragraph of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on a non-pro rata basis;</w:t>
      </w:r>
    </w:p>
    <w:p>
      <w:pPr>
        <w:spacing w:after="0" w:line="61" w:lineRule="exact"/>
        <w:rPr>
          <w:rFonts w:ascii="Arial" w:cs="Arial" w:eastAsia="Arial" w:hAnsi="Arial"/>
          <w:sz w:val="18"/>
          <w:szCs w:val="18"/>
          <w:color w:val="auto"/>
        </w:rPr>
      </w:pPr>
    </w:p>
    <w:p>
      <w:pPr>
        <w:ind w:left="1160" w:hanging="297"/>
        <w:spacing w:after="0"/>
        <w:tabs>
          <w:tab w:leader="none" w:pos="1160"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Required Consents</w:t>
      </w:r>
      <w:r>
        <w:rPr>
          <w:rFonts w:ascii="Arial" w:cs="Arial" w:eastAsia="Arial" w:hAnsi="Arial"/>
          <w:sz w:val="16"/>
          <w:szCs w:val="16"/>
          <w:color w:val="auto"/>
        </w:rPr>
        <w:t>. No consent shall be required for any assignment except to the extent required by subsection (b)(i)(B) of this Section and, in</w:t>
      </w:r>
    </w:p>
    <w:p>
      <w:pPr>
        <w:spacing w:after="0" w:line="38"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addition:</w:t>
      </w:r>
    </w:p>
    <w:p>
      <w:pPr>
        <w:spacing w:after="0" w:line="83" w:lineRule="exact"/>
        <w:rPr>
          <w:rFonts w:ascii="Arial" w:cs="Arial" w:eastAsia="Arial" w:hAnsi="Arial"/>
          <w:sz w:val="16"/>
          <w:szCs w:val="16"/>
          <w:color w:val="auto"/>
        </w:rPr>
      </w:pPr>
    </w:p>
    <w:p>
      <w:pPr>
        <w:ind w:left="880" w:right="20" w:firstLine="421"/>
        <w:spacing w:after="0" w:line="298" w:lineRule="auto"/>
        <w:tabs>
          <w:tab w:leader="none" w:pos="1587" w:val="left"/>
        </w:tabs>
        <w:numPr>
          <w:ilvl w:val="1"/>
          <w:numId w:val="208"/>
        </w:numPr>
        <w:rPr>
          <w:rFonts w:ascii="Arial" w:cs="Arial" w:eastAsia="Arial" w:hAnsi="Arial"/>
          <w:sz w:val="16"/>
          <w:szCs w:val="16"/>
          <w:color w:val="auto"/>
        </w:rPr>
      </w:pPr>
      <w:r>
        <w:rPr>
          <w:rFonts w:ascii="Arial" w:cs="Arial" w:eastAsia="Arial" w:hAnsi="Arial"/>
          <w:sz w:val="16"/>
          <w:szCs w:val="16"/>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be deemed to have consented to any such assignment unless it shall object thereto by written notice to the Administrative Agent within five (5) Business Days after having received written notice thereof</w:t>
      </w:r>
      <w:r>
        <w:rPr>
          <w:rFonts w:ascii="Arial" w:cs="Arial" w:eastAsia="Arial" w:hAnsi="Arial"/>
          <w:sz w:val="16"/>
          <w:szCs w:val="16"/>
          <w:b w:val="1"/>
          <w:bCs w:val="1"/>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80" w:top="280" w:right="259" w:bottom="1440" w:gutter="0" w:footer="0" w:header="0"/>
        </w:sectPr>
      </w:pPr>
    </w:p>
    <w:bookmarkStart w:id="216" w:name="page217"/>
    <w:bookmarkEnd w:id="216"/>
    <w:p>
      <w:pPr>
        <w:jc w:val="both"/>
        <w:ind w:left="920" w:right="260" w:firstLine="421"/>
        <w:spacing w:after="0" w:line="298" w:lineRule="auto"/>
        <w:tabs>
          <w:tab w:leader="none" w:pos="1618" w:val="left"/>
        </w:tabs>
        <w:numPr>
          <w:ilvl w:val="2"/>
          <w:numId w:val="2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consent of the Administrative Agent (such consent not to be unreasonably withheld or delayed) shall be required for assignments in respect of (1) any unfunded Term Loan Commitment or any Revolving Commitment if such assignment is to a Person that is not a Lender with a Commitment in respect of the applicable credit facility, an Affiliate of such Lender or an Approved Fund with respect to such Lender or (2) any Term Loan to a Person that is not a Lender, an Affiliate of a Lender or an Approved Fund; and</w:t>
      </w:r>
    </w:p>
    <w:p>
      <w:pPr>
        <w:spacing w:after="0" w:line="31" w:lineRule="exact"/>
        <w:rPr>
          <w:rFonts w:ascii="Arial" w:cs="Arial" w:eastAsia="Arial" w:hAnsi="Arial"/>
          <w:sz w:val="16"/>
          <w:szCs w:val="16"/>
          <w:color w:val="auto"/>
        </w:rPr>
      </w:pPr>
    </w:p>
    <w:p>
      <w:pPr>
        <w:ind w:left="920" w:right="320" w:firstLine="421"/>
        <w:spacing w:after="0" w:line="268" w:lineRule="auto"/>
        <w:tabs>
          <w:tab w:leader="none" w:pos="1618" w:val="left"/>
        </w:tabs>
        <w:numPr>
          <w:ilvl w:val="2"/>
          <w:numId w:val="209"/>
        </w:numPr>
        <w:rPr>
          <w:rFonts w:ascii="Arial" w:cs="Arial" w:eastAsia="Arial" w:hAnsi="Arial"/>
          <w:sz w:val="18"/>
          <w:szCs w:val="18"/>
          <w:color w:val="auto"/>
        </w:rPr>
      </w:pPr>
      <w:r>
        <w:rPr>
          <w:rFonts w:ascii="Arial" w:cs="Arial" w:eastAsia="Arial" w:hAnsi="Arial"/>
          <w:sz w:val="18"/>
          <w:szCs w:val="18"/>
          <w:color w:val="auto"/>
        </w:rPr>
        <w:t>the consent of the L/C Issuer and the Swing Line Lender shall be required for any assignment in respect of the revolving credit facility provided hereunder.</w:t>
      </w:r>
    </w:p>
    <w:p>
      <w:pPr>
        <w:spacing w:after="0" w:line="50" w:lineRule="exact"/>
        <w:rPr>
          <w:rFonts w:ascii="Arial" w:cs="Arial" w:eastAsia="Arial" w:hAnsi="Arial"/>
          <w:sz w:val="18"/>
          <w:szCs w:val="18"/>
          <w:color w:val="auto"/>
        </w:rPr>
      </w:pPr>
    </w:p>
    <w:p>
      <w:pPr>
        <w:ind w:left="460" w:right="320" w:firstLine="443"/>
        <w:spacing w:after="0" w:line="256" w:lineRule="auto"/>
        <w:tabs>
          <w:tab w:leader="none" w:pos="1195"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210"/>
        </w:numPr>
        <w:rPr>
          <w:rFonts w:ascii="Arial" w:cs="Arial" w:eastAsia="Arial" w:hAnsi="Arial"/>
          <w:sz w:val="16"/>
          <w:szCs w:val="16"/>
          <w:color w:val="auto"/>
        </w:rPr>
      </w:pPr>
      <w:r>
        <w:rPr>
          <w:rFonts w:ascii="Arial" w:cs="Arial" w:eastAsia="Arial" w:hAnsi="Arial"/>
          <w:sz w:val="16"/>
          <w:szCs w:val="16"/>
          <w:u w:val="single" w:color="auto"/>
          <w:color w:val="auto"/>
        </w:rPr>
        <w:t>No Assignment to Certain Persons</w:t>
      </w:r>
      <w:r>
        <w:rPr>
          <w:rFonts w:ascii="Arial" w:cs="Arial" w:eastAsia="Arial" w:hAnsi="Arial"/>
          <w:sz w:val="16"/>
          <w:szCs w:val="16"/>
          <w:color w:val="auto"/>
        </w:rPr>
        <w:t>. No such assignment shall be made (A) to the Borrower or any of the Borrower’s Affiliates or Subsidiaries,</w:t>
      </w:r>
    </w:p>
    <w:p>
      <w:pPr>
        <w:spacing w:after="0" w:line="38" w:lineRule="exact"/>
        <w:rPr>
          <w:rFonts w:ascii="Arial" w:cs="Arial" w:eastAsia="Arial" w:hAnsi="Arial"/>
          <w:sz w:val="16"/>
          <w:szCs w:val="16"/>
          <w:color w:val="auto"/>
        </w:rPr>
      </w:pPr>
    </w:p>
    <w:p>
      <w:pPr>
        <w:ind w:left="460" w:right="380" w:firstLine="4"/>
        <w:spacing w:after="0" w:line="261" w:lineRule="auto"/>
        <w:tabs>
          <w:tab w:leader="none" w:pos="73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any Defaulting Lender or any of its Subsidiaries, or any Person who, upon becoming a Lender hereunder, would constitute any of the foregoing Persons described in this clause (B), or (C) to a natural Person.</w:t>
      </w:r>
    </w:p>
    <w:p>
      <w:pPr>
        <w:spacing w:after="0" w:line="56" w:lineRule="exact"/>
        <w:rPr>
          <w:rFonts w:ascii="Arial" w:cs="Arial" w:eastAsia="Arial" w:hAnsi="Arial"/>
          <w:sz w:val="18"/>
          <w:szCs w:val="18"/>
          <w:color w:val="auto"/>
        </w:rPr>
      </w:pPr>
    </w:p>
    <w:p>
      <w:pPr>
        <w:ind w:left="460" w:firstLine="443"/>
        <w:spacing w:after="0" w:line="286" w:lineRule="auto"/>
        <w:tabs>
          <w:tab w:leader="none" w:pos="1195" w:val="left"/>
        </w:tabs>
        <w:numPr>
          <w:ilvl w:val="1"/>
          <w:numId w:val="211"/>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27"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5"/>
          <w:szCs w:val="15"/>
          <w:u w:val="single" w:color="auto"/>
          <w:color w:val="auto"/>
        </w:rPr>
        <w:t>Sections 3.01</w:t>
      </w:r>
      <w:r>
        <w:rPr>
          <w:rFonts w:ascii="Arial" w:cs="Arial" w:eastAsia="Arial" w:hAnsi="Arial"/>
          <w:sz w:val="15"/>
          <w:szCs w:val="15"/>
          <w:color w:val="auto"/>
        </w:rPr>
        <w:t xml:space="preserve">, </w:t>
      </w:r>
      <w:r>
        <w:rPr>
          <w:rFonts w:ascii="Arial" w:cs="Arial" w:eastAsia="Arial" w:hAnsi="Arial"/>
          <w:sz w:val="15"/>
          <w:szCs w:val="15"/>
          <w:u w:val="single" w:color="auto"/>
          <w:color w:val="auto"/>
        </w:rPr>
        <w:t>3.04</w:t>
      </w:r>
      <w:r>
        <w:rPr>
          <w:rFonts w:ascii="Arial" w:cs="Arial" w:eastAsia="Arial" w:hAnsi="Arial"/>
          <w:sz w:val="15"/>
          <w:szCs w:val="15"/>
          <w:color w:val="auto"/>
        </w:rPr>
        <w:t xml:space="preserve">, </w:t>
      </w:r>
      <w:r>
        <w:rPr>
          <w:rFonts w:ascii="Arial" w:cs="Arial" w:eastAsia="Arial" w:hAnsi="Arial"/>
          <w:sz w:val="15"/>
          <w:szCs w:val="15"/>
          <w:u w:val="single" w:color="auto"/>
          <w:color w:val="auto"/>
        </w:rPr>
        <w:t>3.05</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11.04</w:t>
      </w:r>
      <w:r>
        <w:rPr>
          <w:rFonts w:ascii="Arial" w:cs="Arial" w:eastAsia="Arial" w:hAnsi="Arial"/>
          <w:sz w:val="15"/>
          <w:szCs w:val="15"/>
          <w:color w:val="auto"/>
        </w:rPr>
        <w:t xml:space="preserve"> with respect to facts and circumstances occurring prior to the effective date of such assignment); </w:t>
      </w:r>
      <w:r>
        <w:rPr>
          <w:rFonts w:ascii="Arial" w:cs="Arial" w:eastAsia="Arial" w:hAnsi="Arial"/>
          <w:sz w:val="15"/>
          <w:szCs w:val="15"/>
          <w:u w:val="single" w:color="auto"/>
          <w:color w:val="auto"/>
        </w:rPr>
        <w:t>provided</w:t>
      </w:r>
      <w:r>
        <w:rPr>
          <w:rFonts w:ascii="Arial" w:cs="Arial" w:eastAsia="Arial" w:hAnsi="Arial"/>
          <w:sz w:val="15"/>
          <w:szCs w:val="15"/>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80"/>
          </w:cols>
          <w:pgMar w:left="240" w:top="280" w:right="279" w:bottom="1440" w:gutter="0" w:footer="0" w:header="0"/>
        </w:sectPr>
      </w:pPr>
    </w:p>
    <w:bookmarkStart w:id="217" w:name="page218"/>
    <w:bookmarkEnd w:id="217"/>
    <w:p>
      <w:pPr>
        <w:ind w:right="40" w:firstLine="464"/>
        <w:spacing w:after="0" w:line="290" w:lineRule="auto"/>
        <w:tabs>
          <w:tab w:leader="none" w:pos="695"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Register</w:t>
      </w:r>
      <w:r>
        <w:rPr>
          <w:rFonts w:ascii="Arial" w:cs="Arial" w:eastAsia="Arial" w:hAnsi="Arial"/>
          <w:sz w:val="16"/>
          <w:szCs w:val="16"/>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18" w:lineRule="exact"/>
        <w:rPr>
          <w:rFonts w:ascii="Arial" w:cs="Arial" w:eastAsia="Arial" w:hAnsi="Arial"/>
          <w:sz w:val="16"/>
          <w:szCs w:val="16"/>
          <w:color w:val="auto"/>
        </w:rPr>
      </w:pPr>
    </w:p>
    <w:p>
      <w:pPr>
        <w:ind w:right="120" w:firstLine="464"/>
        <w:spacing w:after="0" w:line="289" w:lineRule="auto"/>
        <w:tabs>
          <w:tab w:leader="none" w:pos="705"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the Borrower or the Administrative Agent, sell participations to any Person (other than a natural Person, a Defaulting Lender or the Borrower or any of the Borrower’s Affiliates or Subsidiaries) (each,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6"/>
          <w:szCs w:val="16"/>
          <w:u w:val="single" w:color="auto"/>
          <w:color w:val="auto"/>
        </w:rPr>
        <w:t>Section 11.04(c)</w:t>
      </w:r>
      <w:r>
        <w:rPr>
          <w:rFonts w:ascii="Arial" w:cs="Arial" w:eastAsia="Arial" w:hAnsi="Arial"/>
          <w:sz w:val="16"/>
          <w:szCs w:val="16"/>
          <w:color w:val="auto"/>
        </w:rPr>
        <w:t xml:space="preserve"> without regard to the existence of any participation.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agreement or instrument pursuant to which a Lender sells such a participation shall provide that such Lender shall retain the sole right to enforce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such Lender will not, without the consent of the Participant, agree to any amendment, waiver or other modification described in the first proviso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Section 11.01</w:t>
      </w:r>
      <w:r>
        <w:rPr>
          <w:rFonts w:ascii="Arial" w:cs="Arial" w:eastAsia="Arial" w:hAnsi="Arial"/>
          <w:sz w:val="15"/>
          <w:szCs w:val="15"/>
          <w:color w:val="auto"/>
        </w:rPr>
        <w:t xml:space="preserve"> that affects such Participant. The Borrower agrees that each Participant shall be entitled to the benefits of </w:t>
      </w:r>
      <w:r>
        <w:rPr>
          <w:rFonts w:ascii="Arial" w:cs="Arial" w:eastAsia="Arial" w:hAnsi="Arial"/>
          <w:sz w:val="15"/>
          <w:szCs w:val="15"/>
          <w:u w:val="single" w:color="auto"/>
          <w:color w:val="auto"/>
        </w:rPr>
        <w:t>Sections 3.01</w:t>
      </w:r>
      <w:r>
        <w:rPr>
          <w:rFonts w:ascii="Arial" w:cs="Arial" w:eastAsia="Arial" w:hAnsi="Arial"/>
          <w:sz w:val="15"/>
          <w:szCs w:val="15"/>
          <w:color w:val="auto"/>
        </w:rPr>
        <w:t xml:space="preserve">, </w:t>
      </w:r>
      <w:r>
        <w:rPr>
          <w:rFonts w:ascii="Arial" w:cs="Arial" w:eastAsia="Arial" w:hAnsi="Arial"/>
          <w:sz w:val="15"/>
          <w:szCs w:val="15"/>
          <w:u w:val="single" w:color="auto"/>
          <w:color w:val="auto"/>
        </w:rPr>
        <w:t>3.04</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3.05</w:t>
      </w:r>
      <w:r>
        <w:rPr>
          <w:rFonts w:ascii="Arial" w:cs="Arial" w:eastAsia="Arial" w:hAnsi="Arial"/>
          <w:sz w:val="15"/>
          <w:szCs w:val="15"/>
          <w:color w:val="auto"/>
        </w:rPr>
        <w:t xml:space="preserve"> to the same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extent as if it were a Lender and had acquired its interest by assignment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 (it being understood that the documentation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required under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shall be delivered to the Lender who sells the participation) to the same extent as if it were a Lender and had acquired its interest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by assignment pursuant to paragraph (b) of this Section;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Participant (A) agrees to be subject to the provisions of </w:t>
      </w:r>
      <w:r>
        <w:rPr>
          <w:rFonts w:ascii="Arial" w:cs="Arial" w:eastAsia="Arial" w:hAnsi="Arial"/>
          <w:sz w:val="15"/>
          <w:szCs w:val="15"/>
          <w:u w:val="single" w:color="auto"/>
          <w:color w:val="auto"/>
        </w:rPr>
        <w:t>Sections 3.06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11.13</w:t>
      </w:r>
      <w:r>
        <w:rPr>
          <w:rFonts w:ascii="Arial" w:cs="Arial" w:eastAsia="Arial" w:hAnsi="Arial"/>
          <w:sz w:val="15"/>
          <w:szCs w:val="15"/>
          <w:color w:val="auto"/>
        </w:rPr>
        <w:t xml:space="preserve"> as if it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were an assignee under paragraph (b) of this Section and (B) shall not be entitled to receive any greater payment under </w:t>
      </w:r>
      <w:r>
        <w:rPr>
          <w:rFonts w:ascii="Arial" w:cs="Arial" w:eastAsia="Arial" w:hAnsi="Arial"/>
          <w:sz w:val="15"/>
          <w:szCs w:val="15"/>
          <w:u w:val="single" w:color="auto"/>
          <w:color w:val="auto"/>
        </w:rPr>
        <w:t>Sections 3.01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3.04</w:t>
      </w:r>
      <w:r>
        <w:rPr>
          <w:rFonts w:ascii="Arial" w:cs="Arial" w:eastAsia="Arial" w:hAnsi="Arial"/>
          <w:sz w:val="15"/>
          <w:szCs w:val="15"/>
          <w:color w:val="auto"/>
        </w:rPr>
        <w:t>, with respect to any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participation, than the Lender from whom it acquired the applicable participation would have been entitled to receive, except to the extent such entitlement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 a greater payment results from a Change in Law that occurs after the Participant acquired the applicable participation. Each Lender that sells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participation agrees, at the Borrower’s request and expense, to use reasonable efforts to cooperate with the Borrower to effectuate the provisions of </w:t>
      </w:r>
      <w:r>
        <w:rPr>
          <w:rFonts w:ascii="Arial" w:cs="Arial" w:eastAsia="Arial" w:hAnsi="Arial"/>
          <w:sz w:val="16"/>
          <w:szCs w:val="16"/>
          <w:u w:val="single" w:color="auto"/>
          <w:color w:val="auto"/>
        </w:rPr>
        <w:t>Section 3.06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with respect to any Participant. To the extent permitted by law, each Participant also shall be entitled to the benefits of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as though it were a Lender;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acting solely for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 as an agent of the Borrower, maintain a register on which it enters the name and address of each Participant and the principal amounts (and stated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of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obligation to disclose all or any portion of the Participant Register (including the identity of any Participant or any information relating to a Participant’s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in any commitments, loans, letters of credit or its other obligations under any Loan Document) to any Person except to the extent that such disclosure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necessary to establish that such commitment, loan, letter of credit or other obligation is in registered form under Section 5f.103-1(c) of the United States Treasury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Regulations. The entries in the Participant Register shall be conclusive absent manifest error, and such Lender shall treat each Person whose name is recorded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Participant Register as the owner of such participation for all purposes of this Agreement notwithstanding any notice to the contrary. For the avoidance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doubt, the Administrative Agent (in its capacity as Administrative Agent) shall have no responsibility for maintaining a Participant Register.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80" w:right="239" w:bottom="1440" w:gutter="0" w:footer="0" w:header="0"/>
        </w:sectPr>
      </w:pPr>
    </w:p>
    <w:bookmarkStart w:id="218" w:name="page219"/>
    <w:bookmarkEnd w:id="218"/>
    <w:p>
      <w:pPr>
        <w:ind w:left="-60" w:right="20" w:firstLine="464"/>
        <w:spacing w:after="0" w:line="256" w:lineRule="auto"/>
        <w:tabs>
          <w:tab w:leader="none" w:pos="635"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43" w:lineRule="exact"/>
        <w:rPr>
          <w:rFonts w:ascii="Arial" w:cs="Arial" w:eastAsia="Arial" w:hAnsi="Arial"/>
          <w:sz w:val="18"/>
          <w:szCs w:val="18"/>
          <w:color w:val="auto"/>
        </w:rPr>
      </w:pPr>
    </w:p>
    <w:p>
      <w:pPr>
        <w:ind w:left="-60" w:firstLine="464"/>
        <w:spacing w:after="0" w:line="285" w:lineRule="auto"/>
        <w:tabs>
          <w:tab w:leader="none" w:pos="616"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Resignation as L/C Issuer or Swing Line Lender after Assignment</w:t>
      </w:r>
      <w:r>
        <w:rPr>
          <w:rFonts w:ascii="Arial" w:cs="Arial" w:eastAsia="Arial" w:hAnsi="Arial"/>
          <w:sz w:val="16"/>
          <w:szCs w:val="16"/>
          <w:color w:val="auto"/>
        </w:rPr>
        <w:t xml:space="preserve">. Notwithstanding anything to the contrary contained herein, if at any time Bank of America assigns all of its Revolving Commitment and Revolving Loans pursuant to subsection (b) above, Bank of America may, (i) upon thirty days’ notice to the Borrower and the Lenders, resign as L/C Issuer and/or (ii) upon thirty days’ notice to the Borrower, resign as Swing Line Lender. In the event of any such resignation as L/C Issuer or Swing Line Lender, the Borrower shall be entitled to appoint from among the Lenders a successor L/C Issuer or Swing Line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the Borrower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of a successor L/C Issuer and/or Swing Line Lender, (1) such successor shall succeed to and become vested with all of the rights, powers, privileges and duties of the retiring L/C Issuer or Swing Line Lender, as the case may be, and (2)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20"/>
          </w:cols>
          <w:pgMar w:left="300" w:top="280" w:right="27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11.07 </w:t>
      </w:r>
      <w:r>
        <w:rPr>
          <w:rFonts w:ascii="Arial" w:cs="Arial" w:eastAsia="Arial" w:hAnsi="Arial"/>
          <w:sz w:val="18"/>
          <w:szCs w:val="18"/>
          <w:u w:val="single" w:color="auto"/>
          <w:color w:val="auto"/>
        </w:rPr>
        <w:t>Treatment of Certain Information; Confidentiality</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Each of the Administrative Agent, the Lenders and the L/C Issuer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w:t>
      </w:r>
    </w:p>
    <w:p>
      <w:pPr>
        <w:spacing w:after="0" w:line="2" w:lineRule="exact"/>
        <w:rPr>
          <w:sz w:val="20"/>
          <w:szCs w:val="20"/>
          <w:color w:val="auto"/>
        </w:rPr>
      </w:pPr>
    </w:p>
    <w:p>
      <w:pPr>
        <w:jc w:val="both"/>
        <w:ind w:right="220" w:firstLine="8"/>
        <w:spacing w:after="0" w:line="300" w:lineRule="auto"/>
        <w:tabs>
          <w:tab w:leader="none" w:pos="239" w:val="left"/>
        </w:tabs>
        <w:numPr>
          <w:ilvl w:val="0"/>
          <w:numId w:val="214"/>
        </w:numPr>
        <w:rPr>
          <w:rFonts w:ascii="Arial" w:cs="Arial" w:eastAsia="Arial" w:hAnsi="Arial"/>
          <w:sz w:val="15"/>
          <w:szCs w:val="15"/>
          <w:color w:val="auto"/>
        </w:rPr>
      </w:pPr>
      <w:r>
        <w:rPr>
          <w:rFonts w:ascii="Arial" w:cs="Arial" w:eastAsia="Arial" w:hAnsi="Arial"/>
          <w:sz w:val="15"/>
          <w:szCs w:val="15"/>
          <w:color w:val="auto"/>
        </w:rPr>
        <w:t>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w:t>
      </w:r>
    </w:p>
    <w:p>
      <w:pPr>
        <w:spacing w:after="0" w:line="1" w:lineRule="exact"/>
        <w:rPr>
          <w:rFonts w:ascii="Arial" w:cs="Arial" w:eastAsia="Arial" w:hAnsi="Arial"/>
          <w:sz w:val="15"/>
          <w:szCs w:val="15"/>
          <w:color w:val="auto"/>
        </w:rPr>
      </w:pPr>
    </w:p>
    <w:p>
      <w:pPr>
        <w:ind w:right="20" w:firstLine="8"/>
        <w:spacing w:after="0" w:line="286" w:lineRule="auto"/>
        <w:tabs>
          <w:tab w:leader="none" w:pos="258"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Borrower or (i) to the extent such Information (i) becomes publicly available other than as a result of a breach of this Section or (ii) becomes available to the Administrative Agent, any Lender, the L/C Issuer or any of their respective Affiliates on a nonconfidential basis from a source other than the Borrower. For purposes of this Section, “Information”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21"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Each of the Administrative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11.08 </w:t>
      </w:r>
      <w:r>
        <w:rPr>
          <w:rFonts w:ascii="Arial" w:cs="Arial" w:eastAsia="Arial" w:hAnsi="Arial"/>
          <w:sz w:val="18"/>
          <w:szCs w:val="18"/>
          <w:u w:val="single" w:color="auto"/>
          <w:color w:val="auto"/>
        </w:rPr>
        <w:t>Right of Setoff</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Loan Party against any and all of the obligations of such Loan Party now or hereafter existing under this Agreement or any other Loan Document to such Lender or the L/C Issuer or their respective Affiliates, irrespective of whether or not such Lender, the L/C Issuer or such Affiliate shall have made any demand under this Agreement or any other Loan Document and although such obligations of such Loan Party may be contingent or unmatured or are owed to a branch, office or Affiliate of such Lender or the L/C Issuer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80"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11.09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This Agreement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5.01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w:t>
      </w:r>
    </w:p>
    <w:p>
      <w:pPr>
        <w:spacing w:after="0" w:line="90" w:lineRule="exact"/>
        <w:rPr>
          <w:sz w:val="20"/>
          <w:szCs w:val="20"/>
          <w:color w:val="auto"/>
        </w:rPr>
      </w:pPr>
    </w:p>
    <w:p>
      <w:pPr>
        <w:ind w:right="340" w:firstLine="456"/>
        <w:spacing w:after="0" w:line="254" w:lineRule="auto"/>
        <w:rPr>
          <w:sz w:val="20"/>
          <w:szCs w:val="20"/>
          <w:color w:val="auto"/>
        </w:rPr>
      </w:pPr>
      <w:r>
        <w:rPr>
          <w:rFonts w:ascii="Arial" w:cs="Arial" w:eastAsia="Arial" w:hAnsi="Arial"/>
          <w:sz w:val="18"/>
          <w:szCs w:val="18"/>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6"/>
          <w:szCs w:val="16"/>
          <w:u w:val="single" w:color="auto"/>
          <w:color w:val="auto"/>
        </w:rPr>
        <w:t>Section 11.12</w:t>
      </w:r>
      <w:r>
        <w:rPr>
          <w:rFonts w:ascii="Arial" w:cs="Arial" w:eastAsia="Arial" w:hAnsi="Arial"/>
          <w:sz w:val="16"/>
          <w:szCs w:val="16"/>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80"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11.13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w:t>
      </w:r>
    </w:p>
    <w:p>
      <w:pPr>
        <w:spacing w:after="0" w:line="90"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 xml:space="preserve">If the Borrower is entitled to replace a Lender pursuant to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all of its interests, rights (other than its existing rights to payments pursuant to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3.04</w:t>
      </w:r>
      <w:r>
        <w:rPr>
          <w:rFonts w:ascii="Arial" w:cs="Arial" w:eastAsia="Arial" w:hAnsi="Arial"/>
          <w:sz w:val="16"/>
          <w:szCs w:val="16"/>
          <w:color w:val="auto"/>
        </w:rPr>
        <w:t>) and obligations under this Agreement and the related Loan Documents to an Eligible Assignee that shall assume such obligations (which assignee may be another Lender, if a Lender accepts such assignment), provided that:</w:t>
      </w:r>
    </w:p>
    <w:p>
      <w:pPr>
        <w:spacing w:after="0" w:line="35" w:lineRule="exact"/>
        <w:rPr>
          <w:sz w:val="20"/>
          <w:szCs w:val="20"/>
          <w:color w:val="auto"/>
        </w:rPr>
      </w:pPr>
    </w:p>
    <w:p>
      <w:pPr>
        <w:ind w:left="700" w:hanging="236"/>
        <w:spacing w:after="0"/>
        <w:tabs>
          <w:tab w:leader="none" w:pos="7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(if any)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jc w:val="both"/>
        <w:ind w:left="460" w:right="360" w:firstLine="4"/>
        <w:spacing w:after="0" w:line="306" w:lineRule="auto"/>
        <w:tabs>
          <w:tab w:leader="none" w:pos="709"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6"/>
          <w:szCs w:val="16"/>
          <w:u w:val="single" w:color="auto"/>
          <w:color w:val="auto"/>
        </w:rPr>
        <w:t>Section 3.05</w:t>
      </w:r>
      <w:r>
        <w:rPr>
          <w:rFonts w:ascii="Arial" w:cs="Arial" w:eastAsia="Arial" w:hAnsi="Arial"/>
          <w:sz w:val="16"/>
          <w:szCs w:val="16"/>
          <w:color w:val="auto"/>
        </w:rPr>
        <w:t>) from the assignee (to the extent of such outstanding principal and accrued interest and fees) or the Borrower (in the case of all other amounts);</w:t>
      </w:r>
    </w:p>
    <w:p>
      <w:pPr>
        <w:spacing w:after="0" w:line="106" w:lineRule="exact"/>
        <w:rPr>
          <w:rFonts w:ascii="Arial" w:cs="Arial" w:eastAsia="Arial" w:hAnsi="Arial"/>
          <w:sz w:val="16"/>
          <w:szCs w:val="16"/>
          <w:color w:val="auto"/>
        </w:rPr>
      </w:pPr>
    </w:p>
    <w:p>
      <w:pPr>
        <w:ind w:left="460" w:right="840" w:firstLine="4"/>
        <w:spacing w:after="0" w:line="268" w:lineRule="auto"/>
        <w:tabs>
          <w:tab w:leader="none" w:pos="69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90" w:lineRule="exact"/>
        <w:rPr>
          <w:rFonts w:ascii="Arial" w:cs="Arial" w:eastAsia="Arial" w:hAnsi="Arial"/>
          <w:sz w:val="18"/>
          <w:szCs w:val="18"/>
          <w:color w:val="auto"/>
        </w:rPr>
      </w:pPr>
    </w:p>
    <w:p>
      <w:pPr>
        <w:ind w:left="460" w:firstLine="4"/>
        <w:spacing w:after="0" w:line="268" w:lineRule="auto"/>
        <w:tabs>
          <w:tab w:leader="none" w:pos="699"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the case of an assignment resulting from a Lender becoming a Non-Consenting Lender, the applicable assignee shall have consented to the applicable amendment, waiver or consent.</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w:t>
      </w:r>
    </w:p>
    <w:p>
      <w:pPr>
        <w:spacing w:after="0" w:line="90" w:lineRule="exact"/>
        <w:rPr>
          <w:sz w:val="20"/>
          <w:szCs w:val="20"/>
          <w:color w:val="auto"/>
        </w:rPr>
      </w:pPr>
    </w:p>
    <w:p>
      <w:pPr>
        <w:ind w:right="20" w:firstLine="464"/>
        <w:spacing w:after="0" w:line="255" w:lineRule="auto"/>
        <w:tabs>
          <w:tab w:leader="none" w:pos="695"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280" w:right="279" w:bottom="1440" w:gutter="0" w:footer="0" w:header="0"/>
        </w:sectPr>
      </w:pPr>
    </w:p>
    <w:bookmarkStart w:id="222" w:name="page223"/>
    <w:bookmarkEnd w:id="222"/>
    <w:p>
      <w:pPr>
        <w:ind w:firstLine="464"/>
        <w:spacing w:after="0" w:line="285" w:lineRule="auto"/>
        <w:tabs>
          <w:tab w:leader="none" w:pos="705"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SUBMISSION TO JURISDICTION</w:t>
      </w:r>
      <w:r>
        <w:rPr>
          <w:rFonts w:ascii="Arial" w:cs="Arial" w:eastAsia="Arial" w:hAnsi="Arial"/>
          <w:sz w:val="16"/>
          <w:szCs w:val="16"/>
          <w:color w:val="auto"/>
        </w:rPr>
        <w:t>. EACH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LOAN PARTY OR ITS PROPERTIES IN THE COURTS OF ANY JURISDICTION.</w:t>
      </w:r>
    </w:p>
    <w:p>
      <w:pPr>
        <w:spacing w:after="0" w:line="128" w:lineRule="exact"/>
        <w:rPr>
          <w:rFonts w:ascii="Arial" w:cs="Arial" w:eastAsia="Arial" w:hAnsi="Arial"/>
          <w:sz w:val="16"/>
          <w:szCs w:val="16"/>
          <w:color w:val="auto"/>
        </w:rPr>
      </w:pPr>
    </w:p>
    <w:p>
      <w:pPr>
        <w:ind w:right="20" w:firstLine="464"/>
        <w:spacing w:after="0" w:line="254" w:lineRule="auto"/>
        <w:tabs>
          <w:tab w:leader="none" w:pos="695"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44"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280" w:right="27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11.16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the Arranger and the Lenders are arm’s-length commercial transactions between the Loan Parties and their respective Affiliates, on the one hand, and the Administrative Agent, the Arranger and the Lenders, on the other hand, (B) each of the Loan Parties has consulted its own legal, accounting, regulatory and tax advisors to the extent it has deemed appropriate, and (C) each of the Loan Parties is capable of evaluating, and understands and accepts, the terms, risks and conditions of the transactions contemplated hereby and by the other Loan Documents;</w:t>
      </w:r>
    </w:p>
    <w:p>
      <w:pPr>
        <w:spacing w:after="0" w:line="1" w:lineRule="exact"/>
        <w:rPr>
          <w:sz w:val="20"/>
          <w:szCs w:val="20"/>
          <w:color w:val="auto"/>
        </w:rPr>
      </w:pPr>
    </w:p>
    <w:p>
      <w:pPr>
        <w:ind w:firstLine="8"/>
        <w:spacing w:after="0" w:line="287" w:lineRule="auto"/>
        <w:tabs>
          <w:tab w:leader="none" w:pos="258"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 the Administrative Agent, the Arranger and the Lenders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the Arranger nor any Lender has any obligation to the Loan Parties or any of their respective Affiliates with respect to the transactions contemplated hereby except those obligations expressly set forth herein and in the other Loan Documents; and (iii) the Administrative Agent, the Arranger, the Lenders and their respective Affiliates may be engaged in a broad range of transactions that involve interests that differ from those of the Loan Parties and their respective Affiliates, and neither the Administrative Agent, the Arranger nor any Lender has any obligation to disclose any of such interests to the Loan Parties and their respective Affiliates. To the fullest extent permitted by Law, each of the Loan Parties hereby waives and releases any claims that it may have against the Administrative Agent, the Arranger or any Lender with respect to any breach or alleged breach of agency or fiduciary duty in connection with any aspect of any transaction contemplated hereby.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11.17 </w:t>
      </w:r>
      <w:r>
        <w:rPr>
          <w:rFonts w:ascii="Arial" w:cs="Arial" w:eastAsia="Arial" w:hAnsi="Arial"/>
          <w:sz w:val="18"/>
          <w:szCs w:val="18"/>
          <w:u w:val="single" w:color="auto"/>
          <w:color w:val="auto"/>
        </w:rPr>
        <w:t>Electronic Execution of Assignments and Certain Other Documents</w:t>
      </w:r>
      <w:r>
        <w:rPr>
          <w:rFonts w:ascii="Arial" w:cs="Arial" w:eastAsia="Arial" w:hAnsi="Arial"/>
          <w:sz w:val="18"/>
          <w:szCs w:val="18"/>
          <w:color w:val="auto"/>
        </w:rPr>
        <w:t>.</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words “execute” “execution,” “signed,” “signature,” and words of like import in any Assignment and Assumption or in any amendment or other modification hereof (including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u w:val="single" w:color="auto"/>
          <w:color w:val="auto"/>
        </w:rPr>
        <w:t>Subordination of Intercompany Indebtedness</w:t>
      </w:r>
      <w:r>
        <w:rPr>
          <w:rFonts w:ascii="Arial" w:cs="Arial" w:eastAsia="Arial" w:hAnsi="Arial"/>
          <w:sz w:val="18"/>
          <w:szCs w:val="18"/>
          <w:color w:val="auto"/>
        </w:rPr>
        <w:t>.</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Each Loan Party (a “</w:t>
      </w:r>
      <w:r>
        <w:rPr>
          <w:rFonts w:ascii="Arial" w:cs="Arial" w:eastAsia="Arial" w:hAnsi="Arial"/>
          <w:sz w:val="16"/>
          <w:szCs w:val="16"/>
          <w:u w:val="single" w:color="auto"/>
          <w:color w:val="auto"/>
        </w:rPr>
        <w:t>Subordinating Loan Party</w:t>
      </w:r>
      <w:r>
        <w:rPr>
          <w:rFonts w:ascii="Arial" w:cs="Arial" w:eastAsia="Arial" w:hAnsi="Arial"/>
          <w:sz w:val="16"/>
          <w:szCs w:val="16"/>
          <w:color w:val="auto"/>
        </w:rPr>
        <w:t xml:space="preserve">”) agrees that the payment of all obligations and indebtedness, whether principal, interest, fees and other amounts and whether now owing or hereafter arising, owing to such Subordinating Loan Party by any other Loan Party is expressly subordinated to the payment in full in cash of the Obligations. If the Administrative Agent so requests, any such obligation or indebtedness shall be enforced and performance received by the Subordinating Loan Party as trustee for the holders of the Obligations and the proceeds thereof shall be paid over to the holders of the Obligations on account of the Obligations, but without reducing or affecting in any manner the liability of the Subordinating Loan Party under this Agreement or any other Loan Document. Without limitation of the foregoing, so long as no Default has occurred and is continuing, the Loan Parties may make and receive payments with respect to any such obligations and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event that any Loan Party receives any payment of any such obligations and indebtedness at a time when such payment is prohibited by this Section, such payment shall be held by such Loan Party, in trust for the benefit of, and shall be paid forthwith over and delivered, upon written request, to the Administrative Agent.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280" w:right="2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11.19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Each Lender that is subject to the Act (as hereinafter defined) and the Administrative Agent (for itself and not on behalf of any Lender) hereby notifies the Loan Parties that pursuant to the requirements of the USA PATRIOT Act (Title III of Pub. L. 107-56 (signed into law October 26, 2001)) (the “</w:t>
      </w:r>
      <w:r>
        <w:rPr>
          <w:rFonts w:ascii="Arial" w:cs="Arial" w:eastAsia="Arial" w:hAnsi="Arial"/>
          <w:sz w:val="18"/>
          <w:szCs w:val="18"/>
          <w:u w:val="single" w:color="auto"/>
          <w:color w:val="auto"/>
        </w:rPr>
        <w:t>Act</w:t>
      </w:r>
      <w:r>
        <w:rPr>
          <w:rFonts w:ascii="Arial" w:cs="Arial" w:eastAsia="Arial" w:hAnsi="Arial"/>
          <w:sz w:val="18"/>
          <w:szCs w:val="18"/>
          <w:color w:val="auto"/>
        </w:rPr>
        <w:t>”), it is required to obtain, verify and record information that identifies the Loan Parties, which information includes the name and address of the Loan Parties and other information that will allow such Lender or the Administrative Agent, as applicable, to identify the Loan Parties in accordance with the Act. The Loan Parties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60"/>
          </w:cols>
          <w:pgMar w:left="240" w:top="280" w:right="29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i w:val="1"/>
          <w:iCs w:val="1"/>
          <w:color w:val="auto"/>
        </w:rPr>
        <w:t>,</w:t>
      </w:r>
      <w:r>
        <w:rPr>
          <w:rFonts w:ascii="Arial" w:cs="Arial" w:eastAsia="Arial" w:hAnsi="Arial"/>
          <w:sz w:val="18"/>
          <w:szCs w:val="18"/>
          <w:color w:val="auto"/>
        </w:rPr>
        <w:t xml:space="preserve"> the parties hereto have caused this Credit Agreement to be duly executed as of the date first above written.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BORROWER:</w:t>
            </w:r>
          </w:p>
        </w:tc>
        <w:tc>
          <w:tcPr>
            <w:tcW w:w="8540" w:type="dxa"/>
            <w:vAlign w:val="bottom"/>
            <w:gridSpan w:val="2"/>
          </w:tcPr>
          <w:p>
            <w:pPr>
              <w:ind w:left="3040"/>
              <w:spacing w:after="0"/>
              <w:rPr>
                <w:sz w:val="20"/>
                <w:szCs w:val="20"/>
                <w:color w:val="auto"/>
              </w:rPr>
            </w:pPr>
            <w:r>
              <w:rPr>
                <w:rFonts w:ascii="Arial" w:cs="Arial" w:eastAsia="Arial" w:hAnsi="Arial"/>
                <w:sz w:val="18"/>
                <w:szCs w:val="18"/>
                <w:color w:val="auto"/>
              </w:rPr>
              <w:t>GRAND CANYON EDUCATION, INC.,</w:t>
            </w:r>
          </w:p>
        </w:tc>
      </w:tr>
      <w:tr>
        <w:trPr>
          <w:trHeight w:val="222"/>
        </w:trPr>
        <w:tc>
          <w:tcPr>
            <w:tcW w:w="2880" w:type="dxa"/>
            <w:vAlign w:val="bottom"/>
          </w:tcPr>
          <w:p>
            <w:pPr>
              <w:spacing w:after="0"/>
              <w:rPr>
                <w:sz w:val="19"/>
                <w:szCs w:val="19"/>
                <w:color w:val="auto"/>
              </w:rPr>
            </w:pPr>
          </w:p>
        </w:tc>
        <w:tc>
          <w:tcPr>
            <w:tcW w:w="8540" w:type="dxa"/>
            <w:vAlign w:val="bottom"/>
            <w:gridSpan w:val="2"/>
          </w:tcPr>
          <w:p>
            <w:pPr>
              <w:ind w:left="3040"/>
              <w:spacing w:after="0"/>
              <w:rPr>
                <w:sz w:val="20"/>
                <w:szCs w:val="20"/>
                <w:color w:val="auto"/>
              </w:rPr>
            </w:pPr>
            <w:r>
              <w:rPr>
                <w:rFonts w:ascii="Arial" w:cs="Arial" w:eastAsia="Arial" w:hAnsi="Arial"/>
                <w:sz w:val="18"/>
                <w:szCs w:val="18"/>
                <w:color w:val="auto"/>
              </w:rPr>
              <w:t>a Delaware corporation</w:t>
            </w:r>
          </w:p>
        </w:tc>
      </w:tr>
      <w:tr>
        <w:trPr>
          <w:trHeight w:val="447"/>
        </w:trPr>
        <w:tc>
          <w:tcPr>
            <w:tcW w:w="2880" w:type="dxa"/>
            <w:vAlign w:val="bottom"/>
          </w:tcPr>
          <w:p>
            <w:pPr>
              <w:spacing w:after="0"/>
              <w:rPr>
                <w:sz w:val="24"/>
                <w:szCs w:val="24"/>
                <w:color w:val="auto"/>
              </w:rPr>
            </w:pPr>
          </w:p>
        </w:tc>
        <w:tc>
          <w:tcPr>
            <w:tcW w:w="8540" w:type="dxa"/>
            <w:vAlign w:val="bottom"/>
            <w:gridSpan w:val="2"/>
          </w:tcPr>
          <w:p>
            <w:pPr>
              <w:ind w:left="3040"/>
              <w:spacing w:after="0"/>
              <w:rPr>
                <w:sz w:val="20"/>
                <w:szCs w:val="20"/>
                <w:color w:val="auto"/>
              </w:rPr>
            </w:pPr>
            <w:r>
              <w:rPr>
                <w:rFonts w:ascii="Arial" w:cs="Arial" w:eastAsia="Arial" w:hAnsi="Arial"/>
                <w:sz w:val="18"/>
                <w:szCs w:val="18"/>
                <w:color w:val="auto"/>
              </w:rPr>
              <w:t>By:  /s/ Daniel E. Bachus</w:t>
            </w:r>
          </w:p>
        </w:tc>
      </w:tr>
      <w:tr>
        <w:trPr>
          <w:trHeight w:val="20"/>
        </w:trPr>
        <w:tc>
          <w:tcPr>
            <w:tcW w:w="28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r>
      <w:tr>
        <w:trPr>
          <w:trHeight w:val="189"/>
        </w:trPr>
        <w:tc>
          <w:tcPr>
            <w:tcW w:w="2880" w:type="dxa"/>
            <w:vAlign w:val="bottom"/>
          </w:tcPr>
          <w:p>
            <w:pPr>
              <w:spacing w:after="0"/>
              <w:rPr>
                <w:sz w:val="16"/>
                <w:szCs w:val="16"/>
                <w:color w:val="auto"/>
              </w:rPr>
            </w:pPr>
          </w:p>
        </w:tc>
        <w:tc>
          <w:tcPr>
            <w:tcW w:w="8540" w:type="dxa"/>
            <w:vAlign w:val="bottom"/>
            <w:gridSpan w:val="2"/>
          </w:tcPr>
          <w:p>
            <w:pPr>
              <w:ind w:left="3040"/>
              <w:spacing w:after="0" w:line="189" w:lineRule="exact"/>
              <w:rPr>
                <w:sz w:val="20"/>
                <w:szCs w:val="20"/>
                <w:color w:val="auto"/>
              </w:rPr>
            </w:pPr>
            <w:r>
              <w:rPr>
                <w:rFonts w:ascii="Arial" w:cs="Arial" w:eastAsia="Arial" w:hAnsi="Arial"/>
                <w:sz w:val="18"/>
                <w:szCs w:val="18"/>
                <w:color w:val="auto"/>
              </w:rPr>
              <w:t>Name: Daniel E. Bachus</w:t>
            </w:r>
          </w:p>
        </w:tc>
      </w:tr>
      <w:tr>
        <w:trPr>
          <w:trHeight w:val="222"/>
        </w:trPr>
        <w:tc>
          <w:tcPr>
            <w:tcW w:w="2880" w:type="dxa"/>
            <w:vAlign w:val="bottom"/>
          </w:tcPr>
          <w:p>
            <w:pPr>
              <w:spacing w:after="0"/>
              <w:rPr>
                <w:sz w:val="19"/>
                <w:szCs w:val="19"/>
                <w:color w:val="auto"/>
              </w:rPr>
            </w:pPr>
          </w:p>
        </w:tc>
        <w:tc>
          <w:tcPr>
            <w:tcW w:w="8540" w:type="dxa"/>
            <w:vAlign w:val="bottom"/>
            <w:gridSpan w:val="2"/>
          </w:tcPr>
          <w:p>
            <w:pPr>
              <w:ind w:left="3040"/>
              <w:spacing w:after="0"/>
              <w:rPr>
                <w:sz w:val="20"/>
                <w:szCs w:val="20"/>
                <w:color w:val="auto"/>
              </w:rPr>
            </w:pPr>
            <w:r>
              <w:rPr>
                <w:rFonts w:ascii="Arial" w:cs="Arial" w:eastAsia="Arial" w:hAnsi="Arial"/>
                <w:sz w:val="18"/>
                <w:szCs w:val="18"/>
                <w:color w:val="auto"/>
              </w:rPr>
              <w:t>Title: Chief Financial Officer</w:t>
            </w:r>
          </w:p>
        </w:tc>
      </w:tr>
      <w:tr>
        <w:trPr>
          <w:trHeight w:val="426"/>
        </w:trPr>
        <w:tc>
          <w:tcPr>
            <w:tcW w:w="2880" w:type="dxa"/>
            <w:vAlign w:val="bottom"/>
          </w:tcPr>
          <w:p>
            <w:pPr>
              <w:spacing w:after="0"/>
              <w:rPr>
                <w:sz w:val="20"/>
                <w:szCs w:val="20"/>
                <w:color w:val="auto"/>
              </w:rPr>
            </w:pPr>
            <w:r>
              <w:rPr>
                <w:rFonts w:ascii="Arial" w:cs="Arial" w:eastAsia="Arial" w:hAnsi="Arial"/>
                <w:sz w:val="18"/>
                <w:szCs w:val="18"/>
                <w:color w:val="auto"/>
              </w:rPr>
              <w:t>GUARANTORS:</w:t>
            </w:r>
          </w:p>
        </w:tc>
        <w:tc>
          <w:tcPr>
            <w:tcW w:w="8540" w:type="dxa"/>
            <w:vAlign w:val="bottom"/>
            <w:gridSpan w:val="2"/>
          </w:tcPr>
          <w:p>
            <w:pPr>
              <w:ind w:left="3040"/>
              <w:spacing w:after="0"/>
              <w:rPr>
                <w:sz w:val="20"/>
                <w:szCs w:val="20"/>
                <w:color w:val="auto"/>
              </w:rPr>
            </w:pPr>
            <w:r>
              <w:rPr>
                <w:rFonts w:ascii="Arial" w:cs="Arial" w:eastAsia="Arial" w:hAnsi="Arial"/>
                <w:sz w:val="18"/>
                <w:szCs w:val="18"/>
                <w:color w:val="auto"/>
              </w:rPr>
              <w:t>LA SONRISA DE SIENA, L.L.C.,</w:t>
            </w:r>
          </w:p>
        </w:tc>
      </w:tr>
      <w:tr>
        <w:trPr>
          <w:trHeight w:val="222"/>
        </w:trPr>
        <w:tc>
          <w:tcPr>
            <w:tcW w:w="2880" w:type="dxa"/>
            <w:vAlign w:val="bottom"/>
          </w:tcPr>
          <w:p>
            <w:pPr>
              <w:spacing w:after="0"/>
              <w:rPr>
                <w:sz w:val="19"/>
                <w:szCs w:val="19"/>
                <w:color w:val="auto"/>
              </w:rPr>
            </w:pPr>
          </w:p>
        </w:tc>
        <w:tc>
          <w:tcPr>
            <w:tcW w:w="8540" w:type="dxa"/>
            <w:vAlign w:val="bottom"/>
            <w:gridSpan w:val="2"/>
          </w:tcPr>
          <w:p>
            <w:pPr>
              <w:ind w:left="3040"/>
              <w:spacing w:after="0"/>
              <w:rPr>
                <w:sz w:val="20"/>
                <w:szCs w:val="20"/>
                <w:color w:val="auto"/>
              </w:rPr>
            </w:pPr>
            <w:r>
              <w:rPr>
                <w:rFonts w:ascii="Arial" w:cs="Arial" w:eastAsia="Arial" w:hAnsi="Arial"/>
                <w:sz w:val="18"/>
                <w:szCs w:val="18"/>
                <w:color w:val="auto"/>
              </w:rPr>
              <w:t>an Arizona limited liability company</w:t>
            </w:r>
          </w:p>
        </w:tc>
      </w:tr>
      <w:tr>
        <w:trPr>
          <w:trHeight w:val="433"/>
        </w:trPr>
        <w:tc>
          <w:tcPr>
            <w:tcW w:w="2880" w:type="dxa"/>
            <w:vAlign w:val="bottom"/>
          </w:tcPr>
          <w:p>
            <w:pPr>
              <w:spacing w:after="0"/>
              <w:rPr>
                <w:sz w:val="24"/>
                <w:szCs w:val="24"/>
                <w:color w:val="auto"/>
              </w:rPr>
            </w:pPr>
          </w:p>
        </w:tc>
        <w:tc>
          <w:tcPr>
            <w:tcW w:w="8540" w:type="dxa"/>
            <w:vAlign w:val="bottom"/>
            <w:gridSpan w:val="2"/>
          </w:tcPr>
          <w:p>
            <w:pPr>
              <w:ind w:left="3040"/>
              <w:spacing w:after="0"/>
              <w:rPr>
                <w:sz w:val="20"/>
                <w:szCs w:val="20"/>
                <w:color w:val="auto"/>
              </w:rPr>
            </w:pPr>
            <w:r>
              <w:rPr>
                <w:rFonts w:ascii="Arial" w:cs="Arial" w:eastAsia="Arial" w:hAnsi="Arial"/>
                <w:sz w:val="18"/>
                <w:szCs w:val="18"/>
                <w:color w:val="auto"/>
              </w:rPr>
              <w:t>By:  /s/ Michael Schern</w:t>
            </w:r>
          </w:p>
        </w:tc>
      </w:tr>
      <w:tr>
        <w:trPr>
          <w:trHeight w:val="20"/>
        </w:trPr>
        <w:tc>
          <w:tcPr>
            <w:tcW w:w="28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r>
      <w:tr>
        <w:trPr>
          <w:trHeight w:val="189"/>
        </w:trPr>
        <w:tc>
          <w:tcPr>
            <w:tcW w:w="2880" w:type="dxa"/>
            <w:vAlign w:val="bottom"/>
          </w:tcPr>
          <w:p>
            <w:pPr>
              <w:spacing w:after="0"/>
              <w:rPr>
                <w:sz w:val="16"/>
                <w:szCs w:val="16"/>
                <w:color w:val="auto"/>
              </w:rPr>
            </w:pPr>
          </w:p>
        </w:tc>
        <w:tc>
          <w:tcPr>
            <w:tcW w:w="8540" w:type="dxa"/>
            <w:vAlign w:val="bottom"/>
            <w:gridSpan w:val="2"/>
          </w:tcPr>
          <w:p>
            <w:pPr>
              <w:ind w:left="3040"/>
              <w:spacing w:after="0" w:line="189" w:lineRule="exact"/>
              <w:rPr>
                <w:sz w:val="20"/>
                <w:szCs w:val="20"/>
                <w:color w:val="auto"/>
              </w:rPr>
            </w:pPr>
            <w:r>
              <w:rPr>
                <w:rFonts w:ascii="Arial" w:cs="Arial" w:eastAsia="Arial" w:hAnsi="Arial"/>
                <w:sz w:val="18"/>
                <w:szCs w:val="18"/>
                <w:color w:val="auto"/>
              </w:rPr>
              <w:t>Name: Michael Schern</w:t>
            </w:r>
          </w:p>
        </w:tc>
      </w:tr>
      <w:tr>
        <w:trPr>
          <w:trHeight w:val="222"/>
        </w:trPr>
        <w:tc>
          <w:tcPr>
            <w:tcW w:w="2880" w:type="dxa"/>
            <w:vAlign w:val="bottom"/>
          </w:tcPr>
          <w:p>
            <w:pPr>
              <w:spacing w:after="0"/>
              <w:rPr>
                <w:sz w:val="19"/>
                <w:szCs w:val="19"/>
                <w:color w:val="auto"/>
              </w:rPr>
            </w:pPr>
          </w:p>
        </w:tc>
        <w:tc>
          <w:tcPr>
            <w:tcW w:w="8540" w:type="dxa"/>
            <w:vAlign w:val="bottom"/>
            <w:gridSpan w:val="2"/>
          </w:tcPr>
          <w:p>
            <w:pPr>
              <w:ind w:left="3040"/>
              <w:spacing w:after="0"/>
              <w:rPr>
                <w:sz w:val="20"/>
                <w:szCs w:val="20"/>
                <w:color w:val="auto"/>
              </w:rPr>
            </w:pPr>
            <w:r>
              <w:rPr>
                <w:rFonts w:ascii="Arial" w:cs="Arial" w:eastAsia="Arial" w:hAnsi="Arial"/>
                <w:sz w:val="18"/>
                <w:szCs w:val="18"/>
                <w:color w:val="auto"/>
              </w:rPr>
              <w:t>Title: Attorney-in-Fact</w:t>
            </w:r>
          </w:p>
        </w:tc>
      </w:tr>
      <w:tr>
        <w:trPr>
          <w:trHeight w:val="426"/>
        </w:trPr>
        <w:tc>
          <w:tcPr>
            <w:tcW w:w="2880" w:type="dxa"/>
            <w:vAlign w:val="bottom"/>
          </w:tcPr>
          <w:p>
            <w:pPr>
              <w:spacing w:after="0"/>
              <w:rPr>
                <w:sz w:val="24"/>
                <w:szCs w:val="24"/>
                <w:color w:val="auto"/>
              </w:rPr>
            </w:pPr>
          </w:p>
        </w:tc>
        <w:tc>
          <w:tcPr>
            <w:tcW w:w="8540" w:type="dxa"/>
            <w:vAlign w:val="bottom"/>
            <w:gridSpan w:val="2"/>
          </w:tcPr>
          <w:p>
            <w:pPr>
              <w:ind w:left="3040"/>
              <w:spacing w:after="0"/>
              <w:rPr>
                <w:sz w:val="20"/>
                <w:szCs w:val="20"/>
                <w:color w:val="auto"/>
              </w:rPr>
            </w:pPr>
            <w:r>
              <w:rPr>
                <w:rFonts w:ascii="Arial" w:cs="Arial" w:eastAsia="Arial" w:hAnsi="Arial"/>
                <w:sz w:val="18"/>
                <w:szCs w:val="18"/>
                <w:color w:val="auto"/>
              </w:rPr>
              <w:t>TIERRA VISTA INVERSIONES, LLC,</w:t>
            </w:r>
          </w:p>
        </w:tc>
      </w:tr>
      <w:tr>
        <w:trPr>
          <w:trHeight w:val="222"/>
        </w:trPr>
        <w:tc>
          <w:tcPr>
            <w:tcW w:w="2880" w:type="dxa"/>
            <w:vAlign w:val="bottom"/>
          </w:tcPr>
          <w:p>
            <w:pPr>
              <w:spacing w:after="0"/>
              <w:rPr>
                <w:sz w:val="19"/>
                <w:szCs w:val="19"/>
                <w:color w:val="auto"/>
              </w:rPr>
            </w:pPr>
          </w:p>
        </w:tc>
        <w:tc>
          <w:tcPr>
            <w:tcW w:w="8540" w:type="dxa"/>
            <w:vAlign w:val="bottom"/>
            <w:gridSpan w:val="2"/>
          </w:tcPr>
          <w:p>
            <w:pPr>
              <w:ind w:left="3040"/>
              <w:spacing w:after="0"/>
              <w:rPr>
                <w:sz w:val="20"/>
                <w:szCs w:val="20"/>
                <w:color w:val="auto"/>
              </w:rPr>
            </w:pPr>
            <w:r>
              <w:rPr>
                <w:rFonts w:ascii="Arial" w:cs="Arial" w:eastAsia="Arial" w:hAnsi="Arial"/>
                <w:sz w:val="18"/>
                <w:szCs w:val="18"/>
                <w:color w:val="auto"/>
              </w:rPr>
              <w:t>a Delaware limited liability company</w:t>
            </w:r>
          </w:p>
        </w:tc>
      </w:tr>
      <w:tr>
        <w:trPr>
          <w:trHeight w:val="433"/>
        </w:trPr>
        <w:tc>
          <w:tcPr>
            <w:tcW w:w="2880" w:type="dxa"/>
            <w:vAlign w:val="bottom"/>
          </w:tcPr>
          <w:p>
            <w:pPr>
              <w:spacing w:after="0"/>
              <w:rPr>
                <w:sz w:val="24"/>
                <w:szCs w:val="24"/>
                <w:color w:val="auto"/>
              </w:rPr>
            </w:pPr>
          </w:p>
        </w:tc>
        <w:tc>
          <w:tcPr>
            <w:tcW w:w="8540" w:type="dxa"/>
            <w:vAlign w:val="bottom"/>
            <w:gridSpan w:val="2"/>
          </w:tcPr>
          <w:p>
            <w:pPr>
              <w:ind w:left="3040"/>
              <w:spacing w:after="0"/>
              <w:rPr>
                <w:sz w:val="20"/>
                <w:szCs w:val="20"/>
                <w:color w:val="auto"/>
              </w:rPr>
            </w:pPr>
            <w:r>
              <w:rPr>
                <w:rFonts w:ascii="Arial" w:cs="Arial" w:eastAsia="Arial" w:hAnsi="Arial"/>
                <w:sz w:val="18"/>
                <w:szCs w:val="18"/>
                <w:color w:val="auto"/>
              </w:rPr>
              <w:t>By:  /s/ Michael Schern</w:t>
            </w:r>
          </w:p>
        </w:tc>
      </w:tr>
      <w:tr>
        <w:trPr>
          <w:trHeight w:val="20"/>
        </w:trPr>
        <w:tc>
          <w:tcPr>
            <w:tcW w:w="28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r>
      <w:tr>
        <w:trPr>
          <w:trHeight w:val="189"/>
        </w:trPr>
        <w:tc>
          <w:tcPr>
            <w:tcW w:w="2880" w:type="dxa"/>
            <w:vAlign w:val="bottom"/>
          </w:tcPr>
          <w:p>
            <w:pPr>
              <w:spacing w:after="0"/>
              <w:rPr>
                <w:sz w:val="16"/>
                <w:szCs w:val="16"/>
                <w:color w:val="auto"/>
              </w:rPr>
            </w:pPr>
          </w:p>
        </w:tc>
        <w:tc>
          <w:tcPr>
            <w:tcW w:w="8540" w:type="dxa"/>
            <w:vAlign w:val="bottom"/>
            <w:gridSpan w:val="2"/>
          </w:tcPr>
          <w:p>
            <w:pPr>
              <w:ind w:left="3040"/>
              <w:spacing w:after="0" w:line="189" w:lineRule="exact"/>
              <w:rPr>
                <w:sz w:val="20"/>
                <w:szCs w:val="20"/>
                <w:color w:val="auto"/>
              </w:rPr>
            </w:pPr>
            <w:r>
              <w:rPr>
                <w:rFonts w:ascii="Arial" w:cs="Arial" w:eastAsia="Arial" w:hAnsi="Arial"/>
                <w:sz w:val="18"/>
                <w:szCs w:val="18"/>
                <w:color w:val="auto"/>
              </w:rPr>
              <w:t>Name: Michael Schern</w:t>
            </w:r>
          </w:p>
        </w:tc>
      </w:tr>
      <w:tr>
        <w:trPr>
          <w:trHeight w:val="222"/>
        </w:trPr>
        <w:tc>
          <w:tcPr>
            <w:tcW w:w="2880" w:type="dxa"/>
            <w:vAlign w:val="bottom"/>
          </w:tcPr>
          <w:p>
            <w:pPr>
              <w:spacing w:after="0"/>
              <w:rPr>
                <w:sz w:val="19"/>
                <w:szCs w:val="19"/>
                <w:color w:val="auto"/>
              </w:rPr>
            </w:pPr>
          </w:p>
        </w:tc>
        <w:tc>
          <w:tcPr>
            <w:tcW w:w="8540" w:type="dxa"/>
            <w:vAlign w:val="bottom"/>
            <w:gridSpan w:val="2"/>
          </w:tcPr>
          <w:p>
            <w:pPr>
              <w:ind w:left="3040"/>
              <w:spacing w:after="0"/>
              <w:rPr>
                <w:sz w:val="20"/>
                <w:szCs w:val="20"/>
                <w:color w:val="auto"/>
              </w:rPr>
            </w:pPr>
            <w:r>
              <w:rPr>
                <w:rFonts w:ascii="Arial" w:cs="Arial" w:eastAsia="Arial" w:hAnsi="Arial"/>
                <w:sz w:val="18"/>
                <w:szCs w:val="18"/>
                <w:color w:val="auto"/>
              </w:rPr>
              <w:t>Title: Attorney-in-Fact</w:t>
            </w:r>
          </w:p>
        </w:tc>
      </w:tr>
      <w:tr>
        <w:trPr>
          <w:trHeight w:val="378"/>
        </w:trPr>
        <w:tc>
          <w:tcPr>
            <w:tcW w:w="2880" w:type="dxa"/>
            <w:vAlign w:val="bottom"/>
          </w:tcPr>
          <w:p>
            <w:pPr>
              <w:spacing w:after="0"/>
              <w:rPr>
                <w:sz w:val="24"/>
                <w:szCs w:val="24"/>
                <w:color w:val="auto"/>
              </w:rPr>
            </w:pPr>
          </w:p>
        </w:tc>
        <w:tc>
          <w:tcPr>
            <w:tcW w:w="8540" w:type="dxa"/>
            <w:vAlign w:val="bottom"/>
            <w:gridSpan w:val="2"/>
          </w:tcPr>
          <w:p>
            <w:pPr>
              <w:ind w:left="1600"/>
              <w:spacing w:after="0"/>
              <w:rPr>
                <w:sz w:val="20"/>
                <w:szCs w:val="20"/>
                <w:color w:val="auto"/>
              </w:rPr>
            </w:pPr>
            <w:r>
              <w:rPr>
                <w:rFonts w:ascii="Arial" w:cs="Arial" w:eastAsia="Arial" w:hAnsi="Arial"/>
                <w:sz w:val="18"/>
                <w:szCs w:val="18"/>
                <w:color w:val="auto"/>
              </w:rPr>
              <w:t>[SIGNATURE PAGES FOLLOW]</w:t>
            </w:r>
          </w:p>
        </w:tc>
      </w:tr>
    </w:tbl>
    <w:p>
      <w:pPr>
        <w:sectPr>
          <w:pgSz w:w="11900" w:h="16838" w:orient="portrait"/>
          <w:cols w:equalWidth="0" w:num="1">
            <w:col w:w="11420"/>
          </w:cols>
          <w:pgMar w:left="240" w:top="280" w:right="239" w:bottom="1440" w:gutter="0" w:footer="0" w:header="0"/>
        </w:sectPr>
      </w:pPr>
    </w:p>
    <w:bookmarkStart w:id="226" w:name="page227"/>
    <w:bookmarkEnd w:id="2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ADMINISTRATIVE AGENT:</w:t>
            </w: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BANK OF AMERICA, N.A., as Administrative Agent</w:t>
            </w:r>
          </w:p>
        </w:tc>
      </w:tr>
      <w:tr>
        <w:trPr>
          <w:trHeight w:val="433"/>
        </w:trPr>
        <w:tc>
          <w:tcPr>
            <w:tcW w:w="4040" w:type="dxa"/>
            <w:vAlign w:val="bottom"/>
          </w:tcPr>
          <w:p>
            <w:pPr>
              <w:spacing w:after="0"/>
              <w:rPr>
                <w:sz w:val="24"/>
                <w:szCs w:val="24"/>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By:  /s/ Linda Lov</w:t>
            </w:r>
          </w:p>
        </w:tc>
      </w:tr>
      <w:tr>
        <w:trPr>
          <w:trHeight w:val="20"/>
        </w:trPr>
        <w:tc>
          <w:tcPr>
            <w:tcW w:w="4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r>
      <w:tr>
        <w:trPr>
          <w:trHeight w:val="189"/>
        </w:trPr>
        <w:tc>
          <w:tcPr>
            <w:tcW w:w="4040" w:type="dxa"/>
            <w:vAlign w:val="bottom"/>
          </w:tcPr>
          <w:p>
            <w:pPr>
              <w:spacing w:after="0"/>
              <w:rPr>
                <w:sz w:val="16"/>
                <w:szCs w:val="16"/>
                <w:color w:val="auto"/>
              </w:rPr>
            </w:pPr>
          </w:p>
        </w:tc>
        <w:tc>
          <w:tcPr>
            <w:tcW w:w="7380" w:type="dxa"/>
            <w:vAlign w:val="bottom"/>
            <w:gridSpan w:val="2"/>
          </w:tcPr>
          <w:p>
            <w:pPr>
              <w:ind w:left="1880"/>
              <w:spacing w:after="0" w:line="189" w:lineRule="exact"/>
              <w:rPr>
                <w:sz w:val="20"/>
                <w:szCs w:val="20"/>
                <w:color w:val="auto"/>
              </w:rPr>
            </w:pPr>
            <w:r>
              <w:rPr>
                <w:rFonts w:ascii="Arial" w:cs="Arial" w:eastAsia="Arial" w:hAnsi="Arial"/>
                <w:sz w:val="18"/>
                <w:szCs w:val="18"/>
                <w:color w:val="auto"/>
              </w:rPr>
              <w:t>Name: Linda Lov</w:t>
            </w:r>
          </w:p>
        </w:tc>
      </w:tr>
      <w:tr>
        <w:trPr>
          <w:trHeight w:val="222"/>
        </w:trPr>
        <w:tc>
          <w:tcPr>
            <w:tcW w:w="4040" w:type="dxa"/>
            <w:vAlign w:val="bottom"/>
          </w:tcPr>
          <w:p>
            <w:pPr>
              <w:spacing w:after="0"/>
              <w:rPr>
                <w:sz w:val="19"/>
                <w:szCs w:val="19"/>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Title: AVP</w:t>
            </w:r>
          </w:p>
        </w:tc>
      </w:tr>
      <w:tr>
        <w:trPr>
          <w:trHeight w:val="426"/>
        </w:trPr>
        <w:tc>
          <w:tcPr>
            <w:tcW w:w="4040" w:type="dxa"/>
            <w:vAlign w:val="bottom"/>
          </w:tcPr>
          <w:p>
            <w:pPr>
              <w:spacing w:after="0"/>
              <w:rPr>
                <w:sz w:val="20"/>
                <w:szCs w:val="20"/>
                <w:color w:val="auto"/>
              </w:rPr>
            </w:pPr>
            <w:r>
              <w:rPr>
                <w:rFonts w:ascii="Arial" w:cs="Arial" w:eastAsia="Arial" w:hAnsi="Arial"/>
                <w:sz w:val="18"/>
                <w:szCs w:val="18"/>
                <w:color w:val="auto"/>
              </w:rPr>
              <w:t>LENDERS:</w:t>
            </w: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BANK OF AMERICA, N.A.,</w:t>
            </w:r>
          </w:p>
        </w:tc>
      </w:tr>
      <w:tr>
        <w:trPr>
          <w:trHeight w:val="222"/>
        </w:trPr>
        <w:tc>
          <w:tcPr>
            <w:tcW w:w="4040" w:type="dxa"/>
            <w:vAlign w:val="bottom"/>
          </w:tcPr>
          <w:p>
            <w:pPr>
              <w:spacing w:after="0"/>
              <w:rPr>
                <w:sz w:val="19"/>
                <w:szCs w:val="19"/>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as a Lender, L/C Issuer and Swing Line Lender</w:t>
            </w:r>
          </w:p>
        </w:tc>
      </w:tr>
      <w:tr>
        <w:trPr>
          <w:trHeight w:val="447"/>
        </w:trPr>
        <w:tc>
          <w:tcPr>
            <w:tcW w:w="4040" w:type="dxa"/>
            <w:vAlign w:val="bottom"/>
          </w:tcPr>
          <w:p>
            <w:pPr>
              <w:spacing w:after="0"/>
              <w:rPr>
                <w:sz w:val="24"/>
                <w:szCs w:val="24"/>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By:  /s/ David R. Barney</w:t>
            </w:r>
          </w:p>
        </w:tc>
      </w:tr>
      <w:tr>
        <w:trPr>
          <w:trHeight w:val="20"/>
        </w:trPr>
        <w:tc>
          <w:tcPr>
            <w:tcW w:w="4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r>
      <w:tr>
        <w:trPr>
          <w:trHeight w:val="189"/>
        </w:trPr>
        <w:tc>
          <w:tcPr>
            <w:tcW w:w="4040" w:type="dxa"/>
            <w:vAlign w:val="bottom"/>
          </w:tcPr>
          <w:p>
            <w:pPr>
              <w:spacing w:after="0"/>
              <w:rPr>
                <w:sz w:val="16"/>
                <w:szCs w:val="16"/>
                <w:color w:val="auto"/>
              </w:rPr>
            </w:pPr>
          </w:p>
        </w:tc>
        <w:tc>
          <w:tcPr>
            <w:tcW w:w="7380" w:type="dxa"/>
            <w:vAlign w:val="bottom"/>
            <w:gridSpan w:val="2"/>
          </w:tcPr>
          <w:p>
            <w:pPr>
              <w:ind w:left="1880"/>
              <w:spacing w:after="0" w:line="189" w:lineRule="exact"/>
              <w:rPr>
                <w:sz w:val="20"/>
                <w:szCs w:val="20"/>
                <w:color w:val="auto"/>
              </w:rPr>
            </w:pPr>
            <w:r>
              <w:rPr>
                <w:rFonts w:ascii="Arial" w:cs="Arial" w:eastAsia="Arial" w:hAnsi="Arial"/>
                <w:sz w:val="18"/>
                <w:szCs w:val="18"/>
                <w:color w:val="auto"/>
              </w:rPr>
              <w:t>Name: David R. Barney</w:t>
            </w:r>
          </w:p>
        </w:tc>
      </w:tr>
      <w:tr>
        <w:trPr>
          <w:trHeight w:val="222"/>
        </w:trPr>
        <w:tc>
          <w:tcPr>
            <w:tcW w:w="4040" w:type="dxa"/>
            <w:vAlign w:val="bottom"/>
          </w:tcPr>
          <w:p>
            <w:pPr>
              <w:spacing w:after="0"/>
              <w:rPr>
                <w:sz w:val="19"/>
                <w:szCs w:val="19"/>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Title: Senior Vice President</w:t>
            </w:r>
          </w:p>
        </w:tc>
      </w:tr>
      <w:tr>
        <w:trPr>
          <w:trHeight w:val="432"/>
        </w:trPr>
        <w:tc>
          <w:tcPr>
            <w:tcW w:w="4040" w:type="dxa"/>
            <w:vAlign w:val="bottom"/>
          </w:tcPr>
          <w:p>
            <w:pPr>
              <w:spacing w:after="0"/>
              <w:rPr>
                <w:sz w:val="24"/>
                <w:szCs w:val="24"/>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WELLS FARGO BANK, NATIONAL ASSOCIATION</w:t>
            </w:r>
          </w:p>
        </w:tc>
      </w:tr>
      <w:tr>
        <w:trPr>
          <w:trHeight w:val="433"/>
        </w:trPr>
        <w:tc>
          <w:tcPr>
            <w:tcW w:w="4040" w:type="dxa"/>
            <w:vAlign w:val="bottom"/>
          </w:tcPr>
          <w:p>
            <w:pPr>
              <w:spacing w:after="0"/>
              <w:rPr>
                <w:sz w:val="24"/>
                <w:szCs w:val="24"/>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By:  /s/ Douglas Jorgensen</w:t>
            </w:r>
          </w:p>
        </w:tc>
      </w:tr>
      <w:tr>
        <w:trPr>
          <w:trHeight w:val="20"/>
        </w:trPr>
        <w:tc>
          <w:tcPr>
            <w:tcW w:w="4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r>
      <w:tr>
        <w:trPr>
          <w:trHeight w:val="189"/>
        </w:trPr>
        <w:tc>
          <w:tcPr>
            <w:tcW w:w="4040" w:type="dxa"/>
            <w:vAlign w:val="bottom"/>
          </w:tcPr>
          <w:p>
            <w:pPr>
              <w:spacing w:after="0"/>
              <w:rPr>
                <w:sz w:val="16"/>
                <w:szCs w:val="16"/>
                <w:color w:val="auto"/>
              </w:rPr>
            </w:pPr>
          </w:p>
        </w:tc>
        <w:tc>
          <w:tcPr>
            <w:tcW w:w="7380" w:type="dxa"/>
            <w:vAlign w:val="bottom"/>
            <w:gridSpan w:val="2"/>
          </w:tcPr>
          <w:p>
            <w:pPr>
              <w:ind w:left="1880"/>
              <w:spacing w:after="0" w:line="189" w:lineRule="exact"/>
              <w:rPr>
                <w:sz w:val="20"/>
                <w:szCs w:val="20"/>
                <w:color w:val="auto"/>
              </w:rPr>
            </w:pPr>
            <w:r>
              <w:rPr>
                <w:rFonts w:ascii="Arial" w:cs="Arial" w:eastAsia="Arial" w:hAnsi="Arial"/>
                <w:sz w:val="18"/>
                <w:szCs w:val="18"/>
                <w:color w:val="auto"/>
              </w:rPr>
              <w:t>Name: Douglas Jorgensen</w:t>
            </w:r>
          </w:p>
        </w:tc>
      </w:tr>
      <w:tr>
        <w:trPr>
          <w:trHeight w:val="222"/>
        </w:trPr>
        <w:tc>
          <w:tcPr>
            <w:tcW w:w="4040" w:type="dxa"/>
            <w:vAlign w:val="bottom"/>
          </w:tcPr>
          <w:p>
            <w:pPr>
              <w:spacing w:after="0"/>
              <w:rPr>
                <w:sz w:val="19"/>
                <w:szCs w:val="19"/>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Title: Vice President</w:t>
            </w:r>
          </w:p>
        </w:tc>
      </w:tr>
      <w:tr>
        <w:trPr>
          <w:trHeight w:val="432"/>
        </w:trPr>
        <w:tc>
          <w:tcPr>
            <w:tcW w:w="4040" w:type="dxa"/>
            <w:vAlign w:val="bottom"/>
          </w:tcPr>
          <w:p>
            <w:pPr>
              <w:spacing w:after="0"/>
              <w:rPr>
                <w:sz w:val="24"/>
                <w:szCs w:val="24"/>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BOKF, N.A. d/b/a BANK OF ARIZONA</w:t>
            </w:r>
          </w:p>
        </w:tc>
      </w:tr>
      <w:tr>
        <w:trPr>
          <w:trHeight w:val="433"/>
        </w:trPr>
        <w:tc>
          <w:tcPr>
            <w:tcW w:w="4040" w:type="dxa"/>
            <w:vAlign w:val="bottom"/>
          </w:tcPr>
          <w:p>
            <w:pPr>
              <w:spacing w:after="0"/>
              <w:rPr>
                <w:sz w:val="24"/>
                <w:szCs w:val="24"/>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By:  /s/ Christine A. Nowaczyk</w:t>
            </w:r>
          </w:p>
        </w:tc>
      </w:tr>
      <w:tr>
        <w:trPr>
          <w:trHeight w:val="20"/>
        </w:trPr>
        <w:tc>
          <w:tcPr>
            <w:tcW w:w="4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r>
      <w:tr>
        <w:trPr>
          <w:trHeight w:val="189"/>
        </w:trPr>
        <w:tc>
          <w:tcPr>
            <w:tcW w:w="4040" w:type="dxa"/>
            <w:vAlign w:val="bottom"/>
          </w:tcPr>
          <w:p>
            <w:pPr>
              <w:spacing w:after="0"/>
              <w:rPr>
                <w:sz w:val="16"/>
                <w:szCs w:val="16"/>
                <w:color w:val="auto"/>
              </w:rPr>
            </w:pPr>
          </w:p>
        </w:tc>
        <w:tc>
          <w:tcPr>
            <w:tcW w:w="7380" w:type="dxa"/>
            <w:vAlign w:val="bottom"/>
            <w:gridSpan w:val="2"/>
          </w:tcPr>
          <w:p>
            <w:pPr>
              <w:ind w:left="1880"/>
              <w:spacing w:after="0" w:line="189" w:lineRule="exact"/>
              <w:rPr>
                <w:sz w:val="20"/>
                <w:szCs w:val="20"/>
                <w:color w:val="auto"/>
              </w:rPr>
            </w:pPr>
            <w:r>
              <w:rPr>
                <w:rFonts w:ascii="Arial" w:cs="Arial" w:eastAsia="Arial" w:hAnsi="Arial"/>
                <w:sz w:val="18"/>
                <w:szCs w:val="18"/>
                <w:color w:val="auto"/>
              </w:rPr>
              <w:t>Name: Christine A. Nowaczyk</w:t>
            </w:r>
          </w:p>
        </w:tc>
      </w:tr>
      <w:tr>
        <w:trPr>
          <w:trHeight w:val="222"/>
        </w:trPr>
        <w:tc>
          <w:tcPr>
            <w:tcW w:w="4040" w:type="dxa"/>
            <w:vAlign w:val="bottom"/>
          </w:tcPr>
          <w:p>
            <w:pPr>
              <w:spacing w:after="0"/>
              <w:rPr>
                <w:sz w:val="19"/>
                <w:szCs w:val="19"/>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Title: Senior Vice President</w:t>
            </w:r>
          </w:p>
        </w:tc>
      </w:tr>
      <w:tr>
        <w:trPr>
          <w:trHeight w:val="426"/>
        </w:trPr>
        <w:tc>
          <w:tcPr>
            <w:tcW w:w="4040" w:type="dxa"/>
            <w:vAlign w:val="bottom"/>
          </w:tcPr>
          <w:p>
            <w:pPr>
              <w:spacing w:after="0"/>
              <w:rPr>
                <w:sz w:val="24"/>
                <w:szCs w:val="24"/>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NATIONAL BANK OF ARIZONA,</w:t>
            </w:r>
          </w:p>
        </w:tc>
      </w:tr>
      <w:tr>
        <w:trPr>
          <w:trHeight w:val="222"/>
        </w:trPr>
        <w:tc>
          <w:tcPr>
            <w:tcW w:w="4040" w:type="dxa"/>
            <w:vAlign w:val="bottom"/>
          </w:tcPr>
          <w:p>
            <w:pPr>
              <w:spacing w:after="0"/>
              <w:rPr>
                <w:sz w:val="19"/>
                <w:szCs w:val="19"/>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a national banking association</w:t>
            </w:r>
          </w:p>
        </w:tc>
      </w:tr>
      <w:tr>
        <w:trPr>
          <w:trHeight w:val="433"/>
        </w:trPr>
        <w:tc>
          <w:tcPr>
            <w:tcW w:w="4040" w:type="dxa"/>
            <w:vAlign w:val="bottom"/>
          </w:tcPr>
          <w:p>
            <w:pPr>
              <w:spacing w:after="0"/>
              <w:rPr>
                <w:sz w:val="24"/>
                <w:szCs w:val="24"/>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By:  /s/ Gary Naquin</w:t>
            </w:r>
          </w:p>
        </w:tc>
      </w:tr>
      <w:tr>
        <w:trPr>
          <w:trHeight w:val="20"/>
        </w:trPr>
        <w:tc>
          <w:tcPr>
            <w:tcW w:w="4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40" w:type="dxa"/>
            <w:vAlign w:val="bottom"/>
            <w:shd w:val="clear" w:color="auto" w:fill="000000"/>
          </w:tcPr>
          <w:p>
            <w:pPr>
              <w:spacing w:after="0" w:line="20" w:lineRule="exact"/>
              <w:rPr>
                <w:sz w:val="1"/>
                <w:szCs w:val="1"/>
                <w:color w:val="auto"/>
              </w:rPr>
            </w:pPr>
          </w:p>
        </w:tc>
      </w:tr>
      <w:tr>
        <w:trPr>
          <w:trHeight w:val="189"/>
        </w:trPr>
        <w:tc>
          <w:tcPr>
            <w:tcW w:w="4040" w:type="dxa"/>
            <w:vAlign w:val="bottom"/>
          </w:tcPr>
          <w:p>
            <w:pPr>
              <w:spacing w:after="0"/>
              <w:rPr>
                <w:sz w:val="16"/>
                <w:szCs w:val="16"/>
                <w:color w:val="auto"/>
              </w:rPr>
            </w:pPr>
          </w:p>
        </w:tc>
        <w:tc>
          <w:tcPr>
            <w:tcW w:w="7380" w:type="dxa"/>
            <w:vAlign w:val="bottom"/>
            <w:gridSpan w:val="2"/>
          </w:tcPr>
          <w:p>
            <w:pPr>
              <w:ind w:left="1880"/>
              <w:spacing w:after="0" w:line="189" w:lineRule="exact"/>
              <w:rPr>
                <w:sz w:val="20"/>
                <w:szCs w:val="20"/>
                <w:color w:val="auto"/>
              </w:rPr>
            </w:pPr>
            <w:r>
              <w:rPr>
                <w:rFonts w:ascii="Arial" w:cs="Arial" w:eastAsia="Arial" w:hAnsi="Arial"/>
                <w:sz w:val="18"/>
                <w:szCs w:val="18"/>
                <w:color w:val="auto"/>
              </w:rPr>
              <w:t>Name: Gary Naquin</w:t>
            </w:r>
          </w:p>
        </w:tc>
      </w:tr>
      <w:tr>
        <w:trPr>
          <w:trHeight w:val="222"/>
        </w:trPr>
        <w:tc>
          <w:tcPr>
            <w:tcW w:w="4040" w:type="dxa"/>
            <w:vAlign w:val="bottom"/>
          </w:tcPr>
          <w:p>
            <w:pPr>
              <w:spacing w:after="0"/>
              <w:rPr>
                <w:sz w:val="19"/>
                <w:szCs w:val="19"/>
                <w:color w:val="auto"/>
              </w:rPr>
            </w:pPr>
          </w:p>
        </w:tc>
        <w:tc>
          <w:tcPr>
            <w:tcW w:w="7380" w:type="dxa"/>
            <w:vAlign w:val="bottom"/>
            <w:gridSpan w:val="2"/>
          </w:tcPr>
          <w:p>
            <w:pPr>
              <w:ind w:left="1880"/>
              <w:spacing w:after="0"/>
              <w:rPr>
                <w:sz w:val="20"/>
                <w:szCs w:val="20"/>
                <w:color w:val="auto"/>
              </w:rPr>
            </w:pPr>
            <w:r>
              <w:rPr>
                <w:rFonts w:ascii="Arial" w:cs="Arial" w:eastAsia="Arial" w:hAnsi="Arial"/>
                <w:sz w:val="18"/>
                <w:szCs w:val="18"/>
                <w:color w:val="auto"/>
              </w:rPr>
              <w:t>Title: Senior Vice President</w:t>
            </w:r>
          </w:p>
        </w:tc>
      </w:tr>
    </w:tbl>
    <w:p>
      <w:pPr>
        <w:sectPr>
          <w:pgSz w:w="11900" w:h="16838" w:orient="portrait"/>
          <w:cols w:equalWidth="0" w:num="1">
            <w:col w:w="11420"/>
          </w:cols>
          <w:pgMar w:left="240" w:top="280" w:right="239" w:bottom="1440" w:gutter="0" w:footer="0" w:header="0"/>
        </w:sectPr>
      </w:pPr>
    </w:p>
    <w:bookmarkStart w:id="227" w:name="page228"/>
    <w:bookmarkEnd w:id="22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SCHEDULES TO CREDIT AGREEMENT</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These SCHEDULES are being delivered in connection with that certain CREDIT AGREEMENT dated December 21, 2012 among GRAND CANYON EDUCATION,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(defined therein), the Lenders (defined therein) and BANK OF AMERICA, N.A., as Administrative Agent, Swing Line Lender and L/C Issuer (the “</w:t>
      </w:r>
      <w:r>
        <w:rPr>
          <w:rFonts w:ascii="Arial" w:cs="Arial" w:eastAsia="Arial" w:hAnsi="Arial"/>
          <w:sz w:val="18"/>
          <w:szCs w:val="18"/>
          <w:u w:val="single" w:color="auto"/>
          <w:color w:val="auto"/>
        </w:rPr>
        <w:t>Agreement</w:t>
      </w:r>
      <w:r>
        <w:rPr>
          <w:rFonts w:ascii="Arial" w:cs="Arial" w:eastAsia="Arial" w:hAnsi="Arial"/>
          <w:sz w:val="18"/>
          <w:szCs w:val="18"/>
          <w:color w:val="auto"/>
        </w:rPr>
        <w:t>”). Capitalized terms used herein shall have the meanings ascribed to such terms in the Agreement unless otherwise defined herein.</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These Schedules expressly qualify the Agreement. The section and subsection numbers and letters in these Schedules correspond to the section numbers in the Agreement; however, any information disclosed herein under any section or subsection number or letter shall be deemed to be disclosed and incorporated into any other section or subsection number or letter under the Agreement only to the extent it is reasonably apparent from a reading of the disclosure that such disclosure is reasonably applicable to such other sections and subsection.</w:t>
      </w:r>
    </w:p>
    <w:p>
      <w:pPr>
        <w:sectPr>
          <w:pgSz w:w="11900" w:h="16838" w:orient="portrait"/>
          <w:cols w:equalWidth="0" w:num="1">
            <w:col w:w="11380"/>
          </w:cols>
          <w:pgMar w:left="240" w:top="274" w:right="279" w:bottom="1440" w:gutter="0" w:footer="0" w:header="0"/>
        </w:sectPr>
      </w:pPr>
    </w:p>
    <w:bookmarkStart w:id="228" w:name="page229"/>
    <w:bookmarkEnd w:id="228"/>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1.01</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u w:val="single" w:color="auto"/>
          <w:color w:val="auto"/>
        </w:rPr>
        <w:t>Borrower’s Investment Policy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219"/>
          </w:cols>
          <w:pgMar w:left="240" w:top="274" w:right="1440"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 POLICY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Prepared By: Controller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Approved by: CFO,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February , 2009</w:t>
      </w:r>
    </w:p>
    <w:p>
      <w:pPr>
        <w:spacing w:after="0" w:line="159"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 xml:space="preserve">POLICY: </w:t>
      </w:r>
      <w:r>
        <w:rPr>
          <w:rFonts w:ascii="Arial" w:cs="Arial" w:eastAsia="Arial" w:hAnsi="Arial"/>
          <w:sz w:val="16"/>
          <w:szCs w:val="16"/>
          <w:color w:val="auto"/>
        </w:rPr>
        <w:t>It is the policy of Grand Canyon Education, Inc. (the “Company”) to establish guidelines in order to maintain sufficient cash reserves to accommodate</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and future operating and capital needs in accordance with management’s objectives for appropriate cash management.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Policy is designed to:</w:t>
      </w:r>
    </w:p>
    <w:p>
      <w:pPr>
        <w:spacing w:after="0" w:line="90" w:lineRule="exact"/>
        <w:rPr>
          <w:sz w:val="20"/>
          <w:szCs w:val="20"/>
          <w:color w:val="auto"/>
        </w:rPr>
      </w:pPr>
    </w:p>
    <w:p>
      <w:pPr>
        <w:ind w:left="900" w:hanging="446"/>
        <w:spacing w:after="0"/>
        <w:tabs>
          <w:tab w:leader="none" w:pos="9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Designate responsibility for investing and reporting and provide appropriate authorizations and indemnification to those individuals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Provide investment parameters and limitations;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Define reporting requirements</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Objectives:</w:t>
      </w:r>
    </w:p>
    <w:p>
      <w:pPr>
        <w:spacing w:after="0" w:line="90" w:lineRule="exact"/>
        <w:rPr>
          <w:rFonts w:ascii="Arial" w:cs="Arial" w:eastAsia="Arial" w:hAnsi="Arial"/>
          <w:sz w:val="18"/>
          <w:szCs w:val="18"/>
          <w:b w:val="1"/>
          <w:bCs w:val="1"/>
          <w:color w:val="auto"/>
        </w:rPr>
      </w:pPr>
    </w:p>
    <w:p>
      <w:pPr>
        <w:ind w:left="920" w:right="5840" w:hanging="459"/>
        <w:spacing w:after="0" w:line="34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 Cash Reserves: </w:t>
      </w:r>
      <w:r>
        <w:rPr>
          <w:rFonts w:ascii="Arial" w:cs="Arial" w:eastAsia="Arial" w:hAnsi="Arial"/>
          <w:sz w:val="18"/>
          <w:szCs w:val="18"/>
          <w:color w:val="auto"/>
        </w:rPr>
        <w:t>Cash reserves are to be invested in a manner that:</w:t>
      </w:r>
      <w:r>
        <w:rPr>
          <w:rFonts w:ascii="Arial" w:cs="Arial" w:eastAsia="Arial" w:hAnsi="Arial"/>
          <w:sz w:val="18"/>
          <w:szCs w:val="18"/>
          <w:b w:val="1"/>
          <w:bCs w:val="1"/>
          <w:color w:val="auto"/>
        </w:rPr>
        <w:t xml:space="preserve"> 1.1.1. </w:t>
      </w:r>
      <w:r>
        <w:rPr>
          <w:rFonts w:ascii="Arial" w:cs="Arial" w:eastAsia="Arial" w:hAnsi="Arial"/>
          <w:sz w:val="18"/>
          <w:szCs w:val="18"/>
          <w:color w:val="auto"/>
        </w:rPr>
        <w:t>Preserves Capital</w:t>
      </w: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Provides Liquidity</w:t>
      </w:r>
    </w:p>
    <w:p>
      <w:pPr>
        <w:spacing w:after="0" w:line="90"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Maintains appropriate Diversification and avoids inappropriate concentrations</w:t>
      </w:r>
    </w:p>
    <w:p>
      <w:pPr>
        <w:spacing w:after="0" w:line="90"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Complies with debt covenants</w:t>
      </w:r>
    </w:p>
    <w:p>
      <w:pPr>
        <w:spacing w:after="0" w:line="90"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Generates a competitive after-tax return to these guidelines and prevailing market conditions</w:t>
      </w:r>
    </w:p>
    <w:p>
      <w:pPr>
        <w:spacing w:after="0" w:line="90"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Provides fiduciary control of all investments and cash by the Company’s appointed managers</w:t>
      </w:r>
    </w:p>
    <w:p>
      <w:pPr>
        <w:spacing w:after="0" w:line="21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1.2.  Investment Portfolio:</w:t>
      </w:r>
    </w:p>
    <w:p>
      <w:pPr>
        <w:spacing w:after="0" w:line="90" w:lineRule="exact"/>
        <w:rPr>
          <w:sz w:val="20"/>
          <w:szCs w:val="20"/>
          <w:color w:val="auto"/>
        </w:rPr>
      </w:pPr>
    </w:p>
    <w:p>
      <w:pPr>
        <w:ind w:left="1480" w:hanging="566"/>
        <w:spacing w:after="0" w:line="258" w:lineRule="auto"/>
        <w:tabs>
          <w:tab w:leader="none" w:pos="1460" w:val="left"/>
        </w:tabs>
        <w:rPr>
          <w:sz w:val="20"/>
          <w:szCs w:val="20"/>
          <w:color w:val="auto"/>
        </w:rPr>
      </w:pPr>
      <w:r>
        <w:rPr>
          <w:rFonts w:ascii="Arial" w:cs="Arial" w:eastAsia="Arial" w:hAnsi="Arial"/>
          <w:sz w:val="18"/>
          <w:szCs w:val="18"/>
          <w:b w:val="1"/>
          <w:bCs w:val="1"/>
          <w:color w:val="auto"/>
        </w:rPr>
        <w:t>1.2.1.</w:t>
        <w:tab/>
        <w:t xml:space="preserve">Definition: </w:t>
      </w:r>
      <w:r>
        <w:rPr>
          <w:rFonts w:ascii="Arial" w:cs="Arial" w:eastAsia="Arial" w:hAnsi="Arial"/>
          <w:sz w:val="18"/>
          <w:szCs w:val="18"/>
          <w:color w:val="auto"/>
        </w:rPr>
        <w:t>Portfolio is defined as the holding of diverse securities and financial assets to be managed by the Company or with an external</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regardless of the number of accounts held with the external institution(s). For purposes of maximum maturity, portfolio duration, credit quality and concentration limits each investment manager must comply with the guidelines from a combined account balance standpoint within the limits of monies they are managing.</w:t>
      </w:r>
    </w:p>
    <w:p>
      <w:pPr>
        <w:spacing w:after="0" w:line="55"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6"/>
          <w:szCs w:val="16"/>
          <w:color w:val="auto"/>
        </w:rPr>
        <w:t>The investment portfolio should be maintained in the following manner to minimize the overall risk of invested capital. These risks are:</w:t>
      </w:r>
    </w:p>
    <w:p>
      <w:pPr>
        <w:spacing w:after="0" w:line="96" w:lineRule="exact"/>
        <w:rPr>
          <w:sz w:val="20"/>
          <w:szCs w:val="20"/>
          <w:color w:val="auto"/>
        </w:rPr>
      </w:pPr>
    </w:p>
    <w:p>
      <w:pPr>
        <w:ind w:left="2380" w:hanging="441"/>
        <w:spacing w:after="0"/>
        <w:tabs>
          <w:tab w:leader="none" w:pos="23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Credit Risk</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Concentration Risk</w:t>
      </w:r>
    </w:p>
    <w:p>
      <w:pPr>
        <w:sectPr>
          <w:pgSz w:w="11900" w:h="16838" w:orient="portrait"/>
          <w:cols w:equalWidth="0" w:num="1">
            <w:col w:w="11400"/>
          </w:cols>
          <w:pgMar w:left="240" w:top="274" w:right="259" w:bottom="1440" w:gutter="0" w:footer="0" w:header="0"/>
        </w:sectPr>
      </w:pPr>
    </w:p>
    <w:bookmarkStart w:id="230" w:name="page231"/>
    <w:bookmarkEnd w:id="230"/>
    <w:p>
      <w:pPr>
        <w:ind w:left="452" w:hanging="452"/>
        <w:spacing w:after="0"/>
        <w:tabs>
          <w:tab w:leader="none" w:pos="452"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INVESTMENT ADMINISTRATION:</w:t>
      </w:r>
    </w:p>
    <w:p>
      <w:pPr>
        <w:spacing w:after="0" w:line="90" w:lineRule="exact"/>
        <w:rPr>
          <w:rFonts w:ascii="Arial" w:cs="Arial" w:eastAsia="Arial" w:hAnsi="Arial"/>
          <w:sz w:val="18"/>
          <w:szCs w:val="18"/>
          <w:b w:val="1"/>
          <w:bCs w:val="1"/>
          <w:color w:val="auto"/>
        </w:rPr>
      </w:pPr>
    </w:p>
    <w:p>
      <w:pPr>
        <w:ind w:left="892" w:right="280" w:hanging="446"/>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2.1. Approval: </w:t>
      </w:r>
      <w:r>
        <w:rPr>
          <w:rFonts w:ascii="Arial" w:cs="Arial" w:eastAsia="Arial" w:hAnsi="Arial"/>
          <w:sz w:val="18"/>
          <w:szCs w:val="18"/>
          <w:color w:val="auto"/>
        </w:rPr>
        <w:t>This Investment Policy is effective upon approval by the Corporate Board of Directors (the “Board”). Any changes to this policy may</w:t>
      </w:r>
      <w:r>
        <w:rPr>
          <w:rFonts w:ascii="Arial" w:cs="Arial" w:eastAsia="Arial" w:hAnsi="Arial"/>
          <w:sz w:val="18"/>
          <w:szCs w:val="18"/>
          <w:b w:val="1"/>
          <w:bCs w:val="1"/>
          <w:color w:val="auto"/>
        </w:rPr>
        <w:t xml:space="preserve"> </w:t>
      </w:r>
      <w:r>
        <w:rPr>
          <w:rFonts w:ascii="Arial" w:cs="Arial" w:eastAsia="Arial" w:hAnsi="Arial"/>
          <w:sz w:val="18"/>
          <w:szCs w:val="18"/>
          <w:color w:val="auto"/>
        </w:rPr>
        <w:t>only be made through the Board’s resolution.</w:t>
      </w:r>
    </w:p>
    <w:p>
      <w:pPr>
        <w:spacing w:after="0" w:line="38" w:lineRule="exact"/>
        <w:rPr>
          <w:rFonts w:ascii="Arial" w:cs="Arial" w:eastAsia="Arial" w:hAnsi="Arial"/>
          <w:sz w:val="18"/>
          <w:szCs w:val="18"/>
          <w:b w:val="1"/>
          <w:bCs w:val="1"/>
          <w:color w:val="auto"/>
        </w:rPr>
      </w:pPr>
    </w:p>
    <w:p>
      <w:pPr>
        <w:ind w:left="892" w:hanging="446"/>
        <w:spacing w:after="0" w:line="301"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2.2. Authorized Personnel: </w:t>
      </w:r>
      <w:r>
        <w:rPr>
          <w:rFonts w:ascii="Arial" w:cs="Arial" w:eastAsia="Arial" w:hAnsi="Arial"/>
          <w:sz w:val="16"/>
          <w:szCs w:val="16"/>
          <w:color w:val="auto"/>
        </w:rPr>
        <w:t>The Board has authorized the Chief Financial Officer (“CFO”) or his designee, the Vice-President Controller to maintain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portfolio and recommend investment managers to the Board. The Controller will formally designate Finance staff for daily operations including wire transfers. The Company fully indemnifies such individual(s) from any loss or harm arising from activities related to the Company’s investment portfolio, provided all investments are made in accordance with this Policy.</w:t>
      </w:r>
    </w:p>
    <w:p>
      <w:pPr>
        <w:spacing w:after="0" w:line="22" w:lineRule="exact"/>
        <w:rPr>
          <w:rFonts w:ascii="Arial" w:cs="Arial" w:eastAsia="Arial" w:hAnsi="Arial"/>
          <w:sz w:val="18"/>
          <w:szCs w:val="18"/>
          <w:b w:val="1"/>
          <w:bCs w:val="1"/>
          <w:color w:val="auto"/>
        </w:rPr>
      </w:pPr>
    </w:p>
    <w:p>
      <w:pPr>
        <w:ind w:left="892" w:right="80" w:hanging="446"/>
        <w:spacing w:after="0" w:line="310"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2.3. Reporting: </w:t>
      </w:r>
      <w:r>
        <w:rPr>
          <w:rFonts w:ascii="Arial" w:cs="Arial" w:eastAsia="Arial" w:hAnsi="Arial"/>
          <w:sz w:val="16"/>
          <w:szCs w:val="16"/>
          <w:color w:val="auto"/>
        </w:rPr>
        <w:t>The Company shall maintain records sufficient to allow for tracking and accounting of investments. An Investment Report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prepared monthly and presented to the Controller for review and sign-off. The report will include a listing of investments held along with associated maturity dates, percentage mix of total portfolio, credit ratings, summarized monthly transactions and income earned.</w:t>
      </w:r>
    </w:p>
    <w:p>
      <w:pPr>
        <w:spacing w:after="0" w:line="218" w:lineRule="exact"/>
        <w:rPr>
          <w:rFonts w:ascii="Arial" w:cs="Arial" w:eastAsia="Arial" w:hAnsi="Arial"/>
          <w:sz w:val="18"/>
          <w:szCs w:val="18"/>
          <w:b w:val="1"/>
          <w:bCs w:val="1"/>
          <w:color w:val="auto"/>
        </w:rPr>
      </w:pPr>
    </w:p>
    <w:p>
      <w:pPr>
        <w:ind w:left="452" w:hanging="452"/>
        <w:spacing w:after="0"/>
        <w:tabs>
          <w:tab w:leader="none" w:pos="452"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Parameters/Limitations:</w:t>
      </w:r>
    </w:p>
    <w:p>
      <w:pPr>
        <w:spacing w:after="0" w:line="90" w:lineRule="exact"/>
        <w:rPr>
          <w:sz w:val="20"/>
          <w:szCs w:val="20"/>
          <w:color w:val="auto"/>
        </w:rPr>
      </w:pPr>
    </w:p>
    <w:p>
      <w:pPr>
        <w:ind w:left="452"/>
        <w:spacing w:after="0"/>
        <w:tabs>
          <w:tab w:leader="none" w:pos="872"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5"/>
          <w:szCs w:val="15"/>
          <w:b w:val="1"/>
          <w:bCs w:val="1"/>
          <w:color w:val="auto"/>
        </w:rPr>
        <w:t>Eligible Investments</w:t>
      </w:r>
      <w:r>
        <w:rPr>
          <w:rFonts w:ascii="Arial" w:cs="Arial" w:eastAsia="Arial" w:hAnsi="Arial"/>
          <w:sz w:val="15"/>
          <w:szCs w:val="15"/>
          <w:color w:val="auto"/>
        </w:rPr>
        <w:t>:</w:t>
      </w:r>
    </w:p>
    <w:p>
      <w:pPr>
        <w:spacing w:after="0" w:line="90"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5"/>
          <w:szCs w:val="15"/>
          <w:b w:val="1"/>
          <w:bCs w:val="1"/>
          <w:color w:val="auto"/>
        </w:rPr>
        <w:t xml:space="preserve">US Treasuries: </w:t>
      </w:r>
      <w:r>
        <w:rPr>
          <w:rFonts w:ascii="Arial" w:cs="Arial" w:eastAsia="Arial" w:hAnsi="Arial"/>
          <w:sz w:val="15"/>
          <w:szCs w:val="15"/>
          <w:color w:val="auto"/>
        </w:rPr>
        <w:t>such as treasury bills, notes, or bonds which are obligations issued by other US agencies</w:t>
      </w:r>
    </w:p>
    <w:p>
      <w:pPr>
        <w:spacing w:after="0" w:line="90" w:lineRule="exact"/>
        <w:rPr>
          <w:sz w:val="20"/>
          <w:szCs w:val="20"/>
          <w:color w:val="auto"/>
        </w:rPr>
      </w:pPr>
    </w:p>
    <w:p>
      <w:pPr>
        <w:ind w:left="912"/>
        <w:spacing w:after="0"/>
        <w:tabs>
          <w:tab w:leader="none" w:pos="1452"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5"/>
          <w:szCs w:val="15"/>
          <w:b w:val="1"/>
          <w:bCs w:val="1"/>
          <w:color w:val="auto"/>
        </w:rPr>
        <w:t xml:space="preserve">US Government Agencies or Government-sponsored Enterprises (GSE): </w:t>
      </w:r>
      <w:r>
        <w:rPr>
          <w:rFonts w:ascii="Arial" w:cs="Arial" w:eastAsia="Arial" w:hAnsi="Arial"/>
          <w:sz w:val="15"/>
          <w:szCs w:val="15"/>
          <w:color w:val="auto"/>
        </w:rPr>
        <w:t>GSEs carry the implicit backing of the U.S. Government, but</w:t>
      </w:r>
    </w:p>
    <w:p>
      <w:pPr>
        <w:spacing w:after="0" w:line="21" w:lineRule="exact"/>
        <w:rPr>
          <w:sz w:val="20"/>
          <w:szCs w:val="20"/>
          <w:color w:val="auto"/>
        </w:rPr>
      </w:pPr>
    </w:p>
    <w:p>
      <w:pPr>
        <w:ind w:left="1472"/>
        <w:spacing w:after="0"/>
        <w:rPr>
          <w:sz w:val="20"/>
          <w:szCs w:val="20"/>
          <w:color w:val="auto"/>
        </w:rPr>
      </w:pPr>
      <w:r>
        <w:rPr>
          <w:rFonts w:ascii="Arial" w:cs="Arial" w:eastAsia="Arial" w:hAnsi="Arial"/>
          <w:sz w:val="16"/>
          <w:szCs w:val="16"/>
          <w:color w:val="auto"/>
        </w:rPr>
        <w:t>they are not direct obligations of the U.S. Government. For this reason, these securities will offer a yield premium over Treasuries.</w:t>
      </w:r>
    </w:p>
    <w:p>
      <w:pPr>
        <w:spacing w:after="0" w:line="101" w:lineRule="exact"/>
        <w:rPr>
          <w:sz w:val="20"/>
          <w:szCs w:val="20"/>
          <w:color w:val="auto"/>
        </w:rPr>
      </w:pPr>
    </w:p>
    <w:p>
      <w:pPr>
        <w:ind w:left="1472" w:right="500" w:hanging="566"/>
        <w:spacing w:after="0" w:line="275" w:lineRule="auto"/>
        <w:tabs>
          <w:tab w:leader="none" w:pos="1452" w:val="left"/>
        </w:tabs>
        <w:rPr>
          <w:sz w:val="20"/>
          <w:szCs w:val="20"/>
          <w:color w:val="auto"/>
        </w:rPr>
      </w:pPr>
      <w:r>
        <w:rPr>
          <w:rFonts w:ascii="Arial" w:cs="Arial" w:eastAsia="Arial" w:hAnsi="Arial"/>
          <w:sz w:val="18"/>
          <w:szCs w:val="18"/>
          <w:b w:val="1"/>
          <w:bCs w:val="1"/>
          <w:color w:val="auto"/>
        </w:rPr>
        <w:t>3.1.3.</w:t>
        <w:tab/>
        <w:t xml:space="preserve">Short-term money funds </w:t>
      </w:r>
      <w:r>
        <w:rPr>
          <w:rFonts w:ascii="Arial" w:cs="Arial" w:eastAsia="Arial" w:hAnsi="Arial"/>
          <w:sz w:val="18"/>
          <w:szCs w:val="18"/>
          <w:color w:val="auto"/>
        </w:rPr>
        <w:t>limited to municipal notes, municipal bonds, and commercial paper (may be implemented as tax exempt or</w:t>
      </w:r>
      <w:r>
        <w:rPr>
          <w:rFonts w:ascii="Arial" w:cs="Arial" w:eastAsia="Arial" w:hAnsi="Arial"/>
          <w:sz w:val="18"/>
          <w:szCs w:val="18"/>
          <w:b w:val="1"/>
          <w:bCs w:val="1"/>
          <w:color w:val="auto"/>
        </w:rPr>
        <w:t xml:space="preserve"> </w:t>
      </w:r>
      <w:r>
        <w:rPr>
          <w:rFonts w:ascii="Arial" w:cs="Arial" w:eastAsia="Arial" w:hAnsi="Arial"/>
          <w:sz w:val="18"/>
          <w:szCs w:val="18"/>
          <w:color w:val="auto"/>
        </w:rPr>
        <w:t>taxable instruments)</w:t>
      </w:r>
    </w:p>
    <w:p>
      <w:pPr>
        <w:spacing w:after="0" w:line="39" w:lineRule="exact"/>
        <w:rPr>
          <w:sz w:val="20"/>
          <w:szCs w:val="20"/>
          <w:color w:val="auto"/>
        </w:rPr>
      </w:pPr>
    </w:p>
    <w:p>
      <w:pPr>
        <w:ind w:left="1472" w:right="300" w:hanging="566"/>
        <w:spacing w:after="0" w:line="275" w:lineRule="auto"/>
        <w:tabs>
          <w:tab w:leader="none" w:pos="1452" w:val="left"/>
        </w:tabs>
        <w:rPr>
          <w:sz w:val="20"/>
          <w:szCs w:val="20"/>
          <w:color w:val="auto"/>
        </w:rPr>
      </w:pPr>
      <w:r>
        <w:rPr>
          <w:rFonts w:ascii="Arial" w:cs="Arial" w:eastAsia="Arial" w:hAnsi="Arial"/>
          <w:sz w:val="18"/>
          <w:szCs w:val="18"/>
          <w:b w:val="1"/>
          <w:bCs w:val="1"/>
          <w:color w:val="auto"/>
        </w:rPr>
        <w:t>3.1.4.</w:t>
        <w:tab/>
        <w:t xml:space="preserve">Certificates of Deposit (CD’s): </w:t>
      </w:r>
      <w:r>
        <w:rPr>
          <w:rFonts w:ascii="Arial" w:cs="Arial" w:eastAsia="Arial" w:hAnsi="Arial"/>
          <w:sz w:val="18"/>
          <w:szCs w:val="18"/>
          <w:color w:val="auto"/>
        </w:rPr>
        <w:t>a promissory note issued by a bank. It is a time deposit that restricts holders from withdrawing funds on</w:t>
      </w:r>
      <w:r>
        <w:rPr>
          <w:rFonts w:ascii="Arial" w:cs="Arial" w:eastAsia="Arial" w:hAnsi="Arial"/>
          <w:sz w:val="18"/>
          <w:szCs w:val="18"/>
          <w:b w:val="1"/>
          <w:bCs w:val="1"/>
          <w:color w:val="auto"/>
        </w:rPr>
        <w:t xml:space="preserve"> </w:t>
      </w:r>
      <w:r>
        <w:rPr>
          <w:rFonts w:ascii="Arial" w:cs="Arial" w:eastAsia="Arial" w:hAnsi="Arial"/>
          <w:sz w:val="18"/>
          <w:szCs w:val="18"/>
          <w:color w:val="auto"/>
        </w:rPr>
        <w:t>demand.</w:t>
      </w:r>
    </w:p>
    <w:p>
      <w:pPr>
        <w:spacing w:after="0" w:line="39" w:lineRule="exact"/>
        <w:rPr>
          <w:sz w:val="20"/>
          <w:szCs w:val="20"/>
          <w:color w:val="auto"/>
        </w:rPr>
      </w:pPr>
    </w:p>
    <w:p>
      <w:pPr>
        <w:ind w:left="1472" w:right="140" w:hanging="566"/>
        <w:spacing w:after="0" w:line="262" w:lineRule="auto"/>
        <w:tabs>
          <w:tab w:leader="none" w:pos="1452" w:val="left"/>
        </w:tabs>
        <w:rPr>
          <w:sz w:val="20"/>
          <w:szCs w:val="20"/>
          <w:color w:val="auto"/>
        </w:rPr>
      </w:pPr>
      <w:r>
        <w:rPr>
          <w:rFonts w:ascii="Arial" w:cs="Arial" w:eastAsia="Arial" w:hAnsi="Arial"/>
          <w:sz w:val="18"/>
          <w:szCs w:val="18"/>
          <w:b w:val="1"/>
          <w:bCs w:val="1"/>
          <w:color w:val="auto"/>
        </w:rPr>
        <w:t>3.1.5.</w:t>
        <w:tab/>
        <w:t xml:space="preserve">Variable Rate Demand Notes (VRDN): </w:t>
      </w:r>
      <w:r>
        <w:rPr>
          <w:rFonts w:ascii="Arial" w:cs="Arial" w:eastAsia="Arial" w:hAnsi="Arial"/>
          <w:sz w:val="18"/>
          <w:szCs w:val="18"/>
          <w:color w:val="auto"/>
        </w:rPr>
        <w:t>A debt instrument that represents borrowed funds that are payable on demand and accrue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a prevailing money market rate, such as the prime rate. These are generally long term obligations that reset daily, weekly or monthly that are backed by either direct pay or stand by letter of credit.</w:t>
      </w:r>
    </w:p>
    <w:p>
      <w:pPr>
        <w:spacing w:after="0" w:line="51" w:lineRule="exact"/>
        <w:rPr>
          <w:sz w:val="20"/>
          <w:szCs w:val="20"/>
          <w:color w:val="auto"/>
        </w:rPr>
      </w:pPr>
    </w:p>
    <w:p>
      <w:pPr>
        <w:ind w:left="1472" w:right="540" w:hanging="566"/>
        <w:spacing w:after="0" w:line="262" w:lineRule="auto"/>
        <w:tabs>
          <w:tab w:leader="none" w:pos="1452" w:val="left"/>
        </w:tabs>
        <w:rPr>
          <w:sz w:val="20"/>
          <w:szCs w:val="20"/>
          <w:color w:val="auto"/>
        </w:rPr>
      </w:pPr>
      <w:r>
        <w:rPr>
          <w:rFonts w:ascii="Arial" w:cs="Arial" w:eastAsia="Arial" w:hAnsi="Arial"/>
          <w:sz w:val="18"/>
          <w:szCs w:val="18"/>
          <w:b w:val="1"/>
          <w:bCs w:val="1"/>
          <w:color w:val="auto"/>
        </w:rPr>
        <w:t>3.1.6.</w:t>
        <w:tab/>
        <w:t xml:space="preserve">Commercial Paper: </w:t>
      </w:r>
      <w:r>
        <w:rPr>
          <w:rFonts w:ascii="Arial" w:cs="Arial" w:eastAsia="Arial" w:hAnsi="Arial"/>
          <w:sz w:val="18"/>
          <w:szCs w:val="18"/>
          <w:color w:val="auto"/>
        </w:rPr>
        <w:t>An unsecured, short-term debt instrument issued by a corporation, typically for the financing of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 inventories and meeting short-term liabilities. Maturities on commercial paper rarely range any longer than 270 days. The debt is usually issued at a discount, reflecting prevailing market interest rates.</w:t>
      </w:r>
    </w:p>
    <w:p>
      <w:pPr>
        <w:sectPr>
          <w:pgSz w:w="11900" w:h="16838" w:orient="portrait"/>
          <w:cols w:equalWidth="0" w:num="1">
            <w:col w:w="11372"/>
          </w:cols>
          <w:pgMar w:left="248" w:top="274" w:right="279" w:bottom="1440" w:gutter="0" w:footer="0" w:header="0"/>
        </w:sectPr>
      </w:pPr>
    </w:p>
    <w:bookmarkStart w:id="231" w:name="page232"/>
    <w:bookmarkEnd w:id="231"/>
    <w:p>
      <w:pPr>
        <w:ind w:left="1120" w:right="220" w:hanging="674"/>
        <w:spacing w:after="0" w:line="275" w:lineRule="auto"/>
        <w:tabs>
          <w:tab w:leader="none" w:pos="1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3.1.7.</w:t>
        <w:tab/>
        <w:t xml:space="preserve">Repurchase Agreement (Repo): </w:t>
      </w:r>
      <w:r>
        <w:rPr>
          <w:rFonts w:ascii="Arial" w:cs="Arial" w:eastAsia="Arial" w:hAnsi="Arial"/>
          <w:sz w:val="18"/>
          <w:szCs w:val="18"/>
          <w:color w:val="auto"/>
        </w:rPr>
        <w:t>A form of short-term borrowing for dealers in government securities. Repos are classified as a money-market instrument. They are usually used to raise short-term capital.</w:t>
      </w:r>
    </w:p>
    <w:p>
      <w:pPr>
        <w:spacing w:after="0" w:line="39" w:lineRule="exact"/>
        <w:rPr>
          <w:sz w:val="20"/>
          <w:szCs w:val="20"/>
          <w:color w:val="auto"/>
        </w:rPr>
      </w:pPr>
    </w:p>
    <w:p>
      <w:pPr>
        <w:ind w:left="1120" w:hanging="674"/>
        <w:spacing w:after="0" w:line="275" w:lineRule="auto"/>
        <w:tabs>
          <w:tab w:leader="none" w:pos="1100" w:val="left"/>
        </w:tabs>
        <w:rPr>
          <w:sz w:val="20"/>
          <w:szCs w:val="20"/>
          <w:color w:val="auto"/>
        </w:rPr>
      </w:pPr>
      <w:r>
        <w:rPr>
          <w:rFonts w:ascii="Arial" w:cs="Arial" w:eastAsia="Arial" w:hAnsi="Arial"/>
          <w:sz w:val="18"/>
          <w:szCs w:val="18"/>
          <w:b w:val="1"/>
          <w:bCs w:val="1"/>
          <w:color w:val="auto"/>
        </w:rPr>
        <w:t>3.1.8.</w:t>
        <w:tab/>
        <w:t xml:space="preserve">Municipal Bonds: </w:t>
      </w:r>
      <w:r>
        <w:rPr>
          <w:rFonts w:ascii="Arial" w:cs="Arial" w:eastAsia="Arial" w:hAnsi="Arial"/>
          <w:sz w:val="18"/>
          <w:szCs w:val="18"/>
          <w:color w:val="auto"/>
        </w:rPr>
        <w:t>A debt security issued by a state, municipality or county to finance its capital expenditures. Municipal bonds are exempt</w:t>
      </w:r>
      <w:r>
        <w:rPr>
          <w:rFonts w:ascii="Arial" w:cs="Arial" w:eastAsia="Arial" w:hAnsi="Arial"/>
          <w:sz w:val="18"/>
          <w:szCs w:val="18"/>
          <w:b w:val="1"/>
          <w:bCs w:val="1"/>
          <w:color w:val="auto"/>
        </w:rPr>
        <w:t xml:space="preserve"> </w:t>
      </w:r>
      <w:r>
        <w:rPr>
          <w:rFonts w:ascii="Arial" w:cs="Arial" w:eastAsia="Arial" w:hAnsi="Arial"/>
          <w:sz w:val="18"/>
          <w:szCs w:val="18"/>
          <w:color w:val="auto"/>
        </w:rPr>
        <w:t>from federal taxes and from most state and local taxes</w:t>
      </w:r>
    </w:p>
    <w:p>
      <w:pPr>
        <w:spacing w:after="0" w:line="39"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color w:val="auto"/>
        </w:rPr>
        <w:t>3.1.9.</w:t>
      </w:r>
      <w:r>
        <w:rPr>
          <w:sz w:val="20"/>
          <w:szCs w:val="20"/>
          <w:color w:val="auto"/>
        </w:rPr>
        <w:tab/>
      </w:r>
      <w:r>
        <w:rPr>
          <w:rFonts w:ascii="Arial" w:cs="Arial" w:eastAsia="Arial" w:hAnsi="Arial"/>
          <w:sz w:val="16"/>
          <w:szCs w:val="16"/>
          <w:b w:val="1"/>
          <w:bCs w:val="1"/>
          <w:color w:val="auto"/>
        </w:rPr>
        <w:t xml:space="preserve">Sweep Vehicles: </w:t>
      </w:r>
      <w:r>
        <w:rPr>
          <w:rFonts w:ascii="Arial" w:cs="Arial" w:eastAsia="Arial" w:hAnsi="Arial"/>
          <w:sz w:val="16"/>
          <w:szCs w:val="16"/>
          <w:color w:val="auto"/>
        </w:rPr>
        <w:t>Money Market or Eurodollar</w:t>
      </w:r>
    </w:p>
    <w:p>
      <w:pPr>
        <w:spacing w:after="0" w:line="90"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color w:val="auto"/>
        </w:rPr>
        <w:t>3.1.10.</w:t>
      </w:r>
      <w:r>
        <w:rPr>
          <w:sz w:val="20"/>
          <w:szCs w:val="20"/>
          <w:color w:val="auto"/>
        </w:rPr>
        <w:tab/>
      </w:r>
      <w:r>
        <w:rPr>
          <w:rFonts w:ascii="Arial" w:cs="Arial" w:eastAsia="Arial" w:hAnsi="Arial"/>
          <w:sz w:val="16"/>
          <w:szCs w:val="16"/>
          <w:b w:val="1"/>
          <w:bCs w:val="1"/>
          <w:color w:val="auto"/>
        </w:rPr>
        <w:t xml:space="preserve">Derivatives: </w:t>
      </w:r>
      <w:r>
        <w:rPr>
          <w:rFonts w:ascii="Arial" w:cs="Arial" w:eastAsia="Arial" w:hAnsi="Arial"/>
          <w:sz w:val="16"/>
          <w:szCs w:val="16"/>
          <w:color w:val="auto"/>
        </w:rPr>
        <w:t>Contracts may only be entered into in accordance with guidelines set forth in the Company’s Derivative Policy.</w:t>
      </w:r>
    </w:p>
    <w:p>
      <w:pPr>
        <w:spacing w:after="0" w:line="212"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Credit Quality:</w:t>
      </w:r>
    </w:p>
    <w:p>
      <w:pPr>
        <w:spacing w:after="0" w:line="90"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6"/>
          <w:szCs w:val="16"/>
          <w:color w:val="auto"/>
        </w:rPr>
        <w:t>All portfolio types must be of high credit quality and have a minimum stand alone credit rating from a major rating agency:</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222"/>
        </w:trPr>
        <w:tc>
          <w:tcPr>
            <w:tcW w:w="3100" w:type="dxa"/>
            <w:vAlign w:val="bottom"/>
            <w:gridSpan w:val="2"/>
          </w:tcPr>
          <w:p>
            <w:pPr>
              <w:spacing w:after="0"/>
              <w:rPr>
                <w:sz w:val="20"/>
                <w:szCs w:val="20"/>
                <w:color w:val="auto"/>
              </w:rPr>
            </w:pPr>
            <w:r>
              <w:rPr>
                <w:rFonts w:ascii="Arial" w:cs="Arial" w:eastAsia="Arial" w:hAnsi="Arial"/>
                <w:sz w:val="18"/>
                <w:szCs w:val="18"/>
                <w:color w:val="auto"/>
              </w:rPr>
              <w:t>•  US Treasuries and GSE’s</w:t>
            </w:r>
          </w:p>
        </w:tc>
        <w:tc>
          <w:tcPr>
            <w:tcW w:w="2400" w:type="dxa"/>
            <w:vAlign w:val="bottom"/>
          </w:tcPr>
          <w:p>
            <w:pPr>
              <w:ind w:left="1120"/>
              <w:spacing w:after="0"/>
              <w:rPr>
                <w:sz w:val="20"/>
                <w:szCs w:val="20"/>
                <w:color w:val="auto"/>
              </w:rPr>
            </w:pPr>
            <w:r>
              <w:rPr>
                <w:rFonts w:ascii="Arial" w:cs="Arial" w:eastAsia="Arial" w:hAnsi="Arial"/>
                <w:sz w:val="18"/>
                <w:szCs w:val="18"/>
                <w:color w:val="auto"/>
              </w:rPr>
              <w:t>AAA/Aaa</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Money Funds</w:t>
            </w:r>
          </w:p>
        </w:tc>
        <w:tc>
          <w:tcPr>
            <w:tcW w:w="2400" w:type="dxa"/>
            <w:vAlign w:val="bottom"/>
          </w:tcPr>
          <w:p>
            <w:pPr>
              <w:ind w:left="1120"/>
              <w:spacing w:after="0"/>
              <w:rPr>
                <w:sz w:val="20"/>
                <w:szCs w:val="20"/>
                <w:color w:val="auto"/>
              </w:rPr>
            </w:pPr>
            <w:r>
              <w:rPr>
                <w:rFonts w:ascii="Arial" w:cs="Arial" w:eastAsia="Arial" w:hAnsi="Arial"/>
                <w:sz w:val="18"/>
                <w:szCs w:val="18"/>
                <w:color w:val="auto"/>
              </w:rPr>
              <w:t>AAA/Aaa</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CD’s</w:t>
            </w:r>
          </w:p>
        </w:tc>
        <w:tc>
          <w:tcPr>
            <w:tcW w:w="2400" w:type="dxa"/>
            <w:vAlign w:val="bottom"/>
          </w:tcPr>
          <w:p>
            <w:pPr>
              <w:ind w:left="1120"/>
              <w:spacing w:after="0"/>
              <w:rPr>
                <w:sz w:val="20"/>
                <w:szCs w:val="20"/>
                <w:color w:val="auto"/>
              </w:rPr>
            </w:pPr>
            <w:r>
              <w:rPr>
                <w:rFonts w:ascii="Arial" w:cs="Arial" w:eastAsia="Arial" w:hAnsi="Arial"/>
                <w:sz w:val="18"/>
                <w:szCs w:val="18"/>
                <w:color w:val="auto"/>
              </w:rPr>
              <w:t>A2</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VRDN’s</w:t>
            </w:r>
          </w:p>
        </w:tc>
        <w:tc>
          <w:tcPr>
            <w:tcW w:w="2400" w:type="dxa"/>
            <w:vAlign w:val="bottom"/>
          </w:tcPr>
          <w:p>
            <w:pPr>
              <w:ind w:left="1120"/>
              <w:spacing w:after="0"/>
              <w:rPr>
                <w:sz w:val="20"/>
                <w:szCs w:val="20"/>
                <w:color w:val="auto"/>
              </w:rPr>
            </w:pPr>
            <w:r>
              <w:rPr>
                <w:rFonts w:ascii="Arial" w:cs="Arial" w:eastAsia="Arial" w:hAnsi="Arial"/>
                <w:sz w:val="18"/>
                <w:szCs w:val="18"/>
                <w:color w:val="auto"/>
                <w:w w:val="90"/>
              </w:rPr>
              <w:t>A1/P1/F1 and AA</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Commercial Paper</w:t>
            </w:r>
          </w:p>
        </w:tc>
        <w:tc>
          <w:tcPr>
            <w:tcW w:w="2400" w:type="dxa"/>
            <w:vAlign w:val="bottom"/>
          </w:tcPr>
          <w:p>
            <w:pPr>
              <w:ind w:left="1120"/>
              <w:spacing w:after="0"/>
              <w:rPr>
                <w:sz w:val="20"/>
                <w:szCs w:val="20"/>
                <w:color w:val="auto"/>
              </w:rPr>
            </w:pPr>
            <w:r>
              <w:rPr>
                <w:rFonts w:ascii="Arial" w:cs="Arial" w:eastAsia="Arial" w:hAnsi="Arial"/>
                <w:sz w:val="18"/>
                <w:szCs w:val="18"/>
                <w:color w:val="auto"/>
              </w:rPr>
              <w:t>A1/P1/F1</w:t>
            </w:r>
          </w:p>
        </w:tc>
      </w:tr>
      <w:tr>
        <w:trPr>
          <w:trHeight w:val="32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60"/>
              <w:spacing w:after="0"/>
              <w:rPr>
                <w:sz w:val="20"/>
                <w:szCs w:val="20"/>
                <w:color w:val="auto"/>
              </w:rPr>
            </w:pPr>
            <w:r>
              <w:rPr>
                <w:rFonts w:ascii="Arial" w:cs="Arial" w:eastAsia="Arial" w:hAnsi="Arial"/>
                <w:sz w:val="18"/>
                <w:szCs w:val="18"/>
                <w:color w:val="auto"/>
              </w:rPr>
              <w:t>Municipal Bonds</w:t>
            </w:r>
          </w:p>
        </w:tc>
        <w:tc>
          <w:tcPr>
            <w:tcW w:w="2400" w:type="dxa"/>
            <w:vAlign w:val="bottom"/>
          </w:tcPr>
          <w:p>
            <w:pPr>
              <w:ind w:left="1120"/>
              <w:spacing w:after="0"/>
              <w:rPr>
                <w:sz w:val="20"/>
                <w:szCs w:val="20"/>
                <w:color w:val="auto"/>
              </w:rPr>
            </w:pPr>
            <w:r>
              <w:rPr>
                <w:rFonts w:ascii="Arial" w:cs="Arial" w:eastAsia="Arial" w:hAnsi="Arial"/>
                <w:sz w:val="18"/>
                <w:szCs w:val="18"/>
                <w:color w:val="auto"/>
              </w:rPr>
              <w:t>AA</w:t>
            </w:r>
          </w:p>
        </w:tc>
      </w:tr>
    </w:tbl>
    <w:p>
      <w:pPr>
        <w:spacing w:after="0" w:line="69" w:lineRule="exact"/>
        <w:rPr>
          <w:sz w:val="20"/>
          <w:szCs w:val="20"/>
          <w:color w:val="auto"/>
        </w:rPr>
      </w:pPr>
    </w:p>
    <w:p>
      <w:pPr>
        <w:ind w:left="1020" w:right="220" w:hanging="566"/>
        <w:spacing w:after="0" w:line="306" w:lineRule="auto"/>
        <w:tabs>
          <w:tab w:leader="none" w:pos="1000"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6"/>
          <w:szCs w:val="16"/>
          <w:color w:val="auto"/>
        </w:rPr>
        <w:t>Non-rated debt or debt instruments with ratings outside the policy guidelines shall be permissible only if the underlying security can be easily verifiable as falling well within the guidelines; for instance the credit rating on a lower grade municipal bond that is pre-refunded in US Treasuries becomes superseded by the absolute safety of AAA-rated US government backing on principal and interest</w:t>
      </w:r>
    </w:p>
    <w:p>
      <w:pPr>
        <w:spacing w:after="0" w:line="14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Duration/Maturity:</w:t>
      </w:r>
    </w:p>
    <w:p>
      <w:pPr>
        <w:spacing w:after="0" w:line="90" w:lineRule="exact"/>
        <w:rPr>
          <w:sz w:val="20"/>
          <w:szCs w:val="20"/>
          <w:color w:val="auto"/>
        </w:rPr>
      </w:pPr>
    </w:p>
    <w:p>
      <w:pPr>
        <w:jc w:val="both"/>
        <w:ind w:left="1020" w:right="320" w:hanging="566"/>
        <w:spacing w:after="0" w:line="259" w:lineRule="auto"/>
        <w:tabs>
          <w:tab w:leader="none" w:pos="1000" w:val="left"/>
        </w:tabs>
        <w:rPr>
          <w:sz w:val="20"/>
          <w:szCs w:val="20"/>
          <w:color w:val="auto"/>
        </w:rPr>
      </w:pPr>
      <w:r>
        <w:rPr>
          <w:rFonts w:ascii="Arial" w:cs="Arial" w:eastAsia="Arial" w:hAnsi="Arial"/>
          <w:sz w:val="18"/>
          <w:szCs w:val="18"/>
          <w:b w:val="1"/>
          <w:bCs w:val="1"/>
          <w:color w:val="auto"/>
        </w:rPr>
        <w:t>3.3.1.</w:t>
      </w:r>
      <w:r>
        <w:rPr>
          <w:sz w:val="20"/>
          <w:szCs w:val="20"/>
          <w:color w:val="auto"/>
        </w:rPr>
        <w:tab/>
      </w:r>
      <w:r>
        <w:rPr>
          <w:rFonts w:ascii="Arial" w:cs="Arial" w:eastAsia="Arial" w:hAnsi="Arial"/>
          <w:sz w:val="18"/>
          <w:szCs w:val="18"/>
          <w:color w:val="auto"/>
        </w:rPr>
        <w:t>The investment portfolio must be structured in such a manner that will provide sufficient liquidity to pay obligations, such as student and debt commitments and normal operating expenses as they become due. A liquidity base will be maintained by the use of Money Market Funds.</w:t>
      </w:r>
    </w:p>
    <w:p>
      <w:pPr>
        <w:spacing w:after="0" w:line="59" w:lineRule="exact"/>
        <w:rPr>
          <w:sz w:val="20"/>
          <w:szCs w:val="20"/>
          <w:color w:val="auto"/>
        </w:rPr>
      </w:pPr>
    </w:p>
    <w:p>
      <w:pPr>
        <w:ind w:left="1020" w:right="200" w:hanging="566"/>
        <w:spacing w:after="0" w:line="256" w:lineRule="auto"/>
        <w:tabs>
          <w:tab w:leader="none" w:pos="1000" w:val="left"/>
        </w:tabs>
        <w:rPr>
          <w:sz w:val="20"/>
          <w:szCs w:val="20"/>
          <w:color w:val="auto"/>
        </w:rPr>
      </w:pPr>
      <w:r>
        <w:rPr>
          <w:rFonts w:ascii="Arial" w:cs="Arial" w:eastAsia="Arial" w:hAnsi="Arial"/>
          <w:sz w:val="18"/>
          <w:szCs w:val="18"/>
          <w:b w:val="1"/>
          <w:bCs w:val="1"/>
          <w:color w:val="auto"/>
        </w:rPr>
        <w:t>3.3.2.</w:t>
      </w:r>
      <w:r>
        <w:rPr>
          <w:sz w:val="20"/>
          <w:szCs w:val="20"/>
          <w:color w:val="auto"/>
        </w:rPr>
        <w:tab/>
      </w:r>
      <w:r>
        <w:rPr>
          <w:rFonts w:ascii="Arial" w:cs="Arial" w:eastAsia="Arial" w:hAnsi="Arial"/>
          <w:sz w:val="18"/>
          <w:szCs w:val="18"/>
          <w:color w:val="auto"/>
        </w:rPr>
        <w:t>Due to the regulatory guidelines, Federal and State, that the Company must follow and the period of growth and development that the Company is currently experiencing it is necessary to keep a large portion of our portfolio extremely liquid. Therefore, the maximum allowable maturity for any one security is 3 years, Average maturity of the portfolio should be 1 year. Securities of 3 years duration should not exceed more than 10% of the total portfolio.</w:t>
      </w:r>
    </w:p>
    <w:p>
      <w:pPr>
        <w:spacing w:after="0" w:line="62" w:lineRule="exact"/>
        <w:rPr>
          <w:sz w:val="20"/>
          <w:szCs w:val="20"/>
          <w:color w:val="auto"/>
        </w:rPr>
      </w:pPr>
    </w:p>
    <w:p>
      <w:pPr>
        <w:ind w:left="460"/>
        <w:spacing w:after="0"/>
        <w:tabs>
          <w:tab w:leader="none" w:pos="1000" w:val="left"/>
        </w:tabs>
        <w:rPr>
          <w:sz w:val="20"/>
          <w:szCs w:val="20"/>
          <w:color w:val="auto"/>
        </w:rPr>
      </w:pPr>
      <w:r>
        <w:rPr>
          <w:rFonts w:ascii="Arial" w:cs="Arial" w:eastAsia="Arial" w:hAnsi="Arial"/>
          <w:sz w:val="18"/>
          <w:szCs w:val="18"/>
          <w:b w:val="1"/>
          <w:bCs w:val="1"/>
          <w:color w:val="auto"/>
        </w:rPr>
        <w:t>3.3.3.</w:t>
      </w:r>
      <w:r>
        <w:rPr>
          <w:sz w:val="20"/>
          <w:szCs w:val="20"/>
          <w:color w:val="auto"/>
        </w:rPr>
        <w:tab/>
      </w:r>
      <w:r>
        <w:rPr>
          <w:rFonts w:ascii="Arial" w:cs="Arial" w:eastAsia="Arial" w:hAnsi="Arial"/>
          <w:sz w:val="15"/>
          <w:szCs w:val="15"/>
          <w:color w:val="auto"/>
        </w:rPr>
        <w:t>These restrictions will be subject to change according to market conditions and corporate instructions.</w:t>
      </w:r>
    </w:p>
    <w:p>
      <w:pPr>
        <w:sectPr>
          <w:pgSz w:w="11900" w:h="16838" w:orient="portrait"/>
          <w:cols w:equalWidth="0" w:num="1">
            <w:col w:w="10960"/>
          </w:cols>
          <w:pgMar w:left="700" w:top="274" w:right="239" w:bottom="1440" w:gutter="0" w:footer="0" w:header="0"/>
        </w:sectPr>
      </w:pPr>
    </w:p>
    <w:bookmarkStart w:id="232" w:name="page233"/>
    <w:bookmarkEnd w:id="232"/>
    <w:p>
      <w:pPr>
        <w:ind w:left="900" w:right="320" w:hanging="445"/>
        <w:spacing w:after="0" w:line="275" w:lineRule="auto"/>
        <w:tabs>
          <w:tab w:leader="none" w:pos="8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3.4.</w:t>
        <w:tab/>
        <w:t xml:space="preserve">Concentration and Diversification: </w:t>
      </w:r>
      <w:r>
        <w:rPr>
          <w:rFonts w:ascii="Arial" w:cs="Arial" w:eastAsia="Arial" w:hAnsi="Arial"/>
          <w:sz w:val="18"/>
          <w:szCs w:val="18"/>
          <w:color w:val="auto"/>
        </w:rPr>
        <w:t>At the time of purchase, no more than 10% of the portfolio market value will be invested in any one issuer</w:t>
      </w:r>
      <w:r>
        <w:rPr>
          <w:rFonts w:ascii="Arial" w:cs="Arial" w:eastAsia="Arial" w:hAnsi="Arial"/>
          <w:sz w:val="18"/>
          <w:szCs w:val="18"/>
          <w:b w:val="1"/>
          <w:bCs w:val="1"/>
          <w:color w:val="auto"/>
        </w:rPr>
        <w:t xml:space="preserve"> </w:t>
      </w:r>
      <w:r>
        <w:rPr>
          <w:rFonts w:ascii="Arial" w:cs="Arial" w:eastAsia="Arial" w:hAnsi="Arial"/>
          <w:sz w:val="18"/>
          <w:szCs w:val="18"/>
          <w:color w:val="auto"/>
        </w:rPr>
        <w:t>except U.S. Treasury, GSE , Municipal debt, and 2a7 Money Funds.</w:t>
      </w:r>
    </w:p>
    <w:p>
      <w:pPr>
        <w:spacing w:after="0" w:line="160" w:lineRule="exact"/>
        <w:rPr>
          <w:sz w:val="20"/>
          <w:szCs w:val="20"/>
          <w:color w:val="auto"/>
        </w:rPr>
      </w:pPr>
    </w:p>
    <w:p>
      <w:pPr>
        <w:ind w:left="900" w:right="800" w:hanging="445"/>
        <w:spacing w:after="0" w:line="275" w:lineRule="auto"/>
        <w:tabs>
          <w:tab w:leader="none" w:pos="880" w:val="left"/>
        </w:tabs>
        <w:rPr>
          <w:sz w:val="20"/>
          <w:szCs w:val="20"/>
          <w:color w:val="auto"/>
        </w:rPr>
      </w:pPr>
      <w:r>
        <w:rPr>
          <w:rFonts w:ascii="Arial" w:cs="Arial" w:eastAsia="Arial" w:hAnsi="Arial"/>
          <w:sz w:val="18"/>
          <w:szCs w:val="18"/>
          <w:b w:val="1"/>
          <w:bCs w:val="1"/>
          <w:color w:val="auto"/>
        </w:rPr>
        <w:t>3.5.</w:t>
        <w:tab/>
        <w:t xml:space="preserve">Marketability: </w:t>
      </w:r>
      <w:r>
        <w:rPr>
          <w:rFonts w:ascii="Arial" w:cs="Arial" w:eastAsia="Arial" w:hAnsi="Arial"/>
          <w:sz w:val="18"/>
          <w:szCs w:val="18"/>
          <w:color w:val="auto"/>
        </w:rPr>
        <w:t>Holdings preferably should be sufficient size and held in issues that are traded actively (except time deposits) to facilitate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at a minimum cost and accurate market valuation.</w:t>
      </w:r>
    </w:p>
    <w:p>
      <w:pPr>
        <w:spacing w:after="0" w:line="16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Trading:</w:t>
      </w:r>
    </w:p>
    <w:p>
      <w:pPr>
        <w:spacing w:after="0" w:line="90"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3.6.1</w:t>
      </w:r>
      <w:r>
        <w:rPr>
          <w:sz w:val="20"/>
          <w:szCs w:val="20"/>
          <w:color w:val="auto"/>
        </w:rPr>
        <w:tab/>
      </w:r>
      <w:r>
        <w:rPr>
          <w:rFonts w:ascii="Arial" w:cs="Arial" w:eastAsia="Arial" w:hAnsi="Arial"/>
          <w:sz w:val="15"/>
          <w:szCs w:val="15"/>
          <w:color w:val="auto"/>
        </w:rPr>
        <w:t>All purchases and sales will be executed at the best net price with principal dealers and banks in the particular securities.</w:t>
      </w:r>
    </w:p>
    <w:p>
      <w:pPr>
        <w:spacing w:after="0" w:line="90"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3.6.2</w:t>
      </w:r>
      <w:r>
        <w:rPr>
          <w:sz w:val="20"/>
          <w:szCs w:val="20"/>
          <w:color w:val="auto"/>
        </w:rPr>
        <w:tab/>
      </w:r>
      <w:r>
        <w:rPr>
          <w:rFonts w:ascii="Arial" w:cs="Arial" w:eastAsia="Arial" w:hAnsi="Arial"/>
          <w:sz w:val="16"/>
          <w:szCs w:val="16"/>
          <w:color w:val="auto"/>
        </w:rPr>
        <w:t>All securities purchased will be custodied in the name of Grand Canyon Education, Inc.</w:t>
      </w:r>
    </w:p>
    <w:p>
      <w:pPr>
        <w:spacing w:after="0" w:line="90" w:lineRule="exact"/>
        <w:rPr>
          <w:sz w:val="20"/>
          <w:szCs w:val="20"/>
          <w:color w:val="auto"/>
        </w:rPr>
      </w:pPr>
    </w:p>
    <w:p>
      <w:pPr>
        <w:ind w:left="920"/>
        <w:spacing w:after="0"/>
        <w:tabs>
          <w:tab w:leader="none" w:pos="1460" w:val="left"/>
        </w:tabs>
        <w:rPr>
          <w:sz w:val="20"/>
          <w:szCs w:val="20"/>
          <w:color w:val="auto"/>
        </w:rPr>
      </w:pPr>
      <w:r>
        <w:rPr>
          <w:rFonts w:ascii="Arial" w:cs="Arial" w:eastAsia="Arial" w:hAnsi="Arial"/>
          <w:sz w:val="18"/>
          <w:szCs w:val="18"/>
          <w:b w:val="1"/>
          <w:bCs w:val="1"/>
          <w:color w:val="auto"/>
        </w:rPr>
        <w:t>3.6.3</w:t>
      </w:r>
      <w:r>
        <w:rPr>
          <w:sz w:val="20"/>
          <w:szCs w:val="20"/>
          <w:color w:val="auto"/>
        </w:rPr>
        <w:tab/>
      </w:r>
      <w:r>
        <w:rPr>
          <w:rFonts w:ascii="Arial" w:cs="Arial" w:eastAsia="Arial" w:hAnsi="Arial"/>
          <w:sz w:val="16"/>
          <w:szCs w:val="16"/>
          <w:color w:val="auto"/>
        </w:rPr>
        <w:t>Investments may be sold prior to maturity to preserve capital or provide required liquidity.</w:t>
      </w:r>
    </w:p>
    <w:p>
      <w:pPr>
        <w:spacing w:after="0" w:line="90" w:lineRule="exact"/>
        <w:rPr>
          <w:sz w:val="20"/>
          <w:szCs w:val="20"/>
          <w:color w:val="auto"/>
        </w:rPr>
      </w:pPr>
    </w:p>
    <w:p>
      <w:pPr>
        <w:ind w:left="1480" w:right="60" w:hanging="566"/>
        <w:spacing w:after="0" w:line="335" w:lineRule="auto"/>
        <w:tabs>
          <w:tab w:leader="none" w:pos="1460" w:val="left"/>
        </w:tabs>
        <w:rPr>
          <w:sz w:val="20"/>
          <w:szCs w:val="20"/>
          <w:color w:val="auto"/>
        </w:rPr>
      </w:pPr>
      <w:r>
        <w:rPr>
          <w:rFonts w:ascii="Arial" w:cs="Arial" w:eastAsia="Arial" w:hAnsi="Arial"/>
          <w:sz w:val="18"/>
          <w:szCs w:val="18"/>
          <w:b w:val="1"/>
          <w:bCs w:val="1"/>
          <w:color w:val="auto"/>
        </w:rPr>
        <w:t>3.6.4</w:t>
      </w:r>
      <w:r>
        <w:rPr>
          <w:sz w:val="20"/>
          <w:szCs w:val="20"/>
          <w:color w:val="auto"/>
        </w:rPr>
        <w:tab/>
      </w:r>
      <w:r>
        <w:rPr>
          <w:rFonts w:ascii="Arial" w:cs="Arial" w:eastAsia="Arial" w:hAnsi="Arial"/>
          <w:sz w:val="15"/>
          <w:szCs w:val="15"/>
          <w:color w:val="auto"/>
        </w:rPr>
        <w:t>In the event that a security is downgraded below the minimum credit quality level or placed on negative credit watch whereby any action taken would result in the investment’s credit rating being below the minimum acceptable credit quality level, the CFO should determine immediately whether to sell or hold and monitor the downgraded security. Reasons would be documented in the monthly investment report.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investment types, minimum credit ratings, percentage limitations and maturity restrictions were approved: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40" w:type="dxa"/>
            <w:vAlign w:val="bottom"/>
          </w:tcPr>
          <w:p>
            <w:pPr>
              <w:ind w:left="380"/>
              <w:spacing w:after="0"/>
              <w:rPr>
                <w:sz w:val="20"/>
                <w:szCs w:val="20"/>
                <w:color w:val="auto"/>
              </w:rPr>
            </w:pPr>
            <w:r>
              <w:rPr>
                <w:rFonts w:ascii="Arial" w:cs="Arial" w:eastAsia="Arial" w:hAnsi="Arial"/>
                <w:sz w:val="14"/>
                <w:szCs w:val="14"/>
                <w:color w:val="auto"/>
              </w:rPr>
              <w:t>Maturity</w:t>
            </w:r>
          </w:p>
        </w:tc>
        <w:tc>
          <w:tcPr>
            <w:tcW w:w="0" w:type="dxa"/>
            <w:vAlign w:val="bottom"/>
          </w:tcPr>
          <w:p>
            <w:pPr>
              <w:spacing w:after="0"/>
              <w:rPr>
                <w:sz w:val="1"/>
                <w:szCs w:val="1"/>
                <w:color w:val="auto"/>
              </w:rPr>
            </w:pPr>
          </w:p>
        </w:tc>
      </w:tr>
      <w:tr>
        <w:trPr>
          <w:trHeight w:val="145"/>
        </w:trPr>
        <w:tc>
          <w:tcPr>
            <w:tcW w:w="4620" w:type="dxa"/>
            <w:vAlign w:val="bottom"/>
          </w:tcPr>
          <w:p>
            <w:pPr>
              <w:spacing w:after="0" w:line="145" w:lineRule="exact"/>
              <w:rPr>
                <w:sz w:val="20"/>
                <w:szCs w:val="20"/>
                <w:color w:val="auto"/>
              </w:rPr>
            </w:pPr>
            <w:r>
              <w:rPr>
                <w:rFonts w:ascii="Arial" w:cs="Arial" w:eastAsia="Arial" w:hAnsi="Arial"/>
                <w:sz w:val="14"/>
                <w:szCs w:val="14"/>
                <w:color w:val="auto"/>
              </w:rPr>
              <w:t>Type</w:t>
            </w:r>
          </w:p>
        </w:tc>
        <w:tc>
          <w:tcPr>
            <w:tcW w:w="3320" w:type="dxa"/>
            <w:vAlign w:val="bottom"/>
          </w:tcPr>
          <w:p>
            <w:pPr>
              <w:ind w:left="2260"/>
              <w:spacing w:after="0" w:line="145" w:lineRule="exact"/>
              <w:rPr>
                <w:sz w:val="20"/>
                <w:szCs w:val="20"/>
                <w:color w:val="auto"/>
              </w:rPr>
            </w:pPr>
            <w:r>
              <w:rPr>
                <w:rFonts w:ascii="Arial" w:cs="Arial" w:eastAsia="Arial" w:hAnsi="Arial"/>
                <w:sz w:val="14"/>
                <w:szCs w:val="14"/>
                <w:color w:val="auto"/>
              </w:rPr>
              <w:t>Credit Rating</w:t>
            </w:r>
          </w:p>
        </w:tc>
        <w:tc>
          <w:tcPr>
            <w:tcW w:w="2480" w:type="dxa"/>
            <w:vAlign w:val="bottom"/>
          </w:tcPr>
          <w:p>
            <w:pPr>
              <w:ind w:left="1000"/>
              <w:spacing w:after="0" w:line="145" w:lineRule="exact"/>
              <w:rPr>
                <w:sz w:val="20"/>
                <w:szCs w:val="20"/>
                <w:color w:val="auto"/>
              </w:rPr>
            </w:pPr>
            <w:r>
              <w:rPr>
                <w:rFonts w:ascii="Arial" w:cs="Arial" w:eastAsia="Arial" w:hAnsi="Arial"/>
                <w:sz w:val="14"/>
                <w:szCs w:val="14"/>
                <w:color w:val="auto"/>
              </w:rPr>
              <w:t>% Limitations</w:t>
            </w:r>
          </w:p>
        </w:tc>
        <w:tc>
          <w:tcPr>
            <w:tcW w:w="940" w:type="dxa"/>
            <w:vAlign w:val="bottom"/>
          </w:tcPr>
          <w:p>
            <w:pPr>
              <w:ind w:left="300"/>
              <w:spacing w:after="0" w:line="145" w:lineRule="exact"/>
              <w:rPr>
                <w:sz w:val="20"/>
                <w:szCs w:val="20"/>
                <w:color w:val="auto"/>
              </w:rPr>
            </w:pPr>
            <w:r>
              <w:rPr>
                <w:rFonts w:ascii="Arial" w:cs="Arial" w:eastAsia="Arial" w:hAnsi="Arial"/>
                <w:sz w:val="14"/>
                <w:szCs w:val="14"/>
                <w:color w:val="auto"/>
                <w:w w:val="84"/>
              </w:rPr>
              <w:t>Restrictions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US Treasuries</w:t>
            </w:r>
          </w:p>
        </w:tc>
        <w:tc>
          <w:tcPr>
            <w:tcW w:w="3320" w:type="dxa"/>
            <w:vAlign w:val="bottom"/>
          </w:tcPr>
          <w:p>
            <w:pPr>
              <w:ind w:left="1880"/>
              <w:spacing w:after="0"/>
              <w:rPr>
                <w:sz w:val="20"/>
                <w:szCs w:val="20"/>
                <w:color w:val="auto"/>
              </w:rPr>
            </w:pPr>
            <w:r>
              <w:rPr>
                <w:rFonts w:ascii="Arial" w:cs="Arial" w:eastAsia="Arial" w:hAnsi="Arial"/>
                <w:sz w:val="18"/>
                <w:szCs w:val="18"/>
                <w:color w:val="auto"/>
              </w:rPr>
              <w:t>N/A</w:t>
            </w:r>
          </w:p>
        </w:tc>
        <w:tc>
          <w:tcPr>
            <w:tcW w:w="2480" w:type="dxa"/>
            <w:vAlign w:val="bottom"/>
          </w:tcPr>
          <w:p>
            <w:pPr>
              <w:ind w:left="160"/>
              <w:spacing w:after="0"/>
              <w:rPr>
                <w:sz w:val="20"/>
                <w:szCs w:val="20"/>
                <w:color w:val="auto"/>
              </w:rPr>
            </w:pPr>
            <w:r>
              <w:rPr>
                <w:rFonts w:ascii="Arial" w:cs="Arial" w:eastAsia="Arial" w:hAnsi="Arial"/>
                <w:sz w:val="18"/>
                <w:szCs w:val="18"/>
                <w:color w:val="auto"/>
              </w:rPr>
              <w:t>No Max</w:t>
            </w:r>
          </w:p>
        </w:tc>
        <w:tc>
          <w:tcPr>
            <w:tcW w:w="940" w:type="dxa"/>
            <w:vAlign w:val="bottom"/>
          </w:tcPr>
          <w:p>
            <w:pPr>
              <w:ind w:left="24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US Gov’t Agencies (GSE)</w:t>
            </w:r>
          </w:p>
        </w:tc>
        <w:tc>
          <w:tcPr>
            <w:tcW w:w="3320" w:type="dxa"/>
            <w:vAlign w:val="bottom"/>
          </w:tcPr>
          <w:p>
            <w:pPr>
              <w:ind w:left="1880"/>
              <w:spacing w:after="0"/>
              <w:rPr>
                <w:sz w:val="20"/>
                <w:szCs w:val="20"/>
                <w:color w:val="auto"/>
              </w:rPr>
            </w:pPr>
            <w:r>
              <w:rPr>
                <w:rFonts w:ascii="Arial" w:cs="Arial" w:eastAsia="Arial" w:hAnsi="Arial"/>
                <w:sz w:val="18"/>
                <w:szCs w:val="18"/>
                <w:color w:val="auto"/>
              </w:rPr>
              <w:t>N/A</w:t>
            </w:r>
          </w:p>
        </w:tc>
        <w:tc>
          <w:tcPr>
            <w:tcW w:w="2480" w:type="dxa"/>
            <w:vAlign w:val="bottom"/>
          </w:tcPr>
          <w:p>
            <w:pPr>
              <w:ind w:left="160"/>
              <w:spacing w:after="0"/>
              <w:rPr>
                <w:sz w:val="20"/>
                <w:szCs w:val="20"/>
                <w:color w:val="auto"/>
              </w:rPr>
            </w:pPr>
            <w:r>
              <w:rPr>
                <w:rFonts w:ascii="Arial" w:cs="Arial" w:eastAsia="Arial" w:hAnsi="Arial"/>
                <w:sz w:val="18"/>
                <w:szCs w:val="18"/>
                <w:color w:val="auto"/>
              </w:rPr>
              <w:t>No Max</w:t>
            </w:r>
          </w:p>
        </w:tc>
        <w:tc>
          <w:tcPr>
            <w:tcW w:w="940" w:type="dxa"/>
            <w:vAlign w:val="bottom"/>
          </w:tcPr>
          <w:p>
            <w:pPr>
              <w:ind w:left="24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Money Mkt Funds</w:t>
            </w:r>
          </w:p>
        </w:tc>
        <w:tc>
          <w:tcPr>
            <w:tcW w:w="3320" w:type="dxa"/>
            <w:vAlign w:val="bottom"/>
          </w:tcPr>
          <w:p>
            <w:pPr>
              <w:ind w:left="1880"/>
              <w:spacing w:after="0"/>
              <w:rPr>
                <w:sz w:val="20"/>
                <w:szCs w:val="20"/>
                <w:color w:val="auto"/>
              </w:rPr>
            </w:pPr>
            <w:r>
              <w:rPr>
                <w:rFonts w:ascii="Arial" w:cs="Arial" w:eastAsia="Arial" w:hAnsi="Arial"/>
                <w:sz w:val="18"/>
                <w:szCs w:val="18"/>
                <w:color w:val="auto"/>
              </w:rPr>
              <w:t>AAA</w:t>
            </w:r>
          </w:p>
        </w:tc>
        <w:tc>
          <w:tcPr>
            <w:tcW w:w="2480" w:type="dxa"/>
            <w:vAlign w:val="bottom"/>
          </w:tcPr>
          <w:p>
            <w:pPr>
              <w:ind w:left="160"/>
              <w:spacing w:after="0"/>
              <w:rPr>
                <w:sz w:val="20"/>
                <w:szCs w:val="20"/>
                <w:color w:val="auto"/>
              </w:rPr>
            </w:pPr>
            <w:r>
              <w:rPr>
                <w:rFonts w:ascii="Arial" w:cs="Arial" w:eastAsia="Arial" w:hAnsi="Arial"/>
                <w:sz w:val="18"/>
                <w:szCs w:val="18"/>
                <w:color w:val="auto"/>
              </w:rPr>
              <w:t>100%</w:t>
            </w:r>
          </w:p>
        </w:tc>
        <w:tc>
          <w:tcPr>
            <w:tcW w:w="940" w:type="dxa"/>
            <w:vAlign w:val="bottom"/>
          </w:tcPr>
          <w:p>
            <w:pPr>
              <w:ind w:left="2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ST Municipal Money Funds</w:t>
            </w:r>
          </w:p>
        </w:tc>
        <w:tc>
          <w:tcPr>
            <w:tcW w:w="3320" w:type="dxa"/>
            <w:vAlign w:val="bottom"/>
          </w:tcPr>
          <w:p>
            <w:pPr>
              <w:ind w:left="1880"/>
              <w:spacing w:after="0"/>
              <w:rPr>
                <w:sz w:val="20"/>
                <w:szCs w:val="20"/>
                <w:color w:val="auto"/>
              </w:rPr>
            </w:pPr>
            <w:r>
              <w:rPr>
                <w:rFonts w:ascii="Arial" w:cs="Arial" w:eastAsia="Arial" w:hAnsi="Arial"/>
                <w:sz w:val="18"/>
                <w:szCs w:val="18"/>
                <w:color w:val="auto"/>
              </w:rPr>
              <w:t>AAA/Aaa</w:t>
            </w:r>
          </w:p>
        </w:tc>
        <w:tc>
          <w:tcPr>
            <w:tcW w:w="2480" w:type="dxa"/>
            <w:vAlign w:val="bottom"/>
          </w:tcPr>
          <w:p>
            <w:pPr>
              <w:ind w:left="160"/>
              <w:spacing w:after="0"/>
              <w:rPr>
                <w:sz w:val="20"/>
                <w:szCs w:val="20"/>
                <w:color w:val="auto"/>
              </w:rPr>
            </w:pPr>
            <w:r>
              <w:rPr>
                <w:rFonts w:ascii="Arial" w:cs="Arial" w:eastAsia="Arial" w:hAnsi="Arial"/>
                <w:sz w:val="18"/>
                <w:szCs w:val="18"/>
                <w:color w:val="auto"/>
              </w:rPr>
              <w:t>100%</w:t>
            </w:r>
          </w:p>
        </w:tc>
        <w:tc>
          <w:tcPr>
            <w:tcW w:w="940" w:type="dxa"/>
            <w:vAlign w:val="bottom"/>
          </w:tcPr>
          <w:p>
            <w:pPr>
              <w:ind w:left="240"/>
              <w:spacing w:after="0"/>
              <w:rPr>
                <w:sz w:val="20"/>
                <w:szCs w:val="20"/>
                <w:color w:val="auto"/>
              </w:rPr>
            </w:pPr>
            <w:r>
              <w:rPr>
                <w:rFonts w:ascii="Arial" w:cs="Arial" w:eastAsia="Arial" w:hAnsi="Arial"/>
                <w:sz w:val="18"/>
                <w:szCs w:val="18"/>
                <w:color w:val="auto"/>
              </w:rPr>
              <w:t>30 Day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ST Commercial Paper Money Funds</w:t>
            </w:r>
          </w:p>
        </w:tc>
        <w:tc>
          <w:tcPr>
            <w:tcW w:w="3320" w:type="dxa"/>
            <w:vAlign w:val="bottom"/>
          </w:tcPr>
          <w:p>
            <w:pPr>
              <w:ind w:left="1880"/>
              <w:spacing w:after="0"/>
              <w:rPr>
                <w:sz w:val="20"/>
                <w:szCs w:val="20"/>
                <w:color w:val="auto"/>
              </w:rPr>
            </w:pPr>
            <w:r>
              <w:rPr>
                <w:rFonts w:ascii="Arial" w:cs="Arial" w:eastAsia="Arial" w:hAnsi="Arial"/>
                <w:sz w:val="18"/>
                <w:szCs w:val="18"/>
                <w:color w:val="auto"/>
              </w:rPr>
              <w:t>AAA/A1</w:t>
            </w:r>
          </w:p>
        </w:tc>
        <w:tc>
          <w:tcPr>
            <w:tcW w:w="2480" w:type="dxa"/>
            <w:vAlign w:val="bottom"/>
          </w:tcPr>
          <w:p>
            <w:pPr>
              <w:ind w:left="160"/>
              <w:spacing w:after="0"/>
              <w:rPr>
                <w:sz w:val="20"/>
                <w:szCs w:val="20"/>
                <w:color w:val="auto"/>
              </w:rPr>
            </w:pPr>
            <w:r>
              <w:rPr>
                <w:rFonts w:ascii="Arial" w:cs="Arial" w:eastAsia="Arial" w:hAnsi="Arial"/>
                <w:sz w:val="18"/>
                <w:szCs w:val="18"/>
                <w:color w:val="auto"/>
              </w:rPr>
              <w:t>50%</w:t>
            </w:r>
          </w:p>
        </w:tc>
        <w:tc>
          <w:tcPr>
            <w:tcW w:w="940" w:type="dxa"/>
            <w:vAlign w:val="bottom"/>
          </w:tcPr>
          <w:p>
            <w:pPr>
              <w:ind w:left="240"/>
              <w:spacing w:after="0"/>
              <w:rPr>
                <w:sz w:val="20"/>
                <w:szCs w:val="20"/>
                <w:color w:val="auto"/>
              </w:rPr>
            </w:pPr>
            <w:r>
              <w:rPr>
                <w:rFonts w:ascii="Arial" w:cs="Arial" w:eastAsia="Arial" w:hAnsi="Arial"/>
                <w:sz w:val="18"/>
                <w:szCs w:val="18"/>
                <w:color w:val="auto"/>
              </w:rPr>
              <w:t>30 Day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Certificates of Deposit</w:t>
            </w:r>
          </w:p>
        </w:tc>
        <w:tc>
          <w:tcPr>
            <w:tcW w:w="3320" w:type="dxa"/>
            <w:vAlign w:val="bottom"/>
          </w:tcPr>
          <w:p>
            <w:pPr>
              <w:ind w:left="1880"/>
              <w:spacing w:after="0"/>
              <w:rPr>
                <w:sz w:val="20"/>
                <w:szCs w:val="20"/>
                <w:color w:val="auto"/>
              </w:rPr>
            </w:pPr>
            <w:r>
              <w:rPr>
                <w:rFonts w:ascii="Arial" w:cs="Arial" w:eastAsia="Arial" w:hAnsi="Arial"/>
                <w:sz w:val="18"/>
                <w:szCs w:val="18"/>
                <w:color w:val="auto"/>
              </w:rPr>
              <w:t>A2</w:t>
            </w:r>
          </w:p>
        </w:tc>
        <w:tc>
          <w:tcPr>
            <w:tcW w:w="2480" w:type="dxa"/>
            <w:vAlign w:val="bottom"/>
          </w:tcPr>
          <w:p>
            <w:pPr>
              <w:ind w:left="160"/>
              <w:spacing w:after="0"/>
              <w:rPr>
                <w:sz w:val="20"/>
                <w:szCs w:val="20"/>
                <w:color w:val="auto"/>
              </w:rPr>
            </w:pPr>
            <w:r>
              <w:rPr>
                <w:rFonts w:ascii="Arial" w:cs="Arial" w:eastAsia="Arial" w:hAnsi="Arial"/>
                <w:sz w:val="18"/>
                <w:szCs w:val="18"/>
                <w:color w:val="auto"/>
                <w:w w:val="98"/>
              </w:rPr>
              <w:t>Must be covered by the FDIC</w:t>
            </w:r>
          </w:p>
        </w:tc>
        <w:tc>
          <w:tcPr>
            <w:tcW w:w="940" w:type="dxa"/>
            <w:vAlign w:val="bottom"/>
          </w:tcPr>
          <w:p>
            <w:pPr>
              <w:ind w:left="24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Variable Rate Demand Notes</w:t>
            </w:r>
          </w:p>
        </w:tc>
        <w:tc>
          <w:tcPr>
            <w:tcW w:w="3320" w:type="dxa"/>
            <w:vAlign w:val="bottom"/>
          </w:tcPr>
          <w:p>
            <w:pPr>
              <w:ind w:left="1880"/>
              <w:spacing w:after="0"/>
              <w:rPr>
                <w:sz w:val="20"/>
                <w:szCs w:val="20"/>
                <w:color w:val="auto"/>
              </w:rPr>
            </w:pPr>
            <w:r>
              <w:rPr>
                <w:rFonts w:ascii="Arial" w:cs="Arial" w:eastAsia="Arial" w:hAnsi="Arial"/>
                <w:sz w:val="18"/>
                <w:szCs w:val="18"/>
                <w:color w:val="auto"/>
              </w:rPr>
              <w:t>A1/P1/F1 and AA</w:t>
            </w:r>
          </w:p>
        </w:tc>
        <w:tc>
          <w:tcPr>
            <w:tcW w:w="2480" w:type="dxa"/>
            <w:vAlign w:val="bottom"/>
          </w:tcPr>
          <w:p>
            <w:pPr>
              <w:ind w:left="160"/>
              <w:spacing w:after="0"/>
              <w:rPr>
                <w:sz w:val="20"/>
                <w:szCs w:val="20"/>
                <w:color w:val="auto"/>
              </w:rPr>
            </w:pPr>
            <w:r>
              <w:rPr>
                <w:rFonts w:ascii="Arial" w:cs="Arial" w:eastAsia="Arial" w:hAnsi="Arial"/>
                <w:sz w:val="18"/>
                <w:szCs w:val="18"/>
                <w:color w:val="auto"/>
              </w:rPr>
              <w:t>50%</w:t>
            </w:r>
          </w:p>
        </w:tc>
        <w:tc>
          <w:tcPr>
            <w:tcW w:w="940" w:type="dxa"/>
            <w:vAlign w:val="bottom"/>
          </w:tcPr>
          <w:p>
            <w:pPr>
              <w:ind w:left="24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Commercial Paper</w:t>
            </w:r>
          </w:p>
        </w:tc>
        <w:tc>
          <w:tcPr>
            <w:tcW w:w="3320" w:type="dxa"/>
            <w:vAlign w:val="bottom"/>
          </w:tcPr>
          <w:p>
            <w:pPr>
              <w:ind w:left="1880"/>
              <w:spacing w:after="0"/>
              <w:rPr>
                <w:sz w:val="20"/>
                <w:szCs w:val="20"/>
                <w:color w:val="auto"/>
              </w:rPr>
            </w:pPr>
            <w:r>
              <w:rPr>
                <w:rFonts w:ascii="Arial" w:cs="Arial" w:eastAsia="Arial" w:hAnsi="Arial"/>
                <w:sz w:val="18"/>
                <w:szCs w:val="18"/>
                <w:color w:val="auto"/>
              </w:rPr>
              <w:t>A1/P1/F1</w:t>
            </w:r>
          </w:p>
        </w:tc>
        <w:tc>
          <w:tcPr>
            <w:tcW w:w="2480" w:type="dxa"/>
            <w:vAlign w:val="bottom"/>
          </w:tcPr>
          <w:p>
            <w:pPr>
              <w:ind w:left="160"/>
              <w:spacing w:after="0"/>
              <w:rPr>
                <w:sz w:val="20"/>
                <w:szCs w:val="20"/>
                <w:color w:val="auto"/>
              </w:rPr>
            </w:pPr>
            <w:r>
              <w:rPr>
                <w:rFonts w:ascii="Arial" w:cs="Arial" w:eastAsia="Arial" w:hAnsi="Arial"/>
                <w:sz w:val="18"/>
                <w:szCs w:val="18"/>
                <w:color w:val="auto"/>
              </w:rPr>
              <w:t>50%</w:t>
            </w:r>
          </w:p>
        </w:tc>
        <w:tc>
          <w:tcPr>
            <w:tcW w:w="940" w:type="dxa"/>
            <w:vAlign w:val="bottom"/>
          </w:tcPr>
          <w:p>
            <w:pPr>
              <w:ind w:left="240"/>
              <w:spacing w:after="0"/>
              <w:rPr>
                <w:sz w:val="20"/>
                <w:szCs w:val="20"/>
                <w:color w:val="auto"/>
              </w:rPr>
            </w:pPr>
            <w:r>
              <w:rPr>
                <w:rFonts w:ascii="Arial" w:cs="Arial" w:eastAsia="Arial" w:hAnsi="Arial"/>
                <w:sz w:val="18"/>
                <w:szCs w:val="18"/>
                <w:color w:val="auto"/>
                <w:w w:val="93"/>
              </w:rPr>
              <w:t>270 days</w:t>
            </w:r>
          </w:p>
        </w:tc>
        <w:tc>
          <w:tcPr>
            <w:tcW w:w="0" w:type="dxa"/>
            <w:vAlign w:val="bottom"/>
          </w:tcPr>
          <w:p>
            <w:pPr>
              <w:spacing w:after="0"/>
              <w:rPr>
                <w:sz w:val="1"/>
                <w:szCs w:val="1"/>
                <w:color w:val="auto"/>
              </w:rPr>
            </w:pPr>
          </w:p>
        </w:tc>
      </w:tr>
      <w:tr>
        <w:trPr>
          <w:trHeight w:val="222"/>
        </w:trPr>
        <w:tc>
          <w:tcPr>
            <w:tcW w:w="4620" w:type="dxa"/>
            <w:vAlign w:val="bottom"/>
          </w:tcPr>
          <w:p>
            <w:pPr>
              <w:spacing w:after="0"/>
              <w:rPr>
                <w:sz w:val="20"/>
                <w:szCs w:val="20"/>
                <w:color w:val="auto"/>
              </w:rPr>
            </w:pPr>
            <w:r>
              <w:rPr>
                <w:rFonts w:ascii="Arial" w:cs="Arial" w:eastAsia="Arial" w:hAnsi="Arial"/>
                <w:sz w:val="18"/>
                <w:szCs w:val="18"/>
                <w:b w:val="1"/>
                <w:bCs w:val="1"/>
                <w:color w:val="auto"/>
              </w:rPr>
              <w:t>Repurchase Agreements</w:t>
            </w:r>
          </w:p>
        </w:tc>
        <w:tc>
          <w:tcPr>
            <w:tcW w:w="3320" w:type="dxa"/>
            <w:vAlign w:val="bottom"/>
          </w:tcPr>
          <w:p>
            <w:pPr>
              <w:ind w:left="1880"/>
              <w:spacing w:after="0"/>
              <w:rPr>
                <w:sz w:val="20"/>
                <w:szCs w:val="20"/>
                <w:color w:val="auto"/>
              </w:rPr>
            </w:pPr>
            <w:r>
              <w:rPr>
                <w:rFonts w:ascii="Arial" w:cs="Arial" w:eastAsia="Arial" w:hAnsi="Arial"/>
                <w:sz w:val="18"/>
                <w:szCs w:val="18"/>
                <w:color w:val="auto"/>
              </w:rPr>
              <w:t>N/A</w:t>
            </w:r>
          </w:p>
        </w:tc>
        <w:tc>
          <w:tcPr>
            <w:tcW w:w="2480" w:type="dxa"/>
            <w:vAlign w:val="bottom"/>
          </w:tcPr>
          <w:p>
            <w:pPr>
              <w:ind w:left="160"/>
              <w:spacing w:after="0"/>
              <w:rPr>
                <w:sz w:val="20"/>
                <w:szCs w:val="20"/>
                <w:color w:val="auto"/>
              </w:rPr>
            </w:pPr>
            <w:r>
              <w:rPr>
                <w:rFonts w:ascii="Arial" w:cs="Arial" w:eastAsia="Arial" w:hAnsi="Arial"/>
                <w:sz w:val="18"/>
                <w:szCs w:val="18"/>
                <w:color w:val="auto"/>
              </w:rPr>
              <w:t>100%;limited to Us Treasury</w:t>
            </w:r>
          </w:p>
        </w:tc>
        <w:tc>
          <w:tcPr>
            <w:tcW w:w="940" w:type="dxa"/>
            <w:vAlign w:val="bottom"/>
          </w:tcPr>
          <w:p>
            <w:pPr>
              <w:ind w:left="240"/>
              <w:spacing w:after="0"/>
              <w:rPr>
                <w:sz w:val="20"/>
                <w:szCs w:val="20"/>
                <w:color w:val="auto"/>
              </w:rPr>
            </w:pPr>
            <w:r>
              <w:rPr>
                <w:rFonts w:ascii="Arial" w:cs="Arial" w:eastAsia="Arial" w:hAnsi="Arial"/>
                <w:sz w:val="18"/>
                <w:szCs w:val="18"/>
                <w:color w:val="auto"/>
              </w:rPr>
              <w:t>7 days</w:t>
            </w:r>
          </w:p>
        </w:tc>
        <w:tc>
          <w:tcPr>
            <w:tcW w:w="0" w:type="dxa"/>
            <w:vAlign w:val="bottom"/>
          </w:tcPr>
          <w:p>
            <w:pPr>
              <w:spacing w:after="0"/>
              <w:rPr>
                <w:sz w:val="1"/>
                <w:szCs w:val="1"/>
                <w:color w:val="auto"/>
              </w:rPr>
            </w:pPr>
          </w:p>
        </w:tc>
      </w:tr>
      <w:tr>
        <w:trPr>
          <w:trHeight w:val="216"/>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Municipal Bonds</w:t>
            </w:r>
          </w:p>
        </w:tc>
        <w:tc>
          <w:tcPr>
            <w:tcW w:w="3320" w:type="dxa"/>
            <w:vAlign w:val="bottom"/>
          </w:tcPr>
          <w:p>
            <w:pPr>
              <w:spacing w:after="0"/>
              <w:rPr>
                <w:sz w:val="18"/>
                <w:szCs w:val="18"/>
                <w:color w:val="auto"/>
              </w:rPr>
            </w:pPr>
          </w:p>
        </w:tc>
        <w:tc>
          <w:tcPr>
            <w:tcW w:w="2480" w:type="dxa"/>
            <w:vAlign w:val="bottom"/>
          </w:tcPr>
          <w:p>
            <w:pPr>
              <w:ind w:left="160"/>
              <w:spacing w:after="0"/>
              <w:rPr>
                <w:sz w:val="20"/>
                <w:szCs w:val="20"/>
                <w:color w:val="auto"/>
              </w:rPr>
            </w:pPr>
            <w:r>
              <w:rPr>
                <w:rFonts w:ascii="Arial" w:cs="Arial" w:eastAsia="Arial" w:hAnsi="Arial"/>
                <w:sz w:val="18"/>
                <w:szCs w:val="18"/>
                <w:color w:val="auto"/>
              </w:rPr>
              <w:t>or GSE Collateral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20" w:type="dxa"/>
            <w:vAlign w:val="bottom"/>
            <w:vMerge w:val="continue"/>
          </w:tcPr>
          <w:p>
            <w:pPr>
              <w:spacing w:after="0"/>
              <w:rPr>
                <w:sz w:val="19"/>
                <w:szCs w:val="19"/>
                <w:color w:val="auto"/>
              </w:rPr>
            </w:pPr>
          </w:p>
        </w:tc>
        <w:tc>
          <w:tcPr>
            <w:tcW w:w="3320" w:type="dxa"/>
            <w:vAlign w:val="bottom"/>
          </w:tcPr>
          <w:p>
            <w:pPr>
              <w:ind w:left="1880"/>
              <w:spacing w:after="0"/>
              <w:rPr>
                <w:sz w:val="20"/>
                <w:szCs w:val="20"/>
                <w:color w:val="auto"/>
              </w:rPr>
            </w:pPr>
            <w:r>
              <w:rPr>
                <w:rFonts w:ascii="Arial" w:cs="Arial" w:eastAsia="Arial" w:hAnsi="Arial"/>
                <w:sz w:val="18"/>
                <w:szCs w:val="18"/>
                <w:color w:val="auto"/>
              </w:rPr>
              <w:t>AA</w:t>
            </w:r>
          </w:p>
        </w:tc>
        <w:tc>
          <w:tcPr>
            <w:tcW w:w="2480" w:type="dxa"/>
            <w:vAlign w:val="bottom"/>
          </w:tcPr>
          <w:p>
            <w:pPr>
              <w:ind w:left="160"/>
              <w:spacing w:after="0"/>
              <w:rPr>
                <w:sz w:val="20"/>
                <w:szCs w:val="20"/>
                <w:color w:val="auto"/>
              </w:rPr>
            </w:pPr>
            <w:r>
              <w:rPr>
                <w:rFonts w:ascii="Arial" w:cs="Arial" w:eastAsia="Arial" w:hAnsi="Arial"/>
                <w:sz w:val="18"/>
                <w:szCs w:val="18"/>
                <w:color w:val="auto"/>
              </w:rPr>
              <w:t>100%</w:t>
            </w:r>
          </w:p>
        </w:tc>
        <w:tc>
          <w:tcPr>
            <w:tcW w:w="940" w:type="dxa"/>
            <w:vAlign w:val="bottom"/>
          </w:tcPr>
          <w:p>
            <w:pPr>
              <w:ind w:left="240"/>
              <w:spacing w:after="0"/>
              <w:rPr>
                <w:sz w:val="20"/>
                <w:szCs w:val="20"/>
                <w:color w:val="auto"/>
              </w:rPr>
            </w:pPr>
            <w:r>
              <w:rPr>
                <w:rFonts w:ascii="Arial" w:cs="Arial" w:eastAsia="Arial" w:hAnsi="Arial"/>
                <w:sz w:val="18"/>
                <w:szCs w:val="18"/>
                <w:color w:val="auto"/>
              </w:rPr>
              <w:t>3 year</w:t>
            </w: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233" w:name="page234"/>
    <w:bookmarkEnd w:id="233"/>
    <w:p>
      <w:pPr>
        <w:ind w:left="452" w:right="220" w:hanging="452"/>
        <w:spacing w:after="0" w:line="275" w:lineRule="auto"/>
        <w:tabs>
          <w:tab w:leader="none" w:pos="452"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Review and/or Modification Date: </w:t>
      </w:r>
      <w:r>
        <w:rPr>
          <w:rFonts w:ascii="Arial" w:cs="Arial" w:eastAsia="Arial" w:hAnsi="Arial"/>
          <w:sz w:val="18"/>
          <w:szCs w:val="18"/>
          <w:color w:val="auto"/>
        </w:rPr>
        <w:t>This policy shall be reviewed regularly (at least annually) and modified to remain current with company goals and</w:t>
      </w:r>
      <w:r>
        <w:rPr>
          <w:rFonts w:ascii="Arial" w:cs="Arial" w:eastAsia="Arial" w:hAnsi="Arial"/>
          <w:sz w:val="18"/>
          <w:szCs w:val="18"/>
          <w:b w:val="1"/>
          <w:bCs w:val="1"/>
          <w:color w:val="auto"/>
        </w:rPr>
        <w:t xml:space="preserve"> </w:t>
      </w:r>
      <w:r>
        <w:rPr>
          <w:rFonts w:ascii="Arial" w:cs="Arial" w:eastAsia="Arial" w:hAnsi="Arial"/>
          <w:sz w:val="18"/>
          <w:szCs w:val="18"/>
          <w:color w:val="auto"/>
        </w:rPr>
        <w:t>prevailing market conditions.</w:t>
      </w:r>
    </w:p>
    <w:p>
      <w:pPr>
        <w:spacing w:after="0" w:line="160" w:lineRule="exact"/>
        <w:rPr>
          <w:rFonts w:ascii="Arial" w:cs="Arial" w:eastAsia="Arial" w:hAnsi="Arial"/>
          <w:sz w:val="18"/>
          <w:szCs w:val="18"/>
          <w:b w:val="1"/>
          <w:bCs w:val="1"/>
          <w:color w:val="auto"/>
        </w:rPr>
      </w:pPr>
    </w:p>
    <w:p>
      <w:pPr>
        <w:ind w:left="452" w:hanging="452"/>
        <w:spacing w:after="0"/>
        <w:tabs>
          <w:tab w:leader="none" w:pos="452"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Tax Circumstance:</w:t>
      </w:r>
    </w:p>
    <w:p>
      <w:pPr>
        <w:spacing w:after="0" w:line="96" w:lineRule="exact"/>
        <w:rPr>
          <w:rFonts w:ascii="Arial" w:cs="Arial" w:eastAsia="Arial" w:hAnsi="Arial"/>
          <w:sz w:val="18"/>
          <w:szCs w:val="18"/>
          <w:b w:val="1"/>
          <w:bCs w:val="1"/>
          <w:color w:val="auto"/>
        </w:rPr>
      </w:pPr>
    </w:p>
    <w:p>
      <w:pPr>
        <w:ind w:left="1472" w:hanging="567"/>
        <w:spacing w:after="0"/>
        <w:tabs>
          <w:tab w:leader="none" w:pos="1472" w:val="left"/>
        </w:tabs>
        <w:numPr>
          <w:ilvl w:val="1"/>
          <w:numId w:val="223"/>
        </w:numPr>
        <w:rPr>
          <w:rFonts w:ascii="Arial" w:cs="Arial" w:eastAsia="Arial" w:hAnsi="Arial"/>
          <w:sz w:val="16"/>
          <w:szCs w:val="16"/>
          <w:color w:val="auto"/>
        </w:rPr>
      </w:pPr>
      <w:r>
        <w:rPr>
          <w:rFonts w:ascii="Arial" w:cs="Arial" w:eastAsia="Arial" w:hAnsi="Arial"/>
          <w:sz w:val="16"/>
          <w:szCs w:val="16"/>
          <w:color w:val="auto"/>
        </w:rPr>
        <w:t>Investments and securities will be permitted to be traded to realize capital gains and losses within the context of maximizing after tax return</w:t>
      </w:r>
    </w:p>
    <w:p>
      <w:pPr>
        <w:spacing w:after="0" w:line="113" w:lineRule="exact"/>
        <w:rPr>
          <w:rFonts w:ascii="Arial" w:cs="Arial" w:eastAsia="Arial" w:hAnsi="Arial"/>
          <w:sz w:val="16"/>
          <w:szCs w:val="16"/>
          <w:color w:val="auto"/>
        </w:rPr>
      </w:pPr>
    </w:p>
    <w:p>
      <w:pPr>
        <w:ind w:left="1472" w:right="200" w:hanging="567"/>
        <w:spacing w:after="0" w:line="268" w:lineRule="auto"/>
        <w:tabs>
          <w:tab w:leader="none" w:pos="147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Investing in tax-exempt instruments is recommended as long the return is maximized as compared with over investments which meet the Company’s criteria</w:t>
      </w:r>
    </w:p>
    <w:p>
      <w:pPr>
        <w:spacing w:after="0" w:line="200" w:lineRule="exact"/>
        <w:rPr>
          <w:rFonts w:ascii="Arial" w:cs="Arial" w:eastAsia="Arial" w:hAnsi="Arial"/>
          <w:sz w:val="18"/>
          <w:szCs w:val="18"/>
          <w:color w:val="auto"/>
        </w:rPr>
      </w:pPr>
    </w:p>
    <w:p>
      <w:pPr>
        <w:spacing w:after="0" w:line="290" w:lineRule="exact"/>
        <w:rPr>
          <w:rFonts w:ascii="Arial" w:cs="Arial" w:eastAsia="Arial" w:hAnsi="Arial"/>
          <w:sz w:val="18"/>
          <w:szCs w:val="18"/>
          <w:color w:val="auto"/>
        </w:rPr>
      </w:pPr>
    </w:p>
    <w:p>
      <w:pPr>
        <w:ind w:left="4532" w:hanging="114"/>
        <w:spacing w:after="0"/>
        <w:tabs>
          <w:tab w:leader="none" w:pos="4532" w:val="left"/>
        </w:tabs>
        <w:numPr>
          <w:ilvl w:val="2"/>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 ° ° ° ° ° ° ° ° ° ° ° ° ° ° ° ° ° ° ° ° °</w:t>
      </w:r>
    </w:p>
    <w:p>
      <w:pPr>
        <w:sectPr>
          <w:pgSz w:w="11900" w:h="16838" w:orient="portrait"/>
          <w:cols w:equalWidth="0" w:num="1">
            <w:col w:w="11292"/>
          </w:cols>
          <w:pgMar w:left="248" w:top="274" w:right="35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Commitments and Applicable Percentages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color w:val="auto"/>
                <w:w w:val="91"/>
              </w:rPr>
              <w:t>Revolving</w:t>
            </w: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color w:val="auto"/>
                <w:w w:val="91"/>
              </w:rPr>
              <w:t>Revolving</w:t>
            </w:r>
          </w:p>
        </w:tc>
        <w:tc>
          <w:tcPr>
            <w:tcW w:w="100" w:type="dxa"/>
            <w:vAlign w:val="bottom"/>
          </w:tcPr>
          <w:p>
            <w:pPr>
              <w:spacing w:after="0"/>
              <w:rPr>
                <w:sz w:val="14"/>
                <w:szCs w:val="14"/>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color w:val="auto"/>
                <w:w w:val="88"/>
              </w:rPr>
              <w:t>Term Loan</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color w:val="auto"/>
                <w:w w:val="88"/>
              </w:rPr>
              <w:t>Term Loan</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Arial" w:cs="Arial" w:eastAsia="Arial" w:hAnsi="Arial"/>
                <w:sz w:val="14"/>
                <w:szCs w:val="14"/>
                <w:color w:val="auto"/>
                <w:w w:val="87"/>
              </w:rPr>
              <w:t>Lender</w:t>
            </w:r>
          </w:p>
        </w:tc>
        <w:tc>
          <w:tcPr>
            <w:tcW w:w="2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Commitment</w:t>
            </w:r>
          </w:p>
        </w:tc>
        <w:tc>
          <w:tcPr>
            <w:tcW w:w="164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0"/>
              </w:rPr>
              <w:t>Commitment</w:t>
            </w:r>
          </w:p>
        </w:tc>
        <w:tc>
          <w:tcPr>
            <w:tcW w:w="100" w:type="dxa"/>
            <w:vAlign w:val="bottom"/>
          </w:tcPr>
          <w:p>
            <w:pPr>
              <w:spacing w:after="0"/>
              <w:rPr>
                <w:sz w:val="12"/>
                <w:szCs w:val="12"/>
                <w:color w:val="auto"/>
              </w:rPr>
            </w:pPr>
          </w:p>
        </w:tc>
        <w:tc>
          <w:tcPr>
            <w:tcW w:w="15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90"/>
              </w:rPr>
              <w:t>Commitment</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Commitment</w:t>
            </w:r>
          </w:p>
        </w:tc>
        <w:tc>
          <w:tcPr>
            <w:tcW w:w="0" w:type="dxa"/>
            <w:vAlign w:val="bottom"/>
          </w:tcPr>
          <w:p>
            <w:pPr>
              <w:spacing w:after="0"/>
              <w:rPr>
                <w:sz w:val="1"/>
                <w:szCs w:val="1"/>
                <w:color w:val="auto"/>
              </w:rPr>
            </w:pPr>
          </w:p>
        </w:tc>
      </w:tr>
      <w:tr>
        <w:trPr>
          <w:trHeight w:val="166"/>
        </w:trPr>
        <w:tc>
          <w:tcPr>
            <w:tcW w:w="188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480"/>
              <w:spacing w:after="0" w:line="146" w:lineRule="exact"/>
              <w:rPr>
                <w:sz w:val="20"/>
                <w:szCs w:val="20"/>
                <w:color w:val="auto"/>
              </w:rPr>
            </w:pPr>
            <w:r>
              <w:rPr>
                <w:rFonts w:ascii="Arial" w:cs="Arial" w:eastAsia="Arial" w:hAnsi="Arial"/>
                <w:sz w:val="14"/>
                <w:szCs w:val="14"/>
                <w:color w:val="auto"/>
                <w:w w:val="91"/>
              </w:rPr>
              <w:t>Amount</w:t>
            </w:r>
          </w:p>
        </w:tc>
        <w:tc>
          <w:tcPr>
            <w:tcW w:w="1640" w:type="dxa"/>
            <w:vAlign w:val="bottom"/>
            <w:gridSpan w:val="2"/>
          </w:tcPr>
          <w:p>
            <w:pPr>
              <w:jc w:val="center"/>
              <w:ind w:right="480"/>
              <w:spacing w:after="0" w:line="146" w:lineRule="exact"/>
              <w:rPr>
                <w:sz w:val="20"/>
                <w:szCs w:val="20"/>
                <w:color w:val="auto"/>
              </w:rPr>
            </w:pPr>
            <w:r>
              <w:rPr>
                <w:rFonts w:ascii="Arial" w:cs="Arial" w:eastAsia="Arial" w:hAnsi="Arial"/>
                <w:sz w:val="14"/>
                <w:szCs w:val="14"/>
                <w:color w:val="auto"/>
                <w:w w:val="83"/>
              </w:rPr>
              <w:t>Percentage</w:t>
            </w:r>
          </w:p>
        </w:tc>
        <w:tc>
          <w:tcPr>
            <w:tcW w:w="100" w:type="dxa"/>
            <w:vAlign w:val="bottom"/>
          </w:tcPr>
          <w:p>
            <w:pPr>
              <w:spacing w:after="0"/>
              <w:rPr>
                <w:sz w:val="14"/>
                <w:szCs w:val="14"/>
                <w:color w:val="auto"/>
              </w:rPr>
            </w:pPr>
          </w:p>
        </w:tc>
        <w:tc>
          <w:tcPr>
            <w:tcW w:w="1500" w:type="dxa"/>
            <w:vAlign w:val="bottom"/>
            <w:gridSpan w:val="2"/>
          </w:tcPr>
          <w:p>
            <w:pPr>
              <w:jc w:val="center"/>
              <w:ind w:right="500"/>
              <w:spacing w:after="0" w:line="146" w:lineRule="exact"/>
              <w:rPr>
                <w:sz w:val="20"/>
                <w:szCs w:val="20"/>
                <w:color w:val="auto"/>
              </w:rPr>
            </w:pPr>
            <w:r>
              <w:rPr>
                <w:rFonts w:ascii="Arial" w:cs="Arial" w:eastAsia="Arial" w:hAnsi="Arial"/>
                <w:sz w:val="14"/>
                <w:szCs w:val="14"/>
                <w:color w:val="auto"/>
                <w:w w:val="91"/>
              </w:rPr>
              <w:t>Amount</w:t>
            </w:r>
          </w:p>
        </w:tc>
        <w:tc>
          <w:tcPr>
            <w:tcW w:w="136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3"/>
              </w:rPr>
              <w:t>Percentage</w:t>
            </w:r>
          </w:p>
        </w:tc>
        <w:tc>
          <w:tcPr>
            <w:tcW w:w="0" w:type="dxa"/>
            <w:vAlign w:val="bottom"/>
          </w:tcPr>
          <w:p>
            <w:pPr>
              <w:spacing w:after="0"/>
              <w:rPr>
                <w:sz w:val="1"/>
                <w:szCs w:val="1"/>
                <w:color w:val="auto"/>
              </w:rPr>
            </w:pPr>
          </w:p>
        </w:tc>
      </w:tr>
      <w:tr>
        <w:trPr>
          <w:trHeight w:val="203"/>
        </w:trPr>
        <w:tc>
          <w:tcPr>
            <w:tcW w:w="4400" w:type="dxa"/>
            <w:vAlign w:val="bottom"/>
            <w:tcBorders>
              <w:top w:val="single" w:sz="8" w:color="CCEEFF"/>
            </w:tcBorders>
            <w:gridSpan w:val="3"/>
            <w:shd w:val="clear" w:color="auto" w:fill="CCEEFF"/>
          </w:tcPr>
          <w:p>
            <w:pPr>
              <w:jc w:val="center"/>
              <w:ind w:right="280"/>
              <w:spacing w:after="0" w:line="202" w:lineRule="exact"/>
              <w:rPr>
                <w:sz w:val="20"/>
                <w:szCs w:val="20"/>
                <w:color w:val="auto"/>
              </w:rPr>
            </w:pPr>
            <w:r>
              <w:rPr>
                <w:rFonts w:ascii="Arial" w:cs="Arial" w:eastAsia="Arial" w:hAnsi="Arial"/>
                <w:sz w:val="18"/>
                <w:szCs w:val="18"/>
                <w:color w:val="auto"/>
                <w:w w:val="92"/>
              </w:rPr>
              <w:t>Bank of America, N.A.</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20,000,000.00</w:t>
            </w:r>
          </w:p>
        </w:tc>
        <w:tc>
          <w:tcPr>
            <w:tcW w:w="3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40.000000000%</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40,000,000.00</w:t>
            </w:r>
          </w:p>
        </w:tc>
        <w:tc>
          <w:tcPr>
            <w:tcW w:w="4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40.000000000%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Wells Fargo Bank, National Association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11,666,666.67</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23.333333333%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23,333,333.33</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23.333333333%</w:t>
            </w:r>
          </w:p>
        </w:tc>
        <w:tc>
          <w:tcPr>
            <w:tcW w:w="0" w:type="dxa"/>
            <w:vAlign w:val="bottom"/>
          </w:tcPr>
          <w:p>
            <w:pPr>
              <w:spacing w:after="0"/>
              <w:rPr>
                <w:sz w:val="1"/>
                <w:szCs w:val="1"/>
                <w:color w:val="auto"/>
              </w:rPr>
            </w:pPr>
          </w:p>
        </w:tc>
      </w:tr>
      <w:tr>
        <w:trPr>
          <w:trHeight w:val="216"/>
        </w:trPr>
        <w:tc>
          <w:tcPr>
            <w:tcW w:w="44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2"/>
              </w:rPr>
              <w:t>BOKF, N.A. d/b/a Bank of Arizona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11,666,666.67</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23.333333333%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23,333,333.33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23.333333333%</w:t>
            </w:r>
          </w:p>
        </w:tc>
        <w:tc>
          <w:tcPr>
            <w:tcW w:w="0" w:type="dxa"/>
            <w:vAlign w:val="bottom"/>
          </w:tcPr>
          <w:p>
            <w:pPr>
              <w:spacing w:after="0"/>
              <w:rPr>
                <w:sz w:val="1"/>
                <w:szCs w:val="1"/>
                <w:color w:val="auto"/>
              </w:rPr>
            </w:pPr>
          </w:p>
        </w:tc>
      </w:tr>
      <w:tr>
        <w:trPr>
          <w:trHeight w:val="216"/>
        </w:trPr>
        <w:tc>
          <w:tcPr>
            <w:tcW w:w="440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National Bank of Arizona, a national banking association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6,666,666.66</w:t>
            </w:r>
          </w:p>
        </w:tc>
        <w:tc>
          <w:tcPr>
            <w:tcW w:w="38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13.333333334%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13,333,333.34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13.333333334%</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8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50,000,000.00</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100.000000000%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100,000,000.00</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100.000000000%</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500"/>
          </w:cols>
          <w:pgMar w:left="700" w:top="274" w:right="699" w:bottom="1440" w:gutter="0" w:footer="0" w:header="0"/>
        </w:sectPr>
      </w:pPr>
    </w:p>
    <w:bookmarkStart w:id="235" w:name="page236"/>
    <w:bookmarkEnd w:id="2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60" w:type="dxa"/>
            <w:vAlign w:val="bottom"/>
            <w:gridSpan w:val="3"/>
          </w:tcPr>
          <w:p>
            <w:pPr>
              <w:jc w:val="center"/>
              <w:ind w:left="1646"/>
              <w:spacing w:after="0"/>
              <w:rPr>
                <w:sz w:val="20"/>
                <w:szCs w:val="20"/>
                <w:color w:val="auto"/>
              </w:rPr>
            </w:pPr>
            <w:r>
              <w:rPr>
                <w:rFonts w:ascii="Arial" w:cs="Arial" w:eastAsia="Arial" w:hAnsi="Arial"/>
                <w:sz w:val="18"/>
                <w:szCs w:val="18"/>
                <w:b w:val="1"/>
                <w:bCs w:val="1"/>
                <w:color w:val="auto"/>
                <w:w w:val="84"/>
              </w:rPr>
              <w:t>Schedule 6.13</w:t>
            </w:r>
          </w:p>
        </w:tc>
      </w:tr>
      <w:tr>
        <w:trPr>
          <w:trHeight w:val="340"/>
        </w:trPr>
        <w:tc>
          <w:tcPr>
            <w:tcW w:w="6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Subsidiaries</w:t>
            </w:r>
          </w:p>
        </w:tc>
        <w:tc>
          <w:tcPr>
            <w:tcW w:w="100" w:type="dxa"/>
            <w:vAlign w:val="bottom"/>
          </w:tcPr>
          <w:p>
            <w:pPr>
              <w:spacing w:after="0"/>
              <w:rPr>
                <w:sz w:val="24"/>
                <w:szCs w:val="24"/>
                <w:color w:val="auto"/>
              </w:rPr>
            </w:pPr>
          </w:p>
        </w:tc>
      </w:tr>
      <w:tr>
        <w:trPr>
          <w:trHeight w:val="507"/>
        </w:trPr>
        <w:tc>
          <w:tcPr>
            <w:tcW w:w="6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Jurisdiction of</w:t>
            </w:r>
          </w:p>
        </w:tc>
      </w:tr>
      <w:tr>
        <w:trPr>
          <w:trHeight w:val="149"/>
        </w:trPr>
        <w:tc>
          <w:tcPr>
            <w:tcW w:w="6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Incorporation</w:t>
            </w:r>
          </w:p>
        </w:tc>
      </w:tr>
      <w:tr>
        <w:trPr>
          <w:trHeight w:val="149"/>
        </w:trPr>
        <w:tc>
          <w:tcPr>
            <w:tcW w:w="6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r>
      <w:tr>
        <w:trPr>
          <w:trHeight w:val="18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Subsidiary</w:t>
            </w:r>
          </w:p>
        </w:tc>
        <w:tc>
          <w:tcPr>
            <w:tcW w:w="2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Organization</w:t>
            </w:r>
          </w:p>
        </w:tc>
      </w:tr>
      <w:tr>
        <w:trPr>
          <w:trHeight w:val="209"/>
        </w:trPr>
        <w:tc>
          <w:tcPr>
            <w:tcW w:w="2800" w:type="dxa"/>
            <w:vAlign w:val="bottom"/>
            <w:gridSpan w:val="2"/>
          </w:tcPr>
          <w:p>
            <w:pPr>
              <w:spacing w:after="0" w:line="202" w:lineRule="exact"/>
              <w:rPr>
                <w:sz w:val="20"/>
                <w:szCs w:val="20"/>
                <w:color w:val="auto"/>
              </w:rPr>
            </w:pPr>
            <w:r>
              <w:rPr>
                <w:rFonts w:ascii="Arial" w:cs="Arial" w:eastAsia="Arial" w:hAnsi="Arial"/>
                <w:sz w:val="18"/>
                <w:szCs w:val="18"/>
                <w:color w:val="auto"/>
              </w:rPr>
              <w:t>Grand Canyon University, Inc.</w:t>
            </w:r>
          </w:p>
        </w:tc>
        <w:tc>
          <w:tcPr>
            <w:tcW w:w="620" w:type="dxa"/>
            <w:vAlign w:val="bottom"/>
          </w:tcPr>
          <w:p>
            <w:pPr>
              <w:spacing w:after="0"/>
              <w:rPr>
                <w:sz w:val="18"/>
                <w:szCs w:val="18"/>
                <w:color w:val="auto"/>
              </w:rPr>
            </w:pPr>
          </w:p>
        </w:tc>
        <w:tc>
          <w:tcPr>
            <w:tcW w:w="2860" w:type="dxa"/>
            <w:vAlign w:val="bottom"/>
            <w:gridSpan w:val="3"/>
          </w:tcPr>
          <w:p>
            <w:pPr>
              <w:spacing w:after="0"/>
              <w:rPr>
                <w:sz w:val="20"/>
                <w:szCs w:val="20"/>
                <w:color w:val="auto"/>
              </w:rPr>
            </w:pPr>
            <w:r>
              <w:rPr>
                <w:rFonts w:ascii="Arial" w:cs="Arial" w:eastAsia="Arial" w:hAnsi="Arial"/>
                <w:sz w:val="18"/>
                <w:szCs w:val="18"/>
                <w:color w:val="auto"/>
              </w:rPr>
              <w:t>Arizona</w:t>
            </w:r>
          </w:p>
        </w:tc>
      </w:tr>
      <w:tr>
        <w:trPr>
          <w:trHeight w:val="545"/>
        </w:trPr>
        <w:tc>
          <w:tcPr>
            <w:tcW w:w="2800" w:type="dxa"/>
            <w:vAlign w:val="bottom"/>
            <w:gridSpan w:val="2"/>
          </w:tcPr>
          <w:p>
            <w:pPr>
              <w:spacing w:after="0"/>
              <w:rPr>
                <w:sz w:val="20"/>
                <w:szCs w:val="20"/>
                <w:color w:val="auto"/>
              </w:rPr>
            </w:pPr>
            <w:r>
              <w:rPr>
                <w:rFonts w:ascii="Arial" w:cs="Arial" w:eastAsia="Arial" w:hAnsi="Arial"/>
                <w:sz w:val="18"/>
                <w:szCs w:val="18"/>
                <w:color w:val="auto"/>
              </w:rPr>
              <w:t>Tierra Vista Inversiones, LLC</w:t>
            </w:r>
          </w:p>
        </w:tc>
        <w:tc>
          <w:tcPr>
            <w:tcW w:w="3480" w:type="dxa"/>
            <w:vAlign w:val="bottom"/>
            <w:gridSpan w:val="4"/>
          </w:tcPr>
          <w:p>
            <w:pPr>
              <w:ind w:left="620"/>
              <w:spacing w:after="0"/>
              <w:rPr>
                <w:sz w:val="20"/>
                <w:szCs w:val="20"/>
                <w:color w:val="auto"/>
              </w:rPr>
            </w:pPr>
            <w:r>
              <w:rPr>
                <w:rFonts w:ascii="Arial" w:cs="Arial" w:eastAsia="Arial" w:hAnsi="Arial"/>
                <w:sz w:val="18"/>
                <w:szCs w:val="18"/>
                <w:color w:val="auto"/>
              </w:rPr>
              <w:t>Delaware</w:t>
            </w:r>
          </w:p>
        </w:tc>
      </w:tr>
      <w:tr>
        <w:trPr>
          <w:trHeight w:val="324"/>
        </w:trPr>
        <w:tc>
          <w:tcPr>
            <w:tcW w:w="2800" w:type="dxa"/>
            <w:vAlign w:val="bottom"/>
            <w:gridSpan w:val="2"/>
          </w:tcPr>
          <w:p>
            <w:pPr>
              <w:spacing w:after="0"/>
              <w:rPr>
                <w:sz w:val="20"/>
                <w:szCs w:val="20"/>
                <w:color w:val="auto"/>
              </w:rPr>
            </w:pPr>
            <w:r>
              <w:rPr>
                <w:rFonts w:ascii="Arial" w:cs="Arial" w:eastAsia="Arial" w:hAnsi="Arial"/>
                <w:sz w:val="18"/>
                <w:szCs w:val="18"/>
                <w:color w:val="auto"/>
              </w:rPr>
              <w:t>Nueva Ventura, LLC</w:t>
            </w:r>
          </w:p>
        </w:tc>
        <w:tc>
          <w:tcPr>
            <w:tcW w:w="3480" w:type="dxa"/>
            <w:vAlign w:val="bottom"/>
            <w:gridSpan w:val="4"/>
          </w:tcPr>
          <w:p>
            <w:pPr>
              <w:ind w:left="620"/>
              <w:spacing w:after="0"/>
              <w:rPr>
                <w:sz w:val="20"/>
                <w:szCs w:val="20"/>
                <w:color w:val="auto"/>
              </w:rPr>
            </w:pPr>
            <w:r>
              <w:rPr>
                <w:rFonts w:ascii="Arial" w:cs="Arial" w:eastAsia="Arial" w:hAnsi="Arial"/>
                <w:sz w:val="18"/>
                <w:szCs w:val="18"/>
                <w:color w:val="auto"/>
              </w:rPr>
              <w:t>Arizona</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Number of</w:t>
      </w:r>
    </w:p>
    <w:p>
      <w:pPr>
        <w:jc w:val="center"/>
        <w:spacing w:after="0" w:line="223" w:lineRule="auto"/>
        <w:rPr>
          <w:sz w:val="20"/>
          <w:szCs w:val="20"/>
          <w:color w:val="auto"/>
        </w:rPr>
      </w:pPr>
      <w:r>
        <w:rPr>
          <w:rFonts w:ascii="Arial" w:cs="Arial" w:eastAsia="Arial" w:hAnsi="Arial"/>
          <w:sz w:val="14"/>
          <w:szCs w:val="14"/>
          <w:b w:val="1"/>
          <w:bCs w:val="1"/>
          <w:color w:val="auto"/>
        </w:rPr>
        <w:t>Shares of each</w:t>
      </w:r>
    </w:p>
    <w:p>
      <w:pPr>
        <w:jc w:val="center"/>
        <w:spacing w:after="0" w:line="222" w:lineRule="auto"/>
        <w:rPr>
          <w:sz w:val="20"/>
          <w:szCs w:val="20"/>
          <w:color w:val="auto"/>
        </w:rPr>
      </w:pPr>
      <w:r>
        <w:rPr>
          <w:rFonts w:ascii="Arial" w:cs="Arial" w:eastAsia="Arial" w:hAnsi="Arial"/>
          <w:sz w:val="14"/>
          <w:szCs w:val="14"/>
          <w:b w:val="1"/>
          <w:bCs w:val="1"/>
          <w:color w:val="auto"/>
        </w:rPr>
        <w:t>Class of Equity</w:t>
      </w:r>
    </w:p>
    <w:p>
      <w:pPr>
        <w:jc w:val="center"/>
        <w:spacing w:after="0" w:line="221" w:lineRule="auto"/>
        <w:rPr>
          <w:sz w:val="20"/>
          <w:szCs w:val="20"/>
          <w:color w:val="auto"/>
        </w:rPr>
      </w:pPr>
      <w:r>
        <w:rPr>
          <w:rFonts w:ascii="Arial" w:cs="Arial" w:eastAsia="Arial" w:hAnsi="Arial"/>
          <w:sz w:val="14"/>
          <w:szCs w:val="14"/>
          <w:b w:val="1"/>
          <w:bCs w:val="1"/>
          <w:color w:val="auto"/>
        </w:rPr>
        <w:t>Interests</w:t>
      </w:r>
    </w:p>
    <w:p>
      <w:pPr>
        <w:jc w:val="center"/>
        <w:spacing w:after="0"/>
        <w:rPr>
          <w:sz w:val="20"/>
          <w:szCs w:val="20"/>
          <w:color w:val="auto"/>
        </w:rPr>
      </w:pPr>
      <w:r>
        <w:rPr>
          <w:rFonts w:ascii="Arial" w:cs="Arial" w:eastAsia="Arial" w:hAnsi="Arial"/>
          <w:sz w:val="14"/>
          <w:szCs w:val="14"/>
          <w:b w:val="1"/>
          <w:bCs w:val="1"/>
          <w:color w:val="auto"/>
        </w:rPr>
        <w:t>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1061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59" w:lineRule="auto"/>
        <w:rPr>
          <w:sz w:val="20"/>
          <w:szCs w:val="20"/>
          <w:color w:val="auto"/>
        </w:rPr>
      </w:pPr>
      <w:r>
        <w:rPr>
          <w:rFonts w:ascii="Arial" w:cs="Arial" w:eastAsia="Arial" w:hAnsi="Arial"/>
          <w:sz w:val="18"/>
          <w:szCs w:val="18"/>
          <w:color w:val="auto"/>
        </w:rPr>
        <w:t>1,000 shares of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left="-479"/>
        <w:spacing w:after="0" w:line="269" w:lineRule="auto"/>
        <w:rPr>
          <w:sz w:val="20"/>
          <w:szCs w:val="20"/>
          <w:color w:val="auto"/>
        </w:rPr>
      </w:pPr>
      <w:r>
        <w:rPr>
          <w:rFonts w:ascii="Arial" w:cs="Arial" w:eastAsia="Arial" w:hAnsi="Arial"/>
          <w:sz w:val="12"/>
          <w:szCs w:val="12"/>
          <w:b w:val="1"/>
          <w:bCs w:val="1"/>
          <w:color w:val="auto"/>
        </w:rPr>
        <w:t>Number and Percentgage of Outstanding Shares of each Class Owned (directly or indirectly) by the Borrower or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17322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1,000 shares of common stock;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100% owned by Borrower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100% owned by Borrower</w:t>
      </w:r>
    </w:p>
    <w:p>
      <w:pPr>
        <w:spacing w:after="0" w:line="11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100% owned by Tierra Vista Inversiones, LLC</w:t>
      </w:r>
    </w:p>
    <w:p>
      <w:pPr>
        <w:spacing w:after="0" w:line="78" w:lineRule="exact"/>
        <w:rPr>
          <w:sz w:val="20"/>
          <w:szCs w:val="20"/>
          <w:color w:val="auto"/>
        </w:rPr>
      </w:pPr>
    </w:p>
    <w:p>
      <w:pPr>
        <w:sectPr>
          <w:pgSz w:w="11900" w:h="16838" w:orient="portrait"/>
          <w:cols w:equalWidth="0" w:num="3">
            <w:col w:w="6280" w:space="340"/>
            <w:col w:w="1720" w:space="360"/>
            <w:col w:w="2220"/>
          </w:cols>
          <w:pgMar w:left="240" w:top="274" w:right="739" w:bottom="1440" w:gutter="0" w:footer="0" w:header="0"/>
        </w:sectPr>
      </w:pPr>
    </w:p>
    <w:p>
      <w:pPr>
        <w:spacing w:after="0"/>
        <w:tabs>
          <w:tab w:leader="none" w:pos="3400" w:val="left"/>
        </w:tabs>
        <w:rPr>
          <w:sz w:val="20"/>
          <w:szCs w:val="20"/>
          <w:color w:val="auto"/>
        </w:rPr>
      </w:pPr>
      <w:r>
        <w:rPr>
          <w:rFonts w:ascii="Arial" w:cs="Arial" w:eastAsia="Arial" w:hAnsi="Arial"/>
          <w:sz w:val="18"/>
          <w:szCs w:val="18"/>
          <w:color w:val="auto"/>
        </w:rPr>
        <w:t>Casa de Amistad, LLC</w:t>
      </w:r>
      <w:r>
        <w:rPr>
          <w:sz w:val="20"/>
          <w:szCs w:val="20"/>
          <w:color w:val="auto"/>
        </w:rPr>
        <w:tab/>
      </w:r>
      <w:r>
        <w:rPr>
          <w:rFonts w:ascii="Arial" w:cs="Arial" w:eastAsia="Arial" w:hAnsi="Arial"/>
          <w:sz w:val="16"/>
          <w:szCs w:val="16"/>
          <w:color w:val="auto"/>
        </w:rPr>
        <w:t>Arizona</w:t>
      </w:r>
    </w:p>
    <w:p>
      <w:pPr>
        <w:spacing w:after="0" w:line="333"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color w:val="auto"/>
        </w:rPr>
        <w:t>Amigos de Torrejon, LLC</w:t>
      </w:r>
      <w:r>
        <w:rPr>
          <w:sz w:val="20"/>
          <w:szCs w:val="20"/>
          <w:color w:val="auto"/>
        </w:rPr>
        <w:tab/>
      </w:r>
      <w:r>
        <w:rPr>
          <w:rFonts w:ascii="Arial" w:cs="Arial" w:eastAsia="Arial" w:hAnsi="Arial"/>
          <w:sz w:val="16"/>
          <w:szCs w:val="16"/>
          <w:color w:val="auto"/>
        </w:rPr>
        <w:t>Arizona</w:t>
      </w:r>
    </w:p>
    <w:p>
      <w:pPr>
        <w:spacing w:after="0" w:line="333"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color w:val="auto"/>
        </w:rPr>
        <w:t>Piedras Bonitas Inversiones, LLC</w:t>
      </w:r>
      <w:r>
        <w:rPr>
          <w:sz w:val="20"/>
          <w:szCs w:val="20"/>
          <w:color w:val="auto"/>
        </w:rPr>
        <w:tab/>
      </w:r>
      <w:r>
        <w:rPr>
          <w:rFonts w:ascii="Arial" w:cs="Arial" w:eastAsia="Arial" w:hAnsi="Arial"/>
          <w:sz w:val="16"/>
          <w:szCs w:val="16"/>
          <w:color w:val="auto"/>
        </w:rPr>
        <w:t>Arizona</w:t>
      </w:r>
    </w:p>
    <w:p>
      <w:pPr>
        <w:spacing w:after="0" w:line="333"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color w:val="auto"/>
        </w:rPr>
        <w:t>La Sonrisa de Siena, L.L.C.</w:t>
      </w:r>
      <w:r>
        <w:rPr>
          <w:sz w:val="20"/>
          <w:szCs w:val="20"/>
          <w:color w:val="auto"/>
        </w:rPr>
        <w:tab/>
      </w:r>
      <w:r>
        <w:rPr>
          <w:rFonts w:ascii="Arial" w:cs="Arial" w:eastAsia="Arial" w:hAnsi="Arial"/>
          <w:sz w:val="16"/>
          <w:szCs w:val="16"/>
          <w:color w:val="auto"/>
        </w:rPr>
        <w:t>Arizona</w:t>
      </w:r>
    </w:p>
    <w:p>
      <w:pPr>
        <w:spacing w:after="0" w:line="333"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color w:val="auto"/>
        </w:rPr>
        <w:t>Nuevo Comienzo, LLC</w:t>
      </w:r>
      <w:r>
        <w:rPr>
          <w:sz w:val="20"/>
          <w:szCs w:val="20"/>
          <w:color w:val="auto"/>
        </w:rPr>
        <w:tab/>
      </w:r>
      <w:r>
        <w:rPr>
          <w:rFonts w:ascii="Arial" w:cs="Arial" w:eastAsia="Arial" w:hAnsi="Arial"/>
          <w:sz w:val="16"/>
          <w:szCs w:val="16"/>
          <w:color w:val="auto"/>
        </w:rPr>
        <w:t>Arizona</w:t>
      </w:r>
    </w:p>
    <w:p>
      <w:pPr>
        <w:spacing w:after="0" w:line="333"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color w:val="auto"/>
        </w:rPr>
        <w:t>El Vecino de Amigos, LLC</w:t>
      </w:r>
      <w:r>
        <w:rPr>
          <w:sz w:val="20"/>
          <w:szCs w:val="20"/>
          <w:color w:val="auto"/>
        </w:rPr>
        <w:tab/>
      </w:r>
      <w:r>
        <w:rPr>
          <w:rFonts w:ascii="Arial" w:cs="Arial" w:eastAsia="Arial" w:hAnsi="Arial"/>
          <w:sz w:val="16"/>
          <w:szCs w:val="16"/>
          <w:color w:val="auto"/>
        </w:rPr>
        <w:t>Arizona</w:t>
      </w:r>
    </w:p>
    <w:p>
      <w:pPr>
        <w:spacing w:after="0" w:line="333" w:lineRule="exact"/>
        <w:rPr>
          <w:sz w:val="20"/>
          <w:szCs w:val="20"/>
          <w:color w:val="auto"/>
        </w:rPr>
      </w:pPr>
    </w:p>
    <w:p>
      <w:pPr>
        <w:spacing w:after="0"/>
        <w:tabs>
          <w:tab w:leader="none" w:pos="3400" w:val="left"/>
        </w:tabs>
        <w:rPr>
          <w:sz w:val="20"/>
          <w:szCs w:val="20"/>
          <w:color w:val="auto"/>
        </w:rPr>
      </w:pPr>
      <w:r>
        <w:rPr>
          <w:rFonts w:ascii="Arial" w:cs="Arial" w:eastAsia="Arial" w:hAnsi="Arial"/>
          <w:sz w:val="18"/>
          <w:szCs w:val="18"/>
          <w:color w:val="auto"/>
        </w:rPr>
        <w:t>La Fuente de la Comunidad, LLC</w:t>
      </w:r>
      <w:r>
        <w:rPr>
          <w:sz w:val="20"/>
          <w:szCs w:val="20"/>
          <w:color w:val="auto"/>
        </w:rPr>
        <w:tab/>
      </w:r>
      <w:r>
        <w:rPr>
          <w:rFonts w:ascii="Arial" w:cs="Arial" w:eastAsia="Arial" w:hAnsi="Arial"/>
          <w:sz w:val="16"/>
          <w:szCs w:val="16"/>
          <w:color w:val="auto"/>
        </w:rPr>
        <w:t>Arizona</w:t>
      </w:r>
    </w:p>
    <w:p>
      <w:pPr>
        <w:spacing w:after="0" w:line="20" w:lineRule="exact"/>
        <w:rPr>
          <w:sz w:val="20"/>
          <w:szCs w:val="20"/>
          <w:color w:val="auto"/>
        </w:rPr>
      </w:pPr>
      <w:r>
        <w:rPr>
          <w:sz w:val="20"/>
          <w:szCs w:val="20"/>
          <w:color w:val="auto"/>
        </w:rPr>
        <w:br w:type="column"/>
      </w:r>
    </w:p>
    <w:p>
      <w:pPr>
        <w:spacing w:after="0"/>
        <w:tabs>
          <w:tab w:leader="none" w:pos="2060" w:val="left"/>
        </w:tabs>
        <w:rPr>
          <w:sz w:val="20"/>
          <w:szCs w:val="20"/>
          <w:color w:val="auto"/>
        </w:rPr>
      </w:pPr>
      <w:r>
        <w:rPr>
          <w:rFonts w:ascii="Arial" w:cs="Arial" w:eastAsia="Arial" w:hAnsi="Arial"/>
          <w:sz w:val="15"/>
          <w:szCs w:val="15"/>
          <w:color w:val="auto"/>
        </w:rPr>
        <w:t>N/A</w:t>
      </w:r>
      <w:r>
        <w:rPr>
          <w:sz w:val="20"/>
          <w:szCs w:val="20"/>
          <w:color w:val="auto"/>
        </w:rPr>
        <w:tab/>
      </w:r>
      <w:r>
        <w:rPr>
          <w:rFonts w:ascii="Arial" w:cs="Arial" w:eastAsia="Arial" w:hAnsi="Arial"/>
          <w:sz w:val="15"/>
          <w:szCs w:val="15"/>
          <w:color w:val="auto"/>
        </w:rPr>
        <w:t>100% owned by Tierra Vista</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Inversiones, LLC</w:t>
      </w:r>
    </w:p>
    <w:p>
      <w:pPr>
        <w:spacing w:after="0" w:line="111" w:lineRule="exact"/>
        <w:rPr>
          <w:sz w:val="20"/>
          <w:szCs w:val="20"/>
          <w:color w:val="auto"/>
        </w:rPr>
      </w:pPr>
    </w:p>
    <w:p>
      <w:pPr>
        <w:spacing w:after="0"/>
        <w:tabs>
          <w:tab w:leader="none" w:pos="2060" w:val="left"/>
        </w:tabs>
        <w:rPr>
          <w:sz w:val="20"/>
          <w:szCs w:val="20"/>
          <w:color w:val="auto"/>
        </w:rPr>
      </w:pPr>
      <w:r>
        <w:rPr>
          <w:rFonts w:ascii="Arial" w:cs="Arial" w:eastAsia="Arial" w:hAnsi="Arial"/>
          <w:sz w:val="15"/>
          <w:szCs w:val="15"/>
          <w:color w:val="auto"/>
        </w:rPr>
        <w:t>N/A</w:t>
      </w:r>
      <w:r>
        <w:rPr>
          <w:sz w:val="20"/>
          <w:szCs w:val="20"/>
          <w:color w:val="auto"/>
        </w:rPr>
        <w:tab/>
      </w:r>
      <w:r>
        <w:rPr>
          <w:rFonts w:ascii="Arial" w:cs="Arial" w:eastAsia="Arial" w:hAnsi="Arial"/>
          <w:sz w:val="15"/>
          <w:szCs w:val="15"/>
          <w:color w:val="auto"/>
        </w:rPr>
        <w:t>100% owned by Tierra Vista</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Inversiones, LLC</w:t>
      </w:r>
    </w:p>
    <w:p>
      <w:pPr>
        <w:spacing w:after="0" w:line="111" w:lineRule="exact"/>
        <w:rPr>
          <w:sz w:val="20"/>
          <w:szCs w:val="20"/>
          <w:color w:val="auto"/>
        </w:rPr>
      </w:pPr>
    </w:p>
    <w:p>
      <w:pPr>
        <w:spacing w:after="0"/>
        <w:tabs>
          <w:tab w:leader="none" w:pos="2060" w:val="left"/>
        </w:tabs>
        <w:rPr>
          <w:sz w:val="20"/>
          <w:szCs w:val="20"/>
          <w:color w:val="auto"/>
        </w:rPr>
      </w:pPr>
      <w:r>
        <w:rPr>
          <w:rFonts w:ascii="Arial" w:cs="Arial" w:eastAsia="Arial" w:hAnsi="Arial"/>
          <w:sz w:val="15"/>
          <w:szCs w:val="15"/>
          <w:color w:val="auto"/>
        </w:rPr>
        <w:t>N/A</w:t>
      </w:r>
      <w:r>
        <w:rPr>
          <w:sz w:val="20"/>
          <w:szCs w:val="20"/>
          <w:color w:val="auto"/>
        </w:rPr>
        <w:tab/>
      </w:r>
      <w:r>
        <w:rPr>
          <w:rFonts w:ascii="Arial" w:cs="Arial" w:eastAsia="Arial" w:hAnsi="Arial"/>
          <w:sz w:val="15"/>
          <w:szCs w:val="15"/>
          <w:color w:val="auto"/>
        </w:rPr>
        <w:t>100% owned by Tierra Vista</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Inversiones, LLC</w:t>
      </w:r>
    </w:p>
    <w:p>
      <w:pPr>
        <w:spacing w:after="0" w:line="111" w:lineRule="exact"/>
        <w:rPr>
          <w:sz w:val="20"/>
          <w:szCs w:val="20"/>
          <w:color w:val="auto"/>
        </w:rPr>
      </w:pPr>
    </w:p>
    <w:p>
      <w:pPr>
        <w:spacing w:after="0"/>
        <w:tabs>
          <w:tab w:leader="none" w:pos="2060" w:val="left"/>
        </w:tabs>
        <w:rPr>
          <w:sz w:val="20"/>
          <w:szCs w:val="20"/>
          <w:color w:val="auto"/>
        </w:rPr>
      </w:pPr>
      <w:r>
        <w:rPr>
          <w:rFonts w:ascii="Arial" w:cs="Arial" w:eastAsia="Arial" w:hAnsi="Arial"/>
          <w:sz w:val="15"/>
          <w:szCs w:val="15"/>
          <w:color w:val="auto"/>
        </w:rPr>
        <w:t>N/A</w:t>
      </w:r>
      <w:r>
        <w:rPr>
          <w:sz w:val="20"/>
          <w:szCs w:val="20"/>
          <w:color w:val="auto"/>
        </w:rPr>
        <w:tab/>
      </w:r>
      <w:r>
        <w:rPr>
          <w:rFonts w:ascii="Arial" w:cs="Arial" w:eastAsia="Arial" w:hAnsi="Arial"/>
          <w:sz w:val="15"/>
          <w:szCs w:val="15"/>
          <w:color w:val="auto"/>
        </w:rPr>
        <w:t>100% owned by Tierra Vista</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Inversiones, LLC</w:t>
      </w:r>
    </w:p>
    <w:p>
      <w:pPr>
        <w:spacing w:after="0" w:line="111" w:lineRule="exact"/>
        <w:rPr>
          <w:sz w:val="20"/>
          <w:szCs w:val="20"/>
          <w:color w:val="auto"/>
        </w:rPr>
      </w:pPr>
    </w:p>
    <w:p>
      <w:pPr>
        <w:spacing w:after="0"/>
        <w:tabs>
          <w:tab w:leader="none" w:pos="2060" w:val="left"/>
        </w:tabs>
        <w:rPr>
          <w:sz w:val="20"/>
          <w:szCs w:val="20"/>
          <w:color w:val="auto"/>
        </w:rPr>
      </w:pPr>
      <w:r>
        <w:rPr>
          <w:rFonts w:ascii="Arial" w:cs="Arial" w:eastAsia="Arial" w:hAnsi="Arial"/>
          <w:sz w:val="15"/>
          <w:szCs w:val="15"/>
          <w:color w:val="auto"/>
        </w:rPr>
        <w:t>N/A</w:t>
      </w:r>
      <w:r>
        <w:rPr>
          <w:sz w:val="20"/>
          <w:szCs w:val="20"/>
          <w:color w:val="auto"/>
        </w:rPr>
        <w:tab/>
      </w:r>
      <w:r>
        <w:rPr>
          <w:rFonts w:ascii="Arial" w:cs="Arial" w:eastAsia="Arial" w:hAnsi="Arial"/>
          <w:sz w:val="15"/>
          <w:szCs w:val="15"/>
          <w:color w:val="auto"/>
        </w:rPr>
        <w:t>100% owned by Tierra Vista</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Inversiones, LLC</w:t>
      </w:r>
    </w:p>
    <w:p>
      <w:pPr>
        <w:spacing w:after="0" w:line="111" w:lineRule="exact"/>
        <w:rPr>
          <w:sz w:val="20"/>
          <w:szCs w:val="20"/>
          <w:color w:val="auto"/>
        </w:rPr>
      </w:pPr>
    </w:p>
    <w:p>
      <w:pPr>
        <w:spacing w:after="0"/>
        <w:tabs>
          <w:tab w:leader="none" w:pos="2060" w:val="left"/>
        </w:tabs>
        <w:rPr>
          <w:sz w:val="20"/>
          <w:szCs w:val="20"/>
          <w:color w:val="auto"/>
        </w:rPr>
      </w:pPr>
      <w:r>
        <w:rPr>
          <w:rFonts w:ascii="Arial" w:cs="Arial" w:eastAsia="Arial" w:hAnsi="Arial"/>
          <w:sz w:val="15"/>
          <w:szCs w:val="15"/>
          <w:color w:val="auto"/>
        </w:rPr>
        <w:t>N/A</w:t>
      </w:r>
      <w:r>
        <w:rPr>
          <w:sz w:val="20"/>
          <w:szCs w:val="20"/>
          <w:color w:val="auto"/>
        </w:rPr>
        <w:tab/>
      </w:r>
      <w:r>
        <w:rPr>
          <w:rFonts w:ascii="Arial" w:cs="Arial" w:eastAsia="Arial" w:hAnsi="Arial"/>
          <w:sz w:val="15"/>
          <w:szCs w:val="15"/>
          <w:color w:val="auto"/>
        </w:rPr>
        <w:t>100% owned by Tierra Vista</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Inversiones, LLC</w:t>
      </w:r>
    </w:p>
    <w:p>
      <w:pPr>
        <w:spacing w:after="0" w:line="111" w:lineRule="exact"/>
        <w:rPr>
          <w:sz w:val="20"/>
          <w:szCs w:val="20"/>
          <w:color w:val="auto"/>
        </w:rPr>
      </w:pPr>
    </w:p>
    <w:p>
      <w:pPr>
        <w:spacing w:after="0"/>
        <w:tabs>
          <w:tab w:leader="none" w:pos="2060" w:val="left"/>
        </w:tabs>
        <w:rPr>
          <w:sz w:val="20"/>
          <w:szCs w:val="20"/>
          <w:color w:val="auto"/>
        </w:rPr>
      </w:pPr>
      <w:r>
        <w:rPr>
          <w:rFonts w:ascii="Arial" w:cs="Arial" w:eastAsia="Arial" w:hAnsi="Arial"/>
          <w:sz w:val="15"/>
          <w:szCs w:val="15"/>
          <w:color w:val="auto"/>
        </w:rPr>
        <w:t>N/A</w:t>
      </w:r>
      <w:r>
        <w:rPr>
          <w:sz w:val="20"/>
          <w:szCs w:val="20"/>
          <w:color w:val="auto"/>
        </w:rPr>
        <w:tab/>
      </w:r>
      <w:r>
        <w:rPr>
          <w:rFonts w:ascii="Arial" w:cs="Arial" w:eastAsia="Arial" w:hAnsi="Arial"/>
          <w:sz w:val="15"/>
          <w:szCs w:val="15"/>
          <w:color w:val="auto"/>
        </w:rPr>
        <w:t>100% owned by Tierra Vista</w:t>
      </w:r>
    </w:p>
    <w:p>
      <w:pPr>
        <w:spacing w:after="0" w:line="5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Inversiones, LLC</w:t>
      </w:r>
    </w:p>
    <w:p>
      <w:pPr>
        <w:sectPr>
          <w:pgSz w:w="11900" w:h="16838" w:orient="portrait"/>
          <w:cols w:equalWidth="0" w:num="2">
            <w:col w:w="5900" w:space="720"/>
            <w:col w:w="4300"/>
          </w:cols>
          <w:pgMar w:left="240" w:top="274" w:right="739" w:bottom="1440" w:gutter="0" w:footer="0" w:header="0"/>
          <w:type w:val="continuous"/>
        </w:sectPr>
      </w:pPr>
    </w:p>
    <w:bookmarkStart w:id="236" w:name="page237"/>
    <w:bookmarkEnd w:id="236"/>
    <w:p>
      <w:pPr>
        <w:jc w:val="center"/>
        <w:ind w:right="-6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6.17</w:t>
      </w:r>
    </w:p>
    <w:p>
      <w:pPr>
        <w:spacing w:after="0" w:line="17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u w:val="single" w:color="auto"/>
          <w:color w:val="auto"/>
        </w:rPr>
        <w:t>IP Rights</w:t>
      </w:r>
    </w:p>
    <w:p>
      <w:pPr>
        <w:spacing w:after="0" w:line="17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U.S. Trademarks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Registered Marks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gridSpan w:val="4"/>
          </w:tcPr>
          <w:p>
            <w:pPr>
              <w:ind w:left="1380"/>
              <w:spacing w:after="0"/>
              <w:rPr>
                <w:sz w:val="20"/>
                <w:szCs w:val="20"/>
                <w:color w:val="auto"/>
              </w:rPr>
            </w:pPr>
            <w:r>
              <w:rPr>
                <w:rFonts w:ascii="Arial" w:cs="Arial" w:eastAsia="Arial" w:hAnsi="Arial"/>
                <w:sz w:val="14"/>
                <w:szCs w:val="14"/>
                <w:b w:val="1"/>
                <w:bCs w:val="1"/>
                <w:color w:val="auto"/>
              </w:rPr>
              <w:t>Mark</w:t>
            </w:r>
          </w:p>
        </w:tc>
        <w:tc>
          <w:tcPr>
            <w:tcW w:w="8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Reg. No.</w:t>
            </w: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Reg. Date</w:t>
            </w:r>
          </w:p>
        </w:tc>
      </w:tr>
      <w:tr>
        <w:trPr>
          <w:trHeight w:val="20"/>
        </w:trPr>
        <w:tc>
          <w:tcPr>
            <w:tcW w:w="1380" w:type="dxa"/>
            <w:vAlign w:val="bottom"/>
          </w:tcPr>
          <w:p>
            <w:pPr>
              <w:spacing w:after="0" w:line="20" w:lineRule="exact"/>
              <w:rPr>
                <w:sz w:val="1"/>
                <w:szCs w:val="1"/>
                <w:color w:val="auto"/>
              </w:rPr>
            </w:pPr>
          </w:p>
        </w:tc>
        <w:tc>
          <w:tcPr>
            <w:tcW w:w="16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6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RISE TO THE CHALLENGE OF LEADERSHIP</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4096375</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5"/>
              </w:rPr>
              <w:t>02/07/12</w:t>
            </w:r>
          </w:p>
        </w:tc>
        <w:tc>
          <w:tcPr>
            <w:tcW w:w="100" w:type="dxa"/>
            <w:vAlign w:val="bottom"/>
            <w:shd w:val="clear" w:color="auto" w:fill="CCEEFF"/>
          </w:tcPr>
          <w:p>
            <w:pPr>
              <w:spacing w:after="0"/>
              <w:rPr>
                <w:sz w:val="17"/>
                <w:szCs w:val="17"/>
                <w:color w:val="auto"/>
              </w:rPr>
            </w:pPr>
          </w:p>
        </w:tc>
      </w:tr>
      <w:tr>
        <w:trPr>
          <w:trHeight w:val="216"/>
        </w:trPr>
        <w:tc>
          <w:tcPr>
            <w:tcW w:w="1380" w:type="dxa"/>
            <w:vAlign w:val="bottom"/>
          </w:tcPr>
          <w:p>
            <w:pPr>
              <w:spacing w:after="0"/>
              <w:rPr>
                <w:sz w:val="18"/>
                <w:szCs w:val="18"/>
                <w:color w:val="auto"/>
              </w:rPr>
            </w:pPr>
          </w:p>
        </w:tc>
        <w:tc>
          <w:tcPr>
            <w:tcW w:w="6780" w:type="dxa"/>
            <w:vAlign w:val="bottom"/>
            <w:gridSpan w:val="3"/>
          </w:tcPr>
          <w:p>
            <w:pPr>
              <w:spacing w:after="0"/>
              <w:rPr>
                <w:sz w:val="20"/>
                <w:szCs w:val="20"/>
                <w:color w:val="auto"/>
              </w:rPr>
            </w:pPr>
            <w:r>
              <w:rPr>
                <w:rFonts w:ascii="Arial" w:cs="Arial" w:eastAsia="Arial" w:hAnsi="Arial"/>
                <w:sz w:val="18"/>
                <w:szCs w:val="18"/>
                <w:color w:val="auto"/>
              </w:rPr>
              <w:t>GRAND CANYON UNIVERSITY ARIZONA 1949 and Design</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4124765</w:t>
            </w:r>
          </w:p>
        </w:tc>
        <w:tc>
          <w:tcPr>
            <w:tcW w:w="36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w w:val="85"/>
              </w:rPr>
              <w:t>04/10/12</w:t>
            </w: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GRAND CANYON UNIVERSITY</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3039105</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01/10/06</w:t>
            </w:r>
          </w:p>
        </w:tc>
        <w:tc>
          <w:tcPr>
            <w:tcW w:w="100" w:type="dxa"/>
            <w:vAlign w:val="bottom"/>
            <w:shd w:val="clear" w:color="auto" w:fill="CCEEFF"/>
          </w:tcPr>
          <w:p>
            <w:pPr>
              <w:spacing w:after="0"/>
              <w:rPr>
                <w:sz w:val="18"/>
                <w:szCs w:val="18"/>
                <w:color w:val="auto"/>
              </w:rPr>
            </w:pPr>
          </w:p>
        </w:tc>
      </w:tr>
      <w:tr>
        <w:trPr>
          <w:trHeight w:val="338"/>
        </w:trPr>
        <w:tc>
          <w:tcPr>
            <w:tcW w:w="8160" w:type="dxa"/>
            <w:vAlign w:val="bottom"/>
            <w:gridSpan w:val="4"/>
          </w:tcPr>
          <w:p>
            <w:pPr>
              <w:spacing w:after="0"/>
              <w:rPr>
                <w:sz w:val="20"/>
                <w:szCs w:val="20"/>
                <w:color w:val="auto"/>
              </w:rPr>
            </w:pPr>
            <w:r>
              <w:rPr>
                <w:rFonts w:ascii="Arial" w:cs="Arial" w:eastAsia="Arial" w:hAnsi="Arial"/>
                <w:sz w:val="18"/>
                <w:szCs w:val="18"/>
                <w:b w:val="1"/>
                <w:bCs w:val="1"/>
                <w:color w:val="auto"/>
              </w:rPr>
              <w:t>Pending Application</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540" w:type="dxa"/>
            <w:vAlign w:val="bottom"/>
            <w:gridSpan w:val="2"/>
            <w:shd w:val="clear" w:color="auto" w:fill="000000"/>
          </w:tcPr>
          <w:p>
            <w:pPr>
              <w:spacing w:after="0" w:line="20" w:lineRule="exact"/>
              <w:rPr>
                <w:sz w:val="1"/>
                <w:szCs w:val="1"/>
                <w:color w:val="auto"/>
              </w:rPr>
            </w:pPr>
          </w:p>
        </w:tc>
        <w:tc>
          <w:tcPr>
            <w:tcW w:w="6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r>
      <w:tr>
        <w:trPr>
          <w:trHeight w:val="372"/>
        </w:trPr>
        <w:tc>
          <w:tcPr>
            <w:tcW w:w="8160" w:type="dxa"/>
            <w:vAlign w:val="bottom"/>
            <w:gridSpan w:val="4"/>
          </w:tcPr>
          <w:p>
            <w:pPr>
              <w:ind w:left="1380"/>
              <w:spacing w:after="0"/>
              <w:rPr>
                <w:sz w:val="20"/>
                <w:szCs w:val="20"/>
                <w:color w:val="auto"/>
              </w:rPr>
            </w:pPr>
            <w:r>
              <w:rPr>
                <w:rFonts w:ascii="Arial" w:cs="Arial" w:eastAsia="Arial" w:hAnsi="Arial"/>
                <w:sz w:val="14"/>
                <w:szCs w:val="14"/>
                <w:b w:val="1"/>
                <w:bCs w:val="1"/>
                <w:color w:val="auto"/>
              </w:rPr>
              <w:t>Mark</w:t>
            </w:r>
          </w:p>
        </w:tc>
        <w:tc>
          <w:tcPr>
            <w:tcW w:w="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Appl. No.</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1380" w:type="dxa"/>
            <w:vAlign w:val="bottom"/>
          </w:tcPr>
          <w:p>
            <w:pPr>
              <w:spacing w:after="0" w:line="20" w:lineRule="exact"/>
              <w:rPr>
                <w:sz w:val="1"/>
                <w:szCs w:val="1"/>
                <w:color w:val="auto"/>
              </w:rPr>
            </w:pPr>
          </w:p>
        </w:tc>
        <w:tc>
          <w:tcPr>
            <w:tcW w:w="160" w:type="dxa"/>
            <w:vAlign w:val="bottom"/>
            <w:tcBorders>
              <w:bottom w:val="single" w:sz="8" w:color="CCEEFF"/>
            </w:tcBorders>
            <w:shd w:val="clear" w:color="auto" w:fill="000000"/>
          </w:tcPr>
          <w:p>
            <w:pPr>
              <w:spacing w:after="0" w:line="20" w:lineRule="exact"/>
              <w:rPr>
                <w:sz w:val="1"/>
                <w:szCs w:val="1"/>
                <w:color w:val="auto"/>
              </w:rPr>
            </w:pPr>
          </w:p>
        </w:tc>
        <w:tc>
          <w:tcPr>
            <w:tcW w:w="180" w:type="dxa"/>
            <w:vAlign w:val="bottom"/>
            <w:tcBorders>
              <w:bottom w:val="single" w:sz="8" w:color="CCEEFF"/>
            </w:tcBorders>
            <w:shd w:val="clear" w:color="auto" w:fill="000000"/>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67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DC NETWORK</w:t>
            </w:r>
          </w:p>
        </w:tc>
        <w:tc>
          <w:tcPr>
            <w:tcW w:w="7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85588166</w:t>
            </w: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5"/>
              </w:rPr>
              <w:t>04/03/12</w:t>
            </w:r>
          </w:p>
        </w:tc>
        <w:tc>
          <w:tcPr>
            <w:tcW w:w="100" w:type="dxa"/>
            <w:vAlign w:val="bottom"/>
            <w:shd w:val="clear" w:color="auto" w:fill="CCEEFF"/>
          </w:tcPr>
          <w:p>
            <w:pPr>
              <w:spacing w:after="0"/>
              <w:rPr>
                <w:sz w:val="17"/>
                <w:szCs w:val="17"/>
                <w:color w:val="auto"/>
              </w:rPr>
            </w:pPr>
          </w:p>
        </w:tc>
      </w:tr>
    </w:tbl>
    <w:p>
      <w:pPr>
        <w:spacing w:after="0" w:line="31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U.S. State Trademarks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Registered Marks</w:t>
      </w:r>
    </w:p>
    <w:p>
      <w:pPr>
        <w:spacing w:after="0" w:line="213" w:lineRule="exact"/>
        <w:rPr>
          <w:sz w:val="20"/>
          <w:szCs w:val="20"/>
          <w:color w:val="auto"/>
        </w:rPr>
      </w:pPr>
    </w:p>
    <w:tbl>
      <w:tblPr>
        <w:tblLayout w:type="fixed"/>
        <w:tblInd w:w="920" w:type="dxa"/>
        <w:tblCellMar>
          <w:top w:w="0" w:type="dxa"/>
          <w:left w:w="0" w:type="dxa"/>
          <w:bottom w:w="0" w:type="dxa"/>
          <w:right w:w="0" w:type="dxa"/>
        </w:tblCellMar>
      </w:tblPr>
      <w:tr>
        <w:trPr>
          <w:trHeight w:val="18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State</w:t>
            </w:r>
          </w:p>
        </w:tc>
        <w:tc>
          <w:tcPr>
            <w:tcW w:w="4280" w:type="dxa"/>
            <w:vAlign w:val="bottom"/>
          </w:tcPr>
          <w:p>
            <w:pPr>
              <w:spacing w:after="0"/>
              <w:rPr>
                <w:sz w:val="15"/>
                <w:szCs w:val="15"/>
                <w:color w:val="auto"/>
              </w:rPr>
            </w:pPr>
          </w:p>
        </w:tc>
        <w:tc>
          <w:tcPr>
            <w:tcW w:w="3000" w:type="dxa"/>
            <w:vAlign w:val="bottom"/>
            <w:gridSpan w:val="2"/>
          </w:tcPr>
          <w:p>
            <w:pPr>
              <w:ind w:left="1160"/>
              <w:spacing w:after="0"/>
              <w:rPr>
                <w:sz w:val="20"/>
                <w:szCs w:val="20"/>
                <w:color w:val="auto"/>
              </w:rPr>
            </w:pPr>
            <w:r>
              <w:rPr>
                <w:rFonts w:ascii="Arial" w:cs="Arial" w:eastAsia="Arial" w:hAnsi="Arial"/>
                <w:sz w:val="14"/>
                <w:szCs w:val="14"/>
                <w:b w:val="1"/>
                <w:bCs w:val="1"/>
                <w:color w:val="auto"/>
              </w:rPr>
              <w:t>Mark</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Reg. No.</w:t>
            </w: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Reg. Date</w:t>
            </w:r>
          </w:p>
        </w:tc>
      </w:tr>
      <w:tr>
        <w:trPr>
          <w:trHeight w:val="203"/>
        </w:trPr>
        <w:tc>
          <w:tcPr>
            <w:tcW w:w="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ND</w:t>
            </w:r>
          </w:p>
        </w:tc>
        <w:tc>
          <w:tcPr>
            <w:tcW w:w="428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96"/>
              </w:rPr>
              <w:t>GRAND CANYON UNIVERSITY</w:t>
            </w: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28164100</w:t>
            </w:r>
          </w:p>
        </w:tc>
        <w:tc>
          <w:tcPr>
            <w:tcW w:w="3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5"/>
              </w:rPr>
              <w:t>12/11/10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AZ</w:t>
            </w:r>
          </w:p>
        </w:tc>
        <w:tc>
          <w:tcPr>
            <w:tcW w:w="4280" w:type="dxa"/>
            <w:vAlign w:val="bottom"/>
          </w:tcPr>
          <w:p>
            <w:pPr>
              <w:spacing w:after="0"/>
              <w:rPr>
                <w:sz w:val="19"/>
                <w:szCs w:val="19"/>
                <w:color w:val="auto"/>
              </w:rPr>
            </w:pPr>
          </w:p>
        </w:tc>
        <w:tc>
          <w:tcPr>
            <w:tcW w:w="3000" w:type="dxa"/>
            <w:vAlign w:val="bottom"/>
            <w:gridSpan w:val="2"/>
          </w:tcPr>
          <w:p>
            <w:pPr>
              <w:ind w:left="120"/>
              <w:spacing w:after="0"/>
              <w:rPr>
                <w:sz w:val="20"/>
                <w:szCs w:val="20"/>
                <w:color w:val="auto"/>
              </w:rPr>
            </w:pPr>
            <w:r>
              <w:rPr>
                <w:rFonts w:ascii="Arial" w:cs="Arial" w:eastAsia="Arial" w:hAnsi="Arial"/>
                <w:sz w:val="18"/>
                <w:szCs w:val="18"/>
                <w:color w:val="auto"/>
              </w:rPr>
              <w:t>GRAND CANYON UNIVERSITY</w:t>
            </w:r>
          </w:p>
        </w:tc>
        <w:tc>
          <w:tcPr>
            <w:tcW w:w="780" w:type="dxa"/>
            <w:vAlign w:val="bottom"/>
          </w:tcPr>
          <w:p>
            <w:pPr>
              <w:jc w:val="right"/>
              <w:spacing w:after="0"/>
              <w:rPr>
                <w:sz w:val="20"/>
                <w:szCs w:val="20"/>
                <w:color w:val="auto"/>
              </w:rPr>
            </w:pPr>
            <w:r>
              <w:rPr>
                <w:rFonts w:ascii="Arial" w:cs="Arial" w:eastAsia="Arial" w:hAnsi="Arial"/>
                <w:sz w:val="18"/>
                <w:szCs w:val="18"/>
                <w:color w:val="auto"/>
              </w:rPr>
              <w:t>502591</w:t>
            </w:r>
          </w:p>
        </w:tc>
        <w:tc>
          <w:tcPr>
            <w:tcW w:w="3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10/18/10</w:t>
            </w:r>
          </w:p>
        </w:tc>
      </w:tr>
    </w:tbl>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Certain IP rights of the Borrower are licensed on a non-exclusive, non-assignable, limited basis pursuant to a certain Software Development and License Agreement, dated February 4, 2010, between the Borrower and LoudCloud, Inc.</w:t>
      </w:r>
    </w:p>
    <w:p>
      <w:pPr>
        <w:sectPr>
          <w:pgSz w:w="11900" w:h="16838" w:orient="portrait"/>
          <w:cols w:equalWidth="0" w:num="1">
            <w:col w:w="10740"/>
          </w:cols>
          <w:pgMar w:left="240" w:top="274" w:right="919" w:bottom="1440" w:gutter="0" w:footer="0" w:header="0"/>
        </w:sectPr>
      </w:pPr>
    </w:p>
    <w:bookmarkStart w:id="237" w:name="page238"/>
    <w:bookmarkEnd w:id="237"/>
    <w:p>
      <w:pPr>
        <w:jc w:val="center"/>
        <w:ind w:right="-7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6.20-1</w:t>
      </w:r>
    </w:p>
    <w:p>
      <w:pPr>
        <w:spacing w:after="0" w:line="171"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u w:val="single" w:color="auto"/>
          <w:color w:val="auto"/>
        </w:rPr>
        <w:t>Locations of Real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owned by Borrower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3300 West Camelback Rd, Phoenix, AZ (Main campus)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5231 N 35</w:t>
      </w:r>
      <w:r>
        <w:rPr>
          <w:rFonts w:ascii="Arial" w:cs="Arial" w:eastAsia="Arial" w:hAnsi="Arial"/>
          <w:sz w:val="11"/>
          <w:szCs w:val="11"/>
          <w:u w:val="single" w:color="auto"/>
          <w:color w:val="auto"/>
        </w:rPr>
        <w:t>th</w:t>
      </w:r>
      <w:r>
        <w:rPr>
          <w:rFonts w:ascii="Arial" w:cs="Arial" w:eastAsia="Arial" w:hAnsi="Arial"/>
          <w:sz w:val="18"/>
          <w:szCs w:val="18"/>
          <w:u w:val="single" w:color="auto"/>
          <w:color w:val="auto"/>
        </w:rPr>
        <w:t xml:space="preserv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3101 W Missouri Ave</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Parcel #153-17-005-K – Hegel Hall, Main Campus, Parking lot behind 1</w:t>
      </w:r>
      <w:r>
        <w:rPr>
          <w:rFonts w:ascii="Arial" w:cs="Arial" w:eastAsia="Arial" w:hAnsi="Arial"/>
          <w:sz w:val="10"/>
          <w:szCs w:val="10"/>
          <w:color w:val="auto"/>
        </w:rPr>
        <w:t>st</w:t>
      </w:r>
      <w:r>
        <w:rPr>
          <w:rFonts w:ascii="Arial" w:cs="Arial" w:eastAsia="Arial" w:hAnsi="Arial"/>
          <w:sz w:val="16"/>
          <w:szCs w:val="16"/>
          <w:color w:val="auto"/>
        </w:rPr>
        <w:t xml:space="preserve"> Baptist Church – Large lot, Building 3, Halo Adoption Center, North Campus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5228 N 30</w:t>
      </w:r>
      <w:r>
        <w:rPr>
          <w:rFonts w:ascii="Arial" w:cs="Arial" w:eastAsia="Arial" w:hAnsi="Arial"/>
          <w:sz w:val="11"/>
          <w:szCs w:val="11"/>
          <w:u w:val="single" w:color="auto"/>
          <w:color w:val="auto"/>
        </w:rPr>
        <w:t>th</w:t>
      </w:r>
      <w:r>
        <w:rPr>
          <w:rFonts w:ascii="Arial" w:cs="Arial" w:eastAsia="Arial" w:hAnsi="Arial"/>
          <w:sz w:val="18"/>
          <w:szCs w:val="18"/>
          <w:color w:val="auto"/>
        </w:rPr>
        <w:t xml:space="preserve"> Dr</w:t>
      </w:r>
      <w:r>
        <w:rPr>
          <w:rFonts w:ascii="Arial" w:cs="Arial" w:eastAsia="Arial" w:hAnsi="Arial"/>
          <w:sz w:val="11"/>
          <w:szCs w:val="11"/>
          <w:u w:val="single" w:color="auto"/>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-13970</wp:posOffset>
            </wp:positionV>
            <wp:extent cx="14541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Parcel #153-18-017C – Raw land due north of Colter office complex (Colter storage)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5229 N 30</w:t>
      </w:r>
      <w:r>
        <w:rPr>
          <w:rFonts w:ascii="Arial" w:cs="Arial" w:eastAsia="Arial" w:hAnsi="Arial"/>
          <w:sz w:val="11"/>
          <w:szCs w:val="11"/>
          <w:u w:val="single" w:color="auto"/>
          <w:color w:val="auto"/>
        </w:rPr>
        <w:t>th</w:t>
      </w:r>
      <w:r>
        <w:rPr>
          <w:rFonts w:ascii="Arial" w:cs="Arial" w:eastAsia="Arial" w:hAnsi="Arial"/>
          <w:sz w:val="18"/>
          <w:szCs w:val="18"/>
          <w:color w:val="auto"/>
        </w:rPr>
        <w:t xml:space="preserve"> Dr</w:t>
      </w:r>
      <w:r>
        <w:rPr>
          <w:rFonts w:ascii="Arial" w:cs="Arial" w:eastAsia="Arial" w:hAnsi="Arial"/>
          <w:sz w:val="11"/>
          <w:szCs w:val="11"/>
          <w:u w:val="single" w:color="auto"/>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-13970</wp:posOffset>
            </wp:positionV>
            <wp:extent cx="14541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Parcel #153-18-017D – Raw land due north of Colter office complex (Colter warehouse)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5220 N 30</w:t>
      </w:r>
      <w:r>
        <w:rPr>
          <w:rFonts w:ascii="Arial" w:cs="Arial" w:eastAsia="Arial" w:hAnsi="Arial"/>
          <w:sz w:val="11"/>
          <w:szCs w:val="11"/>
          <w:u w:val="single" w:color="auto"/>
          <w:color w:val="auto"/>
        </w:rPr>
        <w:t>th</w:t>
      </w:r>
      <w:r>
        <w:rPr>
          <w:rFonts w:ascii="Arial" w:cs="Arial" w:eastAsia="Arial" w:hAnsi="Arial"/>
          <w:sz w:val="18"/>
          <w:szCs w:val="18"/>
          <w:color w:val="auto"/>
        </w:rPr>
        <w:t xml:space="preserve"> Dr</w:t>
      </w:r>
      <w:r>
        <w:rPr>
          <w:rFonts w:ascii="Arial" w:cs="Arial" w:eastAsia="Arial" w:hAnsi="Arial"/>
          <w:sz w:val="11"/>
          <w:szCs w:val="11"/>
          <w:u w:val="single" w:color="auto"/>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-13970</wp:posOffset>
            </wp:positionV>
            <wp:extent cx="14541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Parcel #153-18-015 – Colter offices</w:t>
      </w:r>
    </w:p>
    <w:p>
      <w:pPr>
        <w:spacing w:after="0" w:line="330" w:lineRule="exact"/>
        <w:rPr>
          <w:sz w:val="20"/>
          <w:szCs w:val="20"/>
          <w:color w:val="auto"/>
        </w:rPr>
      </w:pPr>
    </w:p>
    <w:p>
      <w:pPr>
        <w:ind w:left="220" w:hanging="212"/>
        <w:spacing w:after="0"/>
        <w:tabs>
          <w:tab w:leader="none" w:pos="220" w:val="left"/>
        </w:tabs>
        <w:numPr>
          <w:ilvl w:val="0"/>
          <w:numId w:val="224"/>
        </w:numPr>
        <w:rPr>
          <w:rFonts w:ascii="Arial" w:cs="Arial" w:eastAsia="Arial" w:hAnsi="Arial"/>
          <w:sz w:val="22"/>
          <w:szCs w:val="22"/>
          <w:color w:val="auto"/>
          <w:vertAlign w:val="superscript"/>
        </w:rPr>
      </w:pPr>
      <w:r>
        <w:rPr>
          <w:rFonts w:ascii="Arial" w:cs="Arial" w:eastAsia="Arial" w:hAnsi="Arial"/>
          <w:sz w:val="18"/>
          <w:szCs w:val="18"/>
          <w:color w:val="auto"/>
        </w:rPr>
        <w:t>Originally purchased by Nueva Ventura, LLC and subsequently quit claimed to Borrower</w:t>
      </w:r>
    </w:p>
    <w:p>
      <w:pPr>
        <w:spacing w:after="0" w:line="7" w:lineRule="exact"/>
        <w:rPr>
          <w:rFonts w:ascii="Arial" w:cs="Arial" w:eastAsia="Arial" w:hAnsi="Arial"/>
          <w:sz w:val="22"/>
          <w:szCs w:val="22"/>
          <w:color w:val="auto"/>
          <w:vertAlign w:val="superscript"/>
        </w:rPr>
      </w:pPr>
    </w:p>
    <w:p>
      <w:pPr>
        <w:spacing w:after="0" w:line="181" w:lineRule="auto"/>
        <w:rPr>
          <w:rFonts w:ascii="Arial" w:cs="Arial" w:eastAsia="Arial" w:hAnsi="Arial"/>
          <w:sz w:val="22"/>
          <w:szCs w:val="22"/>
          <w:color w:val="auto"/>
          <w:vertAlign w:val="superscript"/>
        </w:rPr>
      </w:pPr>
      <w:r>
        <w:rPr>
          <w:rFonts w:ascii="Arial" w:cs="Arial" w:eastAsia="Arial" w:hAnsi="Arial"/>
          <w:sz w:val="22"/>
          <w:szCs w:val="22"/>
          <w:color w:val="auto"/>
          <w:vertAlign w:val="superscript"/>
        </w:rPr>
        <w:t>2</w:t>
      </w:r>
      <w:r>
        <w:rPr>
          <w:rFonts w:ascii="Arial" w:cs="Arial" w:eastAsia="Arial" w:hAnsi="Arial"/>
          <w:sz w:val="18"/>
          <w:szCs w:val="18"/>
          <w:color w:val="auto"/>
        </w:rPr>
        <w:t xml:space="preserve">   Ibid.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289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ind w:left="220" w:hanging="212"/>
        <w:spacing w:after="0" w:line="221" w:lineRule="auto"/>
        <w:tabs>
          <w:tab w:leader="none" w:pos="220" w:val="left"/>
        </w:tabs>
        <w:numPr>
          <w:ilvl w:val="0"/>
          <w:numId w:val="225"/>
        </w:numPr>
        <w:rPr>
          <w:rFonts w:ascii="Arial" w:cs="Arial" w:eastAsia="Arial" w:hAnsi="Arial"/>
          <w:sz w:val="22"/>
          <w:szCs w:val="22"/>
          <w:color w:val="auto"/>
          <w:vertAlign w:val="superscript"/>
        </w:rPr>
      </w:pPr>
      <w:r>
        <w:rPr>
          <w:rFonts w:ascii="Arial" w:cs="Arial" w:eastAsia="Arial" w:hAnsi="Arial"/>
          <w:sz w:val="18"/>
          <w:szCs w:val="18"/>
          <w:color w:val="auto"/>
        </w:rPr>
        <w:t>Originally purchased by Casa de Amistad, LLC and subsequently quit claimed to Borrower</w:t>
      </w:r>
    </w:p>
    <w:p>
      <w:pPr>
        <w:sectPr>
          <w:pgSz w:w="11900" w:h="16838" w:orient="portrait"/>
          <w:cols w:equalWidth="0" w:num="1">
            <w:col w:w="10700"/>
          </w:cols>
          <w:pgMar w:left="240" w:top="274" w:right="959" w:bottom="1440" w:gutter="0" w:footer="0" w:header="0"/>
        </w:sectPr>
      </w:pPr>
    </w:p>
    <w:bookmarkStart w:id="238" w:name="page239"/>
    <w:bookmarkEnd w:id="2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6.20-1 (cont.)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Locations of Real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leased by Borrower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Property Common Name</w:t>
            </w:r>
          </w:p>
        </w:tc>
        <w:tc>
          <w:tcPr>
            <w:tcW w:w="500" w:type="dxa"/>
            <w:vAlign w:val="bottom"/>
          </w:tcPr>
          <w:p>
            <w:pPr>
              <w:spacing w:after="0"/>
              <w:rPr>
                <w:sz w:val="15"/>
                <w:szCs w:val="15"/>
                <w:color w:val="auto"/>
              </w:rPr>
            </w:pPr>
          </w:p>
        </w:tc>
        <w:tc>
          <w:tcPr>
            <w:tcW w:w="474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Landlord</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14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Address</w:t>
            </w:r>
          </w:p>
        </w:tc>
      </w:tr>
      <w:tr>
        <w:trPr>
          <w:trHeight w:val="195"/>
        </w:trPr>
        <w:tc>
          <w:tcPr>
            <w:tcW w:w="1560" w:type="dxa"/>
            <w:vAlign w:val="bottom"/>
          </w:tcPr>
          <w:p>
            <w:pPr>
              <w:spacing w:after="0" w:line="195" w:lineRule="exact"/>
              <w:rPr>
                <w:sz w:val="20"/>
                <w:szCs w:val="20"/>
                <w:color w:val="auto"/>
              </w:rPr>
            </w:pPr>
            <w:r>
              <w:rPr>
                <w:rFonts w:ascii="Arial" w:cs="Arial" w:eastAsia="Arial" w:hAnsi="Arial"/>
                <w:sz w:val="18"/>
                <w:szCs w:val="18"/>
                <w:color w:val="auto"/>
              </w:rPr>
              <w:t>Sprung</w:t>
            </w:r>
          </w:p>
        </w:tc>
        <w:tc>
          <w:tcPr>
            <w:tcW w:w="500" w:type="dxa"/>
            <w:vAlign w:val="bottom"/>
          </w:tcPr>
          <w:p>
            <w:pPr>
              <w:spacing w:after="0"/>
              <w:rPr>
                <w:sz w:val="16"/>
                <w:szCs w:val="16"/>
                <w:color w:val="auto"/>
              </w:rPr>
            </w:pPr>
          </w:p>
        </w:tc>
        <w:tc>
          <w:tcPr>
            <w:tcW w:w="4740" w:type="dxa"/>
            <w:vAlign w:val="bottom"/>
          </w:tcPr>
          <w:p>
            <w:pPr>
              <w:spacing w:after="0" w:line="195" w:lineRule="exact"/>
              <w:rPr>
                <w:sz w:val="20"/>
                <w:szCs w:val="20"/>
                <w:color w:val="auto"/>
              </w:rPr>
            </w:pPr>
            <w:r>
              <w:rPr>
                <w:rFonts w:ascii="Arial" w:cs="Arial" w:eastAsia="Arial" w:hAnsi="Arial"/>
                <w:sz w:val="18"/>
                <w:szCs w:val="18"/>
                <w:color w:val="auto"/>
              </w:rPr>
              <w:t>Sprung Instant Structures, Inc.</w:t>
            </w:r>
          </w:p>
        </w:tc>
        <w:tc>
          <w:tcPr>
            <w:tcW w:w="100" w:type="dxa"/>
            <w:vAlign w:val="bottom"/>
          </w:tcPr>
          <w:p>
            <w:pPr>
              <w:spacing w:after="0"/>
              <w:rPr>
                <w:sz w:val="16"/>
                <w:szCs w:val="16"/>
                <w:color w:val="auto"/>
              </w:rPr>
            </w:pPr>
          </w:p>
        </w:tc>
        <w:tc>
          <w:tcPr>
            <w:tcW w:w="380" w:type="dxa"/>
            <w:vAlign w:val="bottom"/>
          </w:tcPr>
          <w:p>
            <w:pPr>
              <w:spacing w:after="0" w:line="195" w:lineRule="exact"/>
              <w:rPr>
                <w:sz w:val="20"/>
                <w:szCs w:val="20"/>
                <w:color w:val="auto"/>
              </w:rPr>
            </w:pPr>
            <w:r>
              <w:rPr>
                <w:rFonts w:ascii="Arial" w:cs="Arial" w:eastAsia="Arial" w:hAnsi="Arial"/>
                <w:sz w:val="18"/>
                <w:szCs w:val="18"/>
                <w:color w:val="auto"/>
                <w:w w:val="89"/>
              </w:rPr>
              <w:t>3300</w:t>
            </w:r>
          </w:p>
        </w:tc>
        <w:tc>
          <w:tcPr>
            <w:tcW w:w="4140" w:type="dxa"/>
            <w:vAlign w:val="bottom"/>
          </w:tcPr>
          <w:p>
            <w:pPr>
              <w:ind w:left="20"/>
              <w:spacing w:after="0" w:line="195" w:lineRule="exact"/>
              <w:rPr>
                <w:sz w:val="20"/>
                <w:szCs w:val="20"/>
                <w:color w:val="auto"/>
              </w:rPr>
            </w:pPr>
            <w:r>
              <w:rPr>
                <w:rFonts w:ascii="Arial" w:cs="Arial" w:eastAsia="Arial" w:hAnsi="Arial"/>
                <w:sz w:val="18"/>
                <w:szCs w:val="18"/>
                <w:color w:val="auto"/>
              </w:rPr>
              <w:t>W. Camelback Rd., Phoenix, AZ 85017</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88"/>
              </w:rPr>
              <w:t>First Southern Baptist</w:t>
            </w:r>
          </w:p>
        </w:tc>
        <w:tc>
          <w:tcPr>
            <w:tcW w:w="5240" w:type="dxa"/>
            <w:vAlign w:val="bottom"/>
            <w:gridSpan w:val="2"/>
          </w:tcPr>
          <w:p>
            <w:pPr>
              <w:ind w:left="500"/>
              <w:spacing w:after="0"/>
              <w:rPr>
                <w:sz w:val="20"/>
                <w:szCs w:val="20"/>
                <w:color w:val="auto"/>
              </w:rPr>
            </w:pPr>
            <w:r>
              <w:rPr>
                <w:rFonts w:ascii="Arial" w:cs="Arial" w:eastAsia="Arial" w:hAnsi="Arial"/>
                <w:sz w:val="18"/>
                <w:szCs w:val="18"/>
                <w:color w:val="auto"/>
              </w:rPr>
              <w:t>First Southern Baptist Church of Phoenix, Inc.</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3100</w:t>
            </w:r>
          </w:p>
        </w:tc>
        <w:tc>
          <w:tcPr>
            <w:tcW w:w="4140" w:type="dxa"/>
            <w:vAlign w:val="bottom"/>
          </w:tcPr>
          <w:p>
            <w:pPr>
              <w:ind w:left="20"/>
              <w:spacing w:after="0"/>
              <w:rPr>
                <w:sz w:val="20"/>
                <w:szCs w:val="20"/>
                <w:color w:val="auto"/>
              </w:rPr>
            </w:pPr>
            <w:r>
              <w:rPr>
                <w:rFonts w:ascii="Arial" w:cs="Arial" w:eastAsia="Arial" w:hAnsi="Arial"/>
                <w:sz w:val="18"/>
                <w:szCs w:val="18"/>
                <w:color w:val="auto"/>
              </w:rPr>
              <w:t>W. Camelback Rd., Phoenix, AZ 85017</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Dobson Bay</w:t>
            </w:r>
          </w:p>
        </w:tc>
        <w:tc>
          <w:tcPr>
            <w:tcW w:w="5240" w:type="dxa"/>
            <w:vAlign w:val="bottom"/>
            <w:gridSpan w:val="2"/>
          </w:tcPr>
          <w:p>
            <w:pPr>
              <w:ind w:left="500"/>
              <w:spacing w:after="0"/>
              <w:rPr>
                <w:sz w:val="20"/>
                <w:szCs w:val="20"/>
                <w:color w:val="auto"/>
              </w:rPr>
            </w:pPr>
            <w:r>
              <w:rPr>
                <w:rFonts w:ascii="Arial" w:cs="Arial" w:eastAsia="Arial" w:hAnsi="Arial"/>
                <w:sz w:val="18"/>
                <w:szCs w:val="18"/>
                <w:color w:val="auto"/>
              </w:rPr>
              <w:t>Dobson Bay Club II DD, LLC</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5005</w:t>
            </w:r>
          </w:p>
        </w:tc>
        <w:tc>
          <w:tcPr>
            <w:tcW w:w="4140" w:type="dxa"/>
            <w:vAlign w:val="bottom"/>
          </w:tcPr>
          <w:p>
            <w:pPr>
              <w:ind w:left="20"/>
              <w:spacing w:after="0"/>
              <w:rPr>
                <w:sz w:val="20"/>
                <w:szCs w:val="20"/>
                <w:color w:val="auto"/>
              </w:rPr>
            </w:pPr>
            <w:r>
              <w:rPr>
                <w:rFonts w:ascii="Arial" w:cs="Arial" w:eastAsia="Arial" w:hAnsi="Arial"/>
                <w:sz w:val="18"/>
                <w:szCs w:val="18"/>
                <w:color w:val="auto"/>
              </w:rPr>
              <w:t>N. 35th Ave., Phoenix, AZ 85015</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Camelwest</w:t>
            </w:r>
          </w:p>
        </w:tc>
        <w:tc>
          <w:tcPr>
            <w:tcW w:w="5240" w:type="dxa"/>
            <w:vAlign w:val="bottom"/>
            <w:gridSpan w:val="2"/>
          </w:tcPr>
          <w:p>
            <w:pPr>
              <w:ind w:left="500"/>
              <w:spacing w:after="0"/>
              <w:rPr>
                <w:sz w:val="20"/>
                <w:szCs w:val="20"/>
                <w:color w:val="auto"/>
              </w:rPr>
            </w:pPr>
            <w:r>
              <w:rPr>
                <w:rFonts w:ascii="Arial" w:cs="Arial" w:eastAsia="Arial" w:hAnsi="Arial"/>
                <w:sz w:val="18"/>
                <w:szCs w:val="18"/>
                <w:color w:val="auto"/>
              </w:rPr>
              <w:t>Fenway Camelwest, LLC</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2001</w:t>
            </w:r>
          </w:p>
        </w:tc>
        <w:tc>
          <w:tcPr>
            <w:tcW w:w="4140" w:type="dxa"/>
            <w:vAlign w:val="bottom"/>
          </w:tcPr>
          <w:p>
            <w:pPr>
              <w:ind w:left="20"/>
              <w:spacing w:after="0"/>
              <w:rPr>
                <w:sz w:val="20"/>
                <w:szCs w:val="20"/>
                <w:color w:val="auto"/>
              </w:rPr>
            </w:pPr>
            <w:r>
              <w:rPr>
                <w:rFonts w:ascii="Arial" w:cs="Arial" w:eastAsia="Arial" w:hAnsi="Arial"/>
                <w:sz w:val="18"/>
                <w:szCs w:val="18"/>
                <w:color w:val="auto"/>
              </w:rPr>
              <w:t>W. Camelback Rd., Phoenix, AZ 85015</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Peoria Piedmont</w:t>
            </w:r>
          </w:p>
        </w:tc>
        <w:tc>
          <w:tcPr>
            <w:tcW w:w="5240" w:type="dxa"/>
            <w:vAlign w:val="bottom"/>
            <w:gridSpan w:val="2"/>
          </w:tcPr>
          <w:p>
            <w:pPr>
              <w:ind w:left="500"/>
              <w:spacing w:after="0"/>
              <w:rPr>
                <w:sz w:val="20"/>
                <w:szCs w:val="20"/>
                <w:color w:val="auto"/>
              </w:rPr>
            </w:pPr>
            <w:r>
              <w:rPr>
                <w:rFonts w:ascii="Arial" w:cs="Arial" w:eastAsia="Arial" w:hAnsi="Arial"/>
                <w:sz w:val="18"/>
                <w:szCs w:val="18"/>
                <w:color w:val="auto"/>
              </w:rPr>
              <w:t>Piedmont Operating Partnership, LP</w:t>
            </w: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2411 W. Peoria Ave., Phoenix, AZ 85029</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Best Swim Club</w:t>
            </w:r>
          </w:p>
        </w:tc>
        <w:tc>
          <w:tcPr>
            <w:tcW w:w="5240" w:type="dxa"/>
            <w:vAlign w:val="bottom"/>
            <w:gridSpan w:val="2"/>
          </w:tcPr>
          <w:p>
            <w:pPr>
              <w:ind w:left="500"/>
              <w:spacing w:after="0"/>
              <w:rPr>
                <w:sz w:val="20"/>
                <w:szCs w:val="20"/>
                <w:color w:val="auto"/>
              </w:rPr>
            </w:pPr>
            <w:r>
              <w:rPr>
                <w:rFonts w:ascii="Arial" w:cs="Arial" w:eastAsia="Arial" w:hAnsi="Arial"/>
                <w:sz w:val="18"/>
                <w:szCs w:val="18"/>
                <w:color w:val="auto"/>
              </w:rPr>
              <w:t>Best Phoenix Swim Club, Inc.</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2902</w:t>
            </w:r>
          </w:p>
        </w:tc>
        <w:tc>
          <w:tcPr>
            <w:tcW w:w="4140" w:type="dxa"/>
            <w:vAlign w:val="bottom"/>
          </w:tcPr>
          <w:p>
            <w:pPr>
              <w:ind w:left="20"/>
              <w:spacing w:after="0"/>
              <w:rPr>
                <w:sz w:val="20"/>
                <w:szCs w:val="20"/>
                <w:color w:val="auto"/>
              </w:rPr>
            </w:pPr>
            <w:r>
              <w:rPr>
                <w:rFonts w:ascii="Arial" w:cs="Arial" w:eastAsia="Arial" w:hAnsi="Arial"/>
                <w:sz w:val="18"/>
                <w:szCs w:val="18"/>
                <w:color w:val="auto"/>
              </w:rPr>
              <w:t>E. Campbell Ave., Phoenix, AZ 85016</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Earl I Warehouse</w:t>
            </w:r>
          </w:p>
        </w:tc>
        <w:tc>
          <w:tcPr>
            <w:tcW w:w="5240" w:type="dxa"/>
            <w:vAlign w:val="bottom"/>
            <w:gridSpan w:val="2"/>
          </w:tcPr>
          <w:p>
            <w:pPr>
              <w:ind w:left="500"/>
              <w:spacing w:after="0"/>
              <w:rPr>
                <w:sz w:val="20"/>
                <w:szCs w:val="20"/>
                <w:color w:val="auto"/>
              </w:rPr>
            </w:pPr>
            <w:r>
              <w:rPr>
                <w:rFonts w:ascii="Arial" w:cs="Arial" w:eastAsia="Arial" w:hAnsi="Arial"/>
                <w:sz w:val="18"/>
                <w:szCs w:val="18"/>
                <w:color w:val="auto"/>
              </w:rPr>
              <w:t>R.S. Hoyt, Jr. Family Trust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3453</w:t>
            </w:r>
          </w:p>
        </w:tc>
        <w:tc>
          <w:tcPr>
            <w:tcW w:w="4140" w:type="dxa"/>
            <w:vAlign w:val="bottom"/>
          </w:tcPr>
          <w:p>
            <w:pPr>
              <w:ind w:left="20"/>
              <w:spacing w:after="0"/>
              <w:rPr>
                <w:sz w:val="20"/>
                <w:szCs w:val="20"/>
                <w:color w:val="auto"/>
              </w:rPr>
            </w:pPr>
            <w:r>
              <w:rPr>
                <w:rFonts w:ascii="Arial" w:cs="Arial" w:eastAsia="Arial" w:hAnsi="Arial"/>
                <w:sz w:val="18"/>
                <w:szCs w:val="18"/>
                <w:color w:val="auto"/>
              </w:rPr>
              <w:t>W. Earll Dr., Phoenix, AZ 85017</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Tempe</w:t>
            </w:r>
          </w:p>
        </w:tc>
        <w:tc>
          <w:tcPr>
            <w:tcW w:w="5240" w:type="dxa"/>
            <w:vAlign w:val="bottom"/>
            <w:gridSpan w:val="2"/>
          </w:tcPr>
          <w:p>
            <w:pPr>
              <w:ind w:left="500"/>
              <w:spacing w:after="0"/>
              <w:rPr>
                <w:sz w:val="20"/>
                <w:szCs w:val="20"/>
                <w:color w:val="auto"/>
              </w:rPr>
            </w:pPr>
            <w:r>
              <w:rPr>
                <w:rFonts w:ascii="Arial" w:cs="Arial" w:eastAsia="Arial" w:hAnsi="Arial"/>
                <w:sz w:val="18"/>
                <w:szCs w:val="18"/>
                <w:color w:val="auto"/>
              </w:rPr>
              <w:t>Gateway Montrose, Inc.</w:t>
            </w: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1150 W. Grove Parkway, Tempe, AZ 85283</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AT Stills</w:t>
            </w:r>
          </w:p>
        </w:tc>
        <w:tc>
          <w:tcPr>
            <w:tcW w:w="5240" w:type="dxa"/>
            <w:vAlign w:val="bottom"/>
            <w:gridSpan w:val="2"/>
          </w:tcPr>
          <w:p>
            <w:pPr>
              <w:ind w:left="500"/>
              <w:spacing w:after="0"/>
              <w:rPr>
                <w:sz w:val="20"/>
                <w:szCs w:val="20"/>
                <w:color w:val="auto"/>
              </w:rPr>
            </w:pPr>
            <w:r>
              <w:rPr>
                <w:rFonts w:ascii="Arial" w:cs="Arial" w:eastAsia="Arial" w:hAnsi="Arial"/>
                <w:sz w:val="18"/>
                <w:szCs w:val="18"/>
                <w:color w:val="auto"/>
              </w:rPr>
              <w:t>Ascend Learning</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5845</w:t>
            </w:r>
          </w:p>
        </w:tc>
        <w:tc>
          <w:tcPr>
            <w:tcW w:w="4140" w:type="dxa"/>
            <w:vAlign w:val="bottom"/>
          </w:tcPr>
          <w:p>
            <w:pPr>
              <w:ind w:left="20"/>
              <w:spacing w:after="0"/>
              <w:rPr>
                <w:sz w:val="20"/>
                <w:szCs w:val="20"/>
                <w:color w:val="auto"/>
              </w:rPr>
            </w:pPr>
            <w:r>
              <w:rPr>
                <w:rFonts w:ascii="Arial" w:cs="Arial" w:eastAsia="Arial" w:hAnsi="Arial"/>
                <w:sz w:val="18"/>
                <w:szCs w:val="18"/>
                <w:color w:val="auto"/>
              </w:rPr>
              <w:t>E. Still Circle, Mesa, AZ 85206</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St. Joseph’s</w:t>
            </w:r>
          </w:p>
        </w:tc>
        <w:tc>
          <w:tcPr>
            <w:tcW w:w="5240" w:type="dxa"/>
            <w:vAlign w:val="bottom"/>
            <w:gridSpan w:val="2"/>
          </w:tcPr>
          <w:p>
            <w:pPr>
              <w:ind w:left="500"/>
              <w:spacing w:after="0"/>
              <w:rPr>
                <w:sz w:val="20"/>
                <w:szCs w:val="20"/>
                <w:color w:val="auto"/>
              </w:rPr>
            </w:pPr>
            <w:r>
              <w:rPr>
                <w:rFonts w:ascii="Arial" w:cs="Arial" w:eastAsia="Arial" w:hAnsi="Arial"/>
                <w:sz w:val="18"/>
                <w:szCs w:val="18"/>
                <w:color w:val="auto"/>
              </w:rPr>
              <w:t>Catholic Healthcare West</w:t>
            </w:r>
          </w:p>
        </w:tc>
        <w:tc>
          <w:tcPr>
            <w:tcW w:w="4620" w:type="dxa"/>
            <w:vAlign w:val="bottom"/>
            <w:gridSpan w:val="3"/>
          </w:tcPr>
          <w:p>
            <w:pPr>
              <w:ind w:left="100"/>
              <w:spacing w:after="0"/>
              <w:rPr>
                <w:sz w:val="20"/>
                <w:szCs w:val="20"/>
                <w:color w:val="auto"/>
              </w:rPr>
            </w:pPr>
            <w:r>
              <w:rPr>
                <w:rFonts w:ascii="Arial" w:cs="Arial" w:eastAsia="Arial" w:hAnsi="Arial"/>
                <w:sz w:val="18"/>
                <w:szCs w:val="18"/>
                <w:color w:val="auto"/>
              </w:rPr>
              <w:t>350 W. Thomas Rd., Phoenix, AZ 85013</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87"/>
              </w:rPr>
              <w:t>Scottsdale Healthcare</w:t>
            </w:r>
          </w:p>
        </w:tc>
        <w:tc>
          <w:tcPr>
            <w:tcW w:w="5240" w:type="dxa"/>
            <w:vAlign w:val="bottom"/>
            <w:gridSpan w:val="2"/>
          </w:tcPr>
          <w:p>
            <w:pPr>
              <w:ind w:left="500"/>
              <w:spacing w:after="0"/>
              <w:rPr>
                <w:sz w:val="20"/>
                <w:szCs w:val="20"/>
                <w:color w:val="auto"/>
              </w:rPr>
            </w:pPr>
            <w:r>
              <w:rPr>
                <w:rFonts w:ascii="Arial" w:cs="Arial" w:eastAsia="Arial" w:hAnsi="Arial"/>
                <w:sz w:val="18"/>
                <w:szCs w:val="18"/>
                <w:color w:val="auto"/>
              </w:rPr>
              <w:t>Scottsdale Healthcare Corp.</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9201</w:t>
            </w:r>
          </w:p>
        </w:tc>
        <w:tc>
          <w:tcPr>
            <w:tcW w:w="4140" w:type="dxa"/>
            <w:vAlign w:val="bottom"/>
          </w:tcPr>
          <w:p>
            <w:pPr>
              <w:ind w:left="20"/>
              <w:spacing w:after="0"/>
              <w:rPr>
                <w:sz w:val="20"/>
                <w:szCs w:val="20"/>
                <w:color w:val="auto"/>
              </w:rPr>
            </w:pPr>
            <w:r>
              <w:rPr>
                <w:rFonts w:ascii="Arial" w:cs="Arial" w:eastAsia="Arial" w:hAnsi="Arial"/>
                <w:sz w:val="18"/>
                <w:szCs w:val="18"/>
                <w:color w:val="auto"/>
              </w:rPr>
              <w:t>E. Mountain View, Scottsdale, AZ 85258</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6"/>
              </w:rPr>
              <w:t>Scottsdale Gateway</w:t>
            </w:r>
          </w:p>
        </w:tc>
        <w:tc>
          <w:tcPr>
            <w:tcW w:w="5240" w:type="dxa"/>
            <w:vAlign w:val="bottom"/>
            <w:gridSpan w:val="2"/>
          </w:tcPr>
          <w:p>
            <w:pPr>
              <w:ind w:left="500"/>
              <w:spacing w:after="0"/>
              <w:rPr>
                <w:sz w:val="20"/>
                <w:szCs w:val="20"/>
                <w:color w:val="auto"/>
              </w:rPr>
            </w:pPr>
            <w:r>
              <w:rPr>
                <w:rFonts w:ascii="Arial" w:cs="Arial" w:eastAsia="Arial" w:hAnsi="Arial"/>
                <w:sz w:val="18"/>
                <w:szCs w:val="18"/>
                <w:color w:val="auto"/>
              </w:rPr>
              <w:t>TR Scottsdale Gateway I Corp.</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9201</w:t>
            </w:r>
          </w:p>
        </w:tc>
        <w:tc>
          <w:tcPr>
            <w:tcW w:w="4140" w:type="dxa"/>
            <w:vAlign w:val="bottom"/>
          </w:tcPr>
          <w:p>
            <w:pPr>
              <w:ind w:left="20"/>
              <w:spacing w:after="0"/>
              <w:rPr>
                <w:sz w:val="20"/>
                <w:szCs w:val="20"/>
                <w:color w:val="auto"/>
              </w:rPr>
            </w:pPr>
            <w:r>
              <w:rPr>
                <w:rFonts w:ascii="Arial" w:cs="Arial" w:eastAsia="Arial" w:hAnsi="Arial"/>
                <w:sz w:val="18"/>
                <w:szCs w:val="18"/>
                <w:color w:val="auto"/>
              </w:rPr>
              <w:t>E. Mountain View, Scottsdale, AZ 85258</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TMC Healthcare</w:t>
            </w:r>
          </w:p>
        </w:tc>
        <w:tc>
          <w:tcPr>
            <w:tcW w:w="5240" w:type="dxa"/>
            <w:vAlign w:val="bottom"/>
            <w:gridSpan w:val="2"/>
          </w:tcPr>
          <w:p>
            <w:pPr>
              <w:ind w:left="500"/>
              <w:spacing w:after="0"/>
              <w:rPr>
                <w:sz w:val="20"/>
                <w:szCs w:val="20"/>
                <w:color w:val="auto"/>
              </w:rPr>
            </w:pPr>
            <w:r>
              <w:rPr>
                <w:rFonts w:ascii="Arial" w:cs="Arial" w:eastAsia="Arial" w:hAnsi="Arial"/>
                <w:sz w:val="18"/>
                <w:szCs w:val="18"/>
                <w:color w:val="auto"/>
              </w:rPr>
              <w:t>Tucson Medical Center</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5301</w:t>
            </w:r>
          </w:p>
        </w:tc>
        <w:tc>
          <w:tcPr>
            <w:tcW w:w="4140" w:type="dxa"/>
            <w:vAlign w:val="bottom"/>
          </w:tcPr>
          <w:p>
            <w:pPr>
              <w:ind w:left="20"/>
              <w:spacing w:after="0"/>
              <w:rPr>
                <w:sz w:val="20"/>
                <w:szCs w:val="20"/>
                <w:color w:val="auto"/>
              </w:rPr>
            </w:pPr>
            <w:r>
              <w:rPr>
                <w:rFonts w:ascii="Arial" w:cs="Arial" w:eastAsia="Arial" w:hAnsi="Arial"/>
                <w:sz w:val="18"/>
                <w:szCs w:val="18"/>
                <w:color w:val="auto"/>
              </w:rPr>
              <w:t>E. Grant Rd., Tucson, AZ 85712</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TMC Holdings</w:t>
            </w:r>
          </w:p>
        </w:tc>
        <w:tc>
          <w:tcPr>
            <w:tcW w:w="5240" w:type="dxa"/>
            <w:vAlign w:val="bottom"/>
            <w:gridSpan w:val="2"/>
          </w:tcPr>
          <w:p>
            <w:pPr>
              <w:ind w:left="500"/>
              <w:spacing w:after="0"/>
              <w:rPr>
                <w:sz w:val="20"/>
                <w:szCs w:val="20"/>
                <w:color w:val="auto"/>
              </w:rPr>
            </w:pPr>
            <w:r>
              <w:rPr>
                <w:rFonts w:ascii="Arial" w:cs="Arial" w:eastAsia="Arial" w:hAnsi="Arial"/>
                <w:sz w:val="18"/>
                <w:szCs w:val="18"/>
                <w:color w:val="auto"/>
              </w:rPr>
              <w:t>Holdings 5099, LLC</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5099</w:t>
            </w:r>
          </w:p>
        </w:tc>
        <w:tc>
          <w:tcPr>
            <w:tcW w:w="4140" w:type="dxa"/>
            <w:vAlign w:val="bottom"/>
          </w:tcPr>
          <w:p>
            <w:pPr>
              <w:ind w:left="20"/>
              <w:spacing w:after="0"/>
              <w:rPr>
                <w:sz w:val="20"/>
                <w:szCs w:val="20"/>
                <w:color w:val="auto"/>
              </w:rPr>
            </w:pPr>
            <w:r>
              <w:rPr>
                <w:rFonts w:ascii="Arial" w:cs="Arial" w:eastAsia="Arial" w:hAnsi="Arial"/>
                <w:sz w:val="18"/>
                <w:szCs w:val="18"/>
                <w:color w:val="auto"/>
              </w:rPr>
              <w:t>E. Grant Rd., Tucson, AZ 85712</w:t>
            </w: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88"/>
              </w:rPr>
              <w:t>Presbyterian Property</w:t>
            </w:r>
          </w:p>
        </w:tc>
        <w:tc>
          <w:tcPr>
            <w:tcW w:w="5240" w:type="dxa"/>
            <w:vAlign w:val="bottom"/>
            <w:gridSpan w:val="2"/>
          </w:tcPr>
          <w:p>
            <w:pPr>
              <w:ind w:left="500"/>
              <w:spacing w:after="0"/>
              <w:rPr>
                <w:sz w:val="20"/>
                <w:szCs w:val="20"/>
                <w:color w:val="auto"/>
              </w:rPr>
            </w:pPr>
            <w:r>
              <w:rPr>
                <w:rFonts w:ascii="Arial" w:cs="Arial" w:eastAsia="Arial" w:hAnsi="Arial"/>
                <w:sz w:val="18"/>
                <w:szCs w:val="18"/>
                <w:color w:val="auto"/>
              </w:rPr>
              <w:t>Presbyterian Healthcare Services</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5901</w:t>
            </w:r>
          </w:p>
        </w:tc>
        <w:tc>
          <w:tcPr>
            <w:tcW w:w="4140" w:type="dxa"/>
            <w:vAlign w:val="bottom"/>
          </w:tcPr>
          <w:p>
            <w:pPr>
              <w:ind w:left="20"/>
              <w:spacing w:after="0"/>
              <w:rPr>
                <w:sz w:val="20"/>
                <w:szCs w:val="20"/>
                <w:color w:val="auto"/>
              </w:rPr>
            </w:pPr>
            <w:r>
              <w:rPr>
                <w:rFonts w:ascii="Arial" w:cs="Arial" w:eastAsia="Arial" w:hAnsi="Arial"/>
                <w:sz w:val="18"/>
                <w:szCs w:val="18"/>
                <w:color w:val="auto"/>
              </w:rPr>
              <w:t>Harper NE, Albuquerque, NM 97125</w:t>
            </w: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rPr>
              <w:t>New Mexico</w:t>
            </w:r>
          </w:p>
        </w:tc>
        <w:tc>
          <w:tcPr>
            <w:tcW w:w="5240" w:type="dxa"/>
            <w:vAlign w:val="bottom"/>
            <w:gridSpan w:val="2"/>
          </w:tcPr>
          <w:p>
            <w:pPr>
              <w:ind w:left="500"/>
              <w:spacing w:after="0"/>
              <w:rPr>
                <w:sz w:val="20"/>
                <w:szCs w:val="20"/>
                <w:color w:val="auto"/>
              </w:rPr>
            </w:pPr>
            <w:r>
              <w:rPr>
                <w:rFonts w:ascii="Arial" w:cs="Arial" w:eastAsia="Arial" w:hAnsi="Arial"/>
                <w:sz w:val="18"/>
                <w:szCs w:val="18"/>
                <w:color w:val="auto"/>
              </w:rPr>
              <w:t>Conejos Office Park</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w w:val="89"/>
              </w:rPr>
              <w:t>6700</w:t>
            </w:r>
          </w:p>
        </w:tc>
        <w:tc>
          <w:tcPr>
            <w:tcW w:w="4140" w:type="dxa"/>
            <w:vAlign w:val="bottom"/>
          </w:tcPr>
          <w:p>
            <w:pPr>
              <w:ind w:left="20"/>
              <w:spacing w:after="0"/>
              <w:rPr>
                <w:sz w:val="20"/>
                <w:szCs w:val="20"/>
                <w:color w:val="auto"/>
              </w:rPr>
            </w:pPr>
            <w:r>
              <w:rPr>
                <w:rFonts w:ascii="Arial" w:cs="Arial" w:eastAsia="Arial" w:hAnsi="Arial"/>
                <w:sz w:val="18"/>
                <w:szCs w:val="18"/>
                <w:color w:val="auto"/>
              </w:rPr>
              <w:t>Jefferson St. NE, Albuquerque, NM 97109</w:t>
            </w:r>
          </w:p>
        </w:tc>
      </w:tr>
    </w:tbl>
    <w:p>
      <w:pPr>
        <w:sectPr>
          <w:pgSz w:w="11900" w:h="16838" w:orient="portrait"/>
          <w:cols w:equalWidth="0" w:num="1">
            <w:col w:w="11420"/>
          </w:cols>
          <w:pgMar w:left="240" w:top="274" w:right="2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6.20-2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Location of Chief Executive Office, Taxpayer Identification Number, Etc.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U.S. Tax Payer</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Organizational</w:t>
            </w:r>
          </w:p>
        </w:tc>
        <w:tc>
          <w:tcPr>
            <w:tcW w:w="0" w:type="dxa"/>
            <w:vAlign w:val="bottom"/>
          </w:tcPr>
          <w:p>
            <w:pPr>
              <w:spacing w:after="0"/>
              <w:rPr>
                <w:sz w:val="1"/>
                <w:szCs w:val="1"/>
                <w:color w:val="auto"/>
              </w:rPr>
            </w:pPr>
          </w:p>
        </w:tc>
      </w:tr>
      <w:tr>
        <w:trPr>
          <w:trHeight w:val="14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3"/>
              </w:rPr>
              <w:t>Loan Party</w:t>
            </w:r>
          </w:p>
        </w:tc>
        <w:tc>
          <w:tcPr>
            <w:tcW w:w="6240" w:type="dxa"/>
            <w:vAlign w:val="bottom"/>
            <w:vMerge w:val="restart"/>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Identification</w:t>
            </w:r>
          </w:p>
        </w:tc>
        <w:tc>
          <w:tcPr>
            <w:tcW w:w="1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Identification</w:t>
            </w:r>
          </w:p>
        </w:tc>
        <w:tc>
          <w:tcPr>
            <w:tcW w:w="0" w:type="dxa"/>
            <w:vAlign w:val="bottom"/>
          </w:tcPr>
          <w:p>
            <w:pPr>
              <w:spacing w:after="0"/>
              <w:rPr>
                <w:sz w:val="1"/>
                <w:szCs w:val="1"/>
                <w:color w:val="auto"/>
              </w:rPr>
            </w:pPr>
          </w:p>
        </w:tc>
      </w:tr>
      <w:tr>
        <w:trPr>
          <w:trHeight w:val="168"/>
        </w:trPr>
        <w:tc>
          <w:tcPr>
            <w:tcW w:w="700" w:type="dxa"/>
            <w:vAlign w:val="bottom"/>
            <w:tcBorders>
              <w:bottom w:val="single" w:sz="8" w:color="auto"/>
            </w:tcBorders>
            <w:vMerge w:val="continue"/>
          </w:tcPr>
          <w:p>
            <w:pPr>
              <w:spacing w:after="0"/>
              <w:rPr>
                <w:sz w:val="14"/>
                <w:szCs w:val="14"/>
                <w:color w:val="auto"/>
              </w:rPr>
            </w:pPr>
          </w:p>
        </w:tc>
        <w:tc>
          <w:tcPr>
            <w:tcW w:w="6240" w:type="dxa"/>
            <w:vAlign w:val="bottom"/>
            <w:vMerge w:val="continue"/>
          </w:tcPr>
          <w:p>
            <w:pPr>
              <w:spacing w:after="0"/>
              <w:rPr>
                <w:sz w:val="14"/>
                <w:szCs w:val="14"/>
                <w:color w:val="auto"/>
              </w:rPr>
            </w:pPr>
          </w:p>
        </w:tc>
        <w:tc>
          <w:tcPr>
            <w:tcW w:w="2040" w:type="dxa"/>
            <w:vAlign w:val="bottom"/>
            <w:gridSpan w:val="2"/>
          </w:tcPr>
          <w:p>
            <w:pPr>
              <w:ind w:left="280"/>
              <w:spacing w:after="0" w:line="148" w:lineRule="exact"/>
              <w:rPr>
                <w:sz w:val="20"/>
                <w:szCs w:val="20"/>
                <w:color w:val="auto"/>
              </w:rPr>
            </w:pPr>
            <w:r>
              <w:rPr>
                <w:rFonts w:ascii="Arial" w:cs="Arial" w:eastAsia="Arial" w:hAnsi="Arial"/>
                <w:sz w:val="14"/>
                <w:szCs w:val="14"/>
                <w:b w:val="1"/>
                <w:bCs w:val="1"/>
                <w:color w:val="auto"/>
              </w:rPr>
              <w:t>Chief Executive Office</w:t>
            </w:r>
          </w:p>
        </w:tc>
        <w:tc>
          <w:tcPr>
            <w:tcW w:w="1280" w:type="dxa"/>
            <w:vAlign w:val="bottom"/>
            <w:gridSpan w:val="2"/>
          </w:tcPr>
          <w:p>
            <w:pPr>
              <w:ind w:left="240"/>
              <w:spacing w:after="0" w:line="148" w:lineRule="exact"/>
              <w:rPr>
                <w:sz w:val="20"/>
                <w:szCs w:val="20"/>
                <w:color w:val="auto"/>
              </w:rPr>
            </w:pPr>
            <w:r>
              <w:rPr>
                <w:rFonts w:ascii="Arial" w:cs="Arial" w:eastAsia="Arial" w:hAnsi="Arial"/>
                <w:sz w:val="14"/>
                <w:szCs w:val="14"/>
                <w:b w:val="1"/>
                <w:bCs w:val="1"/>
                <w:color w:val="auto"/>
              </w:rPr>
              <w:t>Number</w:t>
            </w:r>
          </w:p>
        </w:tc>
        <w:tc>
          <w:tcPr>
            <w:tcW w:w="11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95"/>
        </w:trPr>
        <w:tc>
          <w:tcPr>
            <w:tcW w:w="694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Grand Canyon Education, Inc.</w:t>
            </w:r>
          </w:p>
        </w:tc>
        <w:tc>
          <w:tcPr>
            <w:tcW w:w="1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3300 W. Camelback Rd.</w:t>
            </w:r>
          </w:p>
        </w:tc>
        <w:tc>
          <w:tcPr>
            <w:tcW w:w="2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ind w:left="120"/>
              <w:spacing w:after="0" w:line="195" w:lineRule="exact"/>
              <w:rPr>
                <w:sz w:val="20"/>
                <w:szCs w:val="20"/>
                <w:color w:val="auto"/>
              </w:rPr>
            </w:pPr>
            <w:r>
              <w:rPr>
                <w:rFonts w:ascii="Arial" w:cs="Arial" w:eastAsia="Arial" w:hAnsi="Arial"/>
                <w:sz w:val="18"/>
                <w:szCs w:val="18"/>
                <w:color w:val="auto"/>
                <w:w w:val="85"/>
              </w:rPr>
              <w:t>20-3356009</w:t>
            </w:r>
          </w:p>
        </w:tc>
        <w:tc>
          <w:tcPr>
            <w:tcW w:w="3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3732933</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00" w:type="dxa"/>
            <w:vAlign w:val="bottom"/>
            <w:shd w:val="clear" w:color="auto" w:fill="CCEEFF"/>
          </w:tcPr>
          <w:p>
            <w:pPr>
              <w:spacing w:after="0"/>
              <w:rPr>
                <w:sz w:val="20"/>
                <w:szCs w:val="20"/>
                <w:color w:val="auto"/>
              </w:rPr>
            </w:pPr>
          </w:p>
        </w:tc>
        <w:tc>
          <w:tcPr>
            <w:tcW w:w="624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Phoenix, AZ 85017</w:t>
            </w: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940" w:type="dxa"/>
            <w:vAlign w:val="bottom"/>
            <w:gridSpan w:val="2"/>
          </w:tcPr>
          <w:p>
            <w:pPr>
              <w:spacing w:after="0"/>
              <w:rPr>
                <w:sz w:val="20"/>
                <w:szCs w:val="20"/>
                <w:color w:val="auto"/>
              </w:rPr>
            </w:pPr>
            <w:r>
              <w:rPr>
                <w:rFonts w:ascii="Arial" w:cs="Arial" w:eastAsia="Arial" w:hAnsi="Arial"/>
                <w:sz w:val="18"/>
                <w:szCs w:val="18"/>
                <w:color w:val="auto"/>
              </w:rPr>
              <w:t>La Sonrisa de Siena, L.L.C.</w:t>
            </w:r>
          </w:p>
        </w:tc>
        <w:tc>
          <w:tcPr>
            <w:tcW w:w="2040" w:type="dxa"/>
            <w:vAlign w:val="bottom"/>
            <w:gridSpan w:val="2"/>
          </w:tcPr>
          <w:p>
            <w:pPr>
              <w:spacing w:after="0"/>
              <w:rPr>
                <w:sz w:val="20"/>
                <w:szCs w:val="20"/>
                <w:color w:val="auto"/>
              </w:rPr>
            </w:pPr>
            <w:r>
              <w:rPr>
                <w:rFonts w:ascii="Arial" w:cs="Arial" w:eastAsia="Arial" w:hAnsi="Arial"/>
                <w:sz w:val="18"/>
                <w:szCs w:val="18"/>
                <w:color w:val="auto"/>
              </w:rPr>
              <w:t>1640 S. Stapley Dr.</w:t>
            </w:r>
          </w:p>
        </w:tc>
        <w:tc>
          <w:tcPr>
            <w:tcW w:w="960" w:type="dxa"/>
            <w:vAlign w:val="bottom"/>
          </w:tcPr>
          <w:p>
            <w:pPr>
              <w:ind w:left="120"/>
              <w:spacing w:after="0"/>
              <w:rPr>
                <w:sz w:val="20"/>
                <w:szCs w:val="20"/>
                <w:color w:val="auto"/>
              </w:rPr>
            </w:pPr>
            <w:r>
              <w:rPr>
                <w:rFonts w:ascii="Arial" w:cs="Arial" w:eastAsia="Arial" w:hAnsi="Arial"/>
                <w:sz w:val="18"/>
                <w:szCs w:val="18"/>
                <w:color w:val="auto"/>
                <w:w w:val="85"/>
              </w:rPr>
              <w:t>46-1542588</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L-1684605-1</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24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Suite 132</w:t>
            </w: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Mesa, AZ 85204</w:t>
            </w: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Tierra Vista Inversiones, LLC</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1640 S. Stapley Dr.</w:t>
            </w:r>
          </w:p>
        </w:tc>
        <w:tc>
          <w:tcPr>
            <w:tcW w:w="9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5"/>
              </w:rPr>
              <w:t>32-0395132</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4988514</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Suite 132</w:t>
            </w: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00" w:type="dxa"/>
            <w:vAlign w:val="bottom"/>
            <w:shd w:val="clear" w:color="auto" w:fill="CCEEFF"/>
          </w:tcPr>
          <w:p>
            <w:pPr>
              <w:spacing w:after="0"/>
              <w:rPr>
                <w:sz w:val="20"/>
                <w:szCs w:val="20"/>
                <w:color w:val="auto"/>
              </w:rPr>
            </w:pPr>
          </w:p>
        </w:tc>
        <w:tc>
          <w:tcPr>
            <w:tcW w:w="624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Mesa, AZ 85204</w:t>
            </w: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40" w:name="page241"/>
    <w:bookmarkEnd w:id="240"/>
    <w:p>
      <w:pPr>
        <w:ind w:left="5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6.20-3</w:t>
      </w:r>
    </w:p>
    <w:p>
      <w:pPr>
        <w:spacing w:after="0" w:line="171" w:lineRule="exact"/>
        <w:rPr>
          <w:sz w:val="20"/>
          <w:szCs w:val="20"/>
          <w:color w:val="auto"/>
        </w:rPr>
      </w:pPr>
    </w:p>
    <w:p>
      <w:pPr>
        <w:ind w:left="3520"/>
        <w:spacing w:after="0"/>
        <w:rPr>
          <w:sz w:val="20"/>
          <w:szCs w:val="20"/>
          <w:color w:val="auto"/>
        </w:rPr>
      </w:pPr>
      <w:r>
        <w:rPr>
          <w:rFonts w:ascii="Arial" w:cs="Arial" w:eastAsia="Arial" w:hAnsi="Arial"/>
          <w:sz w:val="18"/>
          <w:szCs w:val="18"/>
          <w:b w:val="1"/>
          <w:bCs w:val="1"/>
          <w:u w:val="single" w:color="auto"/>
          <w:color w:val="auto"/>
        </w:rPr>
        <w:t>Changes in Legal Name, State of Formation and Structure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On May 9, 2008, Significant Education, Inc. changed its name to Grand Canyon Education, Inc.</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other changes in the name or state of formation of any Loan Party, and no Loan Party has been a party to a merger, consolidation or other change in structure, in the five years preceding the Closing Date.</w:t>
      </w:r>
    </w:p>
    <w:p>
      <w:pPr>
        <w:sectPr>
          <w:pgSz w:w="11900" w:h="16838" w:orient="portrait"/>
          <w:cols w:equalWidth="0" w:num="1">
            <w:col w:w="11060"/>
          </w:cols>
          <w:pgMar w:left="240" w:top="274" w:right="599" w:bottom="1440" w:gutter="0" w:footer="0" w:header="0"/>
        </w:sectPr>
      </w:pPr>
    </w:p>
    <w:bookmarkStart w:id="241" w:name="page242"/>
    <w:bookmarkEnd w:id="241"/>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7.17</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Encroachments</w:t>
      </w:r>
    </w:p>
    <w:p>
      <w:pPr>
        <w:spacing w:after="0" w:line="17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Item No. 6. Arizona Public Service Company (APS) gas main easement. This runs east across the footprint of the Student Union Building. The easement was recorded in 1958, the building was constructed in 2003.</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Item No. 10. APS gas main easement. It is Borrower’s understanding that no gas lines were found during construction of the new College of Arts and Sciences Building. This may have been previously abandoned.</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Item No. 19. A City of Phoenix water easement is shown encroaching on the equipment yard at the west side of the Kaibab Building. This could be a water service to the cooling equipment or a fire protection line. A visual inspection did not identify a purpose for this easement.</w:t>
      </w:r>
    </w:p>
    <w:p>
      <w:pPr>
        <w:spacing w:after="0" w:line="132"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Item No. 34. Salt River Project power distribution easement for the Food Services building. This is located along the west and north sides of the Recreation Center building. The electrical installation and subsequent easement recordation were performed after construction of the Recreation Center. There is no encroachment with the Recreation Center. It is possible the easement was written incorrectly; however, the actual electrical lines do not encroach into the building.</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Item No. 46. This is an electrical easement which is depicted crossing under the eastern edge of Camelback Hall. The easement has been revised multiple times by the utility company, however it appears to still be incorrect. Camelback Hall is a newly constructed building and the contractor stated the electric lines are actually located along the east side of the building – not underneath it.</w:t>
      </w:r>
    </w:p>
    <w:p>
      <w:pPr>
        <w:sectPr>
          <w:pgSz w:w="11900" w:h="16838" w:orient="portrait"/>
          <w:cols w:equalWidth="0" w:num="1">
            <w:col w:w="11220"/>
          </w:cols>
          <w:pgMar w:left="240" w:top="274" w:right="439" w:bottom="1440" w:gutter="0" w:footer="0" w:header="0"/>
        </w:sectPr>
      </w:pPr>
    </w:p>
    <w:bookmarkStart w:id="242" w:name="page243"/>
    <w:bookmarkEnd w:id="242"/>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8.01</w:t>
      </w:r>
    </w:p>
    <w:p>
      <w:pPr>
        <w:spacing w:after="0" w:line="171" w:lineRule="exact"/>
        <w:rPr>
          <w:sz w:val="20"/>
          <w:szCs w:val="20"/>
          <w:color w:val="auto"/>
        </w:rPr>
      </w:pPr>
    </w:p>
    <w:p>
      <w:pPr>
        <w:ind w:left="4420"/>
        <w:spacing w:after="0"/>
        <w:rPr>
          <w:sz w:val="20"/>
          <w:szCs w:val="20"/>
          <w:color w:val="auto"/>
        </w:rPr>
      </w:pPr>
      <w:r>
        <w:rPr>
          <w:rFonts w:ascii="Arial" w:cs="Arial" w:eastAsia="Arial" w:hAnsi="Arial"/>
          <w:sz w:val="18"/>
          <w:szCs w:val="18"/>
          <w:b w:val="1"/>
          <w:bCs w:val="1"/>
          <w:u w:val="single" w:color="auto"/>
          <w:color w:val="auto"/>
        </w:rPr>
        <w:t>Liens Existing on the Closing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Cisco Systems Capital Corporation, UCC Financing Statement 60210823</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Collateral: This Financing Statement covers all of the Debtor’s right, title and interest, now existing and hereafter arising, in and to the following property, wherever located: (i) all Equipment from time to time subject to that Agreement to Lease Equipment No. 5510-MMD01-0 between Debtor as lessee and Secured Party as lessor, (ii) all insurance, warranty, rental and other claims and rights to payment and chattel paper arising out of such Equipment, and (iii) all books, records and proceeds relating to the foregoing. “Equipment” shall be defined as routers, router components, other computer networking and telecommunications equipment and other equipment, manufactured by Cisco Systems, Inc., its affiliates and others, together with all software and software license rights relating to the foregoing, and all substitutions, replacements, upgrades, repairs, parts and attachments, improvements and accessions thereto.</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De Lage Landen Financial Services, Inc., UCC Financing Statement 11641284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Collateral: The following, including all components, additions, upgrades, attachments, accessions, substitutions, replacements and proceeds:</w:t>
      </w:r>
    </w:p>
    <w:p>
      <w:pPr>
        <w:spacing w:after="0" w:line="90" w:lineRule="exact"/>
        <w:rPr>
          <w:sz w:val="20"/>
          <w:szCs w:val="20"/>
          <w:color w:val="auto"/>
        </w:rPr>
      </w:pPr>
    </w:p>
    <w:p>
      <w:pPr>
        <w:ind w:left="260" w:hanging="252"/>
        <w:spacing w:after="0"/>
        <w:tabs>
          <w:tab w:leader="none" w:pos="2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Ricoh MPC5501SP Color, with 2-tray paper bank, 1,000 sheet finisher, power filter</w:t>
      </w:r>
    </w:p>
    <w:p>
      <w:pPr>
        <w:spacing w:after="0" w:line="90" w:lineRule="exact"/>
        <w:rPr>
          <w:rFonts w:ascii="Arial" w:cs="Arial" w:eastAsia="Arial" w:hAnsi="Arial"/>
          <w:sz w:val="18"/>
          <w:szCs w:val="18"/>
          <w:color w:val="auto"/>
        </w:rPr>
      </w:pPr>
    </w:p>
    <w:p>
      <w:pPr>
        <w:ind w:left="260" w:hanging="252"/>
        <w:spacing w:after="0"/>
        <w:tabs>
          <w:tab w:leader="none" w:pos="2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Ricoh Pro 1107EX with LCIT, SR5000 finisher, 3-hole punch, post script, print/scan</w:t>
      </w:r>
    </w:p>
    <w:p>
      <w:pPr>
        <w:spacing w:after="0" w:line="90" w:lineRule="exact"/>
        <w:rPr>
          <w:rFonts w:ascii="Arial" w:cs="Arial" w:eastAsia="Arial" w:hAnsi="Arial"/>
          <w:sz w:val="18"/>
          <w:szCs w:val="18"/>
          <w:color w:val="auto"/>
        </w:rPr>
      </w:pPr>
    </w:p>
    <w:p>
      <w:pPr>
        <w:ind w:left="260" w:hanging="252"/>
        <w:spacing w:after="0"/>
        <w:tabs>
          <w:tab w:leader="none" w:pos="2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Triumph 4705 Cutter</w:t>
      </w:r>
    </w:p>
    <w:p>
      <w:pPr>
        <w:spacing w:after="0" w:line="90" w:lineRule="exact"/>
        <w:rPr>
          <w:rFonts w:ascii="Arial" w:cs="Arial" w:eastAsia="Arial" w:hAnsi="Arial"/>
          <w:sz w:val="18"/>
          <w:szCs w:val="18"/>
          <w:color w:val="auto"/>
        </w:rPr>
      </w:pPr>
    </w:p>
    <w:p>
      <w:pPr>
        <w:ind w:left="260" w:hanging="252"/>
        <w:spacing w:after="0"/>
        <w:tabs>
          <w:tab w:leader="none" w:pos="2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GBC Binder M2500ix</w:t>
      </w:r>
    </w:p>
    <w:p>
      <w:pPr>
        <w:spacing w:after="0" w:line="90" w:lineRule="exact"/>
        <w:rPr>
          <w:rFonts w:ascii="Arial" w:cs="Arial" w:eastAsia="Arial" w:hAnsi="Arial"/>
          <w:sz w:val="18"/>
          <w:szCs w:val="18"/>
          <w:color w:val="auto"/>
        </w:rPr>
      </w:pPr>
    </w:p>
    <w:p>
      <w:pPr>
        <w:ind w:left="260" w:hanging="252"/>
        <w:spacing w:after="0"/>
        <w:tabs>
          <w:tab w:leader="none" w:pos="2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GBC Coil Die Inserter CC2700</w:t>
      </w:r>
    </w:p>
    <w:p>
      <w:pPr>
        <w:spacing w:after="0" w:line="90" w:lineRule="exact"/>
        <w:rPr>
          <w:rFonts w:ascii="Arial" w:cs="Arial" w:eastAsia="Arial" w:hAnsi="Arial"/>
          <w:sz w:val="18"/>
          <w:szCs w:val="18"/>
          <w:color w:val="auto"/>
        </w:rPr>
      </w:pPr>
    </w:p>
    <w:p>
      <w:pPr>
        <w:ind w:left="260" w:hanging="252"/>
        <w:spacing w:after="0"/>
        <w:tabs>
          <w:tab w:leader="none" w:pos="2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GBC Shrink Wrapper</w:t>
      </w:r>
    </w:p>
    <w:p>
      <w:pPr>
        <w:spacing w:after="0" w:line="90" w:lineRule="exact"/>
        <w:rPr>
          <w:rFonts w:ascii="Arial" w:cs="Arial" w:eastAsia="Arial" w:hAnsi="Arial"/>
          <w:sz w:val="18"/>
          <w:szCs w:val="18"/>
          <w:color w:val="auto"/>
        </w:rPr>
      </w:pPr>
    </w:p>
    <w:p>
      <w:pPr>
        <w:ind w:left="260" w:hanging="252"/>
        <w:spacing w:after="0"/>
        <w:tabs>
          <w:tab w:leader="none" w:pos="2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Neopost IM5500 Folder/inserter</w:t>
      </w:r>
    </w:p>
    <w:p>
      <w:pPr>
        <w:spacing w:after="0" w:line="90" w:lineRule="exact"/>
        <w:rPr>
          <w:rFonts w:ascii="Arial" w:cs="Arial" w:eastAsia="Arial" w:hAnsi="Arial"/>
          <w:sz w:val="18"/>
          <w:szCs w:val="18"/>
          <w:color w:val="auto"/>
        </w:rPr>
      </w:pPr>
    </w:p>
    <w:p>
      <w:pPr>
        <w:ind w:left="260" w:hanging="252"/>
        <w:spacing w:after="0"/>
        <w:tabs>
          <w:tab w:leader="none" w:pos="2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Hasler IM5000 Mailing System</w:t>
      </w:r>
    </w:p>
    <w:p>
      <w:pPr>
        <w:spacing w:after="0" w:line="90" w:lineRule="exact"/>
        <w:rPr>
          <w:rFonts w:ascii="Arial" w:cs="Arial" w:eastAsia="Arial" w:hAnsi="Arial"/>
          <w:sz w:val="18"/>
          <w:szCs w:val="18"/>
          <w:color w:val="auto"/>
        </w:rPr>
      </w:pPr>
    </w:p>
    <w:p>
      <w:pPr>
        <w:ind w:left="260" w:hanging="252"/>
        <w:spacing w:after="0"/>
        <w:tabs>
          <w:tab w:leader="none" w:pos="2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Navigate Job Submission</w:t>
      </w:r>
    </w:p>
    <w:p>
      <w:pPr>
        <w:spacing w:after="0" w:line="90" w:lineRule="exact"/>
        <w:rPr>
          <w:rFonts w:ascii="Arial" w:cs="Arial" w:eastAsia="Arial" w:hAnsi="Arial"/>
          <w:sz w:val="18"/>
          <w:szCs w:val="18"/>
          <w:color w:val="auto"/>
        </w:rPr>
      </w:pPr>
    </w:p>
    <w:p>
      <w:pPr>
        <w:ind w:left="260" w:hanging="252"/>
        <w:spacing w:after="0"/>
        <w:tabs>
          <w:tab w:leader="none" w:pos="2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Handheld Scanners</w:t>
      </w:r>
    </w:p>
    <w:p>
      <w:pPr>
        <w:spacing w:after="0" w:line="90" w:lineRule="exact"/>
        <w:rPr>
          <w:rFonts w:ascii="Arial" w:cs="Arial" w:eastAsia="Arial" w:hAnsi="Arial"/>
          <w:sz w:val="18"/>
          <w:szCs w:val="18"/>
          <w:color w:val="auto"/>
        </w:rPr>
      </w:pPr>
    </w:p>
    <w:p>
      <w:pPr>
        <w:ind w:left="260" w:hanging="252"/>
        <w:spacing w:after="0"/>
        <w:tabs>
          <w:tab w:leader="none" w:pos="2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Computers</w:t>
      </w:r>
    </w:p>
    <w:p>
      <w:pPr>
        <w:spacing w:after="0" w:line="90" w:lineRule="exact"/>
        <w:rPr>
          <w:sz w:val="20"/>
          <w:szCs w:val="20"/>
          <w:color w:val="auto"/>
        </w:rPr>
      </w:pPr>
    </w:p>
    <w:p>
      <w:pPr>
        <w:ind w:left="340" w:hanging="332"/>
        <w:spacing w:after="0"/>
        <w:tabs>
          <w:tab w:leader="none" w:pos="3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Ricoh MP3351SPF with doc feeder, paper feed unit, 1,000 sheet finisher, power filter</w:t>
      </w:r>
    </w:p>
    <w:p>
      <w:pPr>
        <w:spacing w:after="0" w:line="90" w:lineRule="exact"/>
        <w:rPr>
          <w:rFonts w:ascii="Arial" w:cs="Arial" w:eastAsia="Arial" w:hAnsi="Arial"/>
          <w:sz w:val="18"/>
          <w:szCs w:val="18"/>
          <w:color w:val="auto"/>
        </w:rPr>
      </w:pPr>
    </w:p>
    <w:p>
      <w:pPr>
        <w:ind w:left="260" w:hanging="252"/>
        <w:spacing w:after="0"/>
        <w:tabs>
          <w:tab w:leader="none" w:pos="2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Ricoh MP5001SP with 2-tray paper bank, 1,000 sheet finisher, fax board, power filter</w:t>
      </w:r>
    </w:p>
    <w:p>
      <w:pPr>
        <w:spacing w:after="0" w:line="90" w:lineRule="exact"/>
        <w:rPr>
          <w:rFonts w:ascii="Arial" w:cs="Arial" w:eastAsia="Arial" w:hAnsi="Arial"/>
          <w:sz w:val="18"/>
          <w:szCs w:val="18"/>
          <w:color w:val="auto"/>
        </w:rPr>
      </w:pPr>
    </w:p>
    <w:p>
      <w:pPr>
        <w:ind w:left="260" w:hanging="252"/>
        <w:spacing w:after="0"/>
        <w:tabs>
          <w:tab w:leader="none" w:pos="2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Ricoh MPC3501SPF Color with 2-tray paper bank, 1,000 sheet finisher, power filter</w:t>
      </w:r>
    </w:p>
    <w:p>
      <w:pPr>
        <w:sectPr>
          <w:pgSz w:w="11900" w:h="16838" w:orient="portrait"/>
          <w:cols w:equalWidth="0" w:num="1">
            <w:col w:w="11320"/>
          </w:cols>
          <w:pgMar w:left="240" w:top="274" w:right="339" w:bottom="1440" w:gutter="0" w:footer="0" w:header="0"/>
        </w:sectPr>
      </w:pPr>
    </w:p>
    <w:bookmarkStart w:id="243" w:name="page244"/>
    <w:bookmarkEnd w:id="24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8.02</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Investments Existing on the Closing Date</w:t>
      </w:r>
    </w:p>
    <w:p>
      <w:pPr>
        <w:spacing w:after="0" w:line="17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Borrower is the owner of 1,000,000 shares of Series A Preferred Stock, par value $0.0001 per share, of LoudCloud, Inc., which represents approximately 24% of the outstanding shares of LoudCloud, Inc. on an as converted basis.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Borrower, through La Sonrisa de Siena, L.L.C., holds a note issued by Dobson Bay Club III KD, LLC, Dobson Bay Club IV KG, LLC, and Darby AZ Portfolio, LLC in the original principal amount of $28,600,000. The note, including accrued interest, is currently estimated at $30,100,000. The note is currently accruing interest at 11% (6% interest rate plus 5% default rate). The note is fully guaranteed by three high net worth individuals and is secured by four properties.</w:t>
      </w:r>
    </w:p>
    <w:p>
      <w:pPr>
        <w:sectPr>
          <w:pgSz w:w="11900" w:h="16838" w:orient="portrait"/>
          <w:cols w:equalWidth="0" w:num="1">
            <w:col w:w="11360"/>
          </w:cols>
          <w:pgMar w:left="240" w:top="274" w:right="299" w:bottom="1440" w:gutter="0" w:footer="0" w:header="0"/>
        </w:sectPr>
      </w:pPr>
    </w:p>
    <w:bookmarkStart w:id="244" w:name="page245"/>
    <w:bookmarkEnd w:id="244"/>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8.03</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u w:val="single" w:color="auto"/>
          <w:color w:val="auto"/>
        </w:rPr>
        <w:t>Indebtedness Existing on the Closing Date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219"/>
          </w:cols>
          <w:pgMar w:left="240" w:top="274" w:right="1440" w:bottom="1440" w:gutter="0" w:footer="0" w:header="0"/>
        </w:sectPr>
      </w:pPr>
    </w:p>
    <w:bookmarkStart w:id="245" w:name="page246"/>
    <w:bookmarkEnd w:id="245"/>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8.08</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u w:val="single" w:color="auto"/>
          <w:color w:val="auto"/>
        </w:rPr>
        <w:t>Borrower’s Related Party Transaction Policy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10219"/>
          </w:cols>
          <w:pgMar w:left="240" w:top="274" w:right="1440" w:bottom="1440" w:gutter="0" w:footer="0" w:header="0"/>
        </w:sectPr>
      </w:pPr>
    </w:p>
    <w:bookmarkStart w:id="246" w:name="page247"/>
    <w:bookmarkEnd w:id="246"/>
    <w:p>
      <w:pPr>
        <w:ind w:left="4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GRAND CANYON EDUCATION, INC.</w:t>
      </w:r>
    </w:p>
    <w:p>
      <w:pPr>
        <w:spacing w:after="0" w:line="90"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POLICY AND PROCEDURES WITH RESPECT TO</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RELATED PARTY TRANSACTIONS</w:t>
      </w:r>
    </w:p>
    <w:p>
      <w:pPr>
        <w:spacing w:after="0" w:line="280" w:lineRule="exact"/>
        <w:rPr>
          <w:sz w:val="20"/>
          <w:szCs w:val="20"/>
          <w:color w:val="auto"/>
        </w:rPr>
      </w:pPr>
    </w:p>
    <w:p>
      <w:pPr>
        <w:ind w:left="460" w:hanging="452"/>
        <w:spacing w:after="0"/>
        <w:tabs>
          <w:tab w:leader="none" w:pos="46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Policy Statement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Grand Canyon Education,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recognizes that Related Party Transactions (as defined below) can present potential or actual conflicts of interest and create the appearance that Company decisions are based on considerations other than the best interests of the Company and its stockholders. It is the Company’s policy to enter into or ratify Related Party Transactions only when the Board of Directors, acting through the Audit Committee or as otherwise described herein, determines that the Related Party Transaction in question is in, or is not inconsistent with, the best interests of the Company and its stockholders, including, but not limited to, situations where the Company may obtain products or services of a nature, quantity or quality, or on other terms, that are not readily available from alternative sources or when the Company provides products or services to any Related Party (as defined below) on an arm’s length basis on terms comparable to those provided to unrelated third parties or on terms comparable to those provided to employees generally. Therefore, the Company has adopted the procedures set forth below for the review, approval or ratification of Related Party Transactions.</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This policy has been approved by the Audit Committee of the Board of Directors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The Committee will review and may amend this policy from time to time.</w:t>
      </w:r>
    </w:p>
    <w:p>
      <w:pPr>
        <w:spacing w:after="0" w:line="248" w:lineRule="exact"/>
        <w:rPr>
          <w:sz w:val="20"/>
          <w:szCs w:val="20"/>
          <w:color w:val="auto"/>
        </w:rPr>
      </w:pPr>
    </w:p>
    <w:p>
      <w:pPr>
        <w:ind w:left="460" w:hanging="452"/>
        <w:spacing w:after="0"/>
        <w:tabs>
          <w:tab w:leader="none" w:pos="46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Committee shall review the material facts of all Related Party Transactions that require the Committee’s approval and either approve or disapprove of the entry into the Related Party Transaction, subject to the exceptions described below. If advance Committee approval of a Related Party Transaction is not feasible, then the Related Party Transaction shall be considered and, if the Committee determines it to be appropriate, ratified at the Committee’s next regularly scheduled meeting. In determining whether to approve or ratify a Related Party Transaction, the Committee will take into account, among other factors it deems appropriate, whether the Related Party Transaction is on terms no less favorable than terms generally available to an unaffiliated third-party under the same or similar circumstances and the extent of the Related Party’s interest in the transaction.</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Committee has reviewed the Related Party Transactions described below in “</w:t>
      </w:r>
      <w:r>
        <w:rPr>
          <w:rFonts w:ascii="Arial" w:cs="Arial" w:eastAsia="Arial" w:hAnsi="Arial"/>
          <w:sz w:val="18"/>
          <w:szCs w:val="18"/>
          <w:b w:val="1"/>
          <w:bCs w:val="1"/>
          <w:i w:val="1"/>
          <w:iCs w:val="1"/>
          <w:color w:val="auto"/>
        </w:rPr>
        <w:t>Standing Pre-Approval for Certain Related Party Transactions</w:t>
      </w:r>
      <w:r>
        <w:rPr>
          <w:rFonts w:ascii="Arial" w:cs="Arial" w:eastAsia="Arial" w:hAnsi="Arial"/>
          <w:sz w:val="18"/>
          <w:szCs w:val="18"/>
          <w:color w:val="auto"/>
        </w:rPr>
        <w:t>” and determined that each of the Related Party Transactions described therein shall be deemed to be pre-approved or ratified (as applicable) by the Committee under the terms of this policy.</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No director shall participate in any discussion or approval of a Related Party Transaction for which he or she is a Related Party, except that the director shall provide all material information concerning the Related Party Transaction to the Committee.</w:t>
      </w:r>
    </w:p>
    <w:p>
      <w:pPr>
        <w:sectPr>
          <w:pgSz w:w="11900" w:h="16838" w:orient="portrait"/>
          <w:cols w:equalWidth="0" w:num="1">
            <w:col w:w="11340"/>
          </w:cols>
          <w:pgMar w:left="240" w:top="274" w:right="319" w:bottom="1440" w:gutter="0" w:footer="0" w:header="0"/>
        </w:sectPr>
      </w:pPr>
    </w:p>
    <w:bookmarkStart w:id="247" w:name="page248"/>
    <w:bookmarkEnd w:id="247"/>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Related Party Transaction will be ongoing, the Committee may establish guidelines for the Company’s management to follow in its ongoing dealings with the Related Party. Thereafter, the Committee, on at least an annual basis, shall review and assess ongoing relationships with the Related Party to see that they are in compliance with the Committee’s guidelines and that the Related Party Transaction remains appropriate.</w:t>
      </w:r>
    </w:p>
    <w:p>
      <w:pPr>
        <w:spacing w:after="0" w:line="222" w:lineRule="exact"/>
        <w:rPr>
          <w:sz w:val="20"/>
          <w:szCs w:val="20"/>
          <w:color w:val="auto"/>
        </w:rPr>
      </w:pPr>
    </w:p>
    <w:p>
      <w:pPr>
        <w:ind w:left="460" w:hanging="452"/>
        <w:spacing w:after="0"/>
        <w:tabs>
          <w:tab w:leader="none" w:pos="46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Related Party Transaction</w:t>
      </w:r>
      <w:r>
        <w:rPr>
          <w:rFonts w:ascii="Arial" w:cs="Arial" w:eastAsia="Arial" w:hAnsi="Arial"/>
          <w:sz w:val="18"/>
          <w:szCs w:val="18"/>
          <w:color w:val="auto"/>
        </w:rPr>
        <w:t>” is any transaction, arrangement or relationship or series of similar transactions, arrangements or relationships (including any indebtedness or guarantee of indebtedness) in which:</w:t>
      </w:r>
    </w:p>
    <w:p>
      <w:pPr>
        <w:spacing w:after="0" w:line="51" w:lineRule="exact"/>
        <w:rPr>
          <w:sz w:val="20"/>
          <w:szCs w:val="20"/>
          <w:color w:val="auto"/>
        </w:rPr>
      </w:pPr>
    </w:p>
    <w:p>
      <w:pPr>
        <w:ind w:left="900" w:hanging="325"/>
        <w:spacing w:after="0"/>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aggregate amount involved will or may be expected to exceed $120,000 in any calendar year;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Company is a participant; and</w:t>
      </w:r>
    </w:p>
    <w:p>
      <w:pPr>
        <w:spacing w:after="0" w:line="90" w:lineRule="exact"/>
        <w:rPr>
          <w:rFonts w:ascii="Arial" w:cs="Arial" w:eastAsia="Arial" w:hAnsi="Arial"/>
          <w:sz w:val="18"/>
          <w:szCs w:val="18"/>
          <w:color w:val="auto"/>
        </w:rPr>
      </w:pPr>
    </w:p>
    <w:p>
      <w:pPr>
        <w:ind w:left="900" w:right="1060" w:hanging="325"/>
        <w:spacing w:after="0" w:line="268" w:lineRule="auto"/>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Related Party has or will have a direct or indirect interest (other than solely as a result of being a director or a less than ten percent (10%) beneficial owner of another entity).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i w:val="1"/>
          <w:iCs w:val="1"/>
          <w:color w:val="auto"/>
        </w:rPr>
        <w:t>Related Party</w:t>
      </w:r>
      <w:r>
        <w:rPr>
          <w:rFonts w:ascii="Arial" w:cs="Arial" w:eastAsia="Arial" w:hAnsi="Arial"/>
          <w:sz w:val="18"/>
          <w:szCs w:val="18"/>
          <w:color w:val="auto"/>
        </w:rPr>
        <w:t>” is any:</w:t>
      </w:r>
    </w:p>
    <w:p>
      <w:pPr>
        <w:spacing w:after="0" w:line="90" w:lineRule="exact"/>
        <w:rPr>
          <w:sz w:val="20"/>
          <w:szCs w:val="20"/>
          <w:color w:val="auto"/>
        </w:rPr>
      </w:pPr>
    </w:p>
    <w:p>
      <w:pPr>
        <w:ind w:left="900" w:right="140" w:hanging="325"/>
        <w:spacing w:after="0" w:line="332" w:lineRule="auto"/>
        <w:tabs>
          <w:tab w:leader="none" w:pos="900" w:val="left"/>
        </w:tabs>
        <w:numPr>
          <w:ilvl w:val="1"/>
          <w:numId w:val="242"/>
        </w:numPr>
        <w:rPr>
          <w:rFonts w:ascii="Arial" w:cs="Arial" w:eastAsia="Arial" w:hAnsi="Arial"/>
          <w:sz w:val="16"/>
          <w:szCs w:val="16"/>
          <w:color w:val="auto"/>
        </w:rPr>
      </w:pPr>
      <w:r>
        <w:rPr>
          <w:rFonts w:ascii="Arial" w:cs="Arial" w:eastAsia="Arial" w:hAnsi="Arial"/>
          <w:sz w:val="16"/>
          <w:szCs w:val="16"/>
          <w:color w:val="auto"/>
        </w:rPr>
        <w:t>person who is or was (since the beginning of the last fiscal year for which the Company has filed a Form 10-K and proxy statement, even if they do not presently serve in that role) an executive officer, director or nominee for election as a director of the Company;</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greater than five percent (5%) beneficial owner of the Company’s common stock; or</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immediate family member of any of the foregoing. “</w:t>
      </w:r>
      <w:r>
        <w:rPr>
          <w:rFonts w:ascii="Arial" w:cs="Arial" w:eastAsia="Arial" w:hAnsi="Arial"/>
          <w:sz w:val="18"/>
          <w:szCs w:val="18"/>
          <w:b w:val="1"/>
          <w:bCs w:val="1"/>
          <w:i w:val="1"/>
          <w:iCs w:val="1"/>
          <w:color w:val="auto"/>
        </w:rPr>
        <w:t>Immediate family member</w:t>
      </w:r>
      <w:r>
        <w:rPr>
          <w:rFonts w:ascii="Arial" w:cs="Arial" w:eastAsia="Arial" w:hAnsi="Arial"/>
          <w:sz w:val="18"/>
          <w:szCs w:val="18"/>
          <w:color w:val="auto"/>
        </w:rPr>
        <w:t>” includes a person’s spouse, parents, stepparents, children, stepchildren, siblings, mothers- and fathers-in-law, sons- and daughters-in-law, and brothers- and sisters-in-law and anyone residing in such person’s home (other than a tenant or employee).</w:t>
      </w:r>
    </w:p>
    <w:p>
      <w:pPr>
        <w:spacing w:after="0" w:line="255" w:lineRule="exact"/>
        <w:rPr>
          <w:rFonts w:ascii="Arial" w:cs="Arial" w:eastAsia="Arial" w:hAnsi="Arial"/>
          <w:sz w:val="18"/>
          <w:szCs w:val="18"/>
          <w:color w:val="auto"/>
        </w:rPr>
      </w:pPr>
    </w:p>
    <w:p>
      <w:pPr>
        <w:ind w:left="460" w:hanging="452"/>
        <w:spacing w:after="0"/>
        <w:tabs>
          <w:tab w:leader="none" w:pos="46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Standing Pre-Approval for Certain Related Party Transactions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The Audit Committee has reviewed the types of Related Party Transactions described below and determined that each of the following Related Party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Transactions shall be deemed to be pre-approved by the Audit Committee, even if the aggregate amount involved will exceed $120,000.</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i w:val="1"/>
          <w:iCs w:val="1"/>
          <w:color w:val="auto"/>
        </w:rPr>
        <w:t>Employment of executive officers</w:t>
      </w:r>
      <w:r>
        <w:rPr>
          <w:rFonts w:ascii="Arial" w:cs="Arial" w:eastAsia="Arial" w:hAnsi="Arial"/>
          <w:sz w:val="18"/>
          <w:szCs w:val="18"/>
          <w:color w:val="auto"/>
        </w:rPr>
        <w:t>. Any employment by the Company of an executive officer of the Company if:</w:t>
      </w:r>
    </w:p>
    <w:p>
      <w:pPr>
        <w:sectPr>
          <w:pgSz w:w="11900" w:h="16838" w:orient="portrait"/>
          <w:cols w:equalWidth="0" w:num="1">
            <w:col w:w="11400"/>
          </w:cols>
          <w:pgMar w:left="240" w:top="280" w:right="259" w:bottom="1440" w:gutter="0" w:footer="0" w:header="0"/>
        </w:sectPr>
      </w:pPr>
    </w:p>
    <w:bookmarkStart w:id="248" w:name="page249"/>
    <w:bookmarkEnd w:id="248"/>
    <w:p>
      <w:pPr>
        <w:ind w:left="460" w:right="980" w:firstLine="438"/>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the related compensation is required to be reported in the Company’s proxy statement under Item 402 of the Securities and Exchange Commission’s (“SEC’s”) compensation disclosure requirements (generally applicable to “named executive officers”); or</w:t>
      </w:r>
    </w:p>
    <w:p>
      <w:pPr>
        <w:spacing w:after="0" w:line="4" w:lineRule="exact"/>
        <w:rPr>
          <w:sz w:val="20"/>
          <w:szCs w:val="20"/>
          <w:color w:val="auto"/>
        </w:rPr>
      </w:pPr>
    </w:p>
    <w:p>
      <w:pPr>
        <w:ind w:left="460" w:right="80" w:firstLine="438"/>
        <w:spacing w:after="0" w:line="306" w:lineRule="auto"/>
        <w:rPr>
          <w:sz w:val="20"/>
          <w:szCs w:val="20"/>
          <w:color w:val="auto"/>
        </w:rPr>
      </w:pPr>
      <w:r>
        <w:rPr>
          <w:rFonts w:ascii="Arial" w:cs="Arial" w:eastAsia="Arial" w:hAnsi="Arial"/>
          <w:sz w:val="16"/>
          <w:szCs w:val="16"/>
          <w:color w:val="auto"/>
        </w:rPr>
        <w:t>b. the executive officer is not an immediate family member of another executive officer or director of the Company, the related compensation would be reported in the Company’s proxy statement under Item 402 of the SEC’s compensation disclosure requirements if the executive officer was a “named executive officer,” and the Company’s Compensation Committee approved (or recommended that the Board approve) such compensation.</w:t>
      </w:r>
    </w:p>
    <w:p>
      <w:pPr>
        <w:spacing w:after="0" w:line="107" w:lineRule="exact"/>
        <w:rPr>
          <w:sz w:val="20"/>
          <w:szCs w:val="20"/>
          <w:color w:val="auto"/>
        </w:rPr>
      </w:pPr>
    </w:p>
    <w:p>
      <w:pPr>
        <w:ind w:right="320" w:firstLine="464"/>
        <w:spacing w:after="0" w:line="268" w:lineRule="auto"/>
        <w:tabs>
          <w:tab w:leader="none" w:pos="632" w:val="left"/>
        </w:tabs>
        <w:numPr>
          <w:ilvl w:val="1"/>
          <w:numId w:val="243"/>
        </w:numPr>
        <w:rPr>
          <w:rFonts w:ascii="Arial" w:cs="Arial" w:eastAsia="Arial" w:hAnsi="Arial"/>
          <w:sz w:val="18"/>
          <w:szCs w:val="18"/>
          <w:color w:val="auto"/>
        </w:rPr>
      </w:pPr>
      <w:r>
        <w:rPr>
          <w:rFonts w:ascii="Arial" w:cs="Arial" w:eastAsia="Arial" w:hAnsi="Arial"/>
          <w:sz w:val="18"/>
          <w:szCs w:val="18"/>
          <w:b w:val="1"/>
          <w:bCs w:val="1"/>
          <w:i w:val="1"/>
          <w:iCs w:val="1"/>
          <w:color w:val="auto"/>
        </w:rPr>
        <w:t>Director compensation</w:t>
      </w:r>
      <w:r>
        <w:rPr>
          <w:rFonts w:ascii="Arial" w:cs="Arial" w:eastAsia="Arial" w:hAnsi="Arial"/>
          <w:sz w:val="18"/>
          <w:szCs w:val="18"/>
          <w:color w:val="auto"/>
        </w:rPr>
        <w:t>. Any compensation paid to a director if the compensation is required to be reported in the Company’s proxy statement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Item 402 of the SEC’s compensation disclosure requirements;</w:t>
      </w:r>
    </w:p>
    <w:p>
      <w:pPr>
        <w:spacing w:after="0" w:line="131" w:lineRule="exact"/>
        <w:rPr>
          <w:rFonts w:ascii="Arial" w:cs="Arial" w:eastAsia="Arial" w:hAnsi="Arial"/>
          <w:sz w:val="18"/>
          <w:szCs w:val="18"/>
          <w:color w:val="auto"/>
        </w:rPr>
      </w:pPr>
    </w:p>
    <w:p>
      <w:pPr>
        <w:ind w:right="80" w:firstLine="464"/>
        <w:spacing w:after="0" w:line="332" w:lineRule="auto"/>
        <w:tabs>
          <w:tab w:leader="none" w:pos="632" w:val="left"/>
        </w:tabs>
        <w:numPr>
          <w:ilvl w:val="1"/>
          <w:numId w:val="243"/>
        </w:numPr>
        <w:rPr>
          <w:rFonts w:ascii="Arial" w:cs="Arial" w:eastAsia="Arial" w:hAnsi="Arial"/>
          <w:sz w:val="16"/>
          <w:szCs w:val="16"/>
          <w:color w:val="auto"/>
        </w:rPr>
      </w:pPr>
      <w:r>
        <w:rPr>
          <w:rFonts w:ascii="Arial" w:cs="Arial" w:eastAsia="Arial" w:hAnsi="Arial"/>
          <w:sz w:val="16"/>
          <w:szCs w:val="16"/>
          <w:b w:val="1"/>
          <w:bCs w:val="1"/>
          <w:i w:val="1"/>
          <w:iCs w:val="1"/>
          <w:color w:val="auto"/>
        </w:rPr>
        <w:t>Transactions where all shareholders receive proportional benefits</w:t>
      </w:r>
      <w:r>
        <w:rPr>
          <w:rFonts w:ascii="Arial" w:cs="Arial" w:eastAsia="Arial" w:hAnsi="Arial"/>
          <w:sz w:val="16"/>
          <w:szCs w:val="16"/>
          <w:color w:val="auto"/>
        </w:rPr>
        <w:t>. Any transaction where the Related Party’s interest arises solely from the ownership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Company’s common stock and all holders of the Company’s common stock received the same benefit on a pro rata basis (e.g. dividends).</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1"/>
          <w:numId w:val="243"/>
        </w:numPr>
        <w:rPr>
          <w:rFonts w:ascii="Arial" w:cs="Arial" w:eastAsia="Arial" w:hAnsi="Arial"/>
          <w:sz w:val="15"/>
          <w:szCs w:val="15"/>
          <w:color w:val="auto"/>
        </w:rPr>
      </w:pPr>
      <w:r>
        <w:rPr>
          <w:rFonts w:ascii="Arial" w:cs="Arial" w:eastAsia="Arial" w:hAnsi="Arial"/>
          <w:sz w:val="15"/>
          <w:szCs w:val="15"/>
          <w:b w:val="1"/>
          <w:bCs w:val="1"/>
          <w:i w:val="1"/>
          <w:iCs w:val="1"/>
          <w:color w:val="auto"/>
        </w:rPr>
        <w:t>Transactions involving competitive bids</w:t>
      </w:r>
      <w:r>
        <w:rPr>
          <w:rFonts w:ascii="Arial" w:cs="Arial" w:eastAsia="Arial" w:hAnsi="Arial"/>
          <w:sz w:val="15"/>
          <w:szCs w:val="15"/>
          <w:color w:val="auto"/>
        </w:rPr>
        <w:t>. Any transaction involving a Related Party where the rates or charges involved are determined by competitive</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bids.</w:t>
      </w:r>
    </w:p>
    <w:p>
      <w:pPr>
        <w:spacing w:after="0" w:line="164" w:lineRule="exact"/>
        <w:rPr>
          <w:rFonts w:ascii="Arial" w:cs="Arial" w:eastAsia="Arial" w:hAnsi="Arial"/>
          <w:sz w:val="15"/>
          <w:szCs w:val="15"/>
          <w:color w:val="auto"/>
        </w:rPr>
      </w:pPr>
    </w:p>
    <w:p>
      <w:pPr>
        <w:ind w:right="280" w:firstLine="464"/>
        <w:spacing w:after="0" w:line="268" w:lineRule="auto"/>
        <w:tabs>
          <w:tab w:leader="none" w:pos="632" w:val="left"/>
        </w:tabs>
        <w:numPr>
          <w:ilvl w:val="1"/>
          <w:numId w:val="243"/>
        </w:numPr>
        <w:rPr>
          <w:rFonts w:ascii="Arial" w:cs="Arial" w:eastAsia="Arial" w:hAnsi="Arial"/>
          <w:sz w:val="18"/>
          <w:szCs w:val="18"/>
          <w:color w:val="auto"/>
        </w:rPr>
      </w:pPr>
      <w:r>
        <w:rPr>
          <w:rFonts w:ascii="Arial" w:cs="Arial" w:eastAsia="Arial" w:hAnsi="Arial"/>
          <w:sz w:val="18"/>
          <w:szCs w:val="18"/>
          <w:b w:val="1"/>
          <w:bCs w:val="1"/>
          <w:i w:val="1"/>
          <w:iCs w:val="1"/>
          <w:color w:val="auto"/>
        </w:rPr>
        <w:t>Regulated transactions</w:t>
      </w:r>
      <w:r>
        <w:rPr>
          <w:rFonts w:ascii="Arial" w:cs="Arial" w:eastAsia="Arial" w:hAnsi="Arial"/>
          <w:sz w:val="18"/>
          <w:szCs w:val="18"/>
          <w:color w:val="auto"/>
        </w:rPr>
        <w:t>. Any transaction with a Related Party involving the rendering of services as a common or contract carrier, or public utility,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rates or charges fixed in conformity with law or governmental authority.</w:t>
      </w:r>
    </w:p>
    <w:p>
      <w:pPr>
        <w:spacing w:after="0" w:line="131" w:lineRule="exact"/>
        <w:rPr>
          <w:rFonts w:ascii="Arial" w:cs="Arial" w:eastAsia="Arial" w:hAnsi="Arial"/>
          <w:sz w:val="18"/>
          <w:szCs w:val="18"/>
          <w:color w:val="auto"/>
        </w:rPr>
      </w:pPr>
    </w:p>
    <w:p>
      <w:pPr>
        <w:ind w:right="40" w:firstLine="464"/>
        <w:spacing w:after="0" w:line="268" w:lineRule="auto"/>
        <w:tabs>
          <w:tab w:leader="none" w:pos="632" w:val="left"/>
        </w:tabs>
        <w:numPr>
          <w:ilvl w:val="1"/>
          <w:numId w:val="243"/>
        </w:numPr>
        <w:rPr>
          <w:rFonts w:ascii="Arial" w:cs="Arial" w:eastAsia="Arial" w:hAnsi="Arial"/>
          <w:sz w:val="18"/>
          <w:szCs w:val="18"/>
          <w:color w:val="auto"/>
        </w:rPr>
      </w:pPr>
      <w:r>
        <w:rPr>
          <w:rFonts w:ascii="Arial" w:cs="Arial" w:eastAsia="Arial" w:hAnsi="Arial"/>
          <w:sz w:val="18"/>
          <w:szCs w:val="18"/>
          <w:b w:val="1"/>
          <w:bCs w:val="1"/>
          <w:i w:val="1"/>
          <w:iCs w:val="1"/>
          <w:color w:val="auto"/>
        </w:rPr>
        <w:t>Certain banking-related services</w:t>
      </w:r>
      <w:r>
        <w:rPr>
          <w:rFonts w:ascii="Arial" w:cs="Arial" w:eastAsia="Arial" w:hAnsi="Arial"/>
          <w:sz w:val="18"/>
          <w:szCs w:val="18"/>
          <w:color w:val="auto"/>
        </w:rPr>
        <w:t>. Any transaction with a Related Party involving services as a bank depositary of funds, transfer agent, registrar,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a trust indenture, or similar services.</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w:t>
      </w:r>
    </w:p>
    <w:p>
      <w:pPr>
        <w:spacing w:after="0" w:line="96"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All Related Party Transactions that are required to be disclosed in the Company’s filings with the SEC, as required by the Securities Act of 1933 and the Securities Exchange Act of 1934 and related rules and regulations, shall be so disclosed in accordance with such laws, rules and regulations. The material features of this policy shall be disclosed in the Company’s annual report on Form 10-K or in the Company’s proxy statement, as required by applicable laws, rules and regulations.</w:t>
      </w:r>
    </w:p>
    <w:p>
      <w:pPr>
        <w:spacing w:after="0" w:line="259" w:lineRule="exact"/>
        <w:rPr>
          <w:sz w:val="20"/>
          <w:szCs w:val="20"/>
          <w:color w:val="auto"/>
        </w:rPr>
      </w:pPr>
    </w:p>
    <w:p>
      <w:pPr>
        <w:ind w:left="460" w:hanging="452"/>
        <w:spacing w:after="0"/>
        <w:tabs>
          <w:tab w:leader="none" w:pos="4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Other Agreements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Management shall assure that all Related Party Transactions are approved in accordance with any requirements of the Company’s financing or other material agreements.</w:t>
      </w:r>
    </w:p>
    <w:p>
      <w:pPr>
        <w:sectPr>
          <w:pgSz w:w="11900" w:h="16838" w:orient="portrait"/>
          <w:cols w:equalWidth="0" w:num="1">
            <w:col w:w="11400"/>
          </w:cols>
          <w:pgMar w:left="240" w:top="280" w:right="259" w:bottom="1440" w:gutter="0" w:footer="0" w:header="0"/>
        </w:sectPr>
      </w:pPr>
    </w:p>
    <w:bookmarkStart w:id="249" w:name="page250"/>
    <w:bookmarkEnd w:id="249"/>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11.02</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u w:val="single" w:color="auto"/>
          <w:color w:val="auto"/>
        </w:rPr>
        <w:t>Administrative Agent’s Office; Certain Addresses for Notices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Borrower: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3300 W. Camelback Rd.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Phoenix, AZ 85017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Brian Mueller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(602) 639-7500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(602) 589-2510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www.gcu.edu</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Guarantors: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La Sonrisa de Siena,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Michael A. Schern,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Schern Richardson,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1640 S. Stapley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Mesa, AZ 85204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(480) 632-1929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(480) 632-1938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Tierra Vista Inversiones,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Michael A. Schern,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Schern Richardson,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1640 S. Stapley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132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Mesa, AZ 85204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(480) 632-1929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(480) 632-1938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ectPr>
          <w:pgSz w:w="11900" w:h="16838" w:orient="portrait"/>
          <w:cols w:equalWidth="0" w:num="1">
            <w:col w:w="10219"/>
          </w:cols>
          <w:pgMar w:left="240" w:top="274" w:right="1440" w:bottom="1440" w:gutter="0" w:footer="0" w:header="0"/>
        </w:sectPr>
      </w:pPr>
    </w:p>
    <w:bookmarkStart w:id="250" w:name="page251"/>
    <w:bookmarkEnd w:id="2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Administrative Agent: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Payments and Loan Notices: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TX1-492-14-12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901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75202-3714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Wire Instructions: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ABA #: XXX-XXX-XXX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901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Acct.#: XXX-XXXX-XXX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Credit Services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Ref: Grand Canyon Education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Notices: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135 South LaSalle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 60603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Code: IL4-135-05-41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jc w:val="center"/>
        <w:ind w:right="2219"/>
        <w:spacing w:after="0"/>
        <w:rPr>
          <w:sz w:val="20"/>
          <w:szCs w:val="20"/>
          <w:color w:val="auto"/>
        </w:rPr>
      </w:pPr>
      <w:r>
        <w:rPr>
          <w:rFonts w:ascii="Arial" w:cs="Arial" w:eastAsia="Arial" w:hAnsi="Arial"/>
          <w:sz w:val="18"/>
          <w:szCs w:val="18"/>
          <w:b w:val="1"/>
          <w:bCs w:val="1"/>
          <w:color w:val="auto"/>
        </w:rPr>
        <w:t>Schedule 11.02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-215900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70" w:lineRule="exact"/>
        <w:rPr>
          <w:sz w:val="20"/>
          <w:szCs w:val="20"/>
          <w:color w:val="auto"/>
        </w:rPr>
      </w:pPr>
    </w:p>
    <w:p>
      <w:pPr>
        <w:jc w:val="center"/>
        <w:ind w:right="2219"/>
        <w:spacing w:after="0"/>
        <w:rPr>
          <w:sz w:val="20"/>
          <w:szCs w:val="20"/>
          <w:color w:val="auto"/>
        </w:rPr>
      </w:pPr>
      <w:r>
        <w:rPr>
          <w:rFonts w:ascii="Arial" w:cs="Arial" w:eastAsia="Arial" w:hAnsi="Arial"/>
          <w:sz w:val="15"/>
          <w:szCs w:val="15"/>
          <w:b w:val="1"/>
          <w:bCs w:val="1"/>
          <w:u w:val="single" w:color="auto"/>
          <w:color w:val="auto"/>
        </w:rPr>
        <w:t>Administrative Agent’s Office; Certain Addresses for Notices</w:t>
      </w:r>
    </w:p>
    <w:p>
      <w:pPr>
        <w:spacing w:after="0" w:line="368" w:lineRule="exact"/>
        <w:rPr>
          <w:sz w:val="20"/>
          <w:szCs w:val="20"/>
          <w:color w:val="auto"/>
        </w:rPr>
      </w:pPr>
    </w:p>
    <w:p>
      <w:pPr>
        <w:ind w:left="2400"/>
        <w:spacing w:after="0"/>
        <w:rPr>
          <w:sz w:val="20"/>
          <w:szCs w:val="20"/>
          <w:color w:val="auto"/>
        </w:rPr>
      </w:pPr>
      <w:r>
        <w:rPr>
          <w:rFonts w:ascii="Arial" w:cs="Arial" w:eastAsia="Arial" w:hAnsi="Arial"/>
          <w:sz w:val="18"/>
          <w:szCs w:val="18"/>
          <w:b w:val="1"/>
          <w:bCs w:val="1"/>
          <w:u w:val="single" w:color="auto"/>
          <w:color w:val="auto"/>
        </w:rPr>
        <w:t>L/C Issuer:</w:t>
      </w:r>
    </w:p>
    <w:p>
      <w:pPr>
        <w:spacing w:after="0" w:line="96"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Trade Operations – Los Angeles</w:t>
      </w:r>
    </w:p>
    <w:p>
      <w:pPr>
        <w:spacing w:after="0" w:line="3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1000 W. Temple St.</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Mail Code: CA9-705-07-05</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Los Angeles, CA 90012-1514</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jc w:val="center"/>
        <w:ind w:right="1219"/>
        <w:spacing w:after="0"/>
        <w:rPr>
          <w:sz w:val="20"/>
          <w:szCs w:val="20"/>
          <w:color w:val="auto"/>
        </w:rPr>
      </w:pPr>
      <w:r>
        <w:rPr>
          <w:rFonts w:ascii="Arial" w:cs="Arial" w:eastAsia="Arial" w:hAnsi="Arial"/>
          <w:sz w:val="18"/>
          <w:szCs w:val="18"/>
          <w:color w:val="auto"/>
        </w:rPr>
        <w:t>Telephone: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Email:</w:t>
      </w:r>
    </w:p>
    <w:p>
      <w:pPr>
        <w:spacing w:after="0" w:line="159" w:lineRule="exact"/>
        <w:rPr>
          <w:sz w:val="20"/>
          <w:szCs w:val="20"/>
          <w:color w:val="auto"/>
        </w:rPr>
      </w:pPr>
    </w:p>
    <w:p>
      <w:pPr>
        <w:ind w:left="2400"/>
        <w:spacing w:after="0"/>
        <w:rPr>
          <w:sz w:val="20"/>
          <w:szCs w:val="20"/>
          <w:color w:val="auto"/>
        </w:rPr>
      </w:pPr>
      <w:r>
        <w:rPr>
          <w:rFonts w:ascii="Arial" w:cs="Arial" w:eastAsia="Arial" w:hAnsi="Arial"/>
          <w:sz w:val="18"/>
          <w:szCs w:val="18"/>
          <w:b w:val="1"/>
          <w:bCs w:val="1"/>
          <w:u w:val="single" w:color="auto"/>
          <w:color w:val="auto"/>
        </w:rPr>
        <w:t>Swing Line Lender:</w:t>
      </w:r>
    </w:p>
    <w:p>
      <w:pPr>
        <w:spacing w:after="0" w:line="96" w:lineRule="exact"/>
        <w:rPr>
          <w:sz w:val="20"/>
          <w:szCs w:val="20"/>
          <w:color w:val="auto"/>
        </w:rPr>
      </w:pPr>
    </w:p>
    <w:p>
      <w:pPr>
        <w:ind w:left="2400"/>
        <w:spacing w:after="0"/>
        <w:rPr>
          <w:sz w:val="20"/>
          <w:szCs w:val="20"/>
          <w:color w:val="auto"/>
        </w:rPr>
      </w:pPr>
      <w:r>
        <w:rPr>
          <w:rFonts w:ascii="Arial" w:cs="Arial" w:eastAsia="Arial" w:hAnsi="Arial"/>
          <w:sz w:val="18"/>
          <w:szCs w:val="18"/>
          <w:u w:val="single" w:color="auto"/>
          <w:color w:val="auto"/>
        </w:rPr>
        <w:t>Payments and Loan Notices:</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Bank of America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Mail Code: TX1-492-14-12</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Bank of America Plaza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901 Main Street</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Dallas, Texas 75202-3714</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Phone: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Facsimile:</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Email:</w:t>
      </w:r>
    </w:p>
    <w:p>
      <w:pPr>
        <w:spacing w:after="0" w:line="165" w:lineRule="exact"/>
        <w:rPr>
          <w:sz w:val="20"/>
          <w:szCs w:val="20"/>
          <w:color w:val="auto"/>
        </w:rPr>
      </w:pPr>
    </w:p>
    <w:p>
      <w:pPr>
        <w:ind w:left="2400"/>
        <w:spacing w:after="0"/>
        <w:rPr>
          <w:sz w:val="20"/>
          <w:szCs w:val="20"/>
          <w:color w:val="auto"/>
        </w:rPr>
      </w:pPr>
      <w:r>
        <w:rPr>
          <w:rFonts w:ascii="Arial" w:cs="Arial" w:eastAsia="Arial" w:hAnsi="Arial"/>
          <w:sz w:val="18"/>
          <w:szCs w:val="18"/>
          <w:u w:val="single" w:color="auto"/>
          <w:color w:val="auto"/>
        </w:rPr>
        <w:t>Wire Instructions:</w:t>
      </w:r>
    </w:p>
    <w:p>
      <w:pPr>
        <w:spacing w:after="0" w:line="15"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Bank of America, N.A.</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ABA #: XXX-XXX-XXX</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901 Main Street</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Acct.#: XXX-XXXX-XXX</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Dallas, Texas 75202</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Attn: Credit Services</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Ref: Grand Canyon Education Inc</w:t>
      </w:r>
    </w:p>
    <w:p>
      <w:pPr>
        <w:sectPr>
          <w:pgSz w:w="11900" w:h="16838" w:orient="portrait"/>
          <w:cols w:equalWidth="0" w:num="2">
            <w:col w:w="2700" w:space="720"/>
            <w:col w:w="6799"/>
          </w:cols>
          <w:pgMar w:left="240" w:top="274" w:right="1440" w:bottom="1440" w:gutter="0" w:footer="0" w:header="0"/>
        </w:sectPr>
      </w:pPr>
    </w:p>
    <w:bookmarkStart w:id="251" w:name="page252"/>
    <w:bookmarkEnd w:id="25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LOAN NOTICE</w:t>
      </w:r>
    </w:p>
    <w:p>
      <w:pPr>
        <w:spacing w:after="0" w:line="177" w:lineRule="exact"/>
        <w:rPr>
          <w:sz w:val="20"/>
          <w:szCs w:val="20"/>
          <w:color w:val="auto"/>
        </w:rPr>
      </w:pPr>
    </w:p>
    <w:p>
      <w:pPr>
        <w:ind w:left="9720"/>
        <w:spacing w:after="0"/>
        <w:tabs>
          <w:tab w:leader="none" w:pos="1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-13970</wp:posOffset>
            </wp:positionV>
            <wp:extent cx="8083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08355" cy="8890"/>
                    </a:xfrm>
                    <a:prstGeom prst="rect">
                      <a:avLst/>
                    </a:prstGeom>
                    <a:noFill/>
                  </pic:spPr>
                </pic:pic>
              </a:graphicData>
            </a:graphic>
          </wp:anchor>
        </w:drawing>
      </w:r>
    </w:p>
    <w:p>
      <w:pPr>
        <w:spacing w:after="0" w:line="19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Bank of America, N.A., as 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Reference is made to the Credit Agreement (as amended, modified, supplemented, increased and extended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21, 2012 among Grand Canyon Education,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identified therein, the Lenders from time to time party thereto and Bank of America, N.A., as Administrative Agent. Capitalized terms used herein and not defined herein shall have the meanings assigned to such terms in the Credit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requests (select one):</w:t>
      </w:r>
    </w:p>
    <w:p>
      <w:pPr>
        <w:spacing w:after="0" w:line="90" w:lineRule="exact"/>
        <w:rPr>
          <w:sz w:val="20"/>
          <w:szCs w:val="20"/>
          <w:color w:val="auto"/>
        </w:rPr>
      </w:pPr>
    </w:p>
    <w:p>
      <w:pPr>
        <w:ind w:left="900" w:hanging="446"/>
        <w:spacing w:after="0"/>
        <w:tabs>
          <w:tab w:leader="none" w:pos="900" w:val="left"/>
        </w:tabs>
        <w:numPr>
          <w:ilvl w:val="0"/>
          <w:numId w:val="246"/>
        </w:numPr>
        <w:rPr>
          <w:rFonts w:ascii="MS PGothic" w:cs="MS PGothic" w:eastAsia="MS PGothic" w:hAnsi="MS PGothic"/>
          <w:sz w:val="18"/>
          <w:szCs w:val="18"/>
          <w:color w:val="auto"/>
        </w:rPr>
      </w:pPr>
      <w:r>
        <w:rPr>
          <w:rFonts w:ascii="Arial" w:cs="Arial" w:eastAsia="Arial" w:hAnsi="Arial"/>
          <w:sz w:val="18"/>
          <w:szCs w:val="18"/>
          <w:color w:val="auto"/>
        </w:rPr>
        <w:t>A Borrowing of [a Revolving Loan][the Term Loan]</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0"/>
          <w:numId w:val="246"/>
        </w:numPr>
        <w:rPr>
          <w:rFonts w:ascii="MS PGothic" w:cs="MS PGothic" w:eastAsia="MS PGothic" w:hAnsi="MS PGothic"/>
          <w:sz w:val="18"/>
          <w:szCs w:val="18"/>
          <w:color w:val="auto"/>
        </w:rPr>
      </w:pPr>
      <w:r>
        <w:rPr>
          <w:rFonts w:ascii="Arial" w:cs="Arial" w:eastAsia="Arial" w:hAnsi="Arial"/>
          <w:sz w:val="18"/>
          <w:szCs w:val="18"/>
          <w:color w:val="auto"/>
        </w:rPr>
        <w:t>A conversion or continuation of [a Revolving Loan][the Term Loan]</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1.</w:t>
            </w:r>
          </w:p>
        </w:tc>
        <w:tc>
          <w:tcPr>
            <w:tcW w:w="540" w:type="dxa"/>
            <w:vAlign w:val="bottom"/>
          </w:tcPr>
          <w:p>
            <w:pPr>
              <w:ind w:left="160"/>
              <w:spacing w:after="0"/>
              <w:rPr>
                <w:sz w:val="20"/>
                <w:szCs w:val="20"/>
                <w:color w:val="auto"/>
              </w:rPr>
            </w:pPr>
            <w:r>
              <w:rPr>
                <w:rFonts w:ascii="Arial" w:cs="Arial" w:eastAsia="Arial" w:hAnsi="Arial"/>
                <w:sz w:val="18"/>
                <w:szCs w:val="18"/>
                <w:color w:val="auto"/>
              </w:rPr>
              <w:t>On</w:t>
            </w:r>
          </w:p>
        </w:tc>
        <w:tc>
          <w:tcPr>
            <w:tcW w:w="1640" w:type="dxa"/>
            <w:vAlign w:val="bottom"/>
            <w:tcBorders>
              <w:bottom w:val="single" w:sz="8" w:color="auto"/>
            </w:tcBorders>
            <w:gridSpan w:val="3"/>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gridSpan w:val="2"/>
          </w:tcPr>
          <w:p>
            <w:pPr>
              <w:jc w:val="right"/>
              <w:ind w:right="611"/>
              <w:spacing w:after="0"/>
              <w:rPr>
                <w:sz w:val="20"/>
                <w:szCs w:val="20"/>
                <w:color w:val="auto"/>
              </w:rPr>
            </w:pPr>
            <w:r>
              <w:rPr>
                <w:rFonts w:ascii="Arial" w:cs="Arial" w:eastAsia="Arial" w:hAnsi="Arial"/>
                <w:sz w:val="18"/>
                <w:szCs w:val="18"/>
                <w:color w:val="auto"/>
                <w:w w:val="87"/>
              </w:rPr>
              <w:t>(a Business Day).</w:t>
            </w:r>
          </w:p>
        </w:tc>
        <w:tc>
          <w:tcPr>
            <w:tcW w:w="760" w:type="dxa"/>
            <w:vAlign w:val="bottom"/>
          </w:tcPr>
          <w:p>
            <w:pPr>
              <w:spacing w:after="0"/>
              <w:rPr>
                <w:sz w:val="17"/>
                <w:szCs w:val="17"/>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1460" w:type="dxa"/>
            <w:vAlign w:val="bottom"/>
            <w:gridSpan w:val="3"/>
          </w:tcPr>
          <w:p>
            <w:pPr>
              <w:ind w:left="160"/>
              <w:spacing w:after="0"/>
              <w:rPr>
                <w:sz w:val="20"/>
                <w:szCs w:val="20"/>
                <w:color w:val="auto"/>
              </w:rPr>
            </w:pPr>
            <w:r>
              <w:rPr>
                <w:rFonts w:ascii="Arial" w:cs="Arial" w:eastAsia="Arial" w:hAnsi="Arial"/>
                <w:sz w:val="18"/>
                <w:szCs w:val="18"/>
                <w:color w:val="auto"/>
                <w:w w:val="88"/>
              </w:rPr>
              <w:t>In the amount of $</w:t>
            </w:r>
          </w:p>
        </w:tc>
        <w:tc>
          <w:tcPr>
            <w:tcW w:w="740" w:type="dxa"/>
            <w:vAlign w:val="bottom"/>
            <w:gridSpan w:val="2"/>
          </w:tcPr>
          <w:p>
            <w:pPr>
              <w:spacing w:after="0"/>
              <w:rPr>
                <w:sz w:val="24"/>
                <w:szCs w:val="24"/>
                <w:color w:val="auto"/>
              </w:rPr>
            </w:pPr>
          </w:p>
        </w:tc>
        <w:tc>
          <w:tcPr>
            <w:tcW w:w="1920" w:type="dxa"/>
            <w:vAlign w:val="bottom"/>
            <w:gridSpan w:val="2"/>
          </w:tcPr>
          <w:p>
            <w:pPr>
              <w:jc w:val="right"/>
              <w:ind w:right="551"/>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4"/>
                <w:szCs w:val="24"/>
                <w:color w:val="auto"/>
              </w:rPr>
            </w:pP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1160" w:type="dxa"/>
            <w:vAlign w:val="bottom"/>
            <w:gridSpan w:val="2"/>
          </w:tcPr>
          <w:p>
            <w:pPr>
              <w:ind w:left="160"/>
              <w:spacing w:after="0"/>
              <w:rPr>
                <w:sz w:val="20"/>
                <w:szCs w:val="20"/>
                <w:color w:val="auto"/>
              </w:rPr>
            </w:pPr>
            <w:r>
              <w:rPr>
                <w:rFonts w:ascii="Arial" w:cs="Arial" w:eastAsia="Arial" w:hAnsi="Arial"/>
                <w:sz w:val="18"/>
                <w:szCs w:val="18"/>
                <w:color w:val="auto"/>
                <w:w w:val="91"/>
              </w:rPr>
              <w:t>Comprised of</w:t>
            </w:r>
          </w:p>
        </w:tc>
        <w:tc>
          <w:tcPr>
            <w:tcW w:w="300" w:type="dxa"/>
            <w:vAlign w:val="bottom"/>
          </w:tcPr>
          <w:p>
            <w:pPr>
              <w:spacing w:after="0"/>
              <w:rPr>
                <w:sz w:val="24"/>
                <w:szCs w:val="24"/>
                <w:color w:val="auto"/>
              </w:rPr>
            </w:pPr>
          </w:p>
        </w:tc>
        <w:tc>
          <w:tcPr>
            <w:tcW w:w="740" w:type="dxa"/>
            <w:vAlign w:val="bottom"/>
            <w:tcBorders>
              <w:top w:val="single" w:sz="8" w:color="auto"/>
            </w:tcBorders>
            <w:gridSpan w:val="2"/>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20" w:type="dxa"/>
            <w:vAlign w:val="bottom"/>
          </w:tcPr>
          <w:p>
            <w:pPr>
              <w:jc w:val="right"/>
              <w:ind w:right="531"/>
              <w:spacing w:after="0"/>
              <w:rPr>
                <w:sz w:val="20"/>
                <w:szCs w:val="20"/>
                <w:color w:val="auto"/>
              </w:rPr>
            </w:pPr>
            <w:r>
              <w:rPr>
                <w:rFonts w:ascii="Arial" w:cs="Arial" w:eastAsia="Arial" w:hAnsi="Arial"/>
                <w:sz w:val="10"/>
                <w:szCs w:val="10"/>
                <w:color w:val="auto"/>
                <w:w w:val="70"/>
              </w:rPr>
              <w:t>.</w:t>
            </w:r>
          </w:p>
        </w:tc>
        <w:tc>
          <w:tcPr>
            <w:tcW w:w="76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13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8"/>
        </w:trPr>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60" w:type="dxa"/>
            <w:vAlign w:val="bottom"/>
            <w:gridSpan w:val="4"/>
          </w:tcPr>
          <w:p>
            <w:pPr>
              <w:ind w:left="320"/>
              <w:spacing w:after="0"/>
              <w:rPr>
                <w:sz w:val="20"/>
                <w:szCs w:val="20"/>
                <w:color w:val="auto"/>
              </w:rPr>
            </w:pPr>
            <w:r>
              <w:rPr>
                <w:rFonts w:ascii="Arial" w:cs="Arial" w:eastAsia="Arial" w:hAnsi="Arial"/>
                <w:sz w:val="18"/>
                <w:szCs w:val="18"/>
                <w:color w:val="auto"/>
                <w:w w:val="87"/>
              </w:rPr>
              <w:t>of Loan requested]</w:t>
            </w:r>
          </w:p>
        </w:tc>
        <w:tc>
          <w:tcPr>
            <w:tcW w:w="1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2"/>
        </w:trPr>
        <w:tc>
          <w:tcPr>
            <w:tcW w:w="280" w:type="dxa"/>
            <w:vAlign w:val="bottom"/>
          </w:tcPr>
          <w:p>
            <w:pPr>
              <w:spacing w:after="0"/>
              <w:rPr>
                <w:sz w:val="19"/>
                <w:szCs w:val="19"/>
                <w:color w:val="auto"/>
              </w:rPr>
            </w:pPr>
          </w:p>
        </w:tc>
        <w:tc>
          <w:tcPr>
            <w:tcW w:w="2200" w:type="dxa"/>
            <w:vAlign w:val="bottom"/>
            <w:gridSpan w:val="5"/>
          </w:tcPr>
          <w:p>
            <w:pPr>
              <w:ind w:left="160"/>
              <w:spacing w:after="0"/>
              <w:rPr>
                <w:sz w:val="20"/>
                <w:szCs w:val="20"/>
                <w:color w:val="auto"/>
              </w:rPr>
            </w:pPr>
            <w:r>
              <w:rPr>
                <w:rFonts w:ascii="Arial" w:cs="Arial" w:eastAsia="Arial" w:hAnsi="Arial"/>
                <w:sz w:val="18"/>
                <w:szCs w:val="18"/>
                <w:color w:val="auto"/>
              </w:rPr>
              <w:t>[Type</w:t>
            </w:r>
          </w:p>
        </w:tc>
        <w:tc>
          <w:tcPr>
            <w:tcW w:w="1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9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4.</w:t>
            </w:r>
          </w:p>
        </w:tc>
        <w:tc>
          <w:tcPr>
            <w:tcW w:w="4120" w:type="dxa"/>
            <w:vAlign w:val="bottom"/>
            <w:gridSpan w:val="7"/>
          </w:tcPr>
          <w:p>
            <w:pPr>
              <w:ind w:left="160"/>
              <w:spacing w:after="0"/>
              <w:rPr>
                <w:sz w:val="20"/>
                <w:szCs w:val="20"/>
                <w:color w:val="auto"/>
              </w:rPr>
            </w:pPr>
            <w:r>
              <w:rPr>
                <w:rFonts w:ascii="Arial" w:cs="Arial" w:eastAsia="Arial" w:hAnsi="Arial"/>
                <w:sz w:val="18"/>
                <w:szCs w:val="18"/>
                <w:color w:val="auto"/>
                <w:w w:val="93"/>
              </w:rPr>
              <w:t>For Eurodollar Rate Loans: with an Interest Period of</w:t>
            </w:r>
          </w:p>
        </w:tc>
        <w:tc>
          <w:tcPr>
            <w:tcW w:w="760" w:type="dxa"/>
            <w:vAlign w:val="bottom"/>
          </w:tcPr>
          <w:p>
            <w:pPr>
              <w:ind w:left="180"/>
              <w:spacing w:after="0"/>
              <w:rPr>
                <w:sz w:val="20"/>
                <w:szCs w:val="20"/>
                <w:color w:val="auto"/>
              </w:rPr>
            </w:pPr>
            <w:r>
              <w:rPr>
                <w:rFonts w:ascii="Arial" w:cs="Arial" w:eastAsia="Arial" w:hAnsi="Arial"/>
                <w:sz w:val="18"/>
                <w:szCs w:val="18"/>
                <w:color w:val="auto"/>
                <w:w w:val="87"/>
              </w:rPr>
              <w:t>months.</w:t>
            </w:r>
          </w:p>
        </w:tc>
      </w:tr>
    </w:tbl>
    <w:p>
      <w:pPr>
        <w:spacing w:after="0" w:line="156"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 Borrowing, if any, requested herein (i) complies with the provisos to the first sentence of Section 2.01(a) of the Agreement and (ii) the Borrower hereby represents and warrants that each of the conditions set forth in Section 5.02 of the Agreement have been satisfied on and as of the date of such Borrowing.</w:t>
      </w:r>
    </w:p>
    <w:p>
      <w:pPr>
        <w:spacing w:after="0" w:line="12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GRAND CANYON EDUCATION, INC., a Delaware corporation</w:t>
      </w:r>
    </w:p>
    <w:p>
      <w:pPr>
        <w:spacing w:after="0" w:line="24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10795</wp:posOffset>
            </wp:positionV>
            <wp:extent cx="256413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4" w:right="239" w:bottom="1440" w:gutter="0" w:footer="0" w:header="0"/>
        </w:sectPr>
      </w:pPr>
    </w:p>
    <w:bookmarkStart w:id="252" w:name="page253"/>
    <w:bookmarkEnd w:id="25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SWING LINE LOAN NOTICE</w:t>
      </w:r>
    </w:p>
    <w:p>
      <w:pPr>
        <w:spacing w:after="0" w:line="177" w:lineRule="exact"/>
        <w:rPr>
          <w:sz w:val="20"/>
          <w:szCs w:val="20"/>
          <w:color w:val="auto"/>
        </w:rPr>
      </w:pPr>
    </w:p>
    <w:p>
      <w:pPr>
        <w:ind w:left="9680"/>
        <w:spacing w:after="0"/>
        <w:tabs>
          <w:tab w:leader="none" w:pos="10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6415405</wp:posOffset>
            </wp:positionH>
            <wp:positionV relativeFrom="paragraph">
              <wp:posOffset>-13970</wp:posOffset>
            </wp:positionV>
            <wp:extent cx="8362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9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Bank of America, N.A., as Swing Line Lender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Bank of America, N.A., as Administrative Agent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Reference is made to the Credit Agreement (as amended, modified, supplemented, increased and extended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21, 2012 among Grand Canyon Education,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identified therein, the Lenders from time to time party thereto and Bank of America, N.A., as Administrative Agent. Capitalized terms used herein and not defined herein shall have the meanings assigned to such terms in the Credit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requests a Swing Line Loan:</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1.</w:t>
            </w:r>
          </w:p>
        </w:tc>
        <w:tc>
          <w:tcPr>
            <w:tcW w:w="420" w:type="dxa"/>
            <w:vAlign w:val="bottom"/>
          </w:tcPr>
          <w:p>
            <w:pPr>
              <w:ind w:left="160"/>
              <w:spacing w:after="0"/>
              <w:rPr>
                <w:sz w:val="20"/>
                <w:szCs w:val="20"/>
                <w:color w:val="auto"/>
              </w:rPr>
            </w:pPr>
            <w:r>
              <w:rPr>
                <w:rFonts w:ascii="Arial" w:cs="Arial" w:eastAsia="Arial" w:hAnsi="Arial"/>
                <w:sz w:val="18"/>
                <w:szCs w:val="18"/>
                <w:color w:val="auto"/>
                <w:w w:val="99"/>
              </w:rPr>
              <w:t>On</w:t>
            </w:r>
          </w:p>
        </w:tc>
        <w:tc>
          <w:tcPr>
            <w:tcW w:w="880" w:type="dxa"/>
            <w:vAlign w:val="bottom"/>
            <w:tcBorders>
              <w:bottom w:val="single" w:sz="8" w:color="auto"/>
            </w:tcBorders>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w w:val="85"/>
              </w:rPr>
              <w:t>(a Business Day).</w:t>
            </w: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1460" w:type="dxa"/>
            <w:vAlign w:val="bottom"/>
            <w:gridSpan w:val="3"/>
          </w:tcPr>
          <w:p>
            <w:pPr>
              <w:ind w:left="160"/>
              <w:spacing w:after="0"/>
              <w:rPr>
                <w:sz w:val="20"/>
                <w:szCs w:val="20"/>
                <w:color w:val="auto"/>
              </w:rPr>
            </w:pPr>
            <w:r>
              <w:rPr>
                <w:rFonts w:ascii="Arial" w:cs="Arial" w:eastAsia="Arial" w:hAnsi="Arial"/>
                <w:sz w:val="18"/>
                <w:szCs w:val="18"/>
                <w:color w:val="auto"/>
                <w:w w:val="88"/>
              </w:rPr>
              <w:t>In the amount of $</w:t>
            </w:r>
          </w:p>
        </w:tc>
        <w:tc>
          <w:tcPr>
            <w:tcW w:w="880" w:type="dxa"/>
            <w:vAlign w:val="bottom"/>
            <w:tcBorders>
              <w:bottom w:val="single" w:sz="8" w:color="auto"/>
            </w:tcBorders>
          </w:tcPr>
          <w:p>
            <w:pPr>
              <w:spacing w:after="0"/>
              <w:rPr>
                <w:sz w:val="24"/>
                <w:szCs w:val="24"/>
                <w:color w:val="auto"/>
              </w:rPr>
            </w:pPr>
          </w:p>
        </w:tc>
        <w:tc>
          <w:tcPr>
            <w:tcW w:w="200" w:type="dxa"/>
            <w:vAlign w:val="bottom"/>
          </w:tcPr>
          <w:p>
            <w:pPr>
              <w:jc w:val="right"/>
              <w:ind w:right="32"/>
              <w:spacing w:after="0"/>
              <w:rPr>
                <w:sz w:val="20"/>
                <w:szCs w:val="20"/>
                <w:color w:val="auto"/>
              </w:rPr>
            </w:pPr>
            <w:r>
              <w:rPr>
                <w:rFonts w:ascii="Arial" w:cs="Arial" w:eastAsia="Arial" w:hAnsi="Arial"/>
                <w:sz w:val="18"/>
                <w:szCs w:val="18"/>
                <w:color w:val="auto"/>
              </w:rPr>
              <w:t>.</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Swing Line Borrowing requested herein (i) complies with the requirements of the provisos to the first sentence of Section 2.04(a) of the Agreement and</w:t>
      </w:r>
    </w:p>
    <w:p>
      <w:pPr>
        <w:spacing w:after="0" w:line="38" w:lineRule="exact"/>
        <w:rPr>
          <w:sz w:val="20"/>
          <w:szCs w:val="20"/>
          <w:color w:val="auto"/>
        </w:rPr>
      </w:pPr>
    </w:p>
    <w:p>
      <w:pPr>
        <w:ind w:right="40" w:firstLine="8"/>
        <w:spacing w:after="0" w:line="261" w:lineRule="auto"/>
        <w:tabs>
          <w:tab w:leader="none" w:pos="25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Borrower hereby represents and warrants that each of the conditions set forth in Section 5.02 of the Agreement have been satisfied on and as of the date of such Swing Line Borrowing.</w:t>
      </w:r>
    </w:p>
    <w:p>
      <w:pPr>
        <w:spacing w:after="0" w:line="178"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GRAND CANYON EDUCATION, INC., a Delaware corporation</w:t>
      </w:r>
    </w:p>
    <w:p>
      <w:pPr>
        <w:spacing w:after="0" w:line="24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10795</wp:posOffset>
            </wp:positionV>
            <wp:extent cx="256413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4" w:right="23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_________________</w:t>
            </w:r>
          </w:p>
        </w:tc>
      </w:tr>
      <w:tr>
        <w:trPr>
          <w:trHeight w:val="340"/>
        </w:trPr>
        <w:tc>
          <w:tcPr>
            <w:tcW w:w="9460" w:type="dxa"/>
            <w:vAlign w:val="bottom"/>
            <w:gridSpan w:val="3"/>
          </w:tcPr>
          <w:p>
            <w:pPr>
              <w:spacing w:after="0"/>
              <w:rPr>
                <w:sz w:val="20"/>
                <w:szCs w:val="20"/>
                <w:color w:val="auto"/>
              </w:rPr>
            </w:pPr>
            <w:r>
              <w:rPr>
                <w:rFonts w:ascii="Arial" w:cs="Arial" w:eastAsia="Arial" w:hAnsi="Arial"/>
                <w:sz w:val="18"/>
                <w:szCs w:val="18"/>
                <w:color w:val="auto"/>
                <w:w w:val="94"/>
              </w:rPr>
              <w:t>FOR VALUE RECEIVED, Grand Canyon Education, Inc., a Delaware corporation (the “Borrower”), hereby promises to pay to</w:t>
            </w:r>
          </w:p>
        </w:tc>
        <w:tc>
          <w:tcPr>
            <w:tcW w:w="1960" w:type="dxa"/>
            <w:vAlign w:val="bottom"/>
          </w:tcPr>
          <w:p>
            <w:pPr>
              <w:jc w:val="right"/>
              <w:ind w:right="312"/>
              <w:spacing w:after="0"/>
              <w:rPr>
                <w:sz w:val="20"/>
                <w:szCs w:val="20"/>
                <w:color w:val="auto"/>
              </w:rPr>
            </w:pPr>
            <w:r>
              <w:rPr>
                <w:rFonts w:ascii="Arial" w:cs="Arial" w:eastAsia="Arial" w:hAnsi="Arial"/>
                <w:sz w:val="18"/>
                <w:szCs w:val="18"/>
                <w:color w:val="auto"/>
              </w:rPr>
              <w:t>or registered</w:t>
            </w:r>
          </w:p>
        </w:tc>
      </w:tr>
      <w:tr>
        <w:trPr>
          <w:trHeight w:val="20"/>
        </w:trPr>
        <w:tc>
          <w:tcPr>
            <w:tcW w:w="6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1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assigns (the “</w:t>
      </w:r>
      <w:r>
        <w:rPr>
          <w:rFonts w:ascii="Arial" w:cs="Arial" w:eastAsia="Arial" w:hAnsi="Arial"/>
          <w:sz w:val="18"/>
          <w:szCs w:val="18"/>
          <w:u w:val="single" w:color="auto"/>
          <w:color w:val="auto"/>
        </w:rPr>
        <w:t>Lender</w:t>
      </w:r>
      <w:r>
        <w:rPr>
          <w:rFonts w:ascii="Arial" w:cs="Arial" w:eastAsia="Arial" w:hAnsi="Arial"/>
          <w:sz w:val="18"/>
          <w:szCs w:val="18"/>
          <w:color w:val="auto"/>
        </w:rPr>
        <w:t>”), in accordance with the provisions of the Agreement (as hereinafter defined), the aggregate outstanding principal amount of each Loan from time to time made by the Lender to the Borrower under the Credit Agreement (as amended, modified, supplemented, increased and extended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21, 2012 among the Borrower, the Guarantors identified therein, the Lenders from time to time party thereto and Bank of America, N.A., as Administrative Agent. Capitalized terms used herein and not defined herein shall have the meanings assigned to such terms in the Credit Agreement.</w:t>
      </w:r>
    </w:p>
    <w:p>
      <w:pPr>
        <w:spacing w:after="0" w:line="14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The Borrower promises to pay interest on the unpaid principal amount of each Loan from the date of such Loan until such principal amount is paid in full, at such interest rates and at such times as provided in the Agreement. Except as otherwise provided in </w:t>
      </w:r>
      <w:r>
        <w:rPr>
          <w:rFonts w:ascii="Arial" w:cs="Arial" w:eastAsia="Arial" w:hAnsi="Arial"/>
          <w:sz w:val="16"/>
          <w:szCs w:val="16"/>
          <w:u w:val="single" w:color="auto"/>
          <w:color w:val="auto"/>
        </w:rPr>
        <w:t>Section 2.04(f)</w:t>
      </w:r>
      <w:r>
        <w:rPr>
          <w:rFonts w:ascii="Arial" w:cs="Arial" w:eastAsia="Arial" w:hAnsi="Arial"/>
          <w:sz w:val="16"/>
          <w:szCs w:val="16"/>
          <w:color w:val="auto"/>
        </w:rPr>
        <w:t xml:space="preserve"> of the Agreement with respect to Swing Line Loans,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Agreement.</w:t>
      </w:r>
    </w:p>
    <w:p>
      <w:pPr>
        <w:spacing w:after="0" w:line="11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Note is one of the Notes referred to in the Agreement, is entitled to the benefits thereof and may be prepaid in whole or in part subject to the terms and conditions provided therein. This Note is also entitled to the benefits of the Guaranty and is secured by the Collateral. Upon the occurrence and continuation of one or more of the Events of Default specified in the Agreement, all amounts then remaining unpaid on this Note shall become, or may be declared to be, immediately due and payable all as provided in the Agreement. Loans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w:t>
      </w:r>
    </w:p>
    <w:p>
      <w:pPr>
        <w:spacing w:after="0" w:line="14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Borrower, for itself, its successors and assigns, hereby waives diligence, presentment, protest and demand and notice of protest, demand, dishonor and non-payment of this Note.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IN ACCORDANCE WITH THE LAWS OF THE STATE OF NEW YORK.</w:t>
      </w:r>
    </w:p>
    <w:p>
      <w:pPr>
        <w:sectPr>
          <w:pgSz w:w="11900" w:h="16838" w:orient="portrait"/>
          <w:cols w:equalWidth="0" w:num="1">
            <w:col w:w="11420"/>
          </w:cols>
          <w:pgMar w:left="240" w:top="274" w:right="239" w:bottom="1440" w:gutter="0" w:footer="0" w:header="0"/>
        </w:sectPr>
      </w:pPr>
    </w:p>
    <w:bookmarkStart w:id="254" w:name="page255"/>
    <w:bookmarkEnd w:id="2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Borrower has caused this Note to be duly executed by its duly authorized officer as of the day and year first above written.</w:t>
      </w:r>
    </w:p>
    <w:p>
      <w:pPr>
        <w:spacing w:after="0" w:line="235"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GRAND CANYON EDUCATION, INC., a Delaware corporation</w:t>
      </w:r>
    </w:p>
    <w:p>
      <w:pPr>
        <w:spacing w:after="0" w:line="24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10795</wp:posOffset>
            </wp:positionV>
            <wp:extent cx="256413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80" w:right="239" w:bottom="1440" w:gutter="0" w:footer="0" w:header="0"/>
        </w:sectPr>
      </w:pPr>
    </w:p>
    <w:bookmarkStart w:id="255" w:name="page256"/>
    <w:bookmarkEnd w:id="25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COMPLIANCE CERTIFICATE</w:t>
      </w:r>
    </w:p>
    <w:p>
      <w:pPr>
        <w:spacing w:after="0" w:line="177" w:lineRule="exact"/>
        <w:rPr>
          <w:sz w:val="20"/>
          <w:szCs w:val="20"/>
          <w:color w:val="auto"/>
        </w:rPr>
      </w:pPr>
    </w:p>
    <w:p>
      <w:pPr>
        <w:ind w:left="8280"/>
        <w:spacing w:after="0"/>
        <w:tabs>
          <w:tab w:leader="none" w:pos="10960" w:val="left"/>
        </w:tabs>
        <w:rPr>
          <w:sz w:val="20"/>
          <w:szCs w:val="20"/>
          <w:color w:val="auto"/>
        </w:rPr>
      </w:pPr>
      <w:r>
        <w:rPr>
          <w:rFonts w:ascii="Arial" w:cs="Arial" w:eastAsia="Arial" w:hAnsi="Arial"/>
          <w:sz w:val="18"/>
          <w:szCs w:val="18"/>
          <w:color w:val="auto"/>
        </w:rPr>
        <w:t>Financial Statement Date: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6415405</wp:posOffset>
            </wp:positionH>
            <wp:positionV relativeFrom="paragraph">
              <wp:posOffset>-13970</wp:posOffset>
            </wp:positionV>
            <wp:extent cx="83629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36295" cy="8890"/>
                    </a:xfrm>
                    <a:prstGeom prst="rect">
                      <a:avLst/>
                    </a:prstGeom>
                    <a:noFill/>
                  </pic:spPr>
                </pic:pic>
              </a:graphicData>
            </a:graphic>
          </wp:anchor>
        </w:drawing>
      </w:r>
    </w:p>
    <w:p>
      <w:pPr>
        <w:spacing w:after="0" w:line="19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To:</w:t>
        <w:tab/>
        <w:t>Bank of America, N.A., as Administrative Agent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Reference is made to the Credit Agreement (as amended, modified, supplemented, increased and extended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December 21, 2012 among Grand Canyon Education,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identified therein, the Lenders from time to time party thereto and Bank of America, N.A., as Administrative Agent. Capitalized terms used herein and not defined herein shall have the meanings assigned to such terms in the Credit Agreement.</w:t>
      </w:r>
    </w:p>
    <w:p>
      <w:pPr>
        <w:sectPr>
          <w:pgSz w:w="11900" w:h="16838" w:orient="portrait"/>
          <w:cols w:equalWidth="0" w:num="1">
            <w:col w:w="11400"/>
          </w:cols>
          <w:pgMar w:left="240" w:top="274" w:right="25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Responsible Officer hereby certifies as of the date hereof that he/she is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execute and deliver this Certificate to the Administrative Agent on the behalf of the Borrower, and that:</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rPr>
        <w:t>of the Borrower, and that, as such, he/she is authorized to</w:t>
      </w:r>
    </w:p>
    <w:p>
      <w:pPr>
        <w:spacing w:after="0" w:line="433" w:lineRule="exact"/>
        <w:rPr>
          <w:sz w:val="20"/>
          <w:szCs w:val="20"/>
          <w:color w:val="auto"/>
        </w:rPr>
      </w:pPr>
    </w:p>
    <w:p>
      <w:pPr>
        <w:sectPr>
          <w:pgSz w:w="11900" w:h="16838" w:orient="portrait"/>
          <w:cols w:equalWidth="0" w:num="2">
            <w:col w:w="7280" w:space="100"/>
            <w:col w:w="4020"/>
          </w:cols>
          <w:pgMar w:left="240" w:top="274" w:right="259" w:bottom="1440" w:gutter="0" w:footer="0" w:header="0"/>
          <w:type w:val="continuous"/>
        </w:sectPr>
      </w:pP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[Use following paragraph 1 for fiscal year-end financial statements]</w:t>
      </w:r>
    </w:p>
    <w:p>
      <w:pPr>
        <w:spacing w:after="0" w:line="171" w:lineRule="exact"/>
        <w:rPr>
          <w:sz w:val="20"/>
          <w:szCs w:val="20"/>
          <w:color w:val="auto"/>
        </w:rPr>
      </w:pPr>
    </w:p>
    <w:p>
      <w:pPr>
        <w:ind w:firstLine="8"/>
        <w:spacing w:after="0" w:line="268" w:lineRule="auto"/>
        <w:tabs>
          <w:tab w:leader="none" w:pos="17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Borrower has delivered the year-end audited financial statements required by Section 7.01(a) of the Agreement for the fiscal year of the Borrower ended as of the above date.</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[Use following paragraph 1 for fiscal quarter-end financial statements]</w:t>
      </w:r>
    </w:p>
    <w:p>
      <w:pPr>
        <w:spacing w:after="0" w:line="171" w:lineRule="exact"/>
        <w:rPr>
          <w:sz w:val="20"/>
          <w:szCs w:val="20"/>
          <w:color w:val="auto"/>
        </w:rPr>
      </w:pPr>
    </w:p>
    <w:p>
      <w:pPr>
        <w:jc w:val="both"/>
        <w:ind w:right="80" w:firstLine="8"/>
        <w:spacing w:after="0" w:line="306" w:lineRule="auto"/>
        <w:tabs>
          <w:tab w:leader="none" w:pos="17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Borrower has delivered the unaudited financial statements required by Section 7.01(b) of the Agreement for the fiscal quarter of the Borrower ended as of the above date. Such financial statements fairly present the financial condition, results of operations, shareholders’ equity and cash flows of the Borrower and its Subsidiaries in accordance with GAAP as at such date and for such period, subject only to normal year-end audit adjustments and the absence of footnotes.</w:t>
      </w:r>
    </w:p>
    <w:p>
      <w:pPr>
        <w:spacing w:after="0" w:line="106" w:lineRule="exact"/>
        <w:rPr>
          <w:rFonts w:ascii="Arial" w:cs="Arial" w:eastAsia="Arial" w:hAnsi="Arial"/>
          <w:sz w:val="16"/>
          <w:szCs w:val="16"/>
          <w:color w:val="auto"/>
        </w:rPr>
      </w:pPr>
    </w:p>
    <w:p>
      <w:pPr>
        <w:ind w:right="260" w:firstLine="8"/>
        <w:spacing w:after="0" w:line="332" w:lineRule="auto"/>
        <w:tabs>
          <w:tab w:leader="none" w:pos="17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undersigned has reviewed and is familiar with the terms of the Agreement and has made, or has caused to be made under his/her supervision, a detailed review of the transactions and condition (financial or otherwise) of the Borrower during the accounting period covered by such financial statements.</w:t>
      </w:r>
    </w:p>
    <w:p>
      <w:pPr>
        <w:spacing w:after="0" w:line="85" w:lineRule="exact"/>
        <w:rPr>
          <w:rFonts w:ascii="Arial" w:cs="Arial" w:eastAsia="Arial" w:hAnsi="Arial"/>
          <w:sz w:val="16"/>
          <w:szCs w:val="16"/>
          <w:color w:val="auto"/>
        </w:rPr>
      </w:pPr>
    </w:p>
    <w:p>
      <w:pPr>
        <w:ind w:right="580" w:firstLine="8"/>
        <w:spacing w:after="0" w:line="332" w:lineRule="auto"/>
        <w:tabs>
          <w:tab w:leader="none" w:pos="17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 review of the activities of the Borrower during such fiscal period has been made under the supervision of the undersigned with a view to determining whether during such fiscal period the Borrower performed and observed all its Obligations under the Loan Documents, and</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[select one:]</w:t>
      </w:r>
    </w:p>
    <w:p>
      <w:pPr>
        <w:spacing w:after="0" w:line="165"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[to the best knowledge of the undersigned, during such fiscal period the Borrower performed and observed each covenant and condition of the Loan Documents applicable to it, and no Default has occurred and is continuing.]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—or—</w:t>
      </w:r>
    </w:p>
    <w:p>
      <w:pPr>
        <w:sectPr>
          <w:pgSz w:w="11900" w:h="16838" w:orient="portrait"/>
          <w:cols w:equalWidth="0" w:num="1">
            <w:col w:w="11400"/>
          </w:cols>
          <w:pgMar w:left="240" w:top="274" w:right="259" w:bottom="1440" w:gutter="0" w:footer="0" w:header="0"/>
          <w:type w:val="continuous"/>
        </w:sectPr>
      </w:pPr>
    </w:p>
    <w:bookmarkStart w:id="256" w:name="page257"/>
    <w:bookmarkEnd w:id="256"/>
    <w:p>
      <w:pPr>
        <w:ind w:right="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best knowledge of the undersigned, during such fiscal period the following covenants or conditions have not been performed or observed and the following is a list of each such Default and its nature and status:]</w:t>
      </w:r>
    </w:p>
    <w:p>
      <w:pPr>
        <w:spacing w:after="0" w:line="126" w:lineRule="exact"/>
        <w:rPr>
          <w:sz w:val="20"/>
          <w:szCs w:val="20"/>
          <w:color w:val="auto"/>
        </w:rPr>
      </w:pPr>
    </w:p>
    <w:p>
      <w:pPr>
        <w:ind w:firstLine="8"/>
        <w:spacing w:after="0" w:line="255" w:lineRule="auto"/>
        <w:tabs>
          <w:tab w:leader="none" w:pos="17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the Loan Parties contained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of the Agreement, and any representations and warranties of any Loan Party that are contained in any document furnished at any time under or in connection with the Loan Documents, are true and correct in all material respects, except for any representation or warranty that is qualified by materiality or reference to Material Adverse Effect, which such representation and warranty is true and correct in all respects, on and as of the date hereof, except to the extent that such representations and warranties specifically refer to an earlier date, in which case they are true and correct as of such earlier date.</w:t>
      </w:r>
    </w:p>
    <w:p>
      <w:pPr>
        <w:spacing w:after="0" w:line="142" w:lineRule="exact"/>
        <w:rPr>
          <w:rFonts w:ascii="Arial" w:cs="Arial" w:eastAsia="Arial" w:hAnsi="Arial"/>
          <w:sz w:val="18"/>
          <w:szCs w:val="18"/>
          <w:color w:val="auto"/>
        </w:rPr>
      </w:pPr>
    </w:p>
    <w:p>
      <w:pPr>
        <w:ind w:left="180" w:hanging="172"/>
        <w:spacing w:after="0"/>
        <w:tabs>
          <w:tab w:leader="none" w:pos="18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financial covenant analyses and information set forth on the Schedule 1 attached hereto are true and accurate on and as of the date of this Certificate.</w:t>
      </w:r>
    </w:p>
    <w:p>
      <w:pPr>
        <w:spacing w:after="0" w:line="275" w:lineRule="exact"/>
        <w:rPr>
          <w:sz w:val="20"/>
          <w:szCs w:val="20"/>
          <w:color w:val="auto"/>
        </w:rPr>
      </w:pPr>
    </w:p>
    <w:p>
      <w:pPr>
        <w:spacing w:after="0"/>
        <w:tabs>
          <w:tab w:leader="none" w:pos="5940" w:val="left"/>
          <w:tab w:leader="none" w:pos="6560" w:val="left"/>
        </w:tabs>
        <w:rPr>
          <w:sz w:val="20"/>
          <w:szCs w:val="20"/>
          <w:color w:val="auto"/>
        </w:rPr>
      </w:pPr>
      <w:r>
        <w:rPr>
          <w:rFonts w:ascii="Arial" w:cs="Arial" w:eastAsia="Arial" w:hAnsi="Arial"/>
          <w:sz w:val="16"/>
          <w:szCs w:val="16"/>
          <w:i w:val="1"/>
          <w:iCs w:val="1"/>
          <w:color w:val="auto"/>
        </w:rPr>
        <w:t xml:space="preserve">IN WITNESS WHEREOF, </w:t>
      </w:r>
      <w:r>
        <w:rPr>
          <w:rFonts w:ascii="Arial" w:cs="Arial" w:eastAsia="Arial" w:hAnsi="Arial"/>
          <w:sz w:val="16"/>
          <w:szCs w:val="16"/>
          <w:color w:val="auto"/>
        </w:rPr>
        <w:t>the undersigned has executed this Certificate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-13970</wp:posOffset>
            </wp:positionV>
            <wp:extent cx="72453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535" cy="8890"/>
                    </a:xfrm>
                    <a:prstGeom prst="rect">
                      <a:avLst/>
                    </a:prstGeom>
                    <a:noFill/>
                  </pic:spPr>
                </pic:pic>
              </a:graphicData>
            </a:graphic>
          </wp:anchor>
        </w:drawing>
      </w:r>
    </w:p>
    <w:p>
      <w:pPr>
        <w:spacing w:after="0" w:line="19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GRAND CANYON EDUCATION, INC., a Delaware corporation</w:t>
      </w:r>
    </w:p>
    <w:p>
      <w:pPr>
        <w:spacing w:after="0" w:line="24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10795</wp:posOffset>
            </wp:positionV>
            <wp:extent cx="256413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420"/>
          </w:cols>
          <w:pgMar w:left="240" w:top="274" w:right="239" w:bottom="1440" w:gutter="0" w:footer="0" w:header="0"/>
        </w:sectPr>
      </w:pPr>
    </w:p>
    <w:bookmarkStart w:id="257" w:name="page258"/>
    <w:bookmarkEnd w:id="25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JOINDER AGREEMENT</w:t>
      </w:r>
    </w:p>
    <w:p>
      <w:pPr>
        <w:spacing w:after="0" w:line="1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JOINDER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 , is by and between , a (the “</w:t>
      </w:r>
      <w:r>
        <w:rPr>
          <w:rFonts w:ascii="Arial" w:cs="Arial" w:eastAsia="Arial" w:hAnsi="Arial"/>
          <w:sz w:val="18"/>
          <w:szCs w:val="18"/>
          <w:u w:val="single" w:color="auto"/>
          <w:color w:val="auto"/>
        </w:rPr>
        <w:t>New Subsidiary</w:t>
      </w:r>
      <w:r>
        <w:rPr>
          <w:rFonts w:ascii="Arial" w:cs="Arial" w:eastAsia="Arial" w:hAnsi="Arial"/>
          <w:sz w:val="18"/>
          <w:szCs w:val="18"/>
          <w:color w:val="auto"/>
        </w:rPr>
        <w:t>”), and Bank of America, N.A., in its capacity as Administrative Agent under the Credit Agreement (as amended, modified, supplemented, increased and extended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December 21, 2012 by and among Grand Canyon Education,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identified therein, the Lenders from time to time party thereto and the Administrative Agent. Capitalized terms used herein and not defined herein shall have the meanings assigned to such terms in the Credit Agreement.</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Loan Parties are required by Section 7.12 of the Credit Agreement to cause the New Subsidiary to become a “Guarantor”. Accordingly, the New Subsidiary hereby agrees with the Administrative Agent as follows:</w:t>
      </w:r>
    </w:p>
    <w:p>
      <w:pPr>
        <w:spacing w:after="0" w:line="132" w:lineRule="exact"/>
        <w:rPr>
          <w:sz w:val="20"/>
          <w:szCs w:val="20"/>
          <w:color w:val="auto"/>
        </w:rPr>
      </w:pPr>
    </w:p>
    <w:p>
      <w:pPr>
        <w:ind w:right="100" w:firstLine="8"/>
        <w:spacing w:after="0" w:line="290" w:lineRule="auto"/>
        <w:tabs>
          <w:tab w:leader="none" w:pos="176"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New Subsidiary hereby acknowledges, agrees and confirms that, by its execution of this Agreement, the New Subsidiary will be deemed to be a party to the Credit Agreement and a “Guarantor” for all purposes of the Credit Agreement, and shall have all of the obligations of a Guarantor thereunder as if it had executed the Credit Agreement. The New Subsidiary hereby ratifies, as of the date hereof, and agrees to be bound by, all of the terms, provisions and conditions applicable to the Guarantors contained in the Credit Agreement. Without limiting the generality of the foregoing terms of this paragraph 1, the New Subsidiary hereby jointly and severally together with the other Guarantors, guarantees to the Administrative Agent, each Lender and each other holder of the Obligations, as provided in Article IV of the Credit Agreement, as primary obligor and not as surety, the prompt payment and performance of the Obligations in full when due (whether at stated maturity, as a mandatory prepayment, by acceleration or otherwise) strictly in accordance with the terms thereof.</w:t>
      </w:r>
    </w:p>
    <w:p>
      <w:pPr>
        <w:spacing w:after="0" w:line="118" w:lineRule="exact"/>
        <w:rPr>
          <w:rFonts w:ascii="Arial" w:cs="Arial" w:eastAsia="Arial" w:hAnsi="Arial"/>
          <w:sz w:val="16"/>
          <w:szCs w:val="16"/>
          <w:color w:val="auto"/>
        </w:rPr>
      </w:pPr>
    </w:p>
    <w:p>
      <w:pPr>
        <w:ind w:firstLine="8"/>
        <w:spacing w:after="0" w:line="289" w:lineRule="auto"/>
        <w:tabs>
          <w:tab w:leader="none" w:pos="176" w:val="left"/>
        </w:tabs>
        <w:numPr>
          <w:ilvl w:val="0"/>
          <w:numId w:val="251"/>
        </w:numPr>
        <w:rPr>
          <w:rFonts w:ascii="Arial" w:cs="Arial" w:eastAsia="Arial" w:hAnsi="Arial"/>
          <w:sz w:val="16"/>
          <w:szCs w:val="16"/>
          <w:color w:val="auto"/>
        </w:rPr>
      </w:pPr>
      <w:r>
        <w:rPr>
          <w:rFonts w:ascii="Arial" w:cs="Arial" w:eastAsia="Arial" w:hAnsi="Arial"/>
          <w:sz w:val="16"/>
          <w:szCs w:val="16"/>
          <w:color w:val="auto"/>
        </w:rPr>
        <w:t>The New Subsidiary hereby acknowledges, agrees and confirms that, by its execution of this Agreement, the New Subsidiary will be deemed to be a party to the Security Agreement and an “Obligor” for all purposes of the Security Agreement, and shall have all the obligations of an Obligor thereunder as if it had executed the Security Agreement. The New Subsidiary hereby ratifies, as of the date hereof, and agrees to be bound by, all of the terms, provisions and conditions contained in the Security Agreement. Without limiting generality of the foregoing terms of this paragraph 2, to secure the prompt payment and performance in full when due, whether by lapse of time, acceleration, mandatory prepayment or otherwise, of the Secured Obligations (as defined in the Security Agreement), the New Subsidiary hereby grants to the Administrative Agent, for the benefit of the holders of the Secured Obligations, a continuing security interest in, and a right of set off against any and all right, title and interest of the New Subsidiary in and to the Collateral (as such term is defined in Section 2 of the Security Agreement) of the New Subsidiary.</w:t>
      </w:r>
    </w:p>
    <w:p>
      <w:pPr>
        <w:spacing w:after="0" w:line="37" w:lineRule="exact"/>
        <w:rPr>
          <w:rFonts w:ascii="Arial" w:cs="Arial" w:eastAsia="Arial" w:hAnsi="Arial"/>
          <w:sz w:val="16"/>
          <w:szCs w:val="16"/>
          <w:color w:val="auto"/>
        </w:rPr>
      </w:pPr>
    </w:p>
    <w:p>
      <w:pPr>
        <w:ind w:left="180" w:hanging="172"/>
        <w:spacing w:after="0"/>
        <w:tabs>
          <w:tab w:leader="none" w:pos="1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New Subsidiary hereby represents and warrants to the Administrative Agent that:</w:t>
      </w:r>
    </w:p>
    <w:p>
      <w:pPr>
        <w:spacing w:after="0" w:line="90" w:lineRule="exact"/>
        <w:rPr>
          <w:rFonts w:ascii="Arial" w:cs="Arial" w:eastAsia="Arial" w:hAnsi="Arial"/>
          <w:sz w:val="18"/>
          <w:szCs w:val="18"/>
          <w:color w:val="auto"/>
        </w:rPr>
      </w:pPr>
    </w:p>
    <w:p>
      <w:pPr>
        <w:ind w:left="1120" w:hanging="217"/>
        <w:spacing w:after="0"/>
        <w:tabs>
          <w:tab w:leader="none" w:pos="1120" w:val="left"/>
        </w:tabs>
        <w:numPr>
          <w:ilvl w:val="2"/>
          <w:numId w:val="251"/>
        </w:numPr>
        <w:rPr>
          <w:rFonts w:ascii="Arial" w:cs="Arial" w:eastAsia="Arial" w:hAnsi="Arial"/>
          <w:sz w:val="16"/>
          <w:szCs w:val="16"/>
          <w:color w:val="auto"/>
        </w:rPr>
      </w:pPr>
      <w:r>
        <w:rPr>
          <w:rFonts w:ascii="Arial" w:cs="Arial" w:eastAsia="Arial" w:hAnsi="Arial"/>
          <w:sz w:val="16"/>
          <w:szCs w:val="16"/>
          <w:color w:val="auto"/>
        </w:rPr>
        <w:t xml:space="preserve">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is a list of all real property located in the United States that is owned or leased by the New Subsidiary as of the date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hereof.</w:t>
      </w:r>
    </w:p>
    <w:p>
      <w:pPr>
        <w:spacing w:after="0" w:line="83" w:lineRule="exact"/>
        <w:rPr>
          <w:rFonts w:ascii="Arial" w:cs="Arial" w:eastAsia="Arial" w:hAnsi="Arial"/>
          <w:sz w:val="16"/>
          <w:szCs w:val="16"/>
          <w:color w:val="auto"/>
        </w:rPr>
      </w:pPr>
    </w:p>
    <w:p>
      <w:pPr>
        <w:ind w:left="460" w:right="260" w:firstLine="443"/>
        <w:spacing w:after="0" w:line="268" w:lineRule="auto"/>
        <w:tabs>
          <w:tab w:leader="none" w:pos="1157" w:val="left"/>
        </w:tabs>
        <w:numPr>
          <w:ilvl w:val="2"/>
          <w:numId w:val="251"/>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is the chief executive office, U.S. tax payer identification number and organizational identification number of the New Subsidiary as of the date hereof.</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2"/>
          <w:numId w:val="251"/>
        </w:numPr>
        <w:rPr>
          <w:rFonts w:ascii="Arial" w:cs="Arial" w:eastAsia="Arial" w:hAnsi="Arial"/>
          <w:sz w:val="18"/>
          <w:szCs w:val="18"/>
          <w:color w:val="auto"/>
        </w:rPr>
      </w:pPr>
      <w:r>
        <w:rPr>
          <w:rFonts w:ascii="Arial" w:cs="Arial" w:eastAsia="Arial" w:hAnsi="Arial"/>
          <w:sz w:val="18"/>
          <w:szCs w:val="18"/>
          <w:color w:val="auto"/>
        </w:rPr>
        <w:t>The exact legal name and state of organization of the New Subsidiary is as set forth on the signature pages hereto.</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2"/>
          <w:numId w:val="251"/>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w:t>
      </w:r>
      <w:r>
        <w:rPr>
          <w:rFonts w:ascii="Arial" w:cs="Arial" w:eastAsia="Arial" w:hAnsi="Arial"/>
          <w:sz w:val="16"/>
          <w:szCs w:val="16"/>
          <w:color w:val="auto"/>
        </w:rPr>
        <w:t>, the New Subsidiary has not during the five years preceding the date hereof (i) changed its legal name,</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changed its state of formation, or (iii) been party to a merger, consolidation or other change in structure.</w:t>
      </w:r>
    </w:p>
    <w:p>
      <w:pPr>
        <w:sectPr>
          <w:pgSz w:w="11900" w:h="16838" w:orient="portrait"/>
          <w:cols w:equalWidth="0" w:num="1">
            <w:col w:w="11420"/>
          </w:cols>
          <w:pgMar w:left="240" w:top="274" w:right="239" w:bottom="1440" w:gutter="0" w:footer="0" w:header="0"/>
        </w:sectPr>
      </w:pPr>
    </w:p>
    <w:bookmarkStart w:id="258" w:name="page259"/>
    <w:bookmarkEnd w:id="258"/>
    <w:p>
      <w:pPr>
        <w:ind w:left="452" w:right="140" w:firstLine="443"/>
        <w:spacing w:after="0" w:line="268" w:lineRule="auto"/>
        <w:tabs>
          <w:tab w:leader="none" w:pos="1139" w:val="left"/>
        </w:tabs>
        <w:numPr>
          <w:ilvl w:val="1"/>
          <w:numId w:val="2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Set forth on </w:t>
      </w:r>
      <w:r>
        <w:rPr>
          <w:rFonts w:ascii="Arial" w:cs="Arial" w:eastAsia="Arial" w:hAnsi="Arial"/>
          <w:sz w:val="18"/>
          <w:szCs w:val="18"/>
          <w:u w:val="single" w:color="auto"/>
          <w:color w:val="auto"/>
        </w:rPr>
        <w:t>Schedule 4</w:t>
      </w:r>
      <w:r>
        <w:rPr>
          <w:rFonts w:ascii="Arial" w:cs="Arial" w:eastAsia="Arial" w:hAnsi="Arial"/>
          <w:sz w:val="18"/>
          <w:szCs w:val="18"/>
          <w:color w:val="auto"/>
        </w:rPr>
        <w:t xml:space="preserve"> is a list of all IP Rights registered or pending registration with the United States Copyright Office or the United States Patent and Trademark Office and owned by the New Subsidiary as of the date hereof.</w:t>
      </w:r>
    </w:p>
    <w:p>
      <w:pPr>
        <w:spacing w:after="0" w:line="50" w:lineRule="exact"/>
        <w:rPr>
          <w:rFonts w:ascii="Arial" w:cs="Arial" w:eastAsia="Arial" w:hAnsi="Arial"/>
          <w:sz w:val="18"/>
          <w:szCs w:val="18"/>
          <w:color w:val="auto"/>
        </w:rPr>
      </w:pPr>
    </w:p>
    <w:p>
      <w:pPr>
        <w:ind w:left="452" w:right="80" w:firstLine="443"/>
        <w:spacing w:after="0" w:line="268" w:lineRule="auto"/>
        <w:tabs>
          <w:tab w:leader="none" w:pos="1188" w:val="left"/>
        </w:tabs>
        <w:numPr>
          <w:ilvl w:val="1"/>
          <w:numId w:val="252"/>
        </w:numPr>
        <w:rPr>
          <w:rFonts w:ascii="Arial" w:cs="Arial" w:eastAsia="Arial" w:hAnsi="Arial"/>
          <w:sz w:val="18"/>
          <w:szCs w:val="18"/>
          <w:color w:val="auto"/>
        </w:rPr>
      </w:pPr>
      <w:r>
        <w:rPr>
          <w:rFonts w:ascii="Arial" w:cs="Arial" w:eastAsia="Arial" w:hAnsi="Arial"/>
          <w:sz w:val="18"/>
          <w:szCs w:val="18"/>
          <w:color w:val="auto"/>
        </w:rPr>
        <w:t xml:space="preserve">As of the Closing Date, the New Subsidiary has no Commercial Tort Claims seeking damages in excess of $100,000 other than as set forth on </w:t>
      </w:r>
      <w:r>
        <w:rPr>
          <w:rFonts w:ascii="Arial" w:cs="Arial" w:eastAsia="Arial" w:hAnsi="Arial"/>
          <w:sz w:val="18"/>
          <w:szCs w:val="18"/>
          <w:u w:val="single" w:color="auto"/>
          <w:color w:val="auto"/>
        </w:rPr>
        <w:t>Schedule 5</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8" w:right="200" w:firstLine="8"/>
        <w:spacing w:after="0" w:line="268" w:lineRule="auto"/>
        <w:tabs>
          <w:tab w:leader="none" w:pos="16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address of the New Subsidiary for purposes of all notices and other communications is the address set forth for the Borrower on Schedule 11.02 to the Credit Agreement.</w:t>
      </w:r>
    </w:p>
    <w:p>
      <w:pPr>
        <w:spacing w:after="0" w:line="131" w:lineRule="exact"/>
        <w:rPr>
          <w:rFonts w:ascii="Arial" w:cs="Arial" w:eastAsia="Arial" w:hAnsi="Arial"/>
          <w:sz w:val="18"/>
          <w:szCs w:val="18"/>
          <w:color w:val="auto"/>
        </w:rPr>
      </w:pPr>
    </w:p>
    <w:p>
      <w:pPr>
        <w:ind w:left="-8" w:right="140" w:firstLine="8"/>
        <w:spacing w:after="0" w:line="268" w:lineRule="auto"/>
        <w:tabs>
          <w:tab w:leader="none" w:pos="16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New Subsidiary hereby waives acceptance by the Administrative Agent and the Lenders of the guaranty by the New Subsidiary under Article IV of the Credit Agreement.</w:t>
      </w:r>
    </w:p>
    <w:p>
      <w:pPr>
        <w:spacing w:after="0" w:line="131" w:lineRule="exact"/>
        <w:rPr>
          <w:rFonts w:ascii="Arial" w:cs="Arial" w:eastAsia="Arial" w:hAnsi="Arial"/>
          <w:sz w:val="18"/>
          <w:szCs w:val="18"/>
          <w:color w:val="auto"/>
        </w:rPr>
      </w:pPr>
    </w:p>
    <w:p>
      <w:pPr>
        <w:ind w:left="-8" w:firstLine="8"/>
        <w:spacing w:after="0" w:line="268" w:lineRule="auto"/>
        <w:tabs>
          <w:tab w:leader="none" w:pos="16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This Agreement may be executed in two or more counterparts, each of which shall constitute an original but all of which when taken together shall constitute one contract.</w:t>
      </w:r>
    </w:p>
    <w:p>
      <w:pPr>
        <w:spacing w:after="0" w:line="131" w:lineRule="exact"/>
        <w:rPr>
          <w:rFonts w:ascii="Arial" w:cs="Arial" w:eastAsia="Arial" w:hAnsi="Arial"/>
          <w:sz w:val="18"/>
          <w:szCs w:val="18"/>
          <w:color w:val="auto"/>
        </w:rPr>
      </w:pPr>
    </w:p>
    <w:p>
      <w:pPr>
        <w:ind w:left="172" w:hanging="172"/>
        <w:spacing w:after="0"/>
        <w:tabs>
          <w:tab w:leader="none" w:pos="172"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New York.</w:t>
      </w:r>
    </w:p>
    <w:p>
      <w:pPr>
        <w:spacing w:after="0" w:line="171" w:lineRule="exact"/>
        <w:rPr>
          <w:sz w:val="20"/>
          <w:szCs w:val="20"/>
          <w:color w:val="auto"/>
        </w:rPr>
      </w:pPr>
    </w:p>
    <w:p>
      <w:pPr>
        <w:jc w:val="center"/>
        <w:ind w:right="-191"/>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1232"/>
          </w:cols>
          <w:pgMar w:left="248" w:top="280" w:right="419" w:bottom="1440" w:gutter="0" w:footer="0" w:header="0"/>
        </w:sectPr>
      </w:pPr>
    </w:p>
    <w:bookmarkStart w:id="259" w:name="page260"/>
    <w:bookmarkEnd w:id="259"/>
    <w:p>
      <w:pPr>
        <w:ind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New Subsidiary has caused this Joinder Agreement to be duly executed by its authorized officers, and the Administrative Agent, for the benefit of the Lenders, has caused the same to be accepted by its authorized officer, as of the day and year first above written.</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SUBSIDIARY]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Acknowledged and accepted: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180"/>
          </w:cols>
          <w:pgMar w:left="240" w:top="280" w:right="479" w:bottom="1440" w:gutter="0" w:footer="0" w:header="0"/>
        </w:sectPr>
      </w:pPr>
    </w:p>
    <w:bookmarkStart w:id="260" w:name="page261"/>
    <w:bookmarkEnd w:id="260"/>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F-1</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ASSIGNMENT AND ASSUMPTION</w:t>
      </w:r>
    </w:p>
    <w:p>
      <w:pPr>
        <w:spacing w:after="0" w:line="1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This Assignment and Assumption (this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[the] [each] Assignor identified in item 1 below ([the][each, an] “</w:t>
      </w:r>
      <w:r>
        <w:rPr>
          <w:rFonts w:ascii="Arial" w:cs="Arial" w:eastAsia="Arial" w:hAnsi="Arial"/>
          <w:sz w:val="16"/>
          <w:szCs w:val="16"/>
          <w:u w:val="single" w:color="auto"/>
          <w:color w:val="auto"/>
        </w:rPr>
        <w:t>Assignor</w:t>
      </w:r>
      <w:r>
        <w:rPr>
          <w:rFonts w:ascii="Arial" w:cs="Arial" w:eastAsia="Arial" w:hAnsi="Arial"/>
          <w:sz w:val="16"/>
          <w:szCs w:val="16"/>
          <w:color w:val="auto"/>
        </w:rPr>
        <w:t>”) and [the][each] Assignee identified in item 2 below ([the][each, an] “</w:t>
      </w:r>
      <w:r>
        <w:rPr>
          <w:rFonts w:ascii="Arial" w:cs="Arial" w:eastAsia="Arial" w:hAnsi="Arial"/>
          <w:sz w:val="16"/>
          <w:szCs w:val="16"/>
          <w:u w:val="single" w:color="auto"/>
          <w:color w:val="auto"/>
        </w:rPr>
        <w:t>Assignee</w:t>
      </w:r>
      <w:r>
        <w:rPr>
          <w:rFonts w:ascii="Arial" w:cs="Arial" w:eastAsia="Arial" w:hAnsi="Arial"/>
          <w:sz w:val="16"/>
          <w:szCs w:val="16"/>
          <w:color w:val="auto"/>
        </w:rPr>
        <w:t>”). [It is understood and agreed that the rights and obligations of [the Assignors][the Assignees] hereunder are several and not joint.]</w:t>
      </w:r>
      <w:r>
        <w:rPr>
          <w:rFonts w:ascii="Arial" w:cs="Arial" w:eastAsia="Arial" w:hAnsi="Arial"/>
          <w:sz w:val="10"/>
          <w:szCs w:val="10"/>
          <w:color w:val="auto"/>
        </w:rPr>
        <w:t>1</w:t>
      </w:r>
      <w:r>
        <w:rPr>
          <w:rFonts w:ascii="Arial" w:cs="Arial" w:eastAsia="Arial" w:hAnsi="Arial"/>
          <w:sz w:val="16"/>
          <w:szCs w:val="16"/>
          <w:color w:val="auto"/>
        </w:rPr>
        <w:t xml:space="preserve"> Capitalized terms used but not defined herein shall have the meanings given to them in the Credit Agreement identified below (as amended, restated, extended, supplemented, increased or otherwise modified in writing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in the amount</w:t>
      </w:r>
      <w:r>
        <w:rPr>
          <w:rFonts w:ascii="Arial" w:cs="Arial" w:eastAsia="Arial" w:hAnsi="Arial"/>
          <w:sz w:val="16"/>
          <w:szCs w:val="16"/>
          <w:b w:val="1"/>
          <w:bCs w:val="1"/>
          <w:color w:val="auto"/>
        </w:rPr>
        <w:t>[s]</w:t>
      </w:r>
      <w:r>
        <w:rPr>
          <w:rFonts w:ascii="Arial" w:cs="Arial" w:eastAsia="Arial" w:hAnsi="Arial"/>
          <w:sz w:val="16"/>
          <w:szCs w:val="16"/>
          <w:color w:val="auto"/>
        </w:rPr>
        <w:t xml:space="preserve"> and equal to the percentage interest</w:t>
      </w:r>
      <w:r>
        <w:rPr>
          <w:rFonts w:ascii="Arial" w:cs="Arial" w:eastAsia="Arial" w:hAnsi="Arial"/>
          <w:sz w:val="16"/>
          <w:szCs w:val="16"/>
          <w:b w:val="1"/>
          <w:bCs w:val="1"/>
          <w:color w:val="auto"/>
        </w:rPr>
        <w:t>[s]</w:t>
      </w:r>
      <w:r>
        <w:rPr>
          <w:rFonts w:ascii="Arial" w:cs="Arial" w:eastAsia="Arial" w:hAnsi="Arial"/>
          <w:sz w:val="16"/>
          <w:szCs w:val="16"/>
          <w:color w:val="auto"/>
        </w:rPr>
        <w:t xml:space="preserve"> identified below of all the outstanding rights and obligations under the respective facilities identified below (including, without limitation, the Letters of Credit and the Swing Line Loans included in such facilities</w:t>
      </w:r>
      <w:r>
        <w:rPr>
          <w:rFonts w:ascii="Arial" w:cs="Arial" w:eastAsia="Arial" w:hAnsi="Arial"/>
          <w:sz w:val="10"/>
          <w:szCs w:val="10"/>
          <w:color w:val="auto"/>
        </w:rPr>
        <w:t>2</w:t>
      </w:r>
      <w:r>
        <w:rPr>
          <w:rFonts w:ascii="Arial" w:cs="Arial" w:eastAsia="Arial" w:hAnsi="Arial"/>
          <w:sz w:val="16"/>
          <w:szCs w:val="16"/>
          <w:color w:val="auto"/>
        </w:rPr>
        <w:t>)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6"/>
          <w:szCs w:val="16"/>
          <w:u w:val="single" w:color="auto"/>
          <w:color w:val="auto"/>
        </w:rPr>
        <w:t>Assigned Interest</w:t>
      </w:r>
      <w:r>
        <w:rPr>
          <w:rFonts w:ascii="Arial" w:cs="Arial" w:eastAsia="Arial" w:hAnsi="Arial"/>
          <w:sz w:val="16"/>
          <w:szCs w:val="16"/>
          <w:color w:val="auto"/>
        </w:rPr>
        <w:t>”). Each such sale and assignment is without recourse to [the][any] Assignor and, except as expressly provided in this Assignment and Assumption, without representation or warranty by [the][any] Assignor.</w:t>
      </w:r>
    </w:p>
    <w:p>
      <w:pPr>
        <w:spacing w:after="0" w:line="161" w:lineRule="exact"/>
        <w:rPr>
          <w:sz w:val="20"/>
          <w:szCs w:val="20"/>
          <w:color w:val="auto"/>
        </w:rPr>
      </w:pPr>
    </w:p>
    <w:p>
      <w:pPr>
        <w:ind w:left="260" w:hanging="252"/>
        <w:spacing w:after="0"/>
        <w:tabs>
          <w:tab w:leader="none" w:pos="26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Assignor[s]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[Assignor [is] [is not] a Defaulting Lender]</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Assignee[s]</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[for each Assignee, indicate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Borrower(s)</w:t>
      </w:r>
      <w:r>
        <w:rPr>
          <w:rFonts w:ascii="Arial" w:cs="Arial" w:eastAsia="Arial" w:hAnsi="Arial"/>
          <w:sz w:val="18"/>
          <w:szCs w:val="18"/>
          <w:color w:val="auto"/>
        </w:rPr>
        <w:t>:   Grand Canyon Education,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-1291590</wp:posOffset>
            </wp:positionV>
            <wp:extent cx="318135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-1068705</wp:posOffset>
            </wp:positionV>
            <wp:extent cx="318135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-640080</wp:posOffset>
            </wp:positionV>
            <wp:extent cx="31813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-417195</wp:posOffset>
            </wp:positionV>
            <wp:extent cx="318135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1813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p>
      <w:pPr>
        <w:spacing w:after="0" w:line="137"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auto"/>
        </w:rPr>
        <w:t>Include bracketed language if there are either multiple Assignors or multiple Assignees.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Include all applicable subfacilities.</w:t>
      </w:r>
    </w:p>
    <w:p>
      <w:pPr>
        <w:sectPr>
          <w:pgSz w:w="11900" w:h="16838" w:orient="portrait"/>
          <w:cols w:equalWidth="0" w:num="2">
            <w:col w:w="60" w:space="400"/>
            <w:col w:w="10880"/>
          </w:cols>
          <w:pgMar w:left="240" w:top="274" w:right="319" w:bottom="1440" w:gutter="0" w:footer="0" w:header="0"/>
          <w:type w:val="continuous"/>
        </w:sectPr>
      </w:pPr>
    </w:p>
    <w:bookmarkStart w:id="261" w:name="page262"/>
    <w:bookmarkEnd w:id="261"/>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Administrative Agent</w:t>
      </w:r>
      <w:r>
        <w:rPr>
          <w:rFonts w:ascii="Arial" w:cs="Arial" w:eastAsia="Arial" w:hAnsi="Arial"/>
          <w:sz w:val="18"/>
          <w:szCs w:val="18"/>
          <w:color w:val="auto"/>
        </w:rPr>
        <w:t>: Bank of America, N.A., as the administrative agent under the Credit Agreement</w:t>
      </w:r>
    </w:p>
    <w:p>
      <w:pPr>
        <w:spacing w:after="0" w:line="90"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 Credit Agreement, dated as of December 21, 2012, among the Borrower, the Guarantors identified therein, the Lenders from time to time party thereto and Bank of America, N.A., as Administrative Agent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Assigned Interest[s]</w:t>
      </w:r>
      <w:r>
        <w:rPr>
          <w:rFonts w:ascii="Arial" w:cs="Arial" w:eastAsia="Arial" w:hAnsi="Arial"/>
          <w:sz w:val="18"/>
          <w:szCs w:val="18"/>
          <w:color w:val="auto"/>
        </w:rPr>
        <w:t>:</w:t>
      </w:r>
      <w:r>
        <w:rPr>
          <w:rFonts w:ascii="Arial" w:cs="Arial" w:eastAsia="Arial" w:hAnsi="Arial"/>
          <w:sz w:val="11"/>
          <w:szCs w:val="11"/>
          <w:color w:val="auto"/>
        </w:rPr>
        <w:t>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4"/>
                <w:szCs w:val="14"/>
                <w:color w:val="auto"/>
                <w:w w:val="86"/>
              </w:rPr>
              <w:t>Aggregate</w:t>
            </w: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2"/>
          </w:tcPr>
          <w:p>
            <w:pPr>
              <w:jc w:val="center"/>
              <w:ind w:right="600"/>
              <w:spacing w:after="0"/>
              <w:rPr>
                <w:sz w:val="20"/>
                <w:szCs w:val="20"/>
                <w:color w:val="auto"/>
              </w:rPr>
            </w:pPr>
            <w:r>
              <w:rPr>
                <w:rFonts w:ascii="Arial" w:cs="Arial" w:eastAsia="Arial" w:hAnsi="Arial"/>
                <w:sz w:val="14"/>
                <w:szCs w:val="14"/>
                <w:color w:val="auto"/>
                <w:w w:val="83"/>
              </w:rPr>
              <w:t>Percentage</w:t>
            </w:r>
          </w:p>
        </w:tc>
        <w:tc>
          <w:tcPr>
            <w:tcW w:w="440" w:type="dxa"/>
            <w:vAlign w:val="bottom"/>
          </w:tcPr>
          <w:p>
            <w:pPr>
              <w:spacing w:after="0"/>
              <w:rPr>
                <w:sz w:val="14"/>
                <w:szCs w:val="14"/>
                <w:color w:val="auto"/>
              </w:rPr>
            </w:pPr>
          </w:p>
        </w:tc>
      </w:tr>
      <w:tr>
        <w:trPr>
          <w:trHeight w:val="149"/>
        </w:trPr>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0"/>
              </w:rPr>
              <w:t>Amount of</w:t>
            </w:r>
          </w:p>
        </w:tc>
        <w:tc>
          <w:tcPr>
            <w:tcW w:w="1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Amount of</w:t>
            </w: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7"/>
              </w:rPr>
              <w:t>Assigned of</w:t>
            </w:r>
          </w:p>
        </w:tc>
        <w:tc>
          <w:tcPr>
            <w:tcW w:w="440" w:type="dxa"/>
            <w:vAlign w:val="bottom"/>
          </w:tcPr>
          <w:p>
            <w:pPr>
              <w:spacing w:after="0"/>
              <w:rPr>
                <w:sz w:val="12"/>
                <w:szCs w:val="12"/>
                <w:color w:val="auto"/>
              </w:rPr>
            </w:pPr>
          </w:p>
        </w:tc>
      </w:tr>
      <w:tr>
        <w:trPr>
          <w:trHeight w:val="132"/>
        </w:trPr>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jc w:val="center"/>
              <w:spacing w:after="0" w:line="133" w:lineRule="exact"/>
              <w:rPr>
                <w:sz w:val="20"/>
                <w:szCs w:val="20"/>
                <w:color w:val="auto"/>
              </w:rPr>
            </w:pPr>
            <w:r>
              <w:rPr>
                <w:rFonts w:ascii="Arial" w:cs="Arial" w:eastAsia="Arial" w:hAnsi="Arial"/>
                <w:sz w:val="14"/>
                <w:szCs w:val="14"/>
                <w:color w:val="auto"/>
                <w:w w:val="96"/>
              </w:rPr>
              <w:t>Facility</w:t>
            </w:r>
          </w:p>
        </w:tc>
        <w:tc>
          <w:tcPr>
            <w:tcW w:w="2160" w:type="dxa"/>
            <w:vAlign w:val="bottom"/>
            <w:gridSpan w:val="3"/>
          </w:tcPr>
          <w:p>
            <w:pPr>
              <w:ind w:left="500"/>
              <w:spacing w:after="0" w:line="133" w:lineRule="exact"/>
              <w:rPr>
                <w:sz w:val="20"/>
                <w:szCs w:val="20"/>
                <w:color w:val="auto"/>
              </w:rPr>
            </w:pPr>
            <w:r>
              <w:rPr>
                <w:rFonts w:ascii="Arial" w:cs="Arial" w:eastAsia="Arial" w:hAnsi="Arial"/>
                <w:sz w:val="14"/>
                <w:szCs w:val="14"/>
                <w:color w:val="auto"/>
              </w:rPr>
              <w:t>Commitment/Loans</w:t>
            </w:r>
          </w:p>
        </w:tc>
        <w:tc>
          <w:tcPr>
            <w:tcW w:w="1680" w:type="dxa"/>
            <w:vAlign w:val="bottom"/>
            <w:gridSpan w:val="2"/>
          </w:tcPr>
          <w:p>
            <w:pPr>
              <w:spacing w:after="0" w:line="133" w:lineRule="exact"/>
              <w:rPr>
                <w:sz w:val="20"/>
                <w:szCs w:val="20"/>
                <w:color w:val="auto"/>
              </w:rPr>
            </w:pPr>
            <w:r>
              <w:rPr>
                <w:rFonts w:ascii="Arial" w:cs="Arial" w:eastAsia="Arial" w:hAnsi="Arial"/>
                <w:sz w:val="14"/>
                <w:szCs w:val="14"/>
                <w:color w:val="auto"/>
              </w:rPr>
              <w:t>Commitment/Loans</w:t>
            </w:r>
          </w:p>
        </w:tc>
        <w:tc>
          <w:tcPr>
            <w:tcW w:w="1360" w:type="dxa"/>
            <w:vAlign w:val="bottom"/>
            <w:gridSpan w:val="2"/>
          </w:tcPr>
          <w:p>
            <w:pPr>
              <w:jc w:val="right"/>
              <w:ind w:right="600"/>
              <w:spacing w:after="0" w:line="133" w:lineRule="exact"/>
              <w:rPr>
                <w:sz w:val="20"/>
                <w:szCs w:val="20"/>
                <w:color w:val="auto"/>
              </w:rPr>
            </w:pPr>
            <w:r>
              <w:rPr>
                <w:rFonts w:ascii="Arial" w:cs="Arial" w:eastAsia="Arial" w:hAnsi="Arial"/>
                <w:sz w:val="14"/>
                <w:szCs w:val="14"/>
                <w:color w:val="auto"/>
                <w:w w:val="88"/>
              </w:rPr>
              <w:t>Commitment/</w:t>
            </w:r>
          </w:p>
        </w:tc>
        <w:tc>
          <w:tcPr>
            <w:tcW w:w="440" w:type="dxa"/>
            <w:vAlign w:val="bottom"/>
          </w:tcPr>
          <w:p>
            <w:pPr>
              <w:ind w:left="20"/>
              <w:spacing w:after="0" w:line="133" w:lineRule="exact"/>
              <w:rPr>
                <w:sz w:val="20"/>
                <w:szCs w:val="20"/>
                <w:color w:val="auto"/>
              </w:rPr>
            </w:pPr>
            <w:r>
              <w:rPr>
                <w:rFonts w:ascii="Arial" w:cs="Arial" w:eastAsia="Arial" w:hAnsi="Arial"/>
                <w:sz w:val="14"/>
                <w:szCs w:val="14"/>
                <w:color w:val="auto"/>
                <w:w w:val="93"/>
              </w:rPr>
              <w:t>CUSIP</w:t>
            </w:r>
          </w:p>
        </w:tc>
      </w:tr>
      <w:tr>
        <w:trPr>
          <w:trHeight w:val="169"/>
        </w:trPr>
        <w:tc>
          <w:tcPr>
            <w:tcW w:w="1320" w:type="dxa"/>
            <w:vAlign w:val="bottom"/>
            <w:gridSpan w:val="2"/>
          </w:tcPr>
          <w:p>
            <w:pPr>
              <w:spacing w:after="0"/>
              <w:rPr>
                <w:sz w:val="20"/>
                <w:szCs w:val="20"/>
                <w:color w:val="auto"/>
              </w:rPr>
            </w:pPr>
            <w:r>
              <w:rPr>
                <w:rFonts w:ascii="Arial" w:cs="Arial" w:eastAsia="Arial" w:hAnsi="Arial"/>
                <w:sz w:val="14"/>
                <w:szCs w:val="14"/>
                <w:color w:val="auto"/>
              </w:rPr>
              <w:t>Assignor[s]</w:t>
            </w:r>
          </w:p>
        </w:tc>
        <w:tc>
          <w:tcPr>
            <w:tcW w:w="1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color w:val="auto"/>
              </w:rPr>
              <w:t>Assignee[s]</w:t>
            </w:r>
          </w:p>
        </w:tc>
        <w:tc>
          <w:tcPr>
            <w:tcW w:w="580" w:type="dxa"/>
            <w:vAlign w:val="bottom"/>
          </w:tcPr>
          <w:p>
            <w:pPr>
              <w:jc w:val="center"/>
              <w:spacing w:after="0" w:line="162" w:lineRule="exact"/>
              <w:rPr>
                <w:sz w:val="20"/>
                <w:szCs w:val="20"/>
                <w:color w:val="auto"/>
              </w:rPr>
            </w:pPr>
            <w:r>
              <w:rPr>
                <w:rFonts w:ascii="Arial" w:cs="Arial" w:eastAsia="Arial" w:hAnsi="Arial"/>
                <w:sz w:val="12"/>
                <w:szCs w:val="12"/>
                <w:color w:val="auto"/>
                <w:w w:val="99"/>
              </w:rPr>
              <w:t>Assigned</w:t>
            </w:r>
            <w:r>
              <w:rPr>
                <w:rFonts w:ascii="Arial" w:cs="Arial" w:eastAsia="Arial" w:hAnsi="Arial"/>
                <w:sz w:val="18"/>
                <w:szCs w:val="18"/>
                <w:color w:val="auto"/>
                <w:w w:val="99"/>
                <w:vertAlign w:val="superscript"/>
              </w:rPr>
              <w:t>4</w:t>
            </w:r>
          </w:p>
        </w:tc>
        <w:tc>
          <w:tcPr>
            <w:tcW w:w="500" w:type="dxa"/>
            <w:vAlign w:val="bottom"/>
          </w:tcPr>
          <w:p>
            <w:pPr>
              <w:spacing w:after="0"/>
              <w:rPr>
                <w:sz w:val="14"/>
                <w:szCs w:val="14"/>
                <w:color w:val="auto"/>
              </w:rPr>
            </w:pPr>
          </w:p>
        </w:tc>
        <w:tc>
          <w:tcPr>
            <w:tcW w:w="1660" w:type="dxa"/>
            <w:vAlign w:val="bottom"/>
            <w:gridSpan w:val="2"/>
          </w:tcPr>
          <w:p>
            <w:pPr>
              <w:jc w:val="center"/>
              <w:ind w:right="600"/>
              <w:spacing w:after="0" w:line="162" w:lineRule="exact"/>
              <w:rPr>
                <w:sz w:val="20"/>
                <w:szCs w:val="20"/>
                <w:color w:val="auto"/>
              </w:rPr>
            </w:pPr>
            <w:r>
              <w:rPr>
                <w:rFonts w:ascii="Arial" w:cs="Arial" w:eastAsia="Arial" w:hAnsi="Arial"/>
                <w:sz w:val="12"/>
                <w:szCs w:val="12"/>
                <w:color w:val="auto"/>
              </w:rPr>
              <w:t>for all Lenders</w:t>
            </w:r>
            <w:r>
              <w:rPr>
                <w:rFonts w:ascii="Arial" w:cs="Arial" w:eastAsia="Arial" w:hAnsi="Arial"/>
                <w:sz w:val="18"/>
                <w:szCs w:val="18"/>
                <w:color w:val="auto"/>
                <w:vertAlign w:val="superscript"/>
              </w:rPr>
              <w:t>5</w:t>
            </w:r>
          </w:p>
        </w:tc>
        <w:tc>
          <w:tcPr>
            <w:tcW w:w="1680" w:type="dxa"/>
            <w:vAlign w:val="bottom"/>
            <w:gridSpan w:val="2"/>
          </w:tcPr>
          <w:p>
            <w:pPr>
              <w:ind w:left="300"/>
              <w:spacing w:after="0"/>
              <w:rPr>
                <w:sz w:val="20"/>
                <w:szCs w:val="20"/>
                <w:color w:val="auto"/>
              </w:rPr>
            </w:pPr>
            <w:r>
              <w:rPr>
                <w:rFonts w:ascii="Arial" w:cs="Arial" w:eastAsia="Arial" w:hAnsi="Arial"/>
                <w:sz w:val="14"/>
                <w:szCs w:val="14"/>
                <w:color w:val="auto"/>
              </w:rPr>
              <w:t>Assigned</w:t>
            </w:r>
          </w:p>
        </w:tc>
        <w:tc>
          <w:tcPr>
            <w:tcW w:w="1360" w:type="dxa"/>
            <w:vAlign w:val="bottom"/>
            <w:gridSpan w:val="2"/>
          </w:tcPr>
          <w:p>
            <w:pPr>
              <w:jc w:val="center"/>
              <w:ind w:right="600"/>
              <w:spacing w:after="0" w:line="162" w:lineRule="exact"/>
              <w:rPr>
                <w:sz w:val="20"/>
                <w:szCs w:val="20"/>
                <w:color w:val="auto"/>
              </w:rPr>
            </w:pPr>
            <w:r>
              <w:rPr>
                <w:rFonts w:ascii="Arial" w:cs="Arial" w:eastAsia="Arial" w:hAnsi="Arial"/>
                <w:sz w:val="12"/>
                <w:szCs w:val="12"/>
                <w:color w:val="auto"/>
              </w:rPr>
              <w:t>Loans</w:t>
            </w:r>
            <w:r>
              <w:rPr>
                <w:rFonts w:ascii="Arial" w:cs="Arial" w:eastAsia="Arial" w:hAnsi="Arial"/>
                <w:sz w:val="18"/>
                <w:szCs w:val="18"/>
                <w:color w:val="auto"/>
                <w:vertAlign w:val="superscript"/>
              </w:rPr>
              <w:t>6</w:t>
            </w:r>
          </w:p>
        </w:tc>
        <w:tc>
          <w:tcPr>
            <w:tcW w:w="440" w:type="dxa"/>
            <w:vAlign w:val="bottom"/>
          </w:tcPr>
          <w:p>
            <w:pPr>
              <w:spacing w:after="0"/>
              <w:rPr>
                <w:sz w:val="20"/>
                <w:szCs w:val="20"/>
                <w:color w:val="auto"/>
              </w:rPr>
            </w:pPr>
            <w:r>
              <w:rPr>
                <w:rFonts w:ascii="Arial" w:cs="Arial" w:eastAsia="Arial" w:hAnsi="Arial"/>
                <w:sz w:val="14"/>
                <w:szCs w:val="14"/>
                <w:color w:val="auto"/>
                <w:w w:val="84"/>
              </w:rPr>
              <w:t>Number</w:t>
            </w:r>
          </w:p>
        </w:tc>
      </w:tr>
      <w:tr>
        <w:trPr>
          <w:trHeight w:val="216"/>
        </w:trPr>
        <w:tc>
          <w:tcPr>
            <w:tcW w:w="6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8"/>
        </w:trPr>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16"/>
        </w:trPr>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64"/>
        </w:trPr>
        <w:tc>
          <w:tcPr>
            <w:tcW w:w="1320" w:type="dxa"/>
            <w:vAlign w:val="bottom"/>
            <w:gridSpan w:val="2"/>
          </w:tcPr>
          <w:p>
            <w:pPr>
              <w:spacing w:after="0"/>
              <w:rPr>
                <w:sz w:val="20"/>
                <w:szCs w:val="20"/>
                <w:color w:val="auto"/>
              </w:rPr>
            </w:pPr>
            <w:r>
              <w:rPr>
                <w:rFonts w:ascii="Arial" w:cs="Arial" w:eastAsia="Arial" w:hAnsi="Arial"/>
                <w:sz w:val="18"/>
                <w:szCs w:val="18"/>
                <w:color w:val="auto"/>
                <w:w w:val="99"/>
              </w:rPr>
              <w:t>[7.   Trade Date:</w:t>
            </w:r>
          </w:p>
        </w:tc>
        <w:tc>
          <w:tcPr>
            <w:tcW w:w="1240" w:type="dxa"/>
            <w:vAlign w:val="bottom"/>
            <w:tcBorders>
              <w:bottom w:val="single" w:sz="8" w:color="auto"/>
            </w:tcBorders>
          </w:tcPr>
          <w:p>
            <w:pPr>
              <w:spacing w:after="0"/>
              <w:rPr>
                <w:sz w:val="22"/>
                <w:szCs w:val="22"/>
                <w:color w:val="auto"/>
              </w:rPr>
            </w:pPr>
          </w:p>
        </w:tc>
        <w:tc>
          <w:tcPr>
            <w:tcW w:w="1500" w:type="dxa"/>
            <w:vAlign w:val="bottom"/>
          </w:tcPr>
          <w:p>
            <w:pPr>
              <w:jc w:val="right"/>
              <w:ind w:right="1312"/>
              <w:spacing w:after="0"/>
              <w:rPr>
                <w:sz w:val="20"/>
                <w:szCs w:val="20"/>
                <w:color w:val="auto"/>
              </w:rPr>
            </w:pPr>
            <w:r>
              <w:rPr>
                <w:rFonts w:ascii="Arial" w:cs="Arial" w:eastAsia="Arial" w:hAnsi="Arial"/>
                <w:sz w:val="18"/>
                <w:szCs w:val="18"/>
                <w:color w:val="auto"/>
                <w:w w:val="71"/>
              </w:rPr>
              <w:t>]</w:t>
            </w:r>
            <w:r>
              <w:rPr>
                <w:rFonts w:ascii="Arial" w:cs="Arial" w:eastAsia="Arial" w:hAnsi="Arial"/>
                <w:sz w:val="11"/>
                <w:szCs w:val="11"/>
                <w:color w:val="auto"/>
                <w:w w:val="71"/>
              </w:rPr>
              <w:t>7</w:t>
            </w:r>
          </w:p>
        </w:tc>
        <w:tc>
          <w:tcPr>
            <w:tcW w:w="6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5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397"/>
        </w:trPr>
        <w:tc>
          <w:tcPr>
            <w:tcW w:w="1320" w:type="dxa"/>
            <w:vAlign w:val="bottom"/>
            <w:gridSpan w:val="2"/>
          </w:tcPr>
          <w:p>
            <w:pPr>
              <w:spacing w:after="0"/>
              <w:rPr>
                <w:sz w:val="20"/>
                <w:szCs w:val="20"/>
                <w:color w:val="auto"/>
              </w:rPr>
            </w:pPr>
            <w:r>
              <w:rPr>
                <w:rFonts w:ascii="Arial" w:cs="Arial" w:eastAsia="Arial" w:hAnsi="Arial"/>
                <w:sz w:val="18"/>
                <w:szCs w:val="18"/>
                <w:color w:val="auto"/>
              </w:rPr>
              <w:t>Effective Date:</w:t>
            </w:r>
          </w:p>
        </w:tc>
        <w:tc>
          <w:tcPr>
            <w:tcW w:w="1240" w:type="dxa"/>
            <w:vAlign w:val="bottom"/>
          </w:tcPr>
          <w:p>
            <w:pPr>
              <w:jc w:val="right"/>
              <w:ind w:right="212"/>
              <w:spacing w:after="0"/>
              <w:rPr>
                <w:sz w:val="20"/>
                <w:szCs w:val="20"/>
                <w:color w:val="auto"/>
              </w:rPr>
            </w:pPr>
            <w:r>
              <w:rPr>
                <w:rFonts w:ascii="Arial" w:cs="Arial" w:eastAsia="Arial" w:hAnsi="Arial"/>
                <w:sz w:val="18"/>
                <w:szCs w:val="18"/>
                <w:color w:val="auto"/>
              </w:rPr>
              <w:t>, 20</w:t>
            </w:r>
          </w:p>
        </w:tc>
        <w:tc>
          <w:tcPr>
            <w:tcW w:w="8420" w:type="dxa"/>
            <w:vAlign w:val="bottom"/>
            <w:gridSpan w:val="11"/>
          </w:tcPr>
          <w:p>
            <w:pPr>
              <w:ind w:left="40"/>
              <w:spacing w:after="0"/>
              <w:rPr>
                <w:sz w:val="20"/>
                <w:szCs w:val="20"/>
                <w:color w:val="auto"/>
              </w:rPr>
            </w:pPr>
            <w:r>
              <w:rPr>
                <w:rFonts w:ascii="Arial" w:cs="Arial" w:eastAsia="Arial" w:hAnsi="Arial"/>
                <w:sz w:val="18"/>
                <w:szCs w:val="18"/>
                <w:color w:val="auto"/>
                <w:w w:val="95"/>
              </w:rPr>
              <w:t>[TO BE INSERTED BY THE ADMINISTRATIVE AGENT AND WHICH SHALL BE THE EFFECTIVE DATE OF</w:t>
            </w:r>
          </w:p>
        </w:tc>
        <w:tc>
          <w:tcPr>
            <w:tcW w:w="44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8"/>
          <w:szCs w:val="18"/>
          <w:color w:val="auto"/>
        </w:rPr>
        <w:t>RECORDATION OF TRANSFER IN THE REGISTER THEREFOR.]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ASSIGNOR[S]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ASSIGNEE[S]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ind w:left="460" w:hanging="452"/>
        <w:spacing w:after="0"/>
        <w:tabs>
          <w:tab w:leader="none" w:pos="460" w:val="left"/>
        </w:tabs>
        <w:numPr>
          <w:ilvl w:val="0"/>
          <w:numId w:val="256"/>
        </w:numPr>
        <w:rPr>
          <w:rFonts w:ascii="Arial" w:cs="Arial" w:eastAsia="Arial" w:hAnsi="Arial"/>
          <w:sz w:val="22"/>
          <w:szCs w:val="22"/>
          <w:color w:val="auto"/>
          <w:vertAlign w:val="superscript"/>
        </w:rPr>
      </w:pPr>
      <w:r>
        <w:rPr>
          <w:rFonts w:ascii="Arial" w:cs="Arial" w:eastAsia="Arial" w:hAnsi="Arial"/>
          <w:sz w:val="18"/>
          <w:szCs w:val="18"/>
          <w:color w:val="auto"/>
        </w:rPr>
        <w:t>The reference to “Loans” in the table should be used only if the Credit Agreement provides for Term Loans.</w:t>
      </w:r>
    </w:p>
    <w:p>
      <w:pPr>
        <w:spacing w:after="0" w:line="3" w:lineRule="exact"/>
        <w:rPr>
          <w:sz w:val="20"/>
          <w:szCs w:val="20"/>
          <w:color w:val="auto"/>
        </w:rPr>
      </w:pPr>
    </w:p>
    <w:p>
      <w:pPr>
        <w:ind w:left="460" w:hanging="452"/>
        <w:spacing w:after="0"/>
        <w:tabs>
          <w:tab w:leader="none" w:pos="460" w:val="left"/>
        </w:tabs>
        <w:numPr>
          <w:ilvl w:val="0"/>
          <w:numId w:val="257"/>
        </w:numPr>
        <w:rPr>
          <w:rFonts w:ascii="Arial" w:cs="Arial" w:eastAsia="Arial" w:hAnsi="Arial"/>
          <w:sz w:val="20"/>
          <w:szCs w:val="20"/>
          <w:color w:val="auto"/>
          <w:vertAlign w:val="superscript"/>
        </w:rPr>
      </w:pPr>
      <w:r>
        <w:rPr>
          <w:rFonts w:ascii="Arial" w:cs="Arial" w:eastAsia="Arial" w:hAnsi="Arial"/>
          <w:sz w:val="16"/>
          <w:szCs w:val="16"/>
          <w:color w:val="auto"/>
        </w:rPr>
        <w:t>Fill in the appropriate terminology for the types of facilities under the Credit Agreement that are being assigned under this Assignment (e.g. “Revolving</w:t>
      </w:r>
    </w:p>
    <w:p>
      <w:pPr>
        <w:spacing w:after="0" w:line="210" w:lineRule="exact"/>
        <w:rPr>
          <w:sz w:val="20"/>
          <w:szCs w:val="20"/>
          <w:color w:val="auto"/>
        </w:rPr>
      </w:pPr>
    </w:p>
    <w:p>
      <w:pPr>
        <w:ind w:left="460" w:right="120" w:hanging="452"/>
        <w:spacing w:after="0" w:line="219" w:lineRule="auto"/>
        <w:tabs>
          <w:tab w:leader="none" w:pos="460" w:val="left"/>
        </w:tabs>
        <w:numPr>
          <w:ilvl w:val="0"/>
          <w:numId w:val="258"/>
        </w:numPr>
        <w:rPr>
          <w:rFonts w:ascii="Arial" w:cs="Arial" w:eastAsia="Arial" w:hAnsi="Arial"/>
          <w:sz w:val="22"/>
          <w:szCs w:val="22"/>
          <w:color w:val="auto"/>
          <w:vertAlign w:val="superscript"/>
        </w:rPr>
      </w:pPr>
      <w:r>
        <w:rPr>
          <w:rFonts w:ascii="Arial" w:cs="Arial" w:eastAsia="Arial" w:hAnsi="Arial"/>
          <w:sz w:val="18"/>
          <w:szCs w:val="18"/>
          <w:color w:val="auto"/>
        </w:rPr>
        <w:t>Amounts in this column and in the column immediately to the right to be adjusted by the counterparties to take into account any payments or prepayments made between the Trade Date and the Effective Date.</w:t>
      </w:r>
    </w:p>
    <w:p>
      <w:pPr>
        <w:ind w:left="460" w:hanging="452"/>
        <w:spacing w:after="0" w:line="206" w:lineRule="auto"/>
        <w:tabs>
          <w:tab w:leader="none" w:pos="460" w:val="left"/>
        </w:tabs>
        <w:numPr>
          <w:ilvl w:val="0"/>
          <w:numId w:val="259"/>
        </w:numPr>
        <w:rPr>
          <w:rFonts w:ascii="Arial" w:cs="Arial" w:eastAsia="Arial" w:hAnsi="Arial"/>
          <w:sz w:val="22"/>
          <w:szCs w:val="22"/>
          <w:color w:val="auto"/>
          <w:vertAlign w:val="superscript"/>
        </w:rPr>
      </w:pPr>
      <w:r>
        <w:rPr>
          <w:rFonts w:ascii="Arial" w:cs="Arial" w:eastAsia="Arial" w:hAnsi="Arial"/>
          <w:sz w:val="18"/>
          <w:szCs w:val="18"/>
          <w:color w:val="auto"/>
        </w:rPr>
        <w:t>Set forth, to at least 9 decimals, as a percentage of the Commitment/Loans of all Lenders thereunder.</w:t>
      </w:r>
    </w:p>
    <w:p>
      <w:pPr>
        <w:ind w:left="460" w:hanging="452"/>
        <w:spacing w:after="0" w:line="221" w:lineRule="auto"/>
        <w:tabs>
          <w:tab w:leader="none" w:pos="460" w:val="left"/>
        </w:tabs>
        <w:numPr>
          <w:ilvl w:val="0"/>
          <w:numId w:val="260"/>
        </w:numPr>
        <w:rPr>
          <w:rFonts w:ascii="Arial" w:cs="Arial" w:eastAsia="Arial" w:hAnsi="Arial"/>
          <w:sz w:val="22"/>
          <w:szCs w:val="22"/>
          <w:color w:val="auto"/>
          <w:vertAlign w:val="superscript"/>
        </w:rPr>
      </w:pPr>
      <w:r>
        <w:rPr>
          <w:rFonts w:ascii="Arial" w:cs="Arial" w:eastAsia="Arial" w:hAnsi="Arial"/>
          <w:sz w:val="18"/>
          <w:szCs w:val="18"/>
          <w:color w:val="auto"/>
        </w:rPr>
        <w:t>To be completed if the Assignor and the Assignee intend that the minimum assignment amount is to be determined as of the Trade Date.</w:t>
      </w:r>
    </w:p>
    <w:p>
      <w:pPr>
        <w:sectPr>
          <w:pgSz w:w="11900" w:h="16838" w:orient="portrait"/>
          <w:cols w:equalWidth="0" w:num="1">
            <w:col w:w="11420"/>
          </w:cols>
          <w:pgMar w:left="240" w:top="280" w:right="239" w:bottom="1440" w:gutter="0" w:footer="0" w:header="0"/>
        </w:sectPr>
      </w:pPr>
    </w:p>
    <w:bookmarkStart w:id="262" w:name="page263"/>
    <w:bookmarkEnd w:id="262"/>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Name:</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11"/>
          <w:szCs w:val="11"/>
          <w:color w:val="auto"/>
        </w:rPr>
        <w:t>8</w:t>
      </w:r>
      <w:r>
        <w:rPr>
          <w:rFonts w:ascii="Arial" w:cs="Arial" w:eastAsia="Arial" w:hAnsi="Arial"/>
          <w:sz w:val="18"/>
          <w:szCs w:val="18"/>
          <w:color w:val="auto"/>
        </w:rPr>
        <w:t xml:space="preserve">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11"/>
          <w:szCs w:val="11"/>
          <w:color w:val="auto"/>
        </w:rPr>
        <w:t>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L/C Issuer and Swing Line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Lender]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 a Delaware</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360"/>
          </w:cols>
          <w:pgMar w:left="240" w:top="280" w:right="29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0"/>
          <w:szCs w:val="10"/>
          <w:color w:val="auto"/>
        </w:rPr>
        <w:t>8</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To be added only if the consent of the Administrative Agent is required by the terms of the Credit Agreement.</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To be added only if the consent of the Borrower and/or other parties (e.g. Swing Line Lender, L/C Issuer) is required by the terms of the Credit Agreement.</w:t>
      </w:r>
    </w:p>
    <w:p>
      <w:pPr>
        <w:sectPr>
          <w:pgSz w:w="11900" w:h="16838" w:orient="portrait"/>
          <w:cols w:equalWidth="0" w:num="2">
            <w:col w:w="60" w:space="400"/>
            <w:col w:w="10900"/>
          </w:cols>
          <w:pgMar w:left="240" w:top="280" w:right="299" w:bottom="1440" w:gutter="0" w:footer="0" w:header="0"/>
          <w:type w:val="continuous"/>
        </w:sectPr>
      </w:pPr>
    </w:p>
    <w:bookmarkStart w:id="263" w:name="page264"/>
    <w:bookmarkEnd w:id="2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1 TO ASSIGNMENT AND ASSUMPTION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171" w:lineRule="exact"/>
        <w:rPr>
          <w:sz w:val="20"/>
          <w:szCs w:val="20"/>
          <w:color w:val="auto"/>
        </w:rPr>
      </w:pPr>
    </w:p>
    <w:p>
      <w:pPr>
        <w:ind w:left="180" w:hanging="172"/>
        <w:spacing w:after="0"/>
        <w:tabs>
          <w:tab w:leader="none" w:pos="18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71" w:lineRule="exact"/>
        <w:rPr>
          <w:sz w:val="20"/>
          <w:szCs w:val="20"/>
          <w:color w:val="auto"/>
        </w:rPr>
      </w:pPr>
    </w:p>
    <w:p>
      <w:pPr>
        <w:ind w:right="120"/>
        <w:spacing w:after="0" w:line="303"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Assignor</w:t>
      </w:r>
      <w:r>
        <w:rPr>
          <w:rFonts w:ascii="Arial" w:cs="Arial" w:eastAsia="Arial" w:hAnsi="Arial"/>
          <w:sz w:val="15"/>
          <w:szCs w:val="15"/>
          <w:color w:val="auto"/>
        </w:rPr>
        <w:t xml:space="preserve">. [The][Each] Assignor (a) represents and warrants that (i) it is the legal and beneficial owner of [the][[the relevant] Assigned Interest, (ii) [the] [such]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w:t>
      </w:r>
      <w:r>
        <w:rPr>
          <w:rFonts w:ascii="Arial" w:cs="Arial" w:eastAsia="Arial" w:hAnsi="Arial"/>
          <w:sz w:val="15"/>
          <w:szCs w:val="15"/>
          <w:b w:val="1"/>
          <w:bCs w:val="1"/>
          <w:color w:val="auto"/>
        </w:rPr>
        <w:t>[not]</w:t>
      </w:r>
      <w:r>
        <w:rPr>
          <w:rFonts w:ascii="Arial" w:cs="Arial" w:eastAsia="Arial" w:hAnsi="Arial"/>
          <w:sz w:val="15"/>
          <w:szCs w:val="15"/>
          <w:color w:val="auto"/>
        </w:rPr>
        <w:t xml:space="preserve"> a Defaulting Lender; and</w:t>
      </w:r>
    </w:p>
    <w:p>
      <w:pPr>
        <w:spacing w:after="0" w:line="1" w:lineRule="exact"/>
        <w:rPr>
          <w:sz w:val="20"/>
          <w:szCs w:val="20"/>
          <w:color w:val="auto"/>
        </w:rPr>
      </w:pPr>
    </w:p>
    <w:p>
      <w:pPr>
        <w:ind w:left="260" w:hanging="252"/>
        <w:spacing w:after="0"/>
        <w:tabs>
          <w:tab w:leader="none" w:pos="26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assumes no responsibility with respect to (i) any statements, warranties or representations made in or in connection with the Credit Agreement or any other</w:t>
      </w:r>
    </w:p>
    <w:p>
      <w:pPr>
        <w:spacing w:after="0" w:line="32" w:lineRule="exact"/>
        <w:rPr>
          <w:rFonts w:ascii="Arial" w:cs="Arial" w:eastAsia="Arial" w:hAnsi="Arial"/>
          <w:sz w:val="16"/>
          <w:szCs w:val="16"/>
          <w:color w:val="auto"/>
        </w:rPr>
      </w:pPr>
    </w:p>
    <w:p>
      <w:pPr>
        <w:jc w:val="both"/>
        <w:ind w:right="20"/>
        <w:spacing w:after="0" w:line="302" w:lineRule="auto"/>
        <w:rPr>
          <w:rFonts w:ascii="Arial" w:cs="Arial" w:eastAsia="Arial" w:hAnsi="Arial"/>
          <w:sz w:val="16"/>
          <w:szCs w:val="16"/>
          <w:color w:val="auto"/>
        </w:rPr>
      </w:pPr>
      <w:r>
        <w:rPr>
          <w:rFonts w:ascii="Arial" w:cs="Arial" w:eastAsia="Arial" w:hAnsi="Arial"/>
          <w:sz w:val="16"/>
          <w:szCs w:val="16"/>
          <w:color w:val="auto"/>
        </w:rPr>
        <w:t>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0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Arial" w:cs="Arial" w:eastAsia="Arial" w:hAnsi="Arial"/>
          <w:sz w:val="16"/>
          <w:szCs w:val="16"/>
          <w:u w:val="single" w:color="auto"/>
          <w:color w:val="auto"/>
        </w:rPr>
        <w:t>Section 10.06(b)(iii)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of the Credit Agreement (subject to such consents, if any, as may be required under </w:t>
      </w:r>
      <w:r>
        <w:rPr>
          <w:rFonts w:ascii="Arial" w:cs="Arial" w:eastAsia="Arial" w:hAnsi="Arial"/>
          <w:sz w:val="16"/>
          <w:szCs w:val="16"/>
          <w:u w:val="single" w:color="auto"/>
          <w:color w:val="auto"/>
        </w:rPr>
        <w:t>Section 10.06(b)(iii)</w:t>
      </w:r>
      <w:r>
        <w:rPr>
          <w:rFonts w:ascii="Arial" w:cs="Arial" w:eastAsia="Arial" w:hAnsi="Arial"/>
          <w:sz w:val="16"/>
          <w:szCs w:val="16"/>
          <w:color w:val="auto"/>
        </w:rPr>
        <w:t xml:space="preserve"> 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Section __ thereof, as applicable,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24" w:lineRule="exact"/>
        <w:rPr>
          <w:sz w:val="20"/>
          <w:szCs w:val="20"/>
          <w:color w:val="auto"/>
        </w:rPr>
      </w:pPr>
    </w:p>
    <w:p>
      <w:pPr>
        <w:ind w:right="20" w:firstLine="8"/>
        <w:spacing w:after="0" w:line="298" w:lineRule="auto"/>
        <w:tabs>
          <w:tab w:leader="none" w:pos="176"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 Notwithstanding the foregoing, the Administrative Agent shall make all payments of interest, fees or other amounts paid or payable in kind from and after the Effective Date to [the][the relevant] Assignee.</w:t>
      </w:r>
    </w:p>
    <w:p>
      <w:pPr>
        <w:sectPr>
          <w:pgSz w:w="11900" w:h="16838" w:orient="portrait"/>
          <w:cols w:equalWidth="0" w:num="1">
            <w:col w:w="11420"/>
          </w:cols>
          <w:pgMar w:left="240" w:top="274" w:right="239" w:bottom="1440" w:gutter="0" w:footer="0" w:header="0"/>
        </w:sectPr>
      </w:pPr>
    </w:p>
    <w:bookmarkStart w:id="264" w:name="page265"/>
    <w:bookmarkEnd w:id="264"/>
    <w:p>
      <w:pPr>
        <w:ind w:left="-8" w:firstLine="8"/>
        <w:spacing w:after="0" w:line="298" w:lineRule="auto"/>
        <w:tabs>
          <w:tab w:leader="none" w:pos="168" w:val="left"/>
        </w:tabs>
        <w:numPr>
          <w:ilvl w:val="0"/>
          <w:numId w:val="2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Provisions</w:t>
      </w:r>
      <w:r>
        <w:rPr>
          <w:rFonts w:ascii="Arial" w:cs="Arial" w:eastAsia="Arial" w:hAnsi="Arial"/>
          <w:sz w:val="16"/>
          <w:szCs w:val="16"/>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laws of the State of New York.</w:t>
      </w:r>
    </w:p>
    <w:p>
      <w:pPr>
        <w:sectPr>
          <w:pgSz w:w="11900" w:h="16838" w:orient="portrait"/>
          <w:cols w:equalWidth="0" w:num="1">
            <w:col w:w="11312"/>
          </w:cols>
          <w:pgMar w:left="248" w:top="280" w:right="339" w:bottom="1440" w:gutter="0" w:footer="0" w:header="0"/>
        </w:sectPr>
      </w:pPr>
    </w:p>
    <w:bookmarkStart w:id="265" w:name="page266"/>
    <w:bookmarkEnd w:id="26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ADMINISTRATIVE QUESTIONNAIRE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 hereto]</w:t>
      </w:r>
    </w:p>
    <w:p>
      <w:pPr>
        <w:sectPr>
          <w:pgSz w:w="11900" w:h="16838" w:orient="portrait"/>
          <w:cols w:equalWidth="0" w:num="1">
            <w:col w:w="9019"/>
          </w:cols>
          <w:pgMar w:left="1440" w:top="274" w:right="1440" w:bottom="1440" w:gutter="0" w:footer="0" w:header="0"/>
        </w:sectPr>
      </w:pPr>
    </w:p>
    <w:bookmarkStart w:id="266" w:name="page267"/>
    <w:bookmarkEnd w:id="266"/>
    <w:p>
      <w:pPr>
        <w:ind w:left="51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G-1</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TAX COMPLIANCE CERTIFICATE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Foreign Lenders That Are Not Partnerships For U.S. Federal Income Tax Purposes)</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Reference is hereby made to the Credit Agreement dated as of December 21, 2012 (as amended, restated, extended, supplemented, increased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Grand Canyon Education, Inc., a Delaware corporation, the Guarantors identified therein, each lender from time to time party thereto and Bank of America, N.A., as Administrative Agent.</w:t>
      </w:r>
    </w:p>
    <w:p>
      <w:pPr>
        <w:spacing w:after="0" w:line="140"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w:t>
      </w:r>
    </w:p>
    <w:p>
      <w:pPr>
        <w:spacing w:after="0" w:line="261" w:lineRule="auto"/>
        <w:rPr>
          <w:sz w:val="20"/>
          <w:szCs w:val="20"/>
          <w:color w:val="auto"/>
        </w:rPr>
      </w:pPr>
      <w:r>
        <w:rPr>
          <w:rFonts w:ascii="Arial" w:cs="Arial" w:eastAsia="Arial" w:hAnsi="Arial"/>
          <w:sz w:val="18"/>
          <w:szCs w:val="18"/>
          <w:color w:val="auto"/>
        </w:rPr>
        <w:t>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5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-5715</wp:posOffset>
            </wp:positionV>
            <wp:extent cx="22555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-5715</wp:posOffset>
            </wp:positionV>
            <wp:extent cx="22555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20"/>
                <w:szCs w:val="20"/>
                <w:color w:val="auto"/>
              </w:rPr>
            </w:pPr>
            <w:r>
              <w:rPr>
                <w:rFonts w:ascii="Arial" w:cs="Arial" w:eastAsia="Arial" w:hAnsi="Arial"/>
                <w:sz w:val="18"/>
                <w:szCs w:val="18"/>
                <w:color w:val="auto"/>
                <w:w w:val="83"/>
              </w:rPr>
              <w:t>Date:</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ectPr>
          <w:pgSz w:w="11900" w:h="16838" w:orient="portrait"/>
          <w:cols w:equalWidth="0" w:num="1">
            <w:col w:w="11380"/>
          </w:cols>
          <w:pgMar w:left="240" w:top="274" w:right="279" w:bottom="1440" w:gutter="0" w:footer="0" w:header="0"/>
        </w:sectPr>
      </w:pPr>
    </w:p>
    <w:bookmarkStart w:id="267" w:name="page268"/>
    <w:bookmarkEnd w:id="267"/>
    <w:p>
      <w:pPr>
        <w:ind w:left="51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G-2</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 TAX COMPLIANCE CERTIFICATE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(For Foreign Participants That Are Not Partnerships For U.S. Federal Income Tax Purposes)</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Reference is hereby made to the Credit Agreement dated as of December 21, 2012 (as amended, restated, extended, supplemented, increased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Grand Canyon Education, a Delaware corporation, the Guarantors identified therein, each lender from time to time party thereto and Bank of America, N.A., as Administrative Agent.</w:t>
      </w:r>
    </w:p>
    <w:p>
      <w:pPr>
        <w:spacing w:after="0" w:line="14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Pursuant to the provisions of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43"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The undersigned has furnished its participating Lender with a certificate of its non-U.S. Person status on IRS Form W-8BEN.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5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-5715</wp:posOffset>
            </wp:positionV>
            <wp:extent cx="22555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-5715</wp:posOffset>
            </wp:positionV>
            <wp:extent cx="22555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ectPr>
          <w:pgSz w:w="11900" w:h="16838" w:orient="portrait"/>
          <w:cols w:equalWidth="0" w:num="1">
            <w:col w:w="11340"/>
          </w:cols>
          <w:pgMar w:left="240" w:top="274" w:right="319" w:bottom="1440" w:gutter="0" w:footer="0" w:header="0"/>
        </w:sectPr>
      </w:pPr>
    </w:p>
    <w:bookmarkStart w:id="268" w:name="page269"/>
    <w:bookmarkEnd w:id="268"/>
    <w:p>
      <w:pPr>
        <w:ind w:left="51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G-3</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TAX COMPLIANCE CERTIFICATE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Foreign Participants That Are Partnerships For U.S. Federal Income Tax Purposes)</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Reference is hereby made to the Credit Agreement dated as of December 21, 2012 (as amended, restated, extended, supplemented, increased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Grand Canyon Education, Inc., a Delaware corporation, the Guarantors identified therein, each lender from time to time party thereto and Bank of America, N.A., as Administrative Agent.</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undersigned has furnished its participating Lender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5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-5715</wp:posOffset>
            </wp:positionV>
            <wp:extent cx="22555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-5715</wp:posOffset>
            </wp:positionV>
            <wp:extent cx="22555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269" w:name="page270"/>
    <w:bookmarkEnd w:id="269"/>
    <w:p>
      <w:pPr>
        <w:ind w:left="51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G-4</w:t>
      </w:r>
    </w:p>
    <w:p>
      <w:pPr>
        <w:spacing w:after="0" w:line="17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FORM 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TAX COMPLIANCE CERTIFICATE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 Foreign Lenders That Are Partnerships For U.S. Federal Income Tax Purposes)</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Reference is hereby made to the Credit Agreement dated as of December 21, 2012 (as amended, restated, extended, supplemented, increased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among Grand Canyon Education, Inc., a Delaware corporation, the Guarantors identified therein, each lender from time to time party thereto and Bank of America, N.A., as Administrative Agent.</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Pursuant to the provisions of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18"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undersigned has furnished the Administrative Agent and the Borrower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w:t>
      </w:r>
    </w:p>
    <w:p>
      <w:pPr>
        <w:spacing w:after="0" w:line="3" w:lineRule="exact"/>
        <w:rPr>
          <w:sz w:val="20"/>
          <w:szCs w:val="20"/>
          <w:color w:val="auto"/>
        </w:rPr>
      </w:pPr>
    </w:p>
    <w:p>
      <w:pPr>
        <w:ind w:right="180" w:firstLine="8"/>
        <w:spacing w:after="0" w:line="323" w:lineRule="auto"/>
        <w:tabs>
          <w:tab w:leader="none" w:pos="249"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5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-5715</wp:posOffset>
            </wp:positionV>
            <wp:extent cx="22555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-5715</wp:posOffset>
            </wp:positionV>
            <wp:extent cx="22555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20"/>
                <w:szCs w:val="20"/>
                <w:color w:val="auto"/>
              </w:rPr>
            </w:pPr>
            <w:r>
              <w:rPr>
                <w:rFonts w:ascii="Arial" w:cs="Arial" w:eastAsia="Arial" w:hAnsi="Arial"/>
                <w:sz w:val="18"/>
                <w:szCs w:val="18"/>
                <w:color w:val="auto"/>
                <w:w w:val="83"/>
              </w:rPr>
              <w:t>Date:</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20[ ]</w:t>
            </w:r>
          </w:p>
        </w:tc>
      </w:tr>
      <w:tr>
        <w:trPr>
          <w:trHeight w:val="20"/>
        </w:trPr>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ectPr>
          <w:pgSz w:w="11900" w:h="16838" w:orient="portrait"/>
          <w:cols w:equalWidth="0" w:num="1">
            <w:col w:w="11380"/>
          </w:cols>
          <w:pgMar w:left="240" w:top="274" w:right="27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b w:val="1"/>
          <w:bCs w:val="1"/>
          <w:color w:val="auto"/>
        </w:rPr>
        <w:t>Exhibit 21.0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Subsidiaries of Registrant</w:t>
            </w:r>
          </w:p>
        </w:tc>
        <w:tc>
          <w:tcPr>
            <w:tcW w:w="458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Jurisdiction of Incorporation</w:t>
            </w:r>
          </w:p>
        </w:tc>
      </w:tr>
      <w:tr>
        <w:trPr>
          <w:trHeight w:val="195"/>
        </w:trPr>
        <w:tc>
          <w:tcPr>
            <w:tcW w:w="6060" w:type="dxa"/>
            <w:vAlign w:val="bottom"/>
            <w:gridSpan w:val="2"/>
          </w:tcPr>
          <w:p>
            <w:pPr>
              <w:spacing w:after="0" w:line="195" w:lineRule="exact"/>
              <w:rPr>
                <w:sz w:val="20"/>
                <w:szCs w:val="20"/>
                <w:color w:val="auto"/>
              </w:rPr>
            </w:pPr>
            <w:r>
              <w:rPr>
                <w:rFonts w:ascii="Arial" w:cs="Arial" w:eastAsia="Arial" w:hAnsi="Arial"/>
                <w:sz w:val="18"/>
                <w:szCs w:val="18"/>
                <w:color w:val="auto"/>
              </w:rPr>
              <w:t>Grand Canyon University, Inc.</w:t>
            </w:r>
          </w:p>
        </w:tc>
        <w:tc>
          <w:tcPr>
            <w:tcW w:w="5360" w:type="dxa"/>
            <w:vAlign w:val="bottom"/>
          </w:tcPr>
          <w:p>
            <w:pPr>
              <w:jc w:val="center"/>
              <w:spacing w:after="0" w:line="195" w:lineRule="exact"/>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Tierra Vista Inversiones,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440"/>
              <w:spacing w:after="0"/>
              <w:rPr>
                <w:sz w:val="20"/>
                <w:szCs w:val="20"/>
                <w:color w:val="auto"/>
              </w:rPr>
            </w:pPr>
            <w:r>
              <w:rPr>
                <w:rFonts w:ascii="Arial" w:cs="Arial" w:eastAsia="Arial" w:hAnsi="Arial"/>
                <w:sz w:val="18"/>
                <w:szCs w:val="18"/>
                <w:color w:val="auto"/>
              </w:rPr>
              <w:t>Nueva Ventura,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440"/>
              <w:spacing w:after="0"/>
              <w:rPr>
                <w:sz w:val="20"/>
                <w:szCs w:val="20"/>
                <w:color w:val="auto"/>
              </w:rPr>
            </w:pPr>
            <w:r>
              <w:rPr>
                <w:rFonts w:ascii="Arial" w:cs="Arial" w:eastAsia="Arial" w:hAnsi="Arial"/>
                <w:sz w:val="18"/>
                <w:szCs w:val="18"/>
                <w:color w:val="auto"/>
              </w:rPr>
              <w:t>Casa de Amistad,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440"/>
              <w:spacing w:after="0"/>
              <w:rPr>
                <w:sz w:val="20"/>
                <w:szCs w:val="20"/>
                <w:color w:val="auto"/>
              </w:rPr>
            </w:pPr>
            <w:r>
              <w:rPr>
                <w:rFonts w:ascii="Arial" w:cs="Arial" w:eastAsia="Arial" w:hAnsi="Arial"/>
                <w:sz w:val="18"/>
                <w:szCs w:val="18"/>
                <w:color w:val="auto"/>
              </w:rPr>
              <w:t>Amigos de Torrejon,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440"/>
              <w:spacing w:after="0"/>
              <w:rPr>
                <w:sz w:val="20"/>
                <w:szCs w:val="20"/>
                <w:color w:val="auto"/>
              </w:rPr>
            </w:pPr>
            <w:r>
              <w:rPr>
                <w:rFonts w:ascii="Arial" w:cs="Arial" w:eastAsia="Arial" w:hAnsi="Arial"/>
                <w:sz w:val="18"/>
                <w:szCs w:val="18"/>
                <w:color w:val="auto"/>
              </w:rPr>
              <w:t>Piedras Bonitas Inversiones,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440"/>
              <w:spacing w:after="0"/>
              <w:rPr>
                <w:sz w:val="20"/>
                <w:szCs w:val="20"/>
                <w:color w:val="auto"/>
              </w:rPr>
            </w:pPr>
            <w:r>
              <w:rPr>
                <w:rFonts w:ascii="Arial" w:cs="Arial" w:eastAsia="Arial" w:hAnsi="Arial"/>
                <w:sz w:val="18"/>
                <w:szCs w:val="18"/>
                <w:color w:val="auto"/>
              </w:rPr>
              <w:t>La Sonrisa de Siena,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440"/>
              <w:spacing w:after="0"/>
              <w:rPr>
                <w:sz w:val="20"/>
                <w:szCs w:val="20"/>
                <w:color w:val="auto"/>
              </w:rPr>
            </w:pPr>
            <w:r>
              <w:rPr>
                <w:rFonts w:ascii="Arial" w:cs="Arial" w:eastAsia="Arial" w:hAnsi="Arial"/>
                <w:sz w:val="18"/>
                <w:szCs w:val="18"/>
                <w:color w:val="auto"/>
              </w:rPr>
              <w:t>Nuevo Comienzo,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6060" w:type="dxa"/>
            <w:vAlign w:val="bottom"/>
            <w:gridSpan w:val="2"/>
          </w:tcPr>
          <w:p>
            <w:pPr>
              <w:ind w:left="440"/>
              <w:spacing w:after="0"/>
              <w:rPr>
                <w:sz w:val="20"/>
                <w:szCs w:val="20"/>
                <w:color w:val="auto"/>
              </w:rPr>
            </w:pPr>
            <w:r>
              <w:rPr>
                <w:rFonts w:ascii="Arial" w:cs="Arial" w:eastAsia="Arial" w:hAnsi="Arial"/>
                <w:sz w:val="18"/>
                <w:szCs w:val="18"/>
                <w:color w:val="auto"/>
              </w:rPr>
              <w:t>El Vecino de Amigos,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22"/>
        </w:trPr>
        <w:tc>
          <w:tcPr>
            <w:tcW w:w="6060" w:type="dxa"/>
            <w:vAlign w:val="bottom"/>
            <w:gridSpan w:val="2"/>
          </w:tcPr>
          <w:p>
            <w:pPr>
              <w:ind w:left="440"/>
              <w:spacing w:after="0"/>
              <w:rPr>
                <w:sz w:val="20"/>
                <w:szCs w:val="20"/>
                <w:color w:val="auto"/>
              </w:rPr>
            </w:pPr>
            <w:r>
              <w:rPr>
                <w:rFonts w:ascii="Arial" w:cs="Arial" w:eastAsia="Arial" w:hAnsi="Arial"/>
                <w:sz w:val="18"/>
                <w:szCs w:val="18"/>
                <w:color w:val="auto"/>
              </w:rPr>
              <w:t>La Fuente de la Comunidad, LLC</w:t>
            </w: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DE</w:t>
            </w:r>
          </w:p>
        </w:tc>
      </w:tr>
    </w:tbl>
    <w:p>
      <w:pPr>
        <w:sectPr>
          <w:pgSz w:w="11900" w:h="16838" w:orient="portrait"/>
          <w:cols w:equalWidth="0" w:num="1">
            <w:col w:w="11420"/>
          </w:cols>
          <w:pgMar w:left="240" w:top="125" w:right="2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16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(Nos. 333-155973, 333-165019, and 333-179611) on Form S-8 of Grand Canyon Education, Inc. of our reports dated February 19, 2013, with respect to the consolidated balance sheet of Grand Canyon Education, Inc. and subsidiaries as of December 31, 2012, and the related consolidated statements of income, comprehensive income, stockholders’ equity, and cash flows for the year then ended, and the effectiveness of internal control over financial reporting as of December 31, 2012, which reports appear in the December 31, 2012, annual report on Form 10-K of Grand Canyon Education, Inc.</w:t>
      </w:r>
    </w:p>
    <w:p>
      <w:pPr>
        <w:spacing w:after="0" w:line="14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ectPr>
          <w:pgSz w:w="11900" w:h="16838" w:orient="portrait"/>
          <w:cols w:equalWidth="0" w:num="1">
            <w:col w:w="11420"/>
          </w:cols>
          <w:pgMar w:left="240" w:top="125" w:right="2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Statements on Form S-8 (Nos. 333-155973, 333- 165019, 333-179611) pertaining to the Grand Canyon Education, Inc. 2008 Equity Incentive Plan of our report dated February 21, 2012, with respect to the consolidated financial statements of Grand Canyon Education, Inc., included in its Annual Report (Form 10-K) for the year ended December 31, 2012, filed with the Securities and Exchange Commission.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19, 2013</w:t>
      </w:r>
    </w:p>
    <w:p>
      <w:pPr>
        <w:sectPr>
          <w:pgSz w:w="11900" w:h="16838" w:orient="portrait"/>
          <w:cols w:equalWidth="0" w:num="1">
            <w:col w:w="11420"/>
          </w:cols>
          <w:pgMar w:left="240" w:top="126"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90" w:lineRule="exact"/>
        <w:rPr>
          <w:sz w:val="20"/>
          <w:szCs w:val="20"/>
          <w:color w:val="auto"/>
        </w:rPr>
      </w:pPr>
    </w:p>
    <w:p>
      <w:pPr>
        <w:ind w:left="640" w:hanging="176"/>
        <w:spacing w:after="0"/>
        <w:tabs>
          <w:tab w:leader="none" w:pos="6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ending December 31, 2012 of Grand Canyon Education,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6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460" w:firstLine="464"/>
        <w:spacing w:after="0" w:line="332" w:lineRule="auto"/>
        <w:tabs>
          <w:tab w:leader="none" w:pos="632" w:val="left"/>
        </w:tabs>
        <w:numPr>
          <w:ilvl w:val="0"/>
          <w:numId w:val="266"/>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right="80" w:firstLine="921"/>
        <w:spacing w:after="0" w:line="259" w:lineRule="auto"/>
        <w:tabs>
          <w:tab w:leader="none" w:pos="1093" w:val="left"/>
        </w:tabs>
        <w:numPr>
          <w:ilvl w:val="1"/>
          <w:numId w:val="2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right="300" w:firstLine="921"/>
        <w:spacing w:after="0" w:line="259" w:lineRule="auto"/>
        <w:tabs>
          <w:tab w:leader="none" w:pos="1103" w:val="left"/>
        </w:tabs>
        <w:numPr>
          <w:ilvl w:val="1"/>
          <w:numId w:val="2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right="860" w:firstLine="921"/>
        <w:spacing w:after="0" w:line="332" w:lineRule="auto"/>
        <w:tabs>
          <w:tab w:leader="none" w:pos="1093" w:val="left"/>
        </w:tabs>
        <w:numPr>
          <w:ilvl w:val="1"/>
          <w:numId w:val="2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right="340" w:firstLine="921"/>
        <w:spacing w:after="0" w:line="259" w:lineRule="auto"/>
        <w:tabs>
          <w:tab w:leader="none" w:pos="1103" w:val="left"/>
        </w:tabs>
        <w:numPr>
          <w:ilvl w:val="1"/>
          <w:numId w:val="2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26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right="260" w:firstLine="921"/>
        <w:spacing w:after="0" w:line="268" w:lineRule="auto"/>
        <w:tabs>
          <w:tab w:leader="none" w:pos="1093"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right="220" w:firstLine="921"/>
        <w:spacing w:after="0" w:line="268" w:lineRule="auto"/>
        <w:tabs>
          <w:tab w:leader="none" w:pos="1103" w:val="left"/>
        </w:tabs>
        <w:numPr>
          <w:ilvl w:val="1"/>
          <w:numId w:val="2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19, 2013</w:t>
      </w:r>
      <w:r>
        <w:rPr>
          <w:sz w:val="20"/>
          <w:szCs w:val="20"/>
          <w:color w:val="auto"/>
        </w:rPr>
        <w:tab/>
      </w:r>
      <w:r>
        <w:rPr>
          <w:rFonts w:ascii="Arial" w:cs="Arial" w:eastAsia="Arial" w:hAnsi="Arial"/>
          <w:sz w:val="16"/>
          <w:szCs w:val="16"/>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Brian E. Mueller</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90" w:lineRule="exact"/>
        <w:rPr>
          <w:sz w:val="20"/>
          <w:szCs w:val="20"/>
          <w:color w:val="auto"/>
        </w:rPr>
      </w:pPr>
    </w:p>
    <w:p>
      <w:pPr>
        <w:ind w:left="640" w:hanging="176"/>
        <w:spacing w:after="0"/>
        <w:tabs>
          <w:tab w:leader="none" w:pos="6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ending December 31, 2012 of Grand Canyon Education,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460" w:firstLine="464"/>
        <w:spacing w:after="0" w:line="332" w:lineRule="auto"/>
        <w:tabs>
          <w:tab w:leader="none" w:pos="632" w:val="left"/>
        </w:tabs>
        <w:numPr>
          <w:ilvl w:val="0"/>
          <w:numId w:val="267"/>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right="80" w:firstLine="921"/>
        <w:spacing w:after="0" w:line="259" w:lineRule="auto"/>
        <w:tabs>
          <w:tab w:leader="none" w:pos="109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right="300" w:firstLine="921"/>
        <w:spacing w:after="0" w:line="259" w:lineRule="auto"/>
        <w:tabs>
          <w:tab w:leader="none" w:pos="110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right="860" w:firstLine="921"/>
        <w:spacing w:after="0" w:line="332" w:lineRule="auto"/>
        <w:tabs>
          <w:tab w:leader="none" w:pos="1093" w:val="left"/>
        </w:tabs>
        <w:numPr>
          <w:ilvl w:val="1"/>
          <w:numId w:val="2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right="340" w:firstLine="921"/>
        <w:spacing w:after="0" w:line="259" w:lineRule="auto"/>
        <w:tabs>
          <w:tab w:leader="none" w:pos="110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right="260" w:firstLine="921"/>
        <w:spacing w:after="0" w:line="268" w:lineRule="auto"/>
        <w:tabs>
          <w:tab w:leader="none" w:pos="109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right="220" w:firstLine="921"/>
        <w:spacing w:after="0" w:line="268" w:lineRule="auto"/>
        <w:tabs>
          <w:tab w:leader="none" w:pos="1103"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19, 2013</w:t>
      </w:r>
      <w:r>
        <w:rPr>
          <w:sz w:val="20"/>
          <w:szCs w:val="20"/>
          <w:color w:val="auto"/>
        </w:rPr>
        <w:tab/>
      </w:r>
      <w:r>
        <w:rPr>
          <w:rFonts w:ascii="Arial" w:cs="Arial" w:eastAsia="Arial" w:hAnsi="Arial"/>
          <w:sz w:val="15"/>
          <w:szCs w:val="15"/>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Daniel E. Bachus</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5" w:right="2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Annual Report on Form 10-K of Grand Canyon Education, Inc. (the “University”) for the year ending December 31, 2012 as filed with the Securities and Exchange Commission on the date hereof (the “Report”), I, Brian E. Mueller, Chief Executive Officer, of the University, certify, pursuant to § 906 of the Sarbanes-Oxley Act of 2002,18 U.S.C. § 1350, as adopted pursuant to Section 906 of the Sarbanes-Oxley Act of 2002, that to the best of my knowledge:</w:t>
      </w:r>
    </w:p>
    <w:p>
      <w:pPr>
        <w:spacing w:after="0" w:line="62" w:lineRule="exact"/>
        <w:rPr>
          <w:sz w:val="20"/>
          <w:szCs w:val="20"/>
          <w:color w:val="auto"/>
        </w:rPr>
      </w:pPr>
    </w:p>
    <w:p>
      <w:pPr>
        <w:ind w:left="460" w:hanging="452"/>
        <w:spacing w:after="0"/>
        <w:tabs>
          <w:tab w:leader="none" w:pos="46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University.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Annual Report on Form 10-K of Grand Canyon Education, Inc. (the “University”) for the year ending December 31, 2012 as filed with the Securities and Exchange Commission on the date hereof (the “Report”), I, Daniel E. Bachus, Chief Financial Officer, of the University, certify, pursuant to § 906 of the Sarbanes-Oxley Act of 2002,18 U.S.C. § 1350, as adopted pursuant to Section 906 of the Sarbanes-Oxley Act of 2002, that to the best of my knowledge:</w:t>
      </w:r>
    </w:p>
    <w:p>
      <w:pPr>
        <w:spacing w:after="0" w:line="62" w:lineRule="exact"/>
        <w:rPr>
          <w:sz w:val="20"/>
          <w:szCs w:val="20"/>
          <w:color w:val="auto"/>
        </w:rPr>
      </w:pPr>
    </w:p>
    <w:p>
      <w:pPr>
        <w:ind w:left="460" w:hanging="452"/>
        <w:spacing w:after="0"/>
        <w:tabs>
          <w:tab w:leader="none" w:pos="46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(15 U.S.C. 78m);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University.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FAE18"/>
    <w:multiLevelType w:val="hybridMultilevel"/>
    <w:lvl w:ilvl="0">
      <w:lvlJc w:val="left"/>
      <w:lvlText w:val="☒"/>
      <w:numFmt w:val="bullet"/>
      <w:start w:val="1"/>
    </w:lvl>
  </w:abstractNum>
  <w:abstractNum w:abstractNumId="1">
    <w:nsid w:val="E3E47A8"/>
    <w:multiLevelType w:val="hybridMultilevel"/>
    <w:lvl w:ilvl="0">
      <w:lvlJc w:val="left"/>
      <w:lvlText w:val="☐"/>
      <w:numFmt w:val="bullet"/>
      <w:start w:val="1"/>
    </w:lvl>
  </w:abstractNum>
  <w:abstractNum w:abstractNumId="2">
    <w:nsid w:val="2E48F044"/>
    <w:multiLevelType w:val="hybridMultilevel"/>
    <w:lvl w:ilvl="0">
      <w:lvlJc w:val="left"/>
      <w:lvlText w:val="•"/>
      <w:numFmt w:val="bullet"/>
      <w:start w:val="1"/>
    </w:lvl>
  </w:abstractNum>
  <w:abstractNum w:abstractNumId="3">
    <w:nsid w:val="49D0FEAC"/>
    <w:multiLevelType w:val="hybridMultilevel"/>
    <w:lvl w:ilvl="0">
      <w:lvlJc w:val="left"/>
      <w:lvlText w:val="•"/>
      <w:numFmt w:val="bullet"/>
      <w:start w:val="1"/>
    </w:lvl>
  </w:abstractNum>
  <w:abstractNum w:abstractNumId="4">
    <w:nsid w:val="4BEE5A5B"/>
    <w:multiLevelType w:val="hybridMultilevel"/>
    <w:lvl w:ilvl="0">
      <w:lvlJc w:val="left"/>
      <w:lvlText w:val="•"/>
      <w:numFmt w:val="bullet"/>
      <w:start w:val="1"/>
    </w:lvl>
  </w:abstractNum>
  <w:abstractNum w:abstractNumId="5">
    <w:nsid w:val="5551B9F3"/>
    <w:multiLevelType w:val="hybridMultilevel"/>
    <w:lvl w:ilvl="0">
      <w:lvlJc w:val="left"/>
      <w:lvlText w:val="•"/>
      <w:numFmt w:val="bullet"/>
      <w:start w:val="1"/>
    </w:lvl>
  </w:abstractNum>
  <w:abstractNum w:abstractNumId="6">
    <w:nsid w:val="24F6AB8E"/>
    <w:multiLevelType w:val="hybridMultilevel"/>
    <w:lvl w:ilvl="0">
      <w:lvlJc w:val="left"/>
      <w:lvlText w:val="•"/>
      <w:numFmt w:val="bullet"/>
      <w:start w:val="1"/>
    </w:lvl>
  </w:abstractNum>
  <w:abstractNum w:abstractNumId="7">
    <w:nsid w:val="634C574C"/>
    <w:multiLevelType w:val="hybridMultilevel"/>
    <w:lvl w:ilvl="0">
      <w:lvlJc w:val="left"/>
      <w:lvlText w:val="*"/>
      <w:numFmt w:val="bullet"/>
      <w:start w:val="1"/>
    </w:lvl>
    <w:lvl w:ilvl="1">
      <w:lvlJc w:val="left"/>
      <w:lvlText w:val="•"/>
      <w:numFmt w:val="bullet"/>
      <w:start w:val="1"/>
    </w:lvl>
  </w:abstractNum>
  <w:abstractNum w:abstractNumId="8">
    <w:nsid w:val="24E99DD7"/>
    <w:multiLevelType w:val="hybridMultilevel"/>
    <w:lvl w:ilvl="0">
      <w:lvlJc w:val="left"/>
      <w:lvlText w:val="•"/>
      <w:numFmt w:val="bullet"/>
      <w:start w:val="1"/>
    </w:lvl>
  </w:abstractNum>
  <w:abstractNum w:abstractNumId="9">
    <w:nsid w:val="2A31B62D"/>
    <w:multiLevelType w:val="hybridMultilevel"/>
    <w:lvl w:ilvl="0">
      <w:lvlJc w:val="left"/>
      <w:lvlText w:val="•"/>
      <w:numFmt w:val="bullet"/>
      <w:start w:val="1"/>
    </w:lvl>
  </w:abstractNum>
  <w:abstractNum w:abstractNumId="10">
    <w:nsid w:val="1849C29B"/>
    <w:multiLevelType w:val="hybridMultilevel"/>
    <w:lvl w:ilvl="0">
      <w:lvlJc w:val="left"/>
      <w:lvlText w:val="(%1)"/>
      <w:numFmt w:val="decimal"/>
      <w:start w:val="1"/>
    </w:lvl>
  </w:abstractNum>
  <w:abstractNum w:abstractNumId="11">
    <w:nsid w:val="7DFF9D09"/>
    <w:multiLevelType w:val="hybridMultilevel"/>
    <w:lvl w:ilvl="0">
      <w:lvlJc w:val="left"/>
      <w:lvlText w:val="•"/>
      <w:numFmt w:val="bullet"/>
      <w:start w:val="1"/>
    </w:lvl>
  </w:abstractNum>
  <w:abstractNum w:abstractNumId="12">
    <w:nsid w:val="754342"/>
    <w:multiLevelType w:val="hybridMultilevel"/>
    <w:lvl w:ilvl="0">
      <w:lvlJc w:val="left"/>
      <w:lvlText w:val="•"/>
      <w:numFmt w:val="bullet"/>
      <w:start w:val="1"/>
    </w:lvl>
  </w:abstractNum>
  <w:abstractNum w:abstractNumId="13">
    <w:nsid w:val="69E7F3E5"/>
    <w:multiLevelType w:val="hybridMultilevel"/>
    <w:lvl w:ilvl="0">
      <w:lvlJc w:val="left"/>
      <w:lvlText w:val="•"/>
      <w:numFmt w:val="bullet"/>
      <w:start w:val="1"/>
    </w:lvl>
    <w:lvl w:ilvl="1">
      <w:lvlJc w:val="left"/>
      <w:lvlText w:val="•"/>
      <w:numFmt w:val="bullet"/>
      <w:start w:val="1"/>
    </w:lvl>
  </w:abstractNum>
  <w:abstractNum w:abstractNumId="14">
    <w:nsid w:val="2A6DE806"/>
    <w:multiLevelType w:val="hybridMultilevel"/>
    <w:lvl w:ilvl="0">
      <w:lvlJc w:val="left"/>
      <w:lvlText w:val="•"/>
      <w:numFmt w:val="bullet"/>
      <w:start w:val="1"/>
    </w:lvl>
  </w:abstractNum>
  <w:abstractNum w:abstractNumId="15">
    <w:nsid w:val="1816F8C4"/>
    <w:multiLevelType w:val="hybridMultilevel"/>
    <w:lvl w:ilvl="0">
      <w:lvlJc w:val="left"/>
      <w:lvlText w:val="•"/>
      <w:numFmt w:val="bullet"/>
      <w:start w:val="1"/>
    </w:lvl>
  </w:abstractNum>
  <w:abstractNum w:abstractNumId="16">
    <w:nsid w:val="37DF2233"/>
    <w:multiLevelType w:val="hybridMultilevel"/>
    <w:lvl w:ilvl="0">
      <w:lvlJc w:val="left"/>
      <w:lvlText w:val="•"/>
      <w:numFmt w:val="bullet"/>
      <w:start w:val="1"/>
    </w:lvl>
  </w:abstractNum>
  <w:abstractNum w:abstractNumId="17">
    <w:nsid w:val="7AB49DAF"/>
    <w:multiLevelType w:val="hybridMultilevel"/>
    <w:lvl w:ilvl="0">
      <w:lvlJc w:val="left"/>
      <w:lvlText w:val="•"/>
      <w:numFmt w:val="bullet"/>
      <w:start w:val="1"/>
    </w:lvl>
  </w:abstractNum>
  <w:abstractNum w:abstractNumId="18">
    <w:nsid w:val="759F82CD"/>
    <w:multiLevelType w:val="hybridMultilevel"/>
    <w:lvl w:ilvl="0">
      <w:lvlJc w:val="left"/>
      <w:lvlText w:val="•"/>
      <w:numFmt w:val="bullet"/>
      <w:start w:val="1"/>
    </w:lvl>
  </w:abstractNum>
  <w:abstractNum w:abstractNumId="19">
    <w:nsid w:val="61E74EA3"/>
    <w:multiLevelType w:val="hybridMultilevel"/>
    <w:lvl w:ilvl="0">
      <w:lvlJc w:val="left"/>
      <w:lvlText w:val="•"/>
      <w:numFmt w:val="bullet"/>
      <w:start w:val="1"/>
    </w:lvl>
  </w:abstractNum>
  <w:abstractNum w:abstractNumId="20">
    <w:nsid w:val="597B4D84"/>
    <w:multiLevelType w:val="hybridMultilevel"/>
    <w:lvl w:ilvl="0">
      <w:lvlJc w:val="left"/>
      <w:lvlText w:val="•"/>
      <w:numFmt w:val="bullet"/>
      <w:start w:val="1"/>
    </w:lvl>
  </w:abstractNum>
  <w:abstractNum w:abstractNumId="21">
    <w:nsid w:val="F819E7F"/>
    <w:multiLevelType w:val="hybridMultilevel"/>
    <w:lvl w:ilvl="0">
      <w:lvlJc w:val="left"/>
      <w:lvlText w:val="•"/>
      <w:numFmt w:val="bullet"/>
      <w:start w:val="1"/>
    </w:lvl>
  </w:abstractNum>
  <w:abstractNum w:abstractNumId="22">
    <w:nsid w:val="57C7D42D"/>
    <w:multiLevelType w:val="hybridMultilevel"/>
    <w:lvl w:ilvl="0">
      <w:lvlJc w:val="left"/>
      <w:lvlText w:val="•"/>
      <w:numFmt w:val="bullet"/>
      <w:start w:val="1"/>
    </w:lvl>
    <w:lvl w:ilvl="1">
      <w:lvlJc w:val="left"/>
      <w:lvlText w:val="•"/>
      <w:numFmt w:val="bullet"/>
      <w:start w:val="1"/>
    </w:lvl>
  </w:abstractNum>
  <w:abstractNum w:abstractNumId="23">
    <w:nsid w:val="312167AD"/>
    <w:multiLevelType w:val="hybridMultilevel"/>
    <w:lvl w:ilvl="0">
      <w:lvlJc w:val="left"/>
      <w:lvlText w:val="•"/>
      <w:numFmt w:val="bullet"/>
      <w:start w:val="1"/>
    </w:lvl>
  </w:abstractNum>
  <w:abstractNum w:abstractNumId="24">
    <w:nsid w:val="631B64D4"/>
    <w:multiLevelType w:val="hybridMultilevel"/>
    <w:lvl w:ilvl="0">
      <w:lvlJc w:val="left"/>
      <w:lvlText w:val="•"/>
      <w:numFmt w:val="bullet"/>
      <w:start w:val="1"/>
    </w:lvl>
    <w:lvl w:ilvl="1">
      <w:lvlJc w:val="left"/>
      <w:lvlText w:val="•"/>
      <w:numFmt w:val="bullet"/>
      <w:start w:val="1"/>
    </w:lvl>
  </w:abstractNum>
  <w:abstractNum w:abstractNumId="25">
    <w:nsid w:val="78B5E776"/>
    <w:multiLevelType w:val="hybridMultilevel"/>
    <w:lvl w:ilvl="0">
      <w:lvlJc w:val="left"/>
      <w:lvlText w:val="•"/>
      <w:numFmt w:val="bullet"/>
      <w:start w:val="1"/>
    </w:lvl>
  </w:abstractNum>
  <w:abstractNum w:abstractNumId="26">
    <w:nsid w:val="75486E47"/>
    <w:multiLevelType w:val="hybridMultilevel"/>
    <w:lvl w:ilvl="0">
      <w:lvlJc w:val="left"/>
      <w:lvlText w:val="•"/>
      <w:numFmt w:val="bullet"/>
      <w:start w:val="1"/>
    </w:lvl>
  </w:abstractNum>
  <w:abstractNum w:abstractNumId="27">
    <w:nsid w:val="6E534CDE"/>
    <w:multiLevelType w:val="hybridMultilevel"/>
    <w:lvl w:ilvl="0">
      <w:lvlJc w:val="left"/>
      <w:lvlText w:val="•"/>
      <w:numFmt w:val="bullet"/>
      <w:start w:val="1"/>
    </w:lvl>
  </w:abstractNum>
  <w:abstractNum w:abstractNumId="28">
    <w:nsid w:val="1A0DDE32"/>
    <w:multiLevelType w:val="hybridMultilevel"/>
    <w:lvl w:ilvl="0">
      <w:lvlJc w:val="left"/>
      <w:lvlText w:val="•"/>
      <w:numFmt w:val="bullet"/>
      <w:start w:val="1"/>
    </w:lvl>
  </w:abstractNum>
  <w:abstractNum w:abstractNumId="29">
    <w:nsid w:val="65968C1C"/>
    <w:multiLevelType w:val="hybridMultilevel"/>
    <w:lvl w:ilvl="0">
      <w:lvlJc w:val="left"/>
      <w:lvlText w:val="(%1)"/>
      <w:numFmt w:val="decimal"/>
      <w:start w:val="1"/>
    </w:lvl>
  </w:abstractNum>
  <w:abstractNum w:abstractNumId="30">
    <w:nsid w:val="46263DEC"/>
    <w:multiLevelType w:val="hybridMultilevel"/>
    <w:lvl w:ilvl="0">
      <w:lvlJc w:val="left"/>
      <w:lvlText w:val="•"/>
      <w:numFmt w:val="bullet"/>
      <w:start w:val="1"/>
    </w:lvl>
  </w:abstractNum>
  <w:abstractNum w:abstractNumId="31">
    <w:nsid w:val="260D8C4A"/>
    <w:multiLevelType w:val="hybridMultilevel"/>
    <w:lvl w:ilvl="0">
      <w:lvlJc w:val="left"/>
      <w:lvlText w:val="(%1)"/>
      <w:numFmt w:val="lowerLetter"/>
      <w:start w:val="1"/>
    </w:lvl>
  </w:abstractNum>
  <w:abstractNum w:abstractNumId="32">
    <w:nsid w:val="73D4D3C4"/>
    <w:multiLevelType w:val="hybridMultilevel"/>
    <w:lvl w:ilvl="0">
      <w:lvlJc w:val="left"/>
      <w:lvlText w:val="•"/>
      <w:numFmt w:val="bullet"/>
      <w:start w:val="1"/>
    </w:lvl>
  </w:abstractNum>
  <w:abstractNum w:abstractNumId="33">
    <w:nsid w:val="746F2E30"/>
    <w:multiLevelType w:val="hybridMultilevel"/>
    <w:lvl w:ilvl="0">
      <w:lvlJc w:val="left"/>
      <w:lvlText w:val="(%1)"/>
      <w:numFmt w:val="lowerRoman"/>
      <w:start w:val="3"/>
    </w:lvl>
  </w:abstractNum>
  <w:abstractNum w:abstractNumId="34">
    <w:nsid w:val="6FDE8AF6"/>
    <w:multiLevelType w:val="hybridMultilevel"/>
    <w:lvl w:ilvl="0">
      <w:lvlJc w:val="left"/>
      <w:lvlText w:val="(%1)"/>
      <w:numFmt w:val="decimal"/>
      <w:start w:val="1"/>
    </w:lvl>
  </w:abstractNum>
  <w:abstractNum w:abstractNumId="35">
    <w:nsid w:val="3FC32E20"/>
    <w:multiLevelType w:val="hybridMultilevel"/>
    <w:lvl w:ilvl="0">
      <w:lvlJc w:val="left"/>
      <w:lvlText w:val="(%1)"/>
      <w:numFmt w:val="decimal"/>
      <w:start w:val="1"/>
    </w:lvl>
  </w:abstractNum>
  <w:abstractNum w:abstractNumId="36">
    <w:nsid w:val="49C0E823"/>
    <w:multiLevelType w:val="hybridMultilevel"/>
    <w:lvl w:ilvl="0">
      <w:lvlJc w:val="left"/>
      <w:lvlText w:val="%1."/>
      <w:numFmt w:val="decimal"/>
      <w:start w:val="2"/>
    </w:lvl>
  </w:abstractNum>
  <w:abstractNum w:abstractNumId="37">
    <w:nsid w:val="14D53685"/>
    <w:multiLevelType w:val="hybridMultilevel"/>
    <w:lvl w:ilvl="0">
      <w:lvlJc w:val="left"/>
      <w:lvlText w:val="(%1)"/>
      <w:numFmt w:val="lowerLetter"/>
      <w:start w:val="2"/>
    </w:lvl>
  </w:abstractNum>
  <w:abstractNum w:abstractNumId="38">
    <w:nsid w:val="230F856C"/>
    <w:multiLevelType w:val="hybridMultilevel"/>
    <w:lvl w:ilvl="0">
      <w:lvlJc w:val="left"/>
      <w:lvlText w:val="%1."/>
      <w:numFmt w:val="decimal"/>
      <w:start w:val="7"/>
    </w:lvl>
  </w:abstractNum>
  <w:abstractNum w:abstractNumId="39">
    <w:nsid w:val="6EAA85FB"/>
    <w:multiLevelType w:val="hybridMultilevel"/>
    <w:lvl w:ilvl="0">
      <w:lvlJc w:val="left"/>
      <w:lvlText w:val="%1."/>
      <w:numFmt w:val="decimal"/>
      <w:start w:val="10"/>
    </w:lvl>
  </w:abstractNum>
  <w:abstractNum w:abstractNumId="40">
    <w:nsid w:val="3F06ECB2"/>
    <w:multiLevelType w:val="hybridMultilevel"/>
    <w:lvl w:ilvl="0">
      <w:lvlJc w:val="left"/>
      <w:lvlText w:val="•"/>
      <w:numFmt w:val="bullet"/>
      <w:start w:val="1"/>
    </w:lvl>
  </w:abstractNum>
  <w:abstractNum w:abstractNumId="41">
    <w:nsid w:val="3B594807"/>
    <w:multiLevelType w:val="hybridMultilevel"/>
    <w:lvl w:ilvl="0">
      <w:lvlJc w:val="left"/>
      <w:lvlText w:val="%1."/>
      <w:numFmt w:val="decimal"/>
      <w:start w:val="13"/>
    </w:lvl>
  </w:abstractNum>
  <w:abstractNum w:abstractNumId="42">
    <w:nsid w:val="6CAA2304"/>
    <w:multiLevelType w:val="hybridMultilevel"/>
    <w:lvl w:ilvl="0">
      <w:lvlJc w:val="left"/>
      <w:lvlText w:val="(%1)"/>
      <w:numFmt w:val="decimal"/>
      <w:start w:val="1"/>
    </w:lvl>
  </w:abstractNum>
  <w:abstractNum w:abstractNumId="43">
    <w:nsid w:val="3F7C2FF4"/>
    <w:multiLevelType w:val="hybridMultilevel"/>
    <w:lvl w:ilvl="0">
      <w:lvlJc w:val="left"/>
      <w:lvlText w:val="(%1)"/>
      <w:numFmt w:val="decimal"/>
      <w:start w:val="1"/>
    </w:lvl>
  </w:abstractNum>
  <w:abstractNum w:abstractNumId="44">
    <w:nsid w:val="25413BEC"/>
    <w:multiLevelType w:val="hybridMultilevel"/>
    <w:lvl w:ilvl="0">
      <w:lvlJc w:val="left"/>
      <w:lvlText w:val="(%1)"/>
      <w:numFmt w:val="decimal"/>
      <w:start w:val="1"/>
    </w:lvl>
  </w:abstractNum>
  <w:abstractNum w:abstractNumId="45">
    <w:nsid w:val="17180B0B"/>
    <w:multiLevelType w:val="hybridMultilevel"/>
    <w:lvl w:ilvl="0">
      <w:lvlJc w:val="left"/>
      <w:lvlText w:val="(%1)"/>
      <w:numFmt w:val="lowerRoman"/>
      <w:start w:val="1"/>
    </w:lvl>
  </w:abstractNum>
  <w:abstractNum w:abstractNumId="46">
    <w:nsid w:val="579328B9"/>
    <w:multiLevelType w:val="hybridMultilevel"/>
    <w:lvl w:ilvl="0">
      <w:lvlJc w:val="left"/>
      <w:lvlText w:val="%1."/>
      <w:numFmt w:val="decimal"/>
      <w:start w:val="2"/>
    </w:lvl>
  </w:abstractNum>
  <w:abstractNum w:abstractNumId="47">
    <w:nsid w:val="5D205E20"/>
    <w:multiLevelType w:val="hybridMultilevel"/>
    <w:lvl w:ilvl="0">
      <w:lvlJc w:val="left"/>
      <w:lvlText w:val="%1."/>
      <w:numFmt w:val="decimal"/>
      <w:start w:val="3"/>
    </w:lvl>
  </w:abstractNum>
  <w:abstractNum w:abstractNumId="48">
    <w:nsid w:val="11CCA8BA"/>
    <w:multiLevelType w:val="hybridMultilevel"/>
    <w:lvl w:ilvl="0">
      <w:lvlJc w:val="left"/>
      <w:lvlText w:val="†"/>
      <w:numFmt w:val="bullet"/>
      <w:start w:val="1"/>
    </w:lvl>
  </w:abstractNum>
  <w:abstractNum w:abstractNumId="49">
    <w:nsid w:val="4D32AB86"/>
    <w:multiLevelType w:val="hybridMultilevel"/>
    <w:lvl w:ilvl="0">
      <w:lvlJc w:val="left"/>
      <w:lvlText w:val="††"/>
      <w:numFmt w:val="bullet"/>
      <w:start w:val="1"/>
    </w:lvl>
  </w:abstractNum>
  <w:abstractNum w:abstractNumId="50">
    <w:nsid w:val="3F07ACC3"/>
    <w:multiLevelType w:val="hybridMultilevel"/>
    <w:lvl w:ilvl="0">
      <w:lvlJc w:val="left"/>
      <w:lvlText w:val="A"/>
      <w:numFmt w:val="bullet"/>
      <w:start w:val="1"/>
    </w:lvl>
  </w:abstractNum>
  <w:abstractNum w:abstractNumId="51">
    <w:nsid w:val="6B47F63E"/>
    <w:multiLevelType w:val="hybridMultilevel"/>
    <w:lvl w:ilvl="0">
      <w:lvlJc w:val="left"/>
      <w:lvlText w:val="B"/>
      <w:numFmt w:val="bullet"/>
      <w:start w:val="1"/>
    </w:lvl>
  </w:abstractNum>
  <w:abstractNum w:abstractNumId="52">
    <w:nsid w:val="5CB44A05"/>
    <w:multiLevelType w:val="hybridMultilevel"/>
    <w:lvl w:ilvl="0">
      <w:lvlJc w:val="left"/>
      <w:lvlText w:val="%1"/>
      <w:numFmt w:val="lowerLetter"/>
      <w:start w:val="1"/>
    </w:lvl>
    <w:lvl w:ilvl="1">
      <w:lvlJc w:val="left"/>
      <w:lvlText w:val="(%2)"/>
      <w:numFmt w:val="lowerLetter"/>
      <w:start w:val="1"/>
    </w:lvl>
  </w:abstractNum>
  <w:abstractNum w:abstractNumId="53">
    <w:nsid w:val="16CF80F1"/>
    <w:multiLevelType w:val="hybridMultilevel"/>
    <w:lvl w:ilvl="0">
      <w:lvlJc w:val="left"/>
      <w:lvlText w:val="(%1)"/>
      <w:numFmt w:val="lowerLetter"/>
      <w:start w:val="61"/>
    </w:lvl>
    <w:lvl w:ilvl="1">
      <w:lvlJc w:val="left"/>
      <w:lvlText w:val="%2"/>
      <w:numFmt w:val="lowerLetter"/>
      <w:start w:val="1"/>
    </w:lvl>
  </w:abstractNum>
  <w:abstractNum w:abstractNumId="54">
    <w:nsid w:val="1C695DEC"/>
    <w:multiLevelType w:val="hybridMultilevel"/>
    <w:lvl w:ilvl="0">
      <w:lvlJc w:val="left"/>
      <w:lvlText w:val="(%1)"/>
      <w:numFmt w:val="lowerLetter"/>
      <w:start w:val="1"/>
    </w:lvl>
  </w:abstractNum>
  <w:abstractNum w:abstractNumId="55">
    <w:nsid w:val="3FCFAED9"/>
    <w:multiLevelType w:val="hybridMultilevel"/>
    <w:lvl w:ilvl="0">
      <w:lvlJc w:val="left"/>
      <w:lvlText w:val="(%1)"/>
      <w:numFmt w:val="lowerLetter"/>
      <w:start w:val="1"/>
    </w:lvl>
  </w:abstractNum>
  <w:abstractNum w:abstractNumId="56">
    <w:nsid w:val="F856867"/>
    <w:multiLevelType w:val="hybridMultilevel"/>
    <w:lvl w:ilvl="0">
      <w:lvlJc w:val="left"/>
      <w:lvlText w:val="(%1)"/>
      <w:numFmt w:val="lowerRoman"/>
      <w:start w:val="1"/>
    </w:lvl>
  </w:abstractNum>
  <w:abstractNum w:abstractNumId="57">
    <w:nsid w:val="11B1CC33"/>
    <w:multiLevelType w:val="hybridMultilevel"/>
    <w:lvl w:ilvl="0">
      <w:lvlJc w:val="left"/>
      <w:lvlText w:val="(%1)"/>
      <w:numFmt w:val="lowerRoman"/>
      <w:start w:val="2"/>
    </w:lvl>
  </w:abstractNum>
  <w:abstractNum w:abstractNumId="58">
    <w:nsid w:val="2E22FBB7"/>
    <w:multiLevelType w:val="hybridMultilevel"/>
    <w:lvl w:ilvl="0">
      <w:lvlJc w:val="left"/>
      <w:lvlText w:val="(%1)"/>
      <w:numFmt w:val="lowerLetter"/>
      <w:start w:val="1"/>
    </w:lvl>
  </w:abstractNum>
  <w:abstractNum w:abstractNumId="59">
    <w:nsid w:val="29934699"/>
    <w:multiLevelType w:val="hybridMultilevel"/>
    <w:lvl w:ilvl="0">
      <w:lvlJc w:val="left"/>
      <w:lvlText w:val="(%1)"/>
      <w:numFmt w:val="lowerLetter"/>
      <w:start w:val="1"/>
    </w:lvl>
  </w:abstractNum>
  <w:abstractNum w:abstractNumId="60">
    <w:nsid w:val="77485850"/>
    <w:multiLevelType w:val="hybridMultilevel"/>
    <w:lvl w:ilvl="0">
      <w:lvlJc w:val="left"/>
      <w:lvlText w:val="(%1)"/>
      <w:numFmt w:val="lowerLetter"/>
      <w:start w:val="6"/>
    </w:lvl>
  </w:abstractNum>
  <w:abstractNum w:abstractNumId="61">
    <w:nsid w:val="744939A3"/>
    <w:multiLevelType w:val="hybridMultilevel"/>
    <w:lvl w:ilvl="0">
      <w:lvlJc w:val="left"/>
      <w:lvlText w:val="(%1)"/>
      <w:numFmt w:val="lowerLetter"/>
      <w:start w:val="1"/>
    </w:lvl>
  </w:abstractNum>
  <w:abstractNum w:abstractNumId="62">
    <w:nsid w:val="4FA0D2E3"/>
    <w:multiLevelType w:val="hybridMultilevel"/>
    <w:lvl w:ilvl="0">
      <w:lvlJc w:val="left"/>
      <w:lvlText w:val="%1"/>
      <w:numFmt w:val="lowerLetter"/>
      <w:start w:val="1"/>
    </w:lvl>
    <w:lvl w:ilvl="1">
      <w:lvlJc w:val="left"/>
      <w:lvlText w:val="(%2)"/>
      <w:numFmt w:val="lowerLetter"/>
      <w:start w:val="3"/>
    </w:lvl>
  </w:abstractNum>
  <w:abstractNum w:abstractNumId="63">
    <w:nsid w:val="6B1D2C14"/>
    <w:multiLevelType w:val="hybridMultilevel"/>
    <w:lvl w:ilvl="0">
      <w:lvlJc w:val="left"/>
      <w:lvlText w:val="(%1)"/>
      <w:numFmt w:val="lowerLetter"/>
      <w:start w:val="4"/>
    </w:lvl>
    <w:lvl w:ilvl="1">
      <w:lvlJc w:val="left"/>
      <w:lvlText w:val="(%2)"/>
      <w:numFmt w:val="lowerLetter"/>
      <w:start w:val="7"/>
    </w:lvl>
  </w:abstractNum>
  <w:abstractNum w:abstractNumId="64">
    <w:nsid w:val="68B867D3"/>
    <w:multiLevelType w:val="hybridMultilevel"/>
    <w:lvl w:ilvl="0">
      <w:lvlJc w:val="left"/>
      <w:lvlText w:val="(%1)"/>
      <w:numFmt w:val="lowerLetter"/>
      <w:start w:val="8"/>
    </w:lvl>
  </w:abstractNum>
  <w:abstractNum w:abstractNumId="65">
    <w:nsid w:val="3F7F5DD9"/>
    <w:multiLevelType w:val="hybridMultilevel"/>
    <w:lvl w:ilvl="0">
      <w:lvlJc w:val="left"/>
      <w:lvlText w:val="(%1)"/>
      <w:numFmt w:val="lowerLetter"/>
      <w:start w:val="10"/>
    </w:lvl>
  </w:abstractNum>
  <w:abstractNum w:abstractNumId="66">
    <w:nsid w:val="2AE05A34"/>
    <w:multiLevelType w:val="hybridMultilevel"/>
    <w:lvl w:ilvl="0">
      <w:lvlJc w:val="left"/>
      <w:lvlText w:val="(%1)"/>
      <w:numFmt w:val="lowerLetter"/>
      <w:start w:val="1"/>
    </w:lvl>
  </w:abstractNum>
  <w:abstractNum w:abstractNumId="67">
    <w:nsid w:val="32794FF7"/>
    <w:multiLevelType w:val="hybridMultilevel"/>
    <w:lvl w:ilvl="0">
      <w:lvlJc w:val="left"/>
      <w:lvlText w:val="(%1)"/>
      <w:numFmt w:val="lowerLetter"/>
      <w:start w:val="4"/>
    </w:lvl>
  </w:abstractNum>
  <w:abstractNum w:abstractNumId="68">
    <w:nsid w:val="5454945E"/>
    <w:multiLevelType w:val="hybridMultilevel"/>
    <w:lvl w:ilvl="0">
      <w:lvlJc w:val="left"/>
      <w:lvlText w:val="(%1)"/>
      <w:numFmt w:val="lowerLetter"/>
      <w:start w:val="1"/>
    </w:lvl>
  </w:abstractNum>
  <w:abstractNum w:abstractNumId="69">
    <w:nsid w:val="4DEFDFA0"/>
    <w:multiLevelType w:val="hybridMultilevel"/>
    <w:lvl w:ilvl="0">
      <w:lvlJc w:val="left"/>
      <w:lvlText w:val="(%1)"/>
      <w:numFmt w:val="lowerLetter"/>
      <w:start w:val="8"/>
    </w:lvl>
  </w:abstractNum>
  <w:abstractNum w:abstractNumId="70">
    <w:nsid w:val="2123D5F2"/>
    <w:multiLevelType w:val="hybridMultilevel"/>
    <w:lvl w:ilvl="0">
      <w:lvlJc w:val="left"/>
      <w:lvlText w:val="(%1)"/>
      <w:numFmt w:val="lowerLetter"/>
      <w:start w:val="1"/>
    </w:lvl>
  </w:abstractNum>
  <w:abstractNum w:abstractNumId="71">
    <w:nsid w:val="135B8110"/>
    <w:multiLevelType w:val="hybridMultilevel"/>
    <w:lvl w:ilvl="0">
      <w:lvlJc w:val="left"/>
      <w:lvlText w:val="(%1)"/>
      <w:numFmt w:val="lowerLetter"/>
      <w:start w:val="2"/>
    </w:lvl>
  </w:abstractNum>
  <w:abstractNum w:abstractNumId="72">
    <w:nsid w:val="94927A8"/>
    <w:multiLevelType w:val="hybridMultilevel"/>
    <w:lvl w:ilvl="0">
      <w:lvlJc w:val="left"/>
      <w:lvlText w:val="(%1)"/>
      <w:numFmt w:val="lowerLetter"/>
      <w:start w:val="2"/>
    </w:lvl>
  </w:abstractNum>
  <w:abstractNum w:abstractNumId="73">
    <w:nsid w:val="DCDF8F6"/>
    <w:multiLevelType w:val="hybridMultilevel"/>
    <w:lvl w:ilvl="0">
      <w:lvlJc w:val="left"/>
      <w:lvlText w:val="(%1)"/>
      <w:numFmt w:val="lowerLetter"/>
      <w:start w:val="3"/>
    </w:lvl>
  </w:abstractNum>
  <w:abstractNum w:abstractNumId="74">
    <w:nsid w:val="52D7B105"/>
    <w:multiLevelType w:val="hybridMultilevel"/>
    <w:lvl w:ilvl="0">
      <w:lvlJc w:val="left"/>
      <w:lvlText w:val="%1"/>
      <w:numFmt w:val="lowerRoman"/>
      <w:start w:val="1"/>
    </w:lvl>
    <w:lvl w:ilvl="1">
      <w:lvlJc w:val="left"/>
      <w:lvlText w:val="(%2)"/>
      <w:numFmt w:val="lowerLetter"/>
      <w:start w:val="1"/>
    </w:lvl>
  </w:abstractNum>
  <w:abstractNum w:abstractNumId="75">
    <w:nsid w:val="2E8A6394"/>
    <w:multiLevelType w:val="hybridMultilevel"/>
    <w:lvl w:ilvl="0">
      <w:lvlJc w:val="left"/>
      <w:lvlText w:val="(%1)"/>
      <w:numFmt w:val="lowerRoman"/>
      <w:start w:val="4"/>
    </w:lvl>
    <w:lvl w:ilvl="1">
      <w:lvlJc w:val="left"/>
      <w:lvlText w:val="(%2)"/>
      <w:numFmt w:val="lowerLetter"/>
      <w:start w:val="2"/>
    </w:lvl>
  </w:abstractNum>
  <w:abstractNum w:abstractNumId="76">
    <w:nsid w:val="24E60401"/>
    <w:multiLevelType w:val="hybridMultilevel"/>
    <w:lvl w:ilvl="0">
      <w:lvlJc w:val="left"/>
      <w:lvlText w:val="(%1)"/>
      <w:numFmt w:val="lowerLetter"/>
      <w:start w:val="1"/>
    </w:lvl>
  </w:abstractNum>
  <w:abstractNum w:abstractNumId="77">
    <w:nsid w:val="2A6AD9BE"/>
    <w:multiLevelType w:val="hybridMultilevel"/>
    <w:lvl w:ilvl="0">
      <w:lvlJc w:val="left"/>
      <w:lvlText w:val="(%1)"/>
      <w:numFmt w:val="lowerLetter"/>
      <w:start w:val="2"/>
    </w:lvl>
  </w:abstractNum>
  <w:abstractNum w:abstractNumId="78">
    <w:nsid w:val="BAAC1B4"/>
    <w:multiLevelType w:val="hybridMultilevel"/>
    <w:lvl w:ilvl="0">
      <w:lvlJc w:val="left"/>
      <w:lvlText w:val="(%1)"/>
      <w:numFmt w:val="lowerLetter"/>
      <w:start w:val="1"/>
    </w:lvl>
  </w:abstractNum>
  <w:abstractNum w:abstractNumId="79">
    <w:nsid w:val="36B2ACBC"/>
    <w:multiLevelType w:val="hybridMultilevel"/>
    <w:lvl w:ilvl="0">
      <w:lvlJc w:val="left"/>
      <w:lvlText w:val="(%1)"/>
      <w:numFmt w:val="lowerLetter"/>
      <w:start w:val="1"/>
    </w:lvl>
  </w:abstractNum>
  <w:abstractNum w:abstractNumId="80">
    <w:nsid w:val="779D8544"/>
    <w:multiLevelType w:val="hybridMultilevel"/>
    <w:lvl w:ilvl="0">
      <w:lvlJc w:val="left"/>
      <w:lvlText w:val="(%1)"/>
      <w:numFmt w:val="lowerLetter"/>
      <w:start w:val="2"/>
    </w:lvl>
  </w:abstractNum>
  <w:abstractNum w:abstractNumId="81">
    <w:nsid w:val="4AB26E78"/>
    <w:multiLevelType w:val="hybridMultilevel"/>
    <w:lvl w:ilvl="0">
      <w:lvlJc w:val="left"/>
      <w:lvlText w:val="(%1)"/>
      <w:numFmt w:val="lowerLetter"/>
      <w:start w:val="1"/>
    </w:lvl>
    <w:lvl w:ilvl="1">
      <w:lvlJc w:val="left"/>
      <w:lvlText w:val="(%2)"/>
      <w:numFmt w:val="lowerLetter"/>
      <w:start w:val="9"/>
    </w:lvl>
  </w:abstractNum>
  <w:abstractNum w:abstractNumId="82">
    <w:nsid w:val="21FAA2FA"/>
    <w:multiLevelType w:val="hybridMultilevel"/>
    <w:lvl w:ilvl="0">
      <w:lvlJc w:val="left"/>
      <w:lvlText w:val="(%1)"/>
      <w:numFmt w:val="lowerRoman"/>
      <w:start w:val="2"/>
    </w:lvl>
    <w:lvl w:ilvl="1">
      <w:lvlJc w:val="left"/>
      <w:lvlText w:val="(%2)"/>
      <w:numFmt w:val="upperLetter"/>
      <w:start w:val="1"/>
    </w:lvl>
  </w:abstractNum>
  <w:abstractNum w:abstractNumId="83">
    <w:nsid w:val="5451CF4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84">
    <w:nsid w:val="6181EF69"/>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85">
    <w:nsid w:val="3E6400E6"/>
    <w:multiLevelType w:val="hybridMultilevel"/>
    <w:lvl w:ilvl="0">
      <w:lvlJc w:val="left"/>
      <w:lvlText w:val="(%1)"/>
      <w:numFmt w:val="lowerRoman"/>
      <w:start w:val="2"/>
    </w:lvl>
  </w:abstractNum>
  <w:abstractNum w:abstractNumId="86">
    <w:nsid w:val="14217E23"/>
    <w:multiLevelType w:val="hybridMultilevel"/>
    <w:lvl w:ilvl="0">
      <w:lvlJc w:val="left"/>
      <w:lvlText w:val="%1"/>
      <w:numFmt w:val="lowerLetter"/>
      <w:start w:val="1"/>
    </w:lvl>
    <w:lvl w:ilvl="1">
      <w:lvlJc w:val="left"/>
      <w:lvlText w:val="(%2)"/>
      <w:numFmt w:val="lowerLetter"/>
      <w:start w:val="22"/>
    </w:lvl>
  </w:abstractNum>
  <w:abstractNum w:abstractNumId="87">
    <w:nsid w:val="710757D0"/>
    <w:multiLevelType w:val="hybridMultilevel"/>
    <w:lvl w:ilvl="0">
      <w:lvlJc w:val="left"/>
      <w:lvlText w:val="(%1)"/>
      <w:numFmt w:val="lowerLetter"/>
      <w:start w:val="3"/>
    </w:lvl>
    <w:lvl w:ilvl="1">
      <w:lvlJc w:val="left"/>
      <w:lvlText w:val="(%2)"/>
      <w:numFmt w:val="lowerLetter"/>
      <w:start w:val="9"/>
    </w:lvl>
  </w:abstractNum>
  <w:abstractNum w:abstractNumId="88">
    <w:nsid w:val="5015CD1A"/>
    <w:multiLevelType w:val="hybridMultilevel"/>
    <w:lvl w:ilvl="0">
      <w:lvlJc w:val="left"/>
      <w:lvlText w:val="(%1)"/>
      <w:numFmt w:val="lowerRoman"/>
      <w:start w:val="2"/>
    </w:lvl>
  </w:abstractNum>
  <w:abstractNum w:abstractNumId="89">
    <w:nsid w:val="424479D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90">
    <w:nsid w:val="1A9A9E69"/>
    <w:multiLevelType w:val="hybridMultilevel"/>
    <w:lvl w:ilvl="0">
      <w:lvlJc w:val="left"/>
      <w:lvlText w:val="%1"/>
      <w:numFmt w:val="lowerLetter"/>
      <w:start w:val="1"/>
    </w:lvl>
    <w:lvl w:ilvl="1">
      <w:lvlJc w:val="left"/>
      <w:lvlText w:val="(%2)"/>
      <w:numFmt w:val="lowerRoman"/>
      <w:start w:val="6"/>
    </w:lvl>
    <w:lvl w:ilvl="2">
      <w:lvlJc w:val="left"/>
      <w:lvlText w:val="%3"/>
      <w:numFmt w:val="lowerRoman"/>
      <w:start w:val="1"/>
    </w:lvl>
  </w:abstractNum>
  <w:abstractNum w:abstractNumId="91">
    <w:nsid w:val="475E256A"/>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abstractNum>
  <w:abstractNum w:abstractNumId="92">
    <w:nsid w:val="368DB37E"/>
    <w:multiLevelType w:val="hybridMultilevel"/>
    <w:lvl w:ilvl="0">
      <w:lvlJc w:val="left"/>
      <w:lvlText w:val="(%1)"/>
      <w:numFmt w:val="lowerLetter"/>
      <w:start w:val="5"/>
    </w:lvl>
    <w:lvl w:ilvl="1">
      <w:lvlJc w:val="left"/>
      <w:lvlText w:val="(%2)"/>
      <w:numFmt w:val="lowerRoman"/>
      <w:start w:val="1"/>
    </w:lvl>
  </w:abstractNum>
  <w:abstractNum w:abstractNumId="93">
    <w:nsid w:val="6A3B714C"/>
    <w:multiLevelType w:val="hybridMultilevel"/>
    <w:lvl w:ilvl="0">
      <w:lvlJc w:val="left"/>
      <w:lvlText w:val="%1"/>
      <w:numFmt w:val="lowerLetter"/>
      <w:start w:val="1"/>
    </w:lvl>
    <w:lvl w:ilvl="1">
      <w:lvlJc w:val="left"/>
      <w:lvlText w:val="(%2)"/>
      <w:numFmt w:val="lowerLetter"/>
      <w:start w:val="6"/>
    </w:lvl>
  </w:abstractNum>
  <w:abstractNum w:abstractNumId="94">
    <w:nsid w:val="327B517E"/>
    <w:multiLevelType w:val="hybridMultilevel"/>
    <w:lvl w:ilvl="0">
      <w:lvlJc w:val="left"/>
      <w:lvlText w:val="(%1)"/>
      <w:numFmt w:val="lowerLetter"/>
      <w:start w:val="9"/>
    </w:lvl>
    <w:lvl w:ilvl="1">
      <w:lvlJc w:val="left"/>
      <w:lvlText w:val="(%2)"/>
      <w:numFmt w:val="lowerLetter"/>
      <w:start w:val="7"/>
    </w:lvl>
  </w:abstractNum>
  <w:abstractNum w:abstractNumId="95">
    <w:nsid w:val="1F461B51"/>
    <w:multiLevelType w:val="hybridMultilevel"/>
    <w:lvl w:ilvl="0">
      <w:lvlJc w:val="left"/>
      <w:lvlText w:val="(%1)"/>
      <w:numFmt w:val="lowerLetter"/>
      <w:start w:val="9"/>
    </w:lvl>
  </w:abstractNum>
  <w:abstractNum w:abstractNumId="96">
    <w:nsid w:val="29BACF25"/>
    <w:multiLevelType w:val="hybridMultilevel"/>
    <w:lvl w:ilvl="0">
      <w:lvlJc w:val="left"/>
      <w:lvlText w:val="(%1)"/>
      <w:numFmt w:val="lowerLetter"/>
      <w:start w:val="1"/>
    </w:lvl>
  </w:abstractNum>
  <w:abstractNum w:abstractNumId="97">
    <w:nsid w:val="5D5BABB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98">
    <w:nsid w:val="51BF6B48"/>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99">
    <w:nsid w:val="7E0F6384"/>
    <w:multiLevelType w:val="hybridMultilevel"/>
    <w:lvl w:ilvl="0">
      <w:lvlJc w:val="left"/>
      <w:lvlText w:val="(%1)"/>
      <w:numFmt w:val="lowerRoman"/>
      <w:start w:val="3"/>
    </w:lvl>
  </w:abstractNum>
  <w:abstractNum w:abstractNumId="100">
    <w:nsid w:val="2B4B8B53"/>
    <w:multiLevelType w:val="hybridMultilevel"/>
    <w:lvl w:ilvl="0">
      <w:lvlJc w:val="left"/>
      <w:lvlText w:val="(%1)"/>
      <w:numFmt w:val="lowerLetter"/>
      <w:start w:val="4"/>
    </w:lvl>
    <w:lvl w:ilvl="1">
      <w:lvlJc w:val="left"/>
      <w:lvlText w:val="(%2)"/>
      <w:numFmt w:val="lowerRoman"/>
      <w:start w:val="1"/>
    </w:lvl>
  </w:abstractNum>
  <w:abstractNum w:abstractNumId="101">
    <w:nsid w:val="72E3413A"/>
    <w:multiLevelType w:val="hybridMultilevel"/>
    <w:lvl w:ilvl="0">
      <w:lvlJc w:val="left"/>
      <w:lvlText w:val="(%1)"/>
      <w:numFmt w:val="lowerLetter"/>
      <w:start w:val="6"/>
    </w:lvl>
  </w:abstractNum>
  <w:abstractNum w:abstractNumId="102">
    <w:nsid w:val="116AE494"/>
    <w:multiLevelType w:val="hybridMultilevel"/>
    <w:lvl w:ilvl="0">
      <w:lvlJc w:val="left"/>
      <w:lvlText w:val="(%1)"/>
      <w:numFmt w:val="lowerLetter"/>
      <w:start w:val="1"/>
    </w:lvl>
    <w:lvl w:ilvl="1">
      <w:lvlJc w:val="left"/>
      <w:lvlText w:val="(%2)"/>
      <w:numFmt w:val="lowerRoman"/>
      <w:start w:val="1"/>
    </w:lvl>
  </w:abstractNum>
  <w:abstractNum w:abstractNumId="103">
    <w:nsid w:val="3494B2F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4">
    <w:nsid w:val="B13A31"/>
    <w:multiLevelType w:val="hybridMultilevel"/>
    <w:lvl w:ilvl="0">
      <w:lvlJc w:val="left"/>
      <w:lvlText w:val="(%1)"/>
      <w:numFmt w:val="upperLetter"/>
      <w:start w:val="2"/>
    </w:lvl>
  </w:abstractNum>
  <w:abstractNum w:abstractNumId="105">
    <w:nsid w:val="64429599"/>
    <w:multiLevelType w:val="hybridMultilevel"/>
    <w:lvl w:ilvl="0">
      <w:lvlJc w:val="left"/>
      <w:lvlText w:val="(%1)"/>
      <w:numFmt w:val="lowerLetter"/>
      <w:start w:val="1"/>
    </w:lvl>
  </w:abstractNum>
  <w:abstractNum w:abstractNumId="106">
    <w:nsid w:val="631F1690"/>
    <w:multiLevelType w:val="hybridMultilevel"/>
    <w:lvl w:ilvl="0">
      <w:lvlJc w:val="left"/>
      <w:lvlText w:val="(%1)"/>
      <w:numFmt w:val="lowerLetter"/>
      <w:start w:val="1"/>
    </w:lvl>
  </w:abstractNum>
  <w:abstractNum w:abstractNumId="107">
    <w:nsid w:val="25973E32"/>
    <w:multiLevelType w:val="hybridMultilevel"/>
    <w:lvl w:ilvl="0">
      <w:lvlJc w:val="left"/>
      <w:lvlText w:val="%1"/>
      <w:numFmt w:val="lowerLetter"/>
      <w:start w:val="1"/>
    </w:lvl>
    <w:lvl w:ilvl="1">
      <w:lvlJc w:val="left"/>
      <w:lvlText w:val="(%2)"/>
      <w:numFmt w:val="lowerLetter"/>
      <w:start w:val="35"/>
    </w:lvl>
  </w:abstractNum>
  <w:abstractNum w:abstractNumId="108">
    <w:nsid w:val="EAD6F57"/>
    <w:multiLevelType w:val="hybridMultilevel"/>
    <w:lvl w:ilvl="0">
      <w:lvlJc w:val="left"/>
      <w:lvlText w:val="(%1)"/>
      <w:numFmt w:val="lowerLetter"/>
      <w:start w:val="2"/>
    </w:lvl>
    <w:lvl w:ilvl="1">
      <w:lvlJc w:val="left"/>
      <w:lvlText w:val="(%2)"/>
      <w:numFmt w:val="lowerLetter"/>
      <w:start w:val="35"/>
    </w:lvl>
  </w:abstractNum>
  <w:abstractNum w:abstractNumId="109">
    <w:nsid w:val="6EC9D844"/>
    <w:multiLevelType w:val="hybridMultilevel"/>
    <w:lvl w:ilvl="0">
      <w:lvlJc w:val="left"/>
      <w:lvlText w:val="%1"/>
      <w:numFmt w:val="lowerLetter"/>
      <w:start w:val="1"/>
    </w:lvl>
    <w:lvl w:ilvl="1">
      <w:lvlJc w:val="left"/>
      <w:lvlText w:val="(%2)"/>
      <w:numFmt w:val="lowerRoman"/>
      <w:start w:val="3"/>
    </w:lvl>
  </w:abstractNum>
  <w:abstractNum w:abstractNumId="110">
    <w:nsid w:val="5C49EAEE"/>
    <w:multiLevelType w:val="hybridMultilevel"/>
    <w:lvl w:ilvl="0">
      <w:lvlJc w:val="left"/>
      <w:lvlText w:val="(%1)"/>
      <w:numFmt w:val="lowerLetter"/>
      <w:start w:val="3"/>
    </w:lvl>
    <w:lvl w:ilvl="1">
      <w:lvlJc w:val="left"/>
      <w:lvlText w:val="%2"/>
      <w:numFmt w:val="lowerRoman"/>
      <w:start w:val="1"/>
    </w:lvl>
  </w:abstractNum>
  <w:abstractNum w:abstractNumId="111">
    <w:nsid w:val="64AF49B"/>
    <w:multiLevelType w:val="hybridMultilevel"/>
    <w:lvl w:ilvl="0">
      <w:lvlJc w:val="left"/>
      <w:lvlText w:val="(%1)"/>
      <w:numFmt w:val="lowerLetter"/>
      <w:start w:val="1"/>
    </w:lvl>
  </w:abstractNum>
  <w:abstractNum w:abstractNumId="112">
    <w:nsid w:val="397C46BC"/>
    <w:multiLevelType w:val="hybridMultilevel"/>
    <w:lvl w:ilvl="0">
      <w:lvlJc w:val="left"/>
      <w:lvlText w:val="(%1)"/>
      <w:numFmt w:val="lowerLetter"/>
      <w:start w:val="2"/>
    </w:lvl>
    <w:lvl w:ilvl="1">
      <w:lvlJc w:val="left"/>
      <w:lvlText w:val="(%2)"/>
      <w:numFmt w:val="lowerRoman"/>
      <w:start w:val="1"/>
    </w:lvl>
  </w:abstractNum>
  <w:abstractNum w:abstractNumId="113">
    <w:nsid w:val="7E448DE9"/>
    <w:multiLevelType w:val="hybridMultilevel"/>
    <w:lvl w:ilvl="0">
      <w:lvlJc w:val="left"/>
      <w:lvlText w:val="(%1)"/>
      <w:numFmt w:val="lowerLetter"/>
      <w:start w:val="1"/>
    </w:lvl>
  </w:abstractNum>
  <w:abstractNum w:abstractNumId="114">
    <w:nsid w:val="5A9CC3E5"/>
    <w:multiLevelType w:val="hybridMultilevel"/>
    <w:lvl w:ilvl="0">
      <w:lvlJc w:val="left"/>
      <w:lvlText w:val="(%1)"/>
      <w:numFmt w:val="lowerLetter"/>
      <w:start w:val="1"/>
    </w:lvl>
    <w:lvl w:ilvl="1">
      <w:lvlJc w:val="left"/>
      <w:lvlText w:val="(%2)"/>
      <w:numFmt w:val="lowerLetter"/>
      <w:start w:val="35"/>
    </w:lvl>
  </w:abstractNum>
  <w:abstractNum w:abstractNumId="115">
    <w:nsid w:val="1AFE3625"/>
    <w:multiLevelType w:val="hybridMultilevel"/>
    <w:lvl w:ilvl="0">
      <w:lvlJc w:val="left"/>
      <w:lvlText w:val="(%1)"/>
      <w:numFmt w:val="lowerLetter"/>
      <w:start w:val="3"/>
    </w:lvl>
  </w:abstractNum>
  <w:abstractNum w:abstractNumId="116">
    <w:nsid w:val="3CA88ECF"/>
    <w:multiLevelType w:val="hybridMultilevel"/>
    <w:lvl w:ilvl="0">
      <w:lvlJc w:val="left"/>
      <w:lvlText w:val="(%1)"/>
      <w:numFmt w:val="lowerRoman"/>
      <w:start w:val="1"/>
    </w:lvl>
  </w:abstractNum>
  <w:abstractNum w:abstractNumId="117">
    <w:nsid w:val="6EBE4208"/>
    <w:multiLevelType w:val="hybridMultilevel"/>
    <w:lvl w:ilvl="0">
      <w:lvlJc w:val="left"/>
      <w:lvlText w:val="(%1)"/>
      <w:numFmt w:val="lowerLetter"/>
      <w:start w:val="1"/>
    </w:lvl>
  </w:abstractNum>
  <w:abstractNum w:abstractNumId="118">
    <w:nsid w:val="C058DF5"/>
    <w:multiLevelType w:val="hybridMultilevel"/>
    <w:lvl w:ilvl="0">
      <w:lvlJc w:val="left"/>
      <w:lvlText w:val="(%1)"/>
      <w:numFmt w:val="lowerLetter"/>
      <w:start w:val="1"/>
    </w:lvl>
    <w:lvl w:ilvl="1">
      <w:lvlJc w:val="left"/>
      <w:lvlText w:val="(%2)"/>
      <w:numFmt w:val="lowerRoman"/>
      <w:start w:val="1"/>
    </w:lvl>
  </w:abstractNum>
  <w:abstractNum w:abstractNumId="119">
    <w:nsid w:val="CBE5BE9"/>
    <w:multiLevelType w:val="hybridMultilevel"/>
    <w:lvl w:ilvl="0">
      <w:lvlJc w:val="left"/>
      <w:lvlText w:val="(%1)"/>
      <w:numFmt w:val="lowerLetter"/>
      <w:start w:val="25"/>
    </w:lvl>
    <w:lvl w:ilvl="1">
      <w:lvlJc w:val="left"/>
      <w:lvlText w:val="%2"/>
      <w:numFmt w:val="lowerRoman"/>
      <w:start w:val="1"/>
    </w:lvl>
  </w:abstractNum>
  <w:abstractNum w:abstractNumId="120">
    <w:nsid w:val="3102BBE2"/>
    <w:multiLevelType w:val="hybridMultilevel"/>
    <w:lvl w:ilvl="0">
      <w:lvlJc w:val="left"/>
      <w:lvlText w:val="(%1)"/>
      <w:numFmt w:val="lowerRoman"/>
      <w:start w:val="3"/>
    </w:lvl>
    <w:lvl w:ilvl="1">
      <w:lvlJc w:val="left"/>
      <w:lvlText w:val="(%2)"/>
      <w:numFmt w:val="upperLetter"/>
      <w:start w:val="1"/>
    </w:lvl>
  </w:abstractNum>
  <w:abstractNum w:abstractNumId="121">
    <w:nsid w:val="26A02C5E"/>
    <w:multiLevelType w:val="hybridMultilevel"/>
    <w:lvl w:ilvl="0">
      <w:lvlJc w:val="left"/>
      <w:lvlText w:val="(%1)"/>
      <w:numFmt w:val="lowerLetter"/>
      <w:start w:val="2"/>
    </w:lvl>
  </w:abstractNum>
  <w:abstractNum w:abstractNumId="122">
    <w:nsid w:val="541C8153"/>
    <w:multiLevelType w:val="hybridMultilevel"/>
    <w:lvl w:ilvl="0">
      <w:lvlJc w:val="left"/>
      <w:lvlText w:val="(%1)"/>
      <w:numFmt w:val="lowerLetter"/>
      <w:start w:val="1"/>
    </w:lvl>
    <w:lvl w:ilvl="1">
      <w:lvlJc w:val="left"/>
      <w:lvlText w:val="(%2)"/>
      <w:numFmt w:val="lowerRoman"/>
      <w:start w:val="1"/>
    </w:lvl>
  </w:abstractNum>
  <w:abstractNum w:abstractNumId="123">
    <w:nsid w:val="67906F60"/>
    <w:multiLevelType w:val="hybridMultilevel"/>
    <w:lvl w:ilvl="0">
      <w:lvlJc w:val="left"/>
      <w:lvlText w:val="(%1)"/>
      <w:numFmt w:val="lowerLetter"/>
      <w:start w:val="2"/>
    </w:lvl>
    <w:lvl w:ilvl="1">
      <w:lvlJc w:val="left"/>
      <w:lvlText w:val="(%2)"/>
      <w:numFmt w:val="lowerRoman"/>
      <w:start w:val="1"/>
    </w:lvl>
  </w:abstractNum>
  <w:abstractNum w:abstractNumId="124">
    <w:nsid w:val="10DB9DAA"/>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125">
    <w:nsid w:val="697D2D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4"/>
    </w:lvl>
  </w:abstractNum>
  <w:abstractNum w:abstractNumId="126">
    <w:nsid w:val="6D68AB2"/>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127">
    <w:nsid w:val="3A966CD0"/>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decimal"/>
      <w:start w:val="1"/>
    </w:lvl>
  </w:abstractNum>
  <w:abstractNum w:abstractNumId="128">
    <w:nsid w:val="63F37E85"/>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129">
    <w:nsid w:val="5895F5FA"/>
    <w:multiLevelType w:val="hybridMultilevel"/>
    <w:lvl w:ilvl="0">
      <w:lvlJc w:val="left"/>
      <w:lvlText w:val="(%1)"/>
      <w:numFmt w:val="lowerLetter"/>
      <w:start w:val="7"/>
    </w:lvl>
  </w:abstractNum>
  <w:abstractNum w:abstractNumId="130">
    <w:nsid w:val="38A5D054"/>
    <w:multiLevelType w:val="hybridMultilevel"/>
    <w:lvl w:ilvl="0">
      <w:lvlJc w:val="left"/>
      <w:lvlText w:val="(%1)"/>
      <w:numFmt w:val="lowerLetter"/>
      <w:start w:val="1"/>
    </w:lvl>
    <w:lvl w:ilvl="1">
      <w:lvlJc w:val="left"/>
      <w:lvlText w:val="(%2)"/>
      <w:numFmt w:val="lowerRoman"/>
      <w:start w:val="1"/>
    </w:lvl>
  </w:abstractNum>
  <w:abstractNum w:abstractNumId="131">
    <w:nsid w:val="F3F09D8"/>
    <w:multiLevelType w:val="hybridMultilevel"/>
    <w:lvl w:ilvl="0">
      <w:lvlJc w:val="left"/>
      <w:lvlText w:val="(%1)"/>
      <w:numFmt w:val="lowerLetter"/>
      <w:start w:val="2"/>
    </w:lvl>
  </w:abstractNum>
  <w:abstractNum w:abstractNumId="132">
    <w:nsid w:val="4B793735"/>
    <w:multiLevelType w:val="hybridMultilevel"/>
    <w:lvl w:ilvl="0">
      <w:lvlJc w:val="left"/>
      <w:lvlText w:val="(%1)"/>
      <w:numFmt w:val="lowerLetter"/>
      <w:start w:val="1"/>
    </w:lvl>
  </w:abstractNum>
  <w:abstractNum w:abstractNumId="133">
    <w:nsid w:val="4A10B4E8"/>
    <w:multiLevelType w:val="hybridMultilevel"/>
    <w:lvl w:ilvl="0">
      <w:lvlJc w:val="left"/>
      <w:lvlText w:val="(%1)"/>
      <w:numFmt w:val="lowerLetter"/>
      <w:start w:val="1"/>
    </w:lvl>
  </w:abstractNum>
  <w:abstractNum w:abstractNumId="134">
    <w:nsid w:val="43D3BCD4"/>
    <w:multiLevelType w:val="hybridMultilevel"/>
    <w:lvl w:ilvl="0">
      <w:lvlJc w:val="left"/>
      <w:lvlText w:val="(%1)"/>
      <w:numFmt w:val="lowerLetter"/>
      <w:start w:val="1"/>
    </w:lvl>
  </w:abstractNum>
  <w:abstractNum w:abstractNumId="135">
    <w:nsid w:val="4C2A7166"/>
    <w:multiLevelType w:val="hybridMultilevel"/>
    <w:lvl w:ilvl="0">
      <w:lvlJc w:val="left"/>
      <w:lvlText w:val="(%1)"/>
      <w:numFmt w:val="lowerLetter"/>
      <w:start w:val="1"/>
    </w:lvl>
    <w:lvl w:ilvl="1">
      <w:lvlJc w:val="left"/>
      <w:lvlText w:val="(%2)"/>
      <w:numFmt w:val="lowerRoman"/>
      <w:start w:val="1"/>
    </w:lvl>
  </w:abstractNum>
  <w:abstractNum w:abstractNumId="136">
    <w:nsid w:val="2E534A82"/>
    <w:multiLevelType w:val="hybridMultilevel"/>
    <w:lvl w:ilvl="0">
      <w:lvlJc w:val="left"/>
      <w:lvlText w:val="%1"/>
      <w:numFmt w:val="lowerLetter"/>
      <w:start w:val="1"/>
    </w:lvl>
    <w:lvl w:ilvl="1">
      <w:lvlJc w:val="left"/>
      <w:lvlText w:val="(%2)"/>
      <w:numFmt w:val="lowerRoman"/>
      <w:start w:val="3"/>
    </w:lvl>
  </w:abstractNum>
  <w:abstractNum w:abstractNumId="137">
    <w:nsid w:val="26F2D364"/>
    <w:multiLevelType w:val="hybridMultilevel"/>
    <w:lvl w:ilvl="0">
      <w:lvlJc w:val="left"/>
      <w:lvlText w:val="(%1)"/>
      <w:numFmt w:val="lowerLetter"/>
      <w:start w:val="6"/>
    </w:lvl>
    <w:lvl w:ilvl="1">
      <w:lvlJc w:val="left"/>
      <w:lvlText w:val="(%2)"/>
      <w:numFmt w:val="lowerRoman"/>
      <w:start w:val="1"/>
    </w:lvl>
  </w:abstractNum>
  <w:abstractNum w:abstractNumId="138">
    <w:nsid w:val="71C1AF98"/>
    <w:multiLevelType w:val="hybridMultilevel"/>
    <w:lvl w:ilvl="0">
      <w:lvlJc w:val="left"/>
      <w:lvlText w:val="%1"/>
      <w:numFmt w:val="lowerLetter"/>
      <w:start w:val="1"/>
    </w:lvl>
    <w:lvl w:ilvl="1">
      <w:lvlJc w:val="left"/>
      <w:lvlText w:val="(%2)"/>
      <w:numFmt w:val="lowerRoman"/>
      <w:start w:val="5"/>
    </w:lvl>
  </w:abstractNum>
  <w:abstractNum w:abstractNumId="139">
    <w:nsid w:val="3D00B9D9"/>
    <w:multiLevelType w:val="hybridMultilevel"/>
    <w:lvl w:ilvl="0">
      <w:lvlJc w:val="left"/>
      <w:lvlText w:val="(%1)"/>
      <w:numFmt w:val="lowerLetter"/>
      <w:start w:val="7"/>
    </w:lvl>
    <w:lvl w:ilvl="1">
      <w:lvlJc w:val="left"/>
      <w:lvlText w:val="%2"/>
      <w:numFmt w:val="lowerRoman"/>
      <w:start w:val="1"/>
    </w:lvl>
  </w:abstractNum>
  <w:abstractNum w:abstractNumId="140">
    <w:nsid w:val="15BCABA8"/>
    <w:multiLevelType w:val="hybridMultilevel"/>
    <w:lvl w:ilvl="0">
      <w:lvlJc w:val="left"/>
      <w:lvlText w:val="(%1)"/>
      <w:numFmt w:val="lowerLetter"/>
      <w:start w:val="1"/>
    </w:lvl>
  </w:abstractNum>
  <w:abstractNum w:abstractNumId="141">
    <w:nsid w:val="4E0B9A87"/>
    <w:multiLevelType w:val="hybridMultilevel"/>
    <w:lvl w:ilvl="0">
      <w:lvlJc w:val="left"/>
      <w:lvlText w:val="%1"/>
      <w:numFmt w:val="lowerLetter"/>
      <w:start w:val="1"/>
    </w:lvl>
    <w:lvl w:ilvl="1">
      <w:lvlJc w:val="left"/>
      <w:lvlText w:val="(%2)"/>
      <w:numFmt w:val="lowerLetter"/>
      <w:start w:val="1"/>
    </w:lvl>
  </w:abstractNum>
  <w:abstractNum w:abstractNumId="142">
    <w:nsid w:val="434BAE75"/>
    <w:multiLevelType w:val="hybridMultilevel"/>
    <w:lvl w:ilvl="0">
      <w:lvlJc w:val="left"/>
      <w:lvlText w:val="(%1)"/>
      <w:numFmt w:val="lowerLetter"/>
      <w:start w:val="61"/>
    </w:lvl>
    <w:lvl w:ilvl="1">
      <w:lvlJc w:val="left"/>
      <w:lvlText w:val="(%2)"/>
      <w:numFmt w:val="lowerLetter"/>
      <w:start w:val="3"/>
    </w:lvl>
  </w:abstractNum>
  <w:abstractNum w:abstractNumId="143">
    <w:nsid w:val="4F38F265"/>
    <w:multiLevelType w:val="hybridMultilevel"/>
    <w:lvl w:ilvl="0">
      <w:lvlJc w:val="left"/>
      <w:lvlText w:val="(%1)"/>
      <w:numFmt w:val="lowerLetter"/>
      <w:start w:val="4"/>
    </w:lvl>
  </w:abstractNum>
  <w:abstractNum w:abstractNumId="144">
    <w:nsid w:val="4C502870"/>
    <w:multiLevelType w:val="hybridMultilevel"/>
    <w:lvl w:ilvl="0">
      <w:lvlJc w:val="left"/>
      <w:lvlText w:val="(%1)"/>
      <w:numFmt w:val="lowerLetter"/>
      <w:start w:val="1"/>
    </w:lvl>
  </w:abstractNum>
  <w:abstractNum w:abstractNumId="145">
    <w:nsid w:val="1DE8725A"/>
    <w:multiLevelType w:val="hybridMultilevel"/>
    <w:lvl w:ilvl="0">
      <w:lvlJc w:val="left"/>
      <w:lvlText w:val="(%1)"/>
      <w:numFmt w:val="lowerLetter"/>
      <w:start w:val="1"/>
    </w:lvl>
  </w:abstractNum>
  <w:abstractNum w:abstractNumId="146">
    <w:nsid w:val="6A37288A"/>
    <w:multiLevelType w:val="hybridMultilevel"/>
    <w:lvl w:ilvl="0">
      <w:lvlJc w:val="left"/>
      <w:lvlText w:val="(%1)"/>
      <w:numFmt w:val="lowerLetter"/>
      <w:start w:val="2"/>
    </w:lvl>
  </w:abstractNum>
  <w:abstractNum w:abstractNumId="147">
    <w:nsid w:val="8F8B73F"/>
    <w:multiLevelType w:val="hybridMultilevel"/>
    <w:lvl w:ilvl="0">
      <w:lvlJc w:val="left"/>
      <w:lvlText w:val="(%1)"/>
      <w:numFmt w:val="lowerLetter"/>
      <w:start w:val="1"/>
    </w:lvl>
  </w:abstractNum>
  <w:abstractNum w:abstractNumId="148">
    <w:nsid w:val="CA6B462"/>
    <w:multiLevelType w:val="hybridMultilevel"/>
    <w:lvl w:ilvl="0">
      <w:lvlJc w:val="left"/>
      <w:lvlText w:val="(%1)"/>
      <w:numFmt w:val="lowerLetter"/>
      <w:start w:val="1"/>
    </w:lvl>
  </w:abstractNum>
  <w:abstractNum w:abstractNumId="149">
    <w:nsid w:val="763CB680"/>
    <w:multiLevelType w:val="hybridMultilevel"/>
    <w:lvl w:ilvl="0">
      <w:lvlJc w:val="left"/>
      <w:lvlText w:val="(%1)"/>
      <w:numFmt w:val="lowerLetter"/>
      <w:start w:val="1"/>
    </w:lvl>
  </w:abstractNum>
  <w:abstractNum w:abstractNumId="150">
    <w:nsid w:val="15B71329"/>
    <w:multiLevelType w:val="hybridMultilevel"/>
    <w:lvl w:ilvl="0">
      <w:lvlJc w:val="left"/>
      <w:lvlText w:val="(%1)"/>
      <w:numFmt w:val="lowerLetter"/>
      <w:start w:val="2"/>
    </w:lvl>
  </w:abstractNum>
  <w:abstractNum w:abstractNumId="151">
    <w:nsid w:val="3DA97044"/>
    <w:multiLevelType w:val="hybridMultilevel"/>
    <w:lvl w:ilvl="0">
      <w:lvlJc w:val="left"/>
      <w:lvlText w:val="(%1)"/>
      <w:numFmt w:val="lowerLetter"/>
      <w:start w:val="1"/>
    </w:lvl>
  </w:abstractNum>
  <w:abstractNum w:abstractNumId="152">
    <w:nsid w:val="1CDCE2DE"/>
    <w:multiLevelType w:val="hybridMultilevel"/>
    <w:lvl w:ilvl="0">
      <w:lvlJc w:val="left"/>
      <w:lvlText w:val="(%1)"/>
      <w:numFmt w:val="lowerLetter"/>
      <w:start w:val="2"/>
    </w:lvl>
  </w:abstractNum>
  <w:abstractNum w:abstractNumId="153">
    <w:nsid w:val="69D3947C"/>
    <w:multiLevelType w:val="hybridMultilevel"/>
    <w:lvl w:ilvl="0">
      <w:lvlJc w:val="left"/>
      <w:lvlText w:val="(%1)"/>
      <w:numFmt w:val="lowerLetter"/>
      <w:start w:val="1"/>
    </w:lvl>
  </w:abstractNum>
  <w:abstractNum w:abstractNumId="154">
    <w:nsid w:val="2539DFA5"/>
    <w:multiLevelType w:val="hybridMultilevel"/>
    <w:lvl w:ilvl="0">
      <w:lvlJc w:val="left"/>
      <w:lvlText w:val="(%1)"/>
      <w:numFmt w:val="lowerLetter"/>
      <w:start w:val="3"/>
    </w:lvl>
  </w:abstractNum>
  <w:abstractNum w:abstractNumId="155">
    <w:nsid w:val="2DB88089"/>
    <w:multiLevelType w:val="hybridMultilevel"/>
    <w:lvl w:ilvl="0">
      <w:lvlJc w:val="left"/>
      <w:lvlText w:val="(%1)"/>
      <w:numFmt w:val="lowerLetter"/>
      <w:start w:val="1"/>
    </w:lvl>
  </w:abstractNum>
  <w:abstractNum w:abstractNumId="156">
    <w:nsid w:val="706B674E"/>
    <w:multiLevelType w:val="hybridMultilevel"/>
    <w:lvl w:ilvl="0">
      <w:lvlJc w:val="left"/>
      <w:lvlText w:val="(%1)"/>
      <w:numFmt w:val="lowerLetter"/>
      <w:start w:val="4"/>
    </w:lvl>
  </w:abstractNum>
  <w:abstractNum w:abstractNumId="157">
    <w:nsid w:val="2C106A57"/>
    <w:multiLevelType w:val="hybridMultilevel"/>
    <w:lvl w:ilvl="0">
      <w:lvlJc w:val="left"/>
      <w:lvlText w:val="(%1)"/>
      <w:numFmt w:val="lowerLetter"/>
      <w:start w:val="1"/>
    </w:lvl>
  </w:abstractNum>
  <w:abstractNum w:abstractNumId="158">
    <w:nsid w:val="684EED59"/>
    <w:multiLevelType w:val="hybridMultilevel"/>
    <w:lvl w:ilvl="0">
      <w:lvlJc w:val="left"/>
      <w:lvlText w:val="(%1)"/>
      <w:numFmt w:val="lowerLetter"/>
      <w:start w:val="1"/>
    </w:lvl>
  </w:abstractNum>
  <w:abstractNum w:abstractNumId="159">
    <w:nsid w:val="545EE5D3"/>
    <w:multiLevelType w:val="hybridMultilevel"/>
    <w:lvl w:ilvl="0">
      <w:lvlJc w:val="left"/>
      <w:lvlText w:val="(%1)"/>
      <w:numFmt w:val="lowerLetter"/>
      <w:start w:val="1"/>
    </w:lvl>
  </w:abstractNum>
  <w:abstractNum w:abstractNumId="160">
    <w:nsid w:val="4A66051"/>
    <w:multiLevelType w:val="hybridMultilevel"/>
    <w:lvl w:ilvl="0">
      <w:lvlJc w:val="left"/>
      <w:lvlText w:val="(%1)"/>
      <w:numFmt w:val="lowerRoman"/>
      <w:start w:val="2"/>
    </w:lvl>
  </w:abstractNum>
  <w:abstractNum w:abstractNumId="161">
    <w:nsid w:val="20F4BDAD"/>
    <w:multiLevelType w:val="hybridMultilevel"/>
    <w:lvl w:ilvl="0">
      <w:lvlJc w:val="left"/>
      <w:lvlText w:val="(%1)"/>
      <w:numFmt w:val="lowerLetter"/>
      <w:start w:val="1"/>
    </w:lvl>
  </w:abstractNum>
  <w:abstractNum w:abstractNumId="162">
    <w:nsid w:val="639DEFAC"/>
    <w:multiLevelType w:val="hybridMultilevel"/>
    <w:lvl w:ilvl="0">
      <w:lvlJc w:val="left"/>
      <w:lvlText w:val="(%1)"/>
      <w:numFmt w:val="lowerLetter"/>
      <w:start w:val="1"/>
    </w:lvl>
  </w:abstractNum>
  <w:abstractNum w:abstractNumId="163">
    <w:nsid w:val="501F9786"/>
    <w:multiLevelType w:val="hybridMultilevel"/>
    <w:lvl w:ilvl="0">
      <w:lvlJc w:val="left"/>
      <w:lvlText w:val="(%1)"/>
      <w:numFmt w:val="lowerLetter"/>
      <w:start w:val="1"/>
    </w:lvl>
  </w:abstractNum>
  <w:abstractNum w:abstractNumId="164">
    <w:nsid w:val="6B057295"/>
    <w:multiLevelType w:val="hybridMultilevel"/>
    <w:lvl w:ilvl="0">
      <w:lvlJc w:val="left"/>
      <w:lvlText w:val="(%1)"/>
      <w:numFmt w:val="lowerLetter"/>
      <w:start w:val="2"/>
    </w:lvl>
  </w:abstractNum>
  <w:abstractNum w:abstractNumId="165">
    <w:nsid w:val="2771AC80"/>
    <w:multiLevelType w:val="hybridMultilevel"/>
    <w:lvl w:ilvl="0">
      <w:lvlJc w:val="left"/>
      <w:lvlText w:val="(%1)"/>
      <w:numFmt w:val="lowerLetter"/>
      <w:start w:val="1"/>
    </w:lvl>
  </w:abstractNum>
  <w:abstractNum w:abstractNumId="166">
    <w:nsid w:val="1C4A08EC"/>
    <w:multiLevelType w:val="hybridMultilevel"/>
    <w:lvl w:ilvl="0">
      <w:lvlJc w:val="left"/>
      <w:lvlText w:val="(%1)"/>
      <w:numFmt w:val="lowerLetter"/>
      <w:start w:val="1"/>
    </w:lvl>
  </w:abstractNum>
  <w:abstractNum w:abstractNumId="167">
    <w:nsid w:val="1958BD17"/>
    <w:multiLevelType w:val="hybridMultilevel"/>
    <w:lvl w:ilvl="0">
      <w:lvlJc w:val="left"/>
      <w:lvlText w:val="%1"/>
      <w:numFmt w:val="upperLetter"/>
      <w:start w:val="1"/>
    </w:lvl>
    <w:lvl w:ilvl="1">
      <w:lvlJc w:val="left"/>
      <w:lvlText w:val="(%2)"/>
      <w:numFmt w:val="lowerLetter"/>
      <w:start w:val="4"/>
    </w:lvl>
  </w:abstractNum>
  <w:abstractNum w:abstractNumId="168">
    <w:nsid w:val="4E647FE4"/>
    <w:multiLevelType w:val="hybridMultilevel"/>
    <w:lvl w:ilvl="0">
      <w:lvlJc w:val="left"/>
      <w:lvlText w:val="(%1)"/>
      <w:numFmt w:val="upperLetter"/>
      <w:start w:val="1"/>
    </w:lvl>
    <w:lvl w:ilvl="1">
      <w:lvlJc w:val="left"/>
      <w:lvlText w:val="(%2)"/>
      <w:numFmt w:val="lowerLetter"/>
      <w:start w:val="10"/>
    </w:lvl>
  </w:abstractNum>
  <w:abstractNum w:abstractNumId="169">
    <w:nsid w:val="E0BB885"/>
    <w:multiLevelType w:val="hybridMultilevel"/>
    <w:lvl w:ilvl="0">
      <w:lvlJc w:val="left"/>
      <w:lvlText w:val="(%1)"/>
      <w:numFmt w:val="lowerLetter"/>
      <w:start w:val="16"/>
    </w:lvl>
  </w:abstractNum>
  <w:abstractNum w:abstractNumId="170">
    <w:nsid w:val="565976F1"/>
    <w:multiLevelType w:val="hybridMultilevel"/>
    <w:lvl w:ilvl="0">
      <w:lvlJc w:val="left"/>
      <w:lvlText w:val="(%1)"/>
      <w:numFmt w:val="lowerLetter"/>
      <w:start w:val="1"/>
    </w:lvl>
  </w:abstractNum>
  <w:abstractNum w:abstractNumId="171">
    <w:nsid w:val="64212B8C"/>
    <w:multiLevelType w:val="hybridMultilevel"/>
    <w:lvl w:ilvl="0">
      <w:lvlJc w:val="left"/>
      <w:lvlText w:val="%1"/>
      <w:numFmt w:val="lowerLetter"/>
      <w:start w:val="1"/>
    </w:lvl>
    <w:lvl w:ilvl="1">
      <w:lvlJc w:val="left"/>
      <w:lvlText w:val="(%2)"/>
      <w:numFmt w:val="lowerLetter"/>
      <w:start w:val="7"/>
    </w:lvl>
  </w:abstractNum>
  <w:abstractNum w:abstractNumId="172">
    <w:nsid w:val="5C17530C"/>
    <w:multiLevelType w:val="hybridMultilevel"/>
    <w:lvl w:ilvl="0">
      <w:lvlJc w:val="left"/>
      <w:lvlText w:val="(%1)"/>
      <w:numFmt w:val="lowerLetter"/>
      <w:start w:val="9"/>
    </w:lvl>
    <w:lvl w:ilvl="1">
      <w:lvlJc w:val="left"/>
      <w:lvlText w:val="(%2)"/>
      <w:numFmt w:val="lowerLetter"/>
      <w:start w:val="8"/>
    </w:lvl>
  </w:abstractNum>
  <w:abstractNum w:abstractNumId="173">
    <w:nsid w:val="19A52566"/>
    <w:multiLevelType w:val="hybridMultilevel"/>
    <w:lvl w:ilvl="0">
      <w:lvlJc w:val="left"/>
      <w:lvlText w:val="%1"/>
      <w:numFmt w:val="upperLetter"/>
      <w:start w:val="1"/>
    </w:lvl>
    <w:lvl w:ilvl="1">
      <w:lvlJc w:val="left"/>
      <w:lvlText w:val="(%2)"/>
      <w:numFmt w:val="lowerLetter"/>
      <w:start w:val="2"/>
    </w:lvl>
  </w:abstractNum>
  <w:abstractNum w:abstractNumId="174">
    <w:nsid w:val="335A1DF1"/>
    <w:multiLevelType w:val="hybridMultilevel"/>
    <w:lvl w:ilvl="0">
      <w:lvlJc w:val="left"/>
      <w:lvlText w:val="(%1)"/>
      <w:numFmt w:val="upperLetter"/>
      <w:start w:val="2"/>
    </w:lvl>
    <w:lvl w:ilvl="1">
      <w:lvlJc w:val="left"/>
      <w:lvlText w:val="(%2)"/>
      <w:numFmt w:val="lowerLetter"/>
      <w:start w:val="7"/>
    </w:lvl>
  </w:abstractNum>
  <w:abstractNum w:abstractNumId="175">
    <w:nsid w:val="28677B7C"/>
    <w:multiLevelType w:val="hybridMultilevel"/>
    <w:lvl w:ilvl="0">
      <w:lvlJc w:val="left"/>
      <w:lvlText w:val="(%1)"/>
      <w:numFmt w:val="lowerLetter"/>
      <w:start w:val="9"/>
    </w:lvl>
  </w:abstractNum>
  <w:abstractNum w:abstractNumId="176">
    <w:nsid w:val="378D97C0"/>
    <w:multiLevelType w:val="hybridMultilevel"/>
    <w:lvl w:ilvl="0">
      <w:lvlJc w:val="left"/>
      <w:lvlText w:val="(%1)"/>
      <w:numFmt w:val="lowerLetter"/>
      <w:start w:val="6"/>
    </w:lvl>
  </w:abstractNum>
  <w:abstractNum w:abstractNumId="177">
    <w:nsid w:val="1D91467C"/>
    <w:multiLevelType w:val="hybridMultilevel"/>
    <w:lvl w:ilvl="0">
      <w:lvlJc w:val="left"/>
      <w:lvlText w:val="(%1)"/>
      <w:numFmt w:val="lowerLetter"/>
      <w:start w:val="1"/>
    </w:lvl>
  </w:abstractNum>
  <w:abstractNum w:abstractNumId="178">
    <w:nsid w:val="316032BB"/>
    <w:multiLevelType w:val="hybridMultilevel"/>
    <w:lvl w:ilvl="0">
      <w:lvlJc w:val="left"/>
      <w:lvlText w:val="(%1)"/>
      <w:numFmt w:val="lowerLetter"/>
      <w:start w:val="2"/>
    </w:lvl>
  </w:abstractNum>
  <w:abstractNum w:abstractNumId="179">
    <w:nsid w:val="44344C22"/>
    <w:multiLevelType w:val="hybridMultilevel"/>
    <w:lvl w:ilvl="0">
      <w:lvlJc w:val="left"/>
      <w:lvlText w:val="(%1)"/>
      <w:numFmt w:val="lowerRoman"/>
      <w:start w:val="6"/>
    </w:lvl>
  </w:abstractNum>
  <w:abstractNum w:abstractNumId="180">
    <w:nsid w:val="13CDFCFC"/>
    <w:multiLevelType w:val="hybridMultilevel"/>
    <w:lvl w:ilvl="0">
      <w:lvlJc w:val="left"/>
      <w:lvlText w:val="(%1)"/>
      <w:numFmt w:val="lowerLetter"/>
      <w:start w:val="1"/>
    </w:lvl>
  </w:abstractNum>
  <w:abstractNum w:abstractNumId="181">
    <w:nsid w:val="471745E4"/>
    <w:multiLevelType w:val="hybridMultilevel"/>
    <w:lvl w:ilvl="0">
      <w:lvlJc w:val="left"/>
      <w:lvlText w:val="(%1)"/>
      <w:numFmt w:val="lowerLetter"/>
      <w:start w:val="1"/>
    </w:lvl>
  </w:abstractNum>
  <w:abstractNum w:abstractNumId="182">
    <w:nsid w:val="1DDBC66"/>
    <w:multiLevelType w:val="hybridMultilevel"/>
    <w:lvl w:ilvl="0">
      <w:lvlJc w:val="left"/>
      <w:lvlText w:val="(%1)"/>
      <w:numFmt w:val="lowerLetter"/>
      <w:start w:val="1"/>
    </w:lvl>
  </w:abstractNum>
  <w:abstractNum w:abstractNumId="183">
    <w:nsid w:val="30AADFDA"/>
    <w:multiLevelType w:val="hybridMultilevel"/>
    <w:lvl w:ilvl="0">
      <w:lvlJc w:val="left"/>
      <w:lvlText w:val="(%1)"/>
      <w:numFmt w:val="lowerLetter"/>
      <w:start w:val="4"/>
    </w:lvl>
  </w:abstractNum>
  <w:abstractNum w:abstractNumId="184">
    <w:nsid w:val="30EADA61"/>
    <w:multiLevelType w:val="hybridMultilevel"/>
    <w:lvl w:ilvl="0">
      <w:lvlJc w:val="left"/>
      <w:lvlText w:val="(%1)"/>
      <w:numFmt w:val="lowerLetter"/>
      <w:start w:val="1"/>
    </w:lvl>
    <w:lvl w:ilvl="1">
      <w:lvlJc w:val="left"/>
      <w:lvlText w:val="(%2)"/>
      <w:numFmt w:val="lowerRoman"/>
      <w:start w:val="1"/>
    </w:lvl>
  </w:abstractNum>
  <w:abstractNum w:abstractNumId="185">
    <w:nsid w:val="27179C0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6">
    <w:nsid w:val="5E636063"/>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187">
    <w:nsid w:val="215641AF"/>
    <w:multiLevelType w:val="hybridMultilevel"/>
    <w:lvl w:ilvl="0">
      <w:lvlJc w:val="left"/>
      <w:lvlText w:val="(%1)"/>
      <w:numFmt w:val="lowerLetter"/>
      <w:start w:val="6"/>
    </w:lvl>
  </w:abstractNum>
  <w:abstractNum w:abstractNumId="188">
    <w:nsid w:val="53280662"/>
    <w:multiLevelType w:val="hybridMultilevel"/>
    <w:lvl w:ilvl="0">
      <w:lvlJc w:val="left"/>
      <w:lvlText w:val="(%1)"/>
      <w:numFmt w:val="lowerLetter"/>
      <w:start w:val="12"/>
    </w:lvl>
  </w:abstractNum>
  <w:abstractNum w:abstractNumId="189">
    <w:nsid w:val="46B24DBC"/>
    <w:multiLevelType w:val="hybridMultilevel"/>
    <w:lvl w:ilvl="0">
      <w:lvlJc w:val="left"/>
      <w:lvlText w:val="(%1)"/>
      <w:numFmt w:val="lowerLetter"/>
      <w:start w:val="1"/>
    </w:lvl>
  </w:abstractNum>
  <w:abstractNum w:abstractNumId="190">
    <w:nsid w:val="75B52783"/>
    <w:multiLevelType w:val="hybridMultilevel"/>
    <w:lvl w:ilvl="0">
      <w:lvlJc w:val="left"/>
      <w:lvlText w:val="(%1)"/>
      <w:numFmt w:val="lowerLetter"/>
      <w:start w:val="1"/>
    </w:lvl>
  </w:abstractNum>
  <w:abstractNum w:abstractNumId="191">
    <w:nsid w:val="57CE66B4"/>
    <w:multiLevelType w:val="hybridMultilevel"/>
    <w:lvl w:ilvl="0">
      <w:lvlJc w:val="left"/>
      <w:lvlText w:val="(%1)"/>
      <w:numFmt w:val="lowerLetter"/>
      <w:start w:val="3"/>
    </w:lvl>
  </w:abstractNum>
  <w:abstractNum w:abstractNumId="192">
    <w:nsid w:val="67A70B69"/>
    <w:multiLevelType w:val="hybridMultilevel"/>
    <w:lvl w:ilvl="0">
      <w:lvlJc w:val="left"/>
      <w:lvlText w:val="(%1)"/>
      <w:numFmt w:val="lowerLetter"/>
      <w:start w:val="1"/>
    </w:lvl>
  </w:abstractNum>
  <w:abstractNum w:abstractNumId="193">
    <w:nsid w:val="5953172F"/>
    <w:multiLevelType w:val="hybridMultilevel"/>
    <w:lvl w:ilvl="0">
      <w:lvlJc w:val="left"/>
      <w:lvlText w:val="(%1)"/>
      <w:numFmt w:val="lowerLetter"/>
      <w:start w:val="2"/>
    </w:lvl>
  </w:abstractNum>
  <w:abstractNum w:abstractNumId="194">
    <w:nsid w:val="27EDFE3A"/>
    <w:multiLevelType w:val="hybridMultilevel"/>
    <w:lvl w:ilvl="0">
      <w:lvlJc w:val="left"/>
      <w:lvlText w:val="(%1)"/>
      <w:numFmt w:val="lowerLetter"/>
      <w:start w:val="1"/>
    </w:lvl>
  </w:abstractNum>
  <w:abstractNum w:abstractNumId="195">
    <w:nsid w:val="52AC7DFF"/>
    <w:multiLevelType w:val="hybridMultilevel"/>
    <w:lvl w:ilvl="0">
      <w:lvlJc w:val="left"/>
      <w:lvlText w:val="(%1)"/>
      <w:numFmt w:val="lowerLetter"/>
      <w:start w:val="1"/>
    </w:lvl>
  </w:abstractNum>
  <w:abstractNum w:abstractNumId="196">
    <w:nsid w:val="C4C3AF"/>
    <w:multiLevelType w:val="hybridMultilevel"/>
    <w:lvl w:ilvl="0">
      <w:lvlJc w:val="left"/>
      <w:lvlText w:val="(%1)"/>
      <w:numFmt w:val="lowerLetter"/>
      <w:start w:val="1"/>
    </w:lvl>
    <w:lvl w:ilvl="1">
      <w:lvlJc w:val="left"/>
      <w:lvlText w:val="(%2)"/>
      <w:numFmt w:val="lowerRoman"/>
      <w:start w:val="1"/>
    </w:lvl>
  </w:abstractNum>
  <w:abstractNum w:abstractNumId="197">
    <w:nsid w:val="44380727"/>
    <w:multiLevelType w:val="hybridMultilevel"/>
    <w:lvl w:ilvl="0">
      <w:lvlJc w:val="left"/>
      <w:lvlText w:val="%1"/>
      <w:numFmt w:val="lowerLetter"/>
      <w:start w:val="1"/>
    </w:lvl>
    <w:lvl w:ilvl="1">
      <w:lvlJc w:val="left"/>
      <w:lvlText w:val="(%2)"/>
      <w:numFmt w:val="lowerRoman"/>
      <w:start w:val="5"/>
    </w:lvl>
  </w:abstractNum>
  <w:abstractNum w:abstractNumId="198">
    <w:nsid w:val="6C053B16"/>
    <w:multiLevelType w:val="hybridMultilevel"/>
    <w:lvl w:ilvl="0">
      <w:lvlJc w:val="left"/>
      <w:lvlText w:val="(%1)"/>
      <w:numFmt w:val="lowerLetter"/>
      <w:start w:val="2"/>
    </w:lvl>
    <w:lvl w:ilvl="1">
      <w:lvlJc w:val="left"/>
      <w:lvlText w:val="%2"/>
      <w:numFmt w:val="lowerRoman"/>
      <w:start w:val="1"/>
    </w:lvl>
  </w:abstractNum>
  <w:abstractNum w:abstractNumId="199">
    <w:nsid w:val="4F294393"/>
    <w:multiLevelType w:val="hybridMultilevel"/>
    <w:lvl w:ilvl="0">
      <w:lvlJc w:val="left"/>
      <w:lvlText w:val="(%1)"/>
      <w:numFmt w:val="lowerLetter"/>
      <w:start w:val="1"/>
    </w:lvl>
    <w:lvl w:ilvl="1">
      <w:lvlJc w:val="left"/>
      <w:lvlText w:val="(%2)"/>
      <w:numFmt w:val="lowerRoman"/>
      <w:start w:val="1"/>
    </w:lvl>
  </w:abstractNum>
  <w:abstractNum w:abstractNumId="200">
    <w:nsid w:val="5243BFAC"/>
    <w:multiLevelType w:val="hybridMultilevel"/>
    <w:lvl w:ilvl="0">
      <w:lvlJc w:val="left"/>
      <w:lvlText w:val="(%1)"/>
      <w:numFmt w:val="lowerLetter"/>
      <w:start w:val="2"/>
    </w:lvl>
  </w:abstractNum>
  <w:abstractNum w:abstractNumId="201">
    <w:nsid w:val="425EB207"/>
    <w:multiLevelType w:val="hybridMultilevel"/>
    <w:lvl w:ilvl="0">
      <w:lvlJc w:val="left"/>
      <w:lvlText w:val="(%1)"/>
      <w:numFmt w:val="lowerLetter"/>
      <w:start w:val="3"/>
    </w:lvl>
  </w:abstractNum>
  <w:abstractNum w:abstractNumId="202">
    <w:nsid w:val="334A6F1F"/>
    <w:multiLevelType w:val="hybridMultilevel"/>
    <w:lvl w:ilvl="0">
      <w:lvlJc w:val="left"/>
      <w:lvlText w:val="(%1)"/>
      <w:numFmt w:val="lowerLetter"/>
      <w:start w:val="1"/>
    </w:lvl>
  </w:abstractNum>
  <w:abstractNum w:abstractNumId="203">
    <w:nsid w:val="2E5B12B8"/>
    <w:multiLevelType w:val="hybridMultilevel"/>
    <w:lvl w:ilvl="0">
      <w:lvlJc w:val="left"/>
      <w:lvlText w:val="(%1)"/>
      <w:numFmt w:val="lowerLetter"/>
      <w:start w:val="2"/>
    </w:lvl>
  </w:abstractNum>
  <w:abstractNum w:abstractNumId="204">
    <w:nsid w:val="5C03D76D"/>
    <w:multiLevelType w:val="hybridMultilevel"/>
    <w:lvl w:ilvl="0">
      <w:lvlJc w:val="left"/>
      <w:lvlText w:val="(%1)"/>
      <w:numFmt w:val="lowerLetter"/>
      <w:start w:val="4"/>
    </w:lvl>
  </w:abstractNum>
  <w:abstractNum w:abstractNumId="205">
    <w:nsid w:val="66A48D11"/>
    <w:multiLevelType w:val="hybridMultilevel"/>
    <w:lvl w:ilvl="0">
      <w:lvlJc w:val="left"/>
      <w:lvlText w:val="(%1)"/>
      <w:numFmt w:val="lowerLetter"/>
      <w:start w:val="1"/>
    </w:lvl>
  </w:abstractNum>
  <w:abstractNum w:abstractNumId="206">
    <w:nsid w:val="56C28E3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07">
    <w:nsid w:val="13916F2D"/>
    <w:multiLevelType w:val="hybridMultilevel"/>
    <w:lvl w:ilvl="0">
      <w:lvlJc w:val="left"/>
      <w:lvlText w:val="(%1)"/>
      <w:numFmt w:val="lowerRoman"/>
      <w:start w:val="2"/>
    </w:lvl>
    <w:lvl w:ilvl="1">
      <w:lvlJc w:val="left"/>
      <w:lvlText w:val="(%2)"/>
      <w:numFmt w:val="upperLetter"/>
      <w:start w:val="1"/>
    </w:lvl>
  </w:abstractNum>
  <w:abstractNum w:abstractNumId="208">
    <w:nsid w:val="435D38D"/>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209">
    <w:nsid w:val="822C0EF"/>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210">
    <w:nsid w:val="57C5BB4F"/>
    <w:multiLevelType w:val="hybridMultilevel"/>
    <w:lvl w:ilvl="0">
      <w:lvlJc w:val="left"/>
      <w:lvlText w:val="(%1)"/>
      <w:numFmt w:val="upperLetter"/>
      <w:start w:val="2"/>
    </w:lvl>
    <w:lvl w:ilvl="1">
      <w:lvlJc w:val="left"/>
      <w:lvlText w:val="(%2)"/>
      <w:numFmt w:val="lowerRoman"/>
      <w:start w:val="6"/>
    </w:lvl>
    <w:lvl w:ilvl="2">
      <w:lvlJc w:val="left"/>
      <w:lvlText w:val="%3"/>
      <w:numFmt w:val="upperLetter"/>
      <w:start w:val="1"/>
    </w:lvl>
  </w:abstractNum>
  <w:abstractNum w:abstractNumId="211">
    <w:nsid w:val="1803D089"/>
    <w:multiLevelType w:val="hybridMultilevel"/>
    <w:lvl w:ilvl="0">
      <w:lvlJc w:val="left"/>
      <w:lvlText w:val="(%1)"/>
      <w:numFmt w:val="lowerLetter"/>
      <w:start w:val="3"/>
    </w:lvl>
  </w:abstractNum>
  <w:abstractNum w:abstractNumId="212">
    <w:nsid w:val="4F3A06D4"/>
    <w:multiLevelType w:val="hybridMultilevel"/>
    <w:lvl w:ilvl="0">
      <w:lvlJc w:val="left"/>
      <w:lvlText w:val="(%1)"/>
      <w:numFmt w:val="lowerLetter"/>
      <w:start w:val="5"/>
    </w:lvl>
  </w:abstractNum>
  <w:abstractNum w:abstractNumId="213">
    <w:nsid w:val="59A377B6"/>
    <w:multiLevelType w:val="hybridMultilevel"/>
    <w:lvl w:ilvl="0">
      <w:lvlJc w:val="left"/>
      <w:lvlText w:val="(%1)"/>
      <w:numFmt w:val="lowerLetter"/>
      <w:start w:val="5"/>
    </w:lvl>
  </w:abstractNum>
  <w:abstractNum w:abstractNumId="214">
    <w:nsid w:val="48AEB063"/>
    <w:multiLevelType w:val="hybridMultilevel"/>
    <w:lvl w:ilvl="0">
      <w:lvlJc w:val="left"/>
      <w:lvlText w:val="(%1)"/>
      <w:numFmt w:val="lowerLetter"/>
      <w:start w:val="35"/>
    </w:lvl>
  </w:abstractNum>
  <w:abstractNum w:abstractNumId="215">
    <w:nsid w:val="24E135"/>
    <w:multiLevelType w:val="hybridMultilevel"/>
    <w:lvl w:ilvl="0">
      <w:lvlJc w:val="left"/>
      <w:lvlText w:val="(%1)"/>
      <w:numFmt w:val="lowerLetter"/>
      <w:start w:val="1"/>
    </w:lvl>
  </w:abstractNum>
  <w:abstractNum w:abstractNumId="216">
    <w:nsid w:val="BB13C1"/>
    <w:multiLevelType w:val="hybridMultilevel"/>
    <w:lvl w:ilvl="0">
      <w:lvlJc w:val="left"/>
      <w:lvlText w:val="(%1)"/>
      <w:numFmt w:val="lowerLetter"/>
      <w:start w:val="1"/>
    </w:lvl>
  </w:abstractNum>
  <w:abstractNum w:abstractNumId="217">
    <w:nsid w:val="271210C7"/>
    <w:multiLevelType w:val="hybridMultilevel"/>
    <w:lvl w:ilvl="0">
      <w:lvlJc w:val="left"/>
      <w:lvlText w:val="(%1)"/>
      <w:numFmt w:val="lowerLetter"/>
      <w:start w:val="2"/>
    </w:lvl>
  </w:abstractNum>
  <w:abstractNum w:abstractNumId="218">
    <w:nsid w:val="217B22E4"/>
    <w:multiLevelType w:val="hybridMultilevel"/>
    <w:lvl w:ilvl="0">
      <w:lvlJc w:val="left"/>
      <w:lvlText w:val="(%1)"/>
      <w:numFmt w:val="lowerRoman"/>
      <w:start w:val="2"/>
    </w:lvl>
  </w:abstractNum>
  <w:abstractNum w:abstractNumId="219">
    <w:nsid w:val="53E31A24"/>
    <w:multiLevelType w:val="hybridMultilevel"/>
    <w:lvl w:ilvl="0">
      <w:lvlJc w:val="left"/>
      <w:lvlText w:val="%1."/>
      <w:numFmt w:val="decimal"/>
    </w:lvl>
    <w:lvl w:ilvl="1">
      <w:lvlJc w:val="left"/>
      <w:lvlText w:val="•"/>
      <w:numFmt w:val="bullet"/>
      <w:start w:val="1"/>
    </w:lvl>
  </w:abstractNum>
  <w:abstractNum w:abstractNumId="220">
    <w:nsid w:val="6DC45E83"/>
    <w:multiLevelType w:val="hybridMultilevel"/>
    <w:lvl w:ilvl="0">
      <w:lvlJc w:val="left"/>
      <w:lvlText w:val="•"/>
      <w:numFmt w:val="bullet"/>
      <w:start w:val="1"/>
    </w:lvl>
  </w:abstractNum>
  <w:abstractNum w:abstractNumId="221">
    <w:nsid w:val="17304A67"/>
    <w:multiLevelType w:val="hybridMultilevel"/>
    <w:lvl w:ilvl="0">
      <w:lvlJc w:val="left"/>
      <w:lvlText w:val="%1."/>
      <w:numFmt w:val="decimal"/>
      <w:start w:val="2"/>
    </w:lvl>
  </w:abstractNum>
  <w:abstractNum w:abstractNumId="222">
    <w:nsid w:val="2BB180D8"/>
    <w:multiLevelType w:val="hybridMultilevel"/>
    <w:lvl w:ilvl="0">
      <w:lvlJc w:val="left"/>
      <w:lvlText w:val="%1."/>
      <w:numFmt w:val="decimal"/>
      <w:start w:val="4"/>
    </w:lvl>
    <w:lvl w:ilvl="1">
      <w:lvlJc w:val="left"/>
      <w:lvlText w:val="•"/>
      <w:numFmt w:val="bullet"/>
      <w:start w:val="1"/>
    </w:lvl>
    <w:lvl w:ilvl="2">
      <w:lvlJc w:val="left"/>
      <w:lvlText w:val="°"/>
      <w:numFmt w:val="bullet"/>
      <w:start w:val="1"/>
    </w:lvl>
  </w:abstractNum>
  <w:abstractNum w:abstractNumId="223">
    <w:nsid w:val="556B69ED"/>
    <w:multiLevelType w:val="hybridMultilevel"/>
    <w:lvl w:ilvl="0">
      <w:lvlJc w:val="left"/>
      <w:lvlText w:val="1"/>
      <w:numFmt w:val="bullet"/>
      <w:start w:val="1"/>
    </w:lvl>
  </w:abstractNum>
  <w:abstractNum w:abstractNumId="224">
    <w:nsid w:val="70836196"/>
    <w:multiLevelType w:val="hybridMultilevel"/>
    <w:lvl w:ilvl="0">
      <w:lvlJc w:val="left"/>
      <w:lvlText w:val="3"/>
      <w:numFmt w:val="bullet"/>
      <w:start w:val="1"/>
    </w:lvl>
  </w:abstractNum>
  <w:abstractNum w:abstractNumId="225">
    <w:nsid w:val="539F7F12"/>
    <w:multiLevelType w:val="hybridMultilevel"/>
    <w:lvl w:ilvl="0">
      <w:lvlJc w:val="left"/>
      <w:lvlText w:val="(%1)"/>
      <w:numFmt w:val="decimal"/>
      <w:start w:val="2"/>
    </w:lvl>
  </w:abstractNum>
  <w:abstractNum w:abstractNumId="226">
    <w:nsid w:val="2817E7EC"/>
    <w:multiLevelType w:val="hybridMultilevel"/>
    <w:lvl w:ilvl="0">
      <w:lvlJc w:val="left"/>
      <w:lvlText w:val="(%1)"/>
      <w:numFmt w:val="decimal"/>
      <w:start w:val="2"/>
    </w:lvl>
  </w:abstractNum>
  <w:abstractNum w:abstractNumId="227">
    <w:nsid w:val="71482545"/>
    <w:multiLevelType w:val="hybridMultilevel"/>
    <w:lvl w:ilvl="0">
      <w:lvlJc w:val="left"/>
      <w:lvlText w:val="(%1)"/>
      <w:numFmt w:val="decimal"/>
      <w:start w:val="1"/>
    </w:lvl>
  </w:abstractNum>
  <w:abstractNum w:abstractNumId="228">
    <w:nsid w:val="17D78639"/>
    <w:multiLevelType w:val="hybridMultilevel"/>
    <w:lvl w:ilvl="0">
      <w:lvlJc w:val="left"/>
      <w:lvlText w:val="(%1)"/>
      <w:numFmt w:val="decimal"/>
      <w:start w:val="1"/>
    </w:lvl>
  </w:abstractNum>
  <w:abstractNum w:abstractNumId="229">
    <w:nsid w:val="141D2302"/>
    <w:multiLevelType w:val="hybridMultilevel"/>
    <w:lvl w:ilvl="0">
      <w:lvlJc w:val="left"/>
      <w:lvlText w:val="(%1)"/>
      <w:numFmt w:val="decimal"/>
      <w:start w:val="1"/>
    </w:lvl>
  </w:abstractNum>
  <w:abstractNum w:abstractNumId="230">
    <w:nsid w:val="407168D8"/>
    <w:multiLevelType w:val="hybridMultilevel"/>
    <w:lvl w:ilvl="0">
      <w:lvlJc w:val="left"/>
      <w:lvlText w:val="(%1)"/>
      <w:numFmt w:val="decimal"/>
      <w:start w:val="1"/>
    </w:lvl>
  </w:abstractNum>
  <w:abstractNum w:abstractNumId="231">
    <w:nsid w:val="6A1B45E5"/>
    <w:multiLevelType w:val="hybridMultilevel"/>
    <w:lvl w:ilvl="0">
      <w:lvlJc w:val="left"/>
      <w:lvlText w:val="(%1)"/>
      <w:numFmt w:val="decimal"/>
      <w:start w:val="1"/>
    </w:lvl>
  </w:abstractNum>
  <w:abstractNum w:abstractNumId="232">
    <w:nsid w:val="567BD50A"/>
    <w:multiLevelType w:val="hybridMultilevel"/>
    <w:lvl w:ilvl="0">
      <w:lvlJc w:val="left"/>
      <w:lvlText w:val="(%1)"/>
      <w:numFmt w:val="decimal"/>
      <w:start w:val="1"/>
    </w:lvl>
  </w:abstractNum>
  <w:abstractNum w:abstractNumId="233">
    <w:nsid w:val="73BBD7F8"/>
    <w:multiLevelType w:val="hybridMultilevel"/>
    <w:lvl w:ilvl="0">
      <w:lvlJc w:val="left"/>
      <w:lvlText w:val="(%1)"/>
      <w:numFmt w:val="decimal"/>
      <w:start w:val="1"/>
    </w:lvl>
  </w:abstractNum>
  <w:abstractNum w:abstractNumId="234">
    <w:nsid w:val="1876589D"/>
    <w:multiLevelType w:val="hybridMultilevel"/>
    <w:lvl w:ilvl="0">
      <w:lvlJc w:val="left"/>
      <w:lvlText w:val="(%1)"/>
      <w:numFmt w:val="decimal"/>
      <w:start w:val="44"/>
    </w:lvl>
  </w:abstractNum>
  <w:abstractNum w:abstractNumId="235">
    <w:nsid w:val="327FAC77"/>
    <w:multiLevelType w:val="hybridMultilevel"/>
    <w:lvl w:ilvl="0">
      <w:lvlJc w:val="left"/>
      <w:lvlText w:val="(%1)"/>
      <w:numFmt w:val="decimal"/>
      <w:start w:val="3"/>
    </w:lvl>
  </w:abstractNum>
  <w:abstractNum w:abstractNumId="236">
    <w:nsid w:val="5A606509"/>
    <w:multiLevelType w:val="hybridMultilevel"/>
    <w:lvl w:ilvl="0">
      <w:lvlJc w:val="left"/>
      <w:lvlText w:val="(%1)"/>
      <w:numFmt w:val="decimal"/>
      <w:start w:val="8"/>
    </w:lvl>
  </w:abstractNum>
  <w:abstractNum w:abstractNumId="237">
    <w:nsid w:val="6F38E6D1"/>
    <w:multiLevelType w:val="hybridMultilevel"/>
    <w:lvl w:ilvl="0">
      <w:lvlJc w:val="left"/>
      <w:lvlText w:val="%1."/>
      <w:numFmt w:val="upperLetter"/>
      <w:start w:val="1"/>
    </w:lvl>
  </w:abstractNum>
  <w:abstractNum w:abstractNumId="238">
    <w:nsid w:val="46111BA5"/>
    <w:multiLevelType w:val="hybridMultilevel"/>
    <w:lvl w:ilvl="0">
      <w:lvlJc w:val="left"/>
      <w:lvlText w:val="%1."/>
      <w:numFmt w:val="upperLetter"/>
      <w:start w:val="2"/>
    </w:lvl>
  </w:abstractNum>
  <w:abstractNum w:abstractNumId="239">
    <w:nsid w:val="5E963896"/>
    <w:multiLevelType w:val="hybridMultilevel"/>
    <w:lvl w:ilvl="0">
      <w:lvlJc w:val="left"/>
      <w:lvlText w:val="%1."/>
      <w:numFmt w:val="upperLetter"/>
      <w:start w:val="3"/>
    </w:lvl>
  </w:abstractNum>
  <w:abstractNum w:abstractNumId="240">
    <w:nsid w:val="775BA7C1"/>
    <w:multiLevelType w:val="hybridMultilevel"/>
    <w:lvl w:ilvl="0">
      <w:lvlJc w:val="left"/>
      <w:lvlText w:val="•"/>
      <w:numFmt w:val="bullet"/>
      <w:start w:val="1"/>
    </w:lvl>
  </w:abstractNum>
  <w:abstractNum w:abstractNumId="241">
    <w:nsid w:val="1DD6D6F4"/>
    <w:multiLevelType w:val="hybridMultilevel"/>
    <w:lvl w:ilvl="0">
      <w:lvlJc w:val="left"/>
      <w:lvlText w:val="%1."/>
      <w:numFmt w:val="upperLetter"/>
      <w:start w:val="3"/>
    </w:lvl>
    <w:lvl w:ilvl="1">
      <w:lvlJc w:val="left"/>
      <w:lvlText w:val="•"/>
      <w:numFmt w:val="bullet"/>
      <w:start w:val="1"/>
    </w:lvl>
  </w:abstractNum>
  <w:abstractNum w:abstractNumId="242">
    <w:nsid w:val="769A091F"/>
    <w:multiLevelType w:val="hybridMultilevel"/>
    <w:lvl w:ilvl="0">
      <w:lvlJc w:val="left"/>
      <w:lvlText w:val="%1"/>
      <w:numFmt w:val="upperLetter"/>
      <w:start w:val="1"/>
    </w:lvl>
    <w:lvl w:ilvl="1">
      <w:lvlJc w:val="left"/>
      <w:lvlText w:val="%2."/>
      <w:numFmt w:val="decimal"/>
      <w:start w:val="2"/>
    </w:lvl>
  </w:abstractNum>
  <w:abstractNum w:abstractNumId="243">
    <w:nsid w:val="4695AE95"/>
    <w:multiLevelType w:val="hybridMultilevel"/>
    <w:lvl w:ilvl="0">
      <w:lvlJc w:val="left"/>
      <w:lvlText w:val="%1."/>
      <w:numFmt w:val="upperLetter"/>
      <w:start w:val="5"/>
    </w:lvl>
    <w:lvl w:ilvl="1">
      <w:lvlJc w:val="left"/>
      <w:lvlText w:val="%2"/>
      <w:numFmt w:val="decimal"/>
      <w:start w:val="1"/>
    </w:lvl>
  </w:abstractNum>
  <w:abstractNum w:abstractNumId="244">
    <w:nsid w:val="777A4EAA"/>
    <w:multiLevelType w:val="hybridMultilevel"/>
    <w:lvl w:ilvl="0">
      <w:lvlJc w:val="left"/>
      <w:lvlText w:val="%1."/>
      <w:numFmt w:val="upperLetter"/>
      <w:start w:val="6"/>
    </w:lvl>
  </w:abstractNum>
  <w:abstractNum w:abstractNumId="245">
    <w:nsid w:val="3F48B982"/>
    <w:multiLevelType w:val="hybridMultilevel"/>
    <w:lvl w:ilvl="0">
      <w:lvlJc w:val="left"/>
      <w:lvlText w:val="☐"/>
      <w:numFmt w:val="bullet"/>
      <w:start w:val="1"/>
    </w:lvl>
  </w:abstractNum>
  <w:abstractNum w:abstractNumId="246">
    <w:nsid w:val="46BA8FCA"/>
    <w:multiLevelType w:val="hybridMultilevel"/>
    <w:lvl w:ilvl="0">
      <w:lvlJc w:val="left"/>
      <w:lvlText w:val="(%1)"/>
      <w:numFmt w:val="lowerRoman"/>
      <w:start w:val="2"/>
    </w:lvl>
  </w:abstractNum>
  <w:abstractNum w:abstractNumId="247">
    <w:nsid w:val="7835626C"/>
    <w:multiLevelType w:val="hybridMultilevel"/>
    <w:lvl w:ilvl="0">
      <w:lvlJc w:val="left"/>
      <w:lvlText w:val="%1."/>
      <w:numFmt w:val="decimal"/>
      <w:start w:val="1"/>
    </w:lvl>
  </w:abstractNum>
  <w:abstractNum w:abstractNumId="248">
    <w:nsid w:val="665ACA49"/>
    <w:multiLevelType w:val="hybridMultilevel"/>
    <w:lvl w:ilvl="0">
      <w:lvlJc w:val="left"/>
      <w:lvlText w:val="%1."/>
      <w:numFmt w:val="decimal"/>
      <w:start w:val="1"/>
    </w:lvl>
  </w:abstractNum>
  <w:abstractNum w:abstractNumId="249">
    <w:nsid w:val="6835B2AE"/>
    <w:multiLevelType w:val="hybridMultilevel"/>
    <w:lvl w:ilvl="0">
      <w:lvlJc w:val="left"/>
      <w:lvlText w:val="%1."/>
      <w:numFmt w:val="decimal"/>
      <w:start w:val="4"/>
    </w:lvl>
  </w:abstractNum>
  <w:abstractNum w:abstractNumId="250">
    <w:nsid w:val="4C187C90"/>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251">
    <w:nsid w:val="541F28CD"/>
    <w:multiLevelType w:val="hybridMultilevel"/>
    <w:lvl w:ilvl="0">
      <w:lvlJc w:val="left"/>
      <w:lvlText w:val="%1"/>
      <w:numFmt w:val="decimal"/>
      <w:start w:val="1"/>
    </w:lvl>
    <w:lvl w:ilvl="1">
      <w:lvlJc w:val="left"/>
      <w:lvlText w:val="(%2)"/>
      <w:numFmt w:val="lowerRoman"/>
      <w:start w:val="5"/>
    </w:lvl>
  </w:abstractNum>
  <w:abstractNum w:abstractNumId="252">
    <w:nsid w:val="7F65FD16"/>
    <w:multiLevelType w:val="hybridMultilevel"/>
    <w:lvl w:ilvl="0">
      <w:lvlJc w:val="left"/>
      <w:lvlText w:val="%1."/>
      <w:numFmt w:val="decimal"/>
      <w:start w:val="4"/>
    </w:lvl>
    <w:lvl w:ilvl="1">
      <w:lvlJc w:val="left"/>
      <w:lvlText w:val="%2"/>
      <w:numFmt w:val="lowerRoman"/>
      <w:start w:val="1"/>
    </w:lvl>
  </w:abstractNum>
  <w:abstractNum w:abstractNumId="253">
    <w:nsid w:val="77C9FD68"/>
    <w:multiLevelType w:val="hybridMultilevel"/>
    <w:lvl w:ilvl="0">
      <w:lvlJc w:val="left"/>
      <w:lvlText w:val="%1."/>
      <w:numFmt w:val="decimal"/>
      <w:start w:val="1"/>
    </w:lvl>
  </w:abstractNum>
  <w:abstractNum w:abstractNumId="254">
    <w:nsid w:val="298A92BA"/>
    <w:multiLevelType w:val="hybridMultilevel"/>
    <w:lvl w:ilvl="0">
      <w:lvlJc w:val="left"/>
      <w:lvlText w:val="%1."/>
      <w:numFmt w:val="decimal"/>
      <w:start w:val="4"/>
    </w:lvl>
  </w:abstractNum>
  <w:abstractNum w:abstractNumId="255">
    <w:nsid w:val="6FE95EAC"/>
    <w:multiLevelType w:val="hybridMultilevel"/>
    <w:lvl w:ilvl="0">
      <w:lvlJc w:val="left"/>
      <w:lvlText w:val="3"/>
      <w:numFmt w:val="bullet"/>
      <w:start w:val="1"/>
    </w:lvl>
  </w:abstractNum>
  <w:abstractNum w:abstractNumId="256">
    <w:nsid w:val="4B697C7A"/>
    <w:multiLevelType w:val="hybridMultilevel"/>
    <w:lvl w:ilvl="0">
      <w:lvlJc w:val="left"/>
      <w:lvlText w:val="4"/>
      <w:numFmt w:val="bullet"/>
      <w:start w:val="1"/>
    </w:lvl>
  </w:abstractNum>
  <w:abstractNum w:abstractNumId="257">
    <w:nsid w:val="51A27AA6"/>
    <w:multiLevelType w:val="hybridMultilevel"/>
    <w:lvl w:ilvl="0">
      <w:lvlJc w:val="left"/>
      <w:lvlText w:val="5"/>
      <w:numFmt w:val="bullet"/>
      <w:start w:val="1"/>
    </w:lvl>
  </w:abstractNum>
  <w:abstractNum w:abstractNumId="258">
    <w:nsid w:val="613183F2"/>
    <w:multiLevelType w:val="hybridMultilevel"/>
    <w:lvl w:ilvl="0">
      <w:lvlJc w:val="left"/>
      <w:lvlText w:val="6"/>
      <w:numFmt w:val="bullet"/>
      <w:start w:val="1"/>
    </w:lvl>
  </w:abstractNum>
  <w:abstractNum w:abstractNumId="259">
    <w:nsid w:val="634102B4"/>
    <w:multiLevelType w:val="hybridMultilevel"/>
    <w:lvl w:ilvl="0">
      <w:lvlJc w:val="left"/>
      <w:lvlText w:val="7"/>
      <w:numFmt w:val="bullet"/>
      <w:start w:val="1"/>
    </w:lvl>
  </w:abstractNum>
  <w:abstractNum w:abstractNumId="260">
    <w:nsid w:val="65BF9DA8"/>
    <w:multiLevelType w:val="hybridMultilevel"/>
    <w:lvl w:ilvl="0">
      <w:lvlJc w:val="left"/>
      <w:lvlText w:val="%1."/>
      <w:numFmt w:val="decimal"/>
      <w:start w:val="1"/>
    </w:lvl>
  </w:abstractNum>
  <w:abstractNum w:abstractNumId="261">
    <w:nsid w:val="21A2ECCA"/>
    <w:multiLevelType w:val="hybridMultilevel"/>
    <w:lvl w:ilvl="0">
      <w:lvlJc w:val="left"/>
      <w:lvlText w:val="(%1)"/>
      <w:numFmt w:val="lowerLetter"/>
      <w:start w:val="2"/>
    </w:lvl>
  </w:abstractNum>
  <w:abstractNum w:abstractNumId="262">
    <w:nsid w:val="4D5C4899"/>
    <w:multiLevelType w:val="hybridMultilevel"/>
    <w:lvl w:ilvl="0">
      <w:lvlJc w:val="left"/>
      <w:lvlText w:val="%1."/>
      <w:numFmt w:val="decimal"/>
      <w:start w:val="2"/>
    </w:lvl>
  </w:abstractNum>
  <w:abstractNum w:abstractNumId="263">
    <w:nsid w:val="3C3B72B2"/>
    <w:multiLevelType w:val="hybridMultilevel"/>
    <w:lvl w:ilvl="0">
      <w:lvlJc w:val="left"/>
      <w:lvlText w:val="%1."/>
      <w:numFmt w:val="decimal"/>
      <w:start w:val="3"/>
    </w:lvl>
  </w:abstractNum>
  <w:abstractNum w:abstractNumId="264">
    <w:nsid w:val="155EC4C2"/>
    <w:multiLevelType w:val="hybridMultilevel"/>
    <w:lvl w:ilvl="0">
      <w:lvlJc w:val="left"/>
      <w:lvlText w:val="(%1)"/>
      <w:numFmt w:val="decimal"/>
      <w:start w:val="2"/>
    </w:lvl>
  </w:abstractNum>
  <w:abstractNum w:abstractNumId="265">
    <w:nsid w:val="65D2A137"/>
    <w:multiLevelType w:val="hybridMultilevel"/>
    <w:lvl w:ilvl="0">
      <w:lvlJc w:val="left"/>
      <w:lvlText w:val="%1."/>
      <w:numFmt w:val="decimal"/>
      <w:start w:val="1"/>
    </w:lvl>
    <w:lvl w:ilvl="1">
      <w:lvlJc w:val="left"/>
      <w:lvlText w:val="%2)"/>
      <w:numFmt w:val="lowerLetter"/>
      <w:start w:val="1"/>
    </w:lvl>
  </w:abstractNum>
  <w:abstractNum w:abstractNumId="266">
    <w:nsid w:val="6EBB1F2A"/>
    <w:multiLevelType w:val="hybridMultilevel"/>
    <w:lvl w:ilvl="0">
      <w:lvlJc w:val="left"/>
      <w:lvlText w:val="%1."/>
      <w:numFmt w:val="decimal"/>
      <w:start w:val="1"/>
    </w:lvl>
    <w:lvl w:ilvl="1">
      <w:lvlJc w:val="left"/>
      <w:lvlText w:val="%2)"/>
      <w:numFmt w:val="lowerLetter"/>
      <w:start w:val="1"/>
    </w:lvl>
  </w:abstractNum>
  <w:abstractNum w:abstractNumId="267">
    <w:nsid w:val="6FBF29CB"/>
    <w:multiLevelType w:val="hybridMultilevel"/>
    <w:lvl w:ilvl="0">
      <w:lvlJc w:val="left"/>
      <w:lvlText w:val="(%1)"/>
      <w:numFmt w:val="decimal"/>
      <w:start w:val="1"/>
    </w:lvl>
  </w:abstractNum>
  <w:abstractNum w:abstractNumId="268">
    <w:nsid w:val="550B880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2019-12-07T18:29:22Z</dcterms:created>
  <dcterms:modified xsi:type="dcterms:W3CDTF">2019-12-07T18:29:22Z</dcterms:modified>
</cp:coreProperties>
</file>