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84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846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Crowley John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11/19/2008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Operating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464"/>
              <w:spacing w:after="0"/>
              <w:rPr>
                <w:sz w:val="20"/>
                <w:szCs w:val="20"/>
                <w:color w:val="auto"/>
              </w:rPr>
            </w:pPr>
            <w:r>
              <w:rPr>
                <w:rFonts w:ascii="Arial" w:cs="Arial" w:eastAsia="Arial" w:hAnsi="Arial"/>
                <w:sz w:val="18"/>
                <w:szCs w:val="18"/>
                <w:color w:val="0000FF"/>
              </w:rPr>
              <w:t>382,435</w:t>
            </w:r>
            <w:r>
              <w:rPr>
                <w:rFonts w:ascii="Arial" w:cs="Arial" w:eastAsia="Arial" w:hAnsi="Arial"/>
                <w:sz w:val="22"/>
                <w:szCs w:val="22"/>
                <w:color w:val="008000"/>
                <w:vertAlign w:val="superscript"/>
              </w:rPr>
              <w:t>(1)</w:t>
            </w:r>
          </w:p>
        </w:tc>
        <w:tc>
          <w:tcPr>
            <w:tcW w:w="1000" w:type="dxa"/>
            <w:vAlign w:val="bottom"/>
            <w:tcBorders>
              <w:bottom w:val="single" w:sz="8" w:color="2C2C2C"/>
            </w:tcBorders>
          </w:tcPr>
          <w:p>
            <w:pPr>
              <w:ind w:left="780"/>
              <w:spacing w:after="0"/>
              <w:rPr>
                <w:sz w:val="20"/>
                <w:szCs w:val="20"/>
                <w:color w:val="auto"/>
              </w:rPr>
            </w:pPr>
            <w:r>
              <w:rPr>
                <w:rFonts w:ascii="Arial" w:cs="Arial" w:eastAsia="Arial" w:hAnsi="Arial"/>
                <w:sz w:val="18"/>
                <w:szCs w:val="18"/>
                <w:color w:val="0000FF"/>
              </w:rPr>
              <w:t>I</w:t>
            </w:r>
          </w:p>
        </w:tc>
        <w:tc>
          <w:tcPr>
            <w:tcW w:w="3400" w:type="dxa"/>
            <w:vAlign w:val="bottom"/>
            <w:tcBorders>
              <w:bottom w:val="single" w:sz="8" w:color="2C2C2C"/>
            </w:tcBorders>
            <w:gridSpan w:val="4"/>
          </w:tcPr>
          <w:p>
            <w:pPr>
              <w:ind w:left="500"/>
              <w:spacing w:after="0"/>
              <w:rPr>
                <w:sz w:val="20"/>
                <w:szCs w:val="20"/>
                <w:color w:val="auto"/>
              </w:rPr>
            </w:pPr>
            <w:r>
              <w:rPr>
                <w:rFonts w:ascii="Arial" w:cs="Arial" w:eastAsia="Arial" w:hAnsi="Arial"/>
                <w:sz w:val="18"/>
                <w:szCs w:val="18"/>
                <w:color w:val="0000FF"/>
              </w:rPr>
              <w:t>Rich Crow Enterprises, LLC</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520" w:type="dxa"/>
            <w:vAlign w:val="bottom"/>
            <w:tcBorders>
              <w:top w:val="single" w:sz="8" w:color="2C2C2C"/>
            </w:tcBorders>
            <w:gridSpan w:val="4"/>
          </w:tcPr>
          <w:p>
            <w:pPr>
              <w:ind w:left="1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100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100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Series C Preferred Stock</w:t>
            </w:r>
          </w:p>
        </w:tc>
        <w:tc>
          <w:tcPr>
            <w:tcW w:w="14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right"/>
              <w:ind w:right="276"/>
              <w:spacing w:after="0"/>
              <w:rPr>
                <w:sz w:val="20"/>
                <w:szCs w:val="20"/>
                <w:color w:val="auto"/>
              </w:rPr>
            </w:pPr>
            <w:r>
              <w:rPr>
                <w:rFonts w:ascii="Arial" w:cs="Arial" w:eastAsia="Arial" w:hAnsi="Arial"/>
                <w:sz w:val="11"/>
                <w:szCs w:val="11"/>
                <w:color w:val="008000"/>
              </w:rPr>
              <w:t>(2)</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00" w:type="dxa"/>
            <w:vAlign w:val="bottom"/>
            <w:vMerge w:val="restart"/>
          </w:tcPr>
          <w:p>
            <w:pPr>
              <w:ind w:left="260"/>
              <w:spacing w:after="0"/>
              <w:rPr>
                <w:sz w:val="20"/>
                <w:szCs w:val="20"/>
                <w:color w:val="auto"/>
              </w:rPr>
            </w:pPr>
            <w:r>
              <w:rPr>
                <w:rFonts w:ascii="Arial" w:cs="Arial" w:eastAsia="Arial" w:hAnsi="Arial"/>
                <w:sz w:val="35"/>
                <w:szCs w:val="35"/>
                <w:color w:val="0000FF"/>
                <w:w w:val="84"/>
                <w:vertAlign w:val="subscript"/>
              </w:rPr>
              <w:t>33.37</w:t>
            </w:r>
            <w:r>
              <w:rPr>
                <w:rFonts w:ascii="Arial" w:cs="Arial" w:eastAsia="Arial" w:hAnsi="Arial"/>
                <w:sz w:val="11"/>
                <w:szCs w:val="11"/>
                <w:color w:val="008000"/>
                <w:w w:val="84"/>
              </w:rPr>
              <w:t>(1)(2)</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Rich Crow</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Enterprises, 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shares attributable to, and benefically owned by, Mr. Crowley in his capacity as a member of Rich Crow Enterprises, LLC.</w:t>
      </w:r>
    </w:p>
    <w:p>
      <w:pPr>
        <w:spacing w:after="0" w:line="41" w:lineRule="exact"/>
        <w:rPr>
          <w:rFonts w:ascii="Arial" w:cs="Arial" w:eastAsia="Arial" w:hAnsi="Arial"/>
          <w:sz w:val="14"/>
          <w:szCs w:val="14"/>
          <w:color w:val="008000"/>
        </w:rPr>
      </w:pPr>
    </w:p>
    <w:p>
      <w:pPr>
        <w:ind w:left="40" w:right="6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Upon the closing of the initial public offering of the Issuer's Common Stock, each share of Series C Preferred Stock will automatically convert into shares of the Issuer's Common Stock based on a conversion price equal to the initial public offering price per share, for no additional consideration.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11/19/2008</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Christopher C. Richardson, Daniel Bachus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October 14,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John E. Crowley</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John E. Crowley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47564"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2019-12-24T02:27:59Z</dcterms:created>
  <dcterms:modified xsi:type="dcterms:W3CDTF">2019-12-24T02:27:59Z</dcterms:modified>
</cp:coreProperties>
</file>