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Christopher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10/11/2011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9"/>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8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3180" w:type="dxa"/>
            <w:vAlign w:val="bottom"/>
            <w:gridSpan w:val="7"/>
            <w:vMerge w:val="restart"/>
          </w:tcPr>
          <w:p>
            <w:pPr>
              <w:ind w:left="3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318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ind w:left="380"/>
              <w:spacing w:after="0"/>
              <w:rPr>
                <w:sz w:val="20"/>
                <w:szCs w:val="20"/>
                <w:color w:val="auto"/>
              </w:rPr>
            </w:pPr>
            <w:r>
              <w:rPr>
                <w:rFonts w:ascii="Arial" w:cs="Arial" w:eastAsia="Arial" w:hAnsi="Arial"/>
                <w:sz w:val="14"/>
                <w:szCs w:val="14"/>
                <w:color w:val="auto"/>
              </w:rPr>
              <w:t>Person</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320" w:type="dxa"/>
            <w:vAlign w:val="bottom"/>
            <w:tcBorders>
              <w:bottom w:val="single" w:sz="8" w:color="2C2C2C"/>
            </w:tcBorders>
            <w:gridSpan w:val="8"/>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12"/>
          </w:tcPr>
          <w:p>
            <w:pPr>
              <w:jc w:val="center"/>
              <w:ind w:left="2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Calle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gridSpan w:val="2"/>
            <w:vMerge w:val="restart"/>
          </w:tcPr>
          <w:p>
            <w:pPr>
              <w:ind w:left="640"/>
              <w:spacing w:after="0"/>
              <w:rPr>
                <w:sz w:val="20"/>
                <w:szCs w:val="20"/>
                <w:color w:val="auto"/>
              </w:rPr>
            </w:pPr>
            <w:r>
              <w:rPr>
                <w:rFonts w:ascii="Arial" w:cs="Arial" w:eastAsia="Arial" w:hAnsi="Arial"/>
                <w:sz w:val="18"/>
                <w:szCs w:val="18"/>
                <w:color w:val="0000FF"/>
              </w:rPr>
              <w:t>10/11/2011</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800" w:type="dxa"/>
            <w:vAlign w:val="bottom"/>
            <w:vMerge w:val="restart"/>
          </w:tcPr>
          <w:p>
            <w:pPr>
              <w:ind w:left="40"/>
              <w:spacing w:after="0"/>
              <w:rPr>
                <w:sz w:val="20"/>
                <w:szCs w:val="20"/>
                <w:color w:val="auto"/>
              </w:rPr>
            </w:pPr>
            <w:r>
              <w:rPr>
                <w:rFonts w:ascii="Arial" w:cs="Arial" w:eastAsia="Arial" w:hAnsi="Arial"/>
                <w:sz w:val="18"/>
                <w:szCs w:val="18"/>
                <w:color w:val="0000FF"/>
                <w:w w:val="92"/>
              </w:rPr>
              <w:t>1,353,561</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620" w:type="dxa"/>
            <w:vAlign w:val="bottom"/>
            <w:vMerge w:val="restart"/>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1320" w:type="dxa"/>
            <w:vAlign w:val="bottom"/>
            <w:gridSpan w:val="3"/>
            <w:vMerge w:val="restart"/>
          </w:tcPr>
          <w:p>
            <w:pPr>
              <w:ind w:left="320"/>
              <w:spacing w:after="0"/>
              <w:rPr>
                <w:sz w:val="20"/>
                <w:szCs w:val="20"/>
                <w:color w:val="auto"/>
              </w:rPr>
            </w:pPr>
            <w:r>
              <w:rPr>
                <w:rFonts w:ascii="Arial" w:cs="Arial" w:eastAsia="Arial" w:hAnsi="Arial"/>
                <w:sz w:val="18"/>
                <w:szCs w:val="18"/>
                <w:color w:val="0000FF"/>
              </w:rPr>
              <w:t>1,183,070</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Camelia</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8"/>
                <w:szCs w:val="18"/>
                <w:color w:val="0000FF"/>
                <w:w w:val="94"/>
              </w:rPr>
              <w:t>Investments,</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Inc.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320" w:type="dxa"/>
            <w:vAlign w:val="bottom"/>
            <w:tcBorders>
              <w:bottom w:val="single" w:sz="8" w:color="2C2C2C"/>
            </w:tcBorders>
            <w:gridSpan w:val="8"/>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8"/>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73"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Calle Camelia Investments, LLC, is a family limited liability company of which the Reporting Person is the manager and of which the Reporting Person and his wife own a 51% membership interest and C&amp;H Irrevocable Trust, an irrevocable trust for the benefit of the Reporting Person's children, owns a 49% membership interest (the "Trust"). The trustee of the Trust is an independent third party, and neither the Reporting Person and his wife have voting or investment control over the Trust and neither are remaindermen or contingent beneficiaries of the Trust. As of October 11, 2011, Calle Camelia Investments, LLC distributed shares of the issuer's stock to the Trust representing the Trust's pro rata interest in the shares held by Calle Camelia Investments, LLC. This Form 4 is being filed to reflect the reduction in the Reporting Person's indirect ownership of the issuer's shares of common stock as a result of such distribution.</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10/13/2011</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6"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2019-12-18T02:12:53Z</dcterms:created>
  <dcterms:modified xsi:type="dcterms:W3CDTF">2019-12-18T02:12:53Z</dcterms:modified>
</cp:coreProperties>
</file>