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Date of Report (Date of earliest event reported): November 3,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On November 3, 2009, Grand Canyon Education, Inc. (the “Company”) reported its results for the third quarter of 2009. The press release dated November 3, 2009 is furnished as Exhibit 99.1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5860" w:type="dxa"/>
            <w:vAlign w:val="bottom"/>
            <w:gridSpan w:val="2"/>
          </w:tcPr>
          <w:p>
            <w:pPr>
              <w:ind w:left="1260"/>
              <w:spacing w:after="0"/>
              <w:rPr>
                <w:sz w:val="20"/>
                <w:szCs w:val="20"/>
                <w:color w:val="auto"/>
              </w:rPr>
            </w:pPr>
            <w:r>
              <w:rPr>
                <w:rFonts w:ascii="Arial" w:cs="Arial" w:eastAsia="Arial" w:hAnsi="Arial"/>
                <w:sz w:val="18"/>
                <w:szCs w:val="18"/>
                <w:color w:val="auto"/>
              </w:rPr>
              <w:t>GRAND CANYON EDUCATION, INC.</w:t>
            </w:r>
          </w:p>
        </w:tc>
        <w:tc>
          <w:tcPr>
            <w:tcW w:w="2200" w:type="dxa"/>
            <w:vAlign w:val="bottom"/>
          </w:tcPr>
          <w:p>
            <w:pPr>
              <w:spacing w:after="0"/>
              <w:rPr>
                <w:sz w:val="20"/>
                <w:szCs w:val="20"/>
                <w:color w:val="auto"/>
              </w:rPr>
            </w:pPr>
          </w:p>
        </w:tc>
      </w:tr>
      <w:tr>
        <w:trPr>
          <w:trHeight w:val="432"/>
        </w:trPr>
        <w:tc>
          <w:tcPr>
            <w:tcW w:w="3360" w:type="dxa"/>
            <w:vAlign w:val="bottom"/>
          </w:tcPr>
          <w:p>
            <w:pPr>
              <w:ind w:left="340"/>
              <w:spacing w:after="0"/>
              <w:rPr>
                <w:sz w:val="20"/>
                <w:szCs w:val="20"/>
                <w:color w:val="auto"/>
              </w:rPr>
            </w:pPr>
            <w:r>
              <w:rPr>
                <w:rFonts w:ascii="Arial" w:cs="Arial" w:eastAsia="Arial" w:hAnsi="Arial"/>
                <w:sz w:val="18"/>
                <w:szCs w:val="18"/>
                <w:color w:val="auto"/>
              </w:rPr>
              <w:t>Date: November 3, 2009</w:t>
            </w:r>
          </w:p>
        </w:tc>
        <w:tc>
          <w:tcPr>
            <w:tcW w:w="5860" w:type="dxa"/>
            <w:vAlign w:val="bottom"/>
            <w:gridSpan w:val="2"/>
          </w:tcPr>
          <w:p>
            <w:pPr>
              <w:ind w:left="1260"/>
              <w:spacing w:after="0"/>
              <w:rPr>
                <w:sz w:val="20"/>
                <w:szCs w:val="20"/>
                <w:color w:val="auto"/>
              </w:rPr>
            </w:pPr>
            <w:r>
              <w:rPr>
                <w:rFonts w:ascii="Arial" w:cs="Arial" w:eastAsia="Arial" w:hAnsi="Arial"/>
                <w:sz w:val="18"/>
                <w:szCs w:val="18"/>
                <w:color w:val="auto"/>
              </w:rPr>
              <w:t>By: /s/ Daniel E. Bachus</w:t>
            </w:r>
          </w:p>
        </w:tc>
        <w:tc>
          <w:tcPr>
            <w:tcW w:w="220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2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2200" w:type="dxa"/>
            <w:vAlign w:val="bottom"/>
          </w:tcPr>
          <w:p>
            <w:pPr>
              <w:spacing w:after="0"/>
              <w:rPr>
                <w:sz w:val="20"/>
                <w:szCs w:val="20"/>
                <w:color w:val="auto"/>
              </w:rPr>
            </w:pPr>
          </w:p>
        </w:tc>
      </w:tr>
      <w:tr>
        <w:trPr>
          <w:trHeight w:val="1226"/>
        </w:trPr>
        <w:tc>
          <w:tcPr>
            <w:tcW w:w="33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right"/>
        <w:ind w:right="455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5715</wp:posOffset>
            </wp:positionV>
            <wp:extent cx="5925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2009</w:t>
      </w:r>
    </w:p>
    <w:p>
      <w:pPr>
        <w:sectPr>
          <w:pgSz w:w="11900" w:h="16838" w:orient="portrait"/>
          <w:cols w:equalWidth="0" w:num="1">
            <w:col w:w="9659"/>
          </w:cols>
          <w:pgMar w:left="80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Lindsey Fosse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602-309-5224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lfosse@gcu.edu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THIRD QUARTER 2009 RESULTS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Education’s Third Quarter Net Revenue up 68 Percent; Enrollment up 56 Percent;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Operating Income up 151 Percent; Net Income up 179 Percent</w:t>
      </w:r>
    </w:p>
    <w:p>
      <w:pPr>
        <w:spacing w:after="0" w:line="166" w:lineRule="exact"/>
        <w:rPr>
          <w:sz w:val="20"/>
          <w:szCs w:val="20"/>
          <w:color w:val="auto"/>
        </w:rPr>
      </w:pPr>
    </w:p>
    <w:p>
      <w:pPr>
        <w:jc w:val="both"/>
        <w:ind w:right="559"/>
        <w:spacing w:after="0" w:line="266" w:lineRule="auto"/>
        <w:rPr>
          <w:sz w:val="20"/>
          <w:szCs w:val="20"/>
          <w:color w:val="auto"/>
        </w:rPr>
      </w:pPr>
      <w:r>
        <w:rPr>
          <w:rFonts w:ascii="Arial" w:cs="Arial" w:eastAsia="Arial" w:hAnsi="Arial"/>
          <w:sz w:val="18"/>
          <w:szCs w:val="18"/>
          <w:b w:val="1"/>
          <w:bCs w:val="1"/>
          <w:color w:val="auto"/>
        </w:rPr>
        <w:t>ARIZONA, November 3, 2009</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regionally accredited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and campus-based post-secondary education services, today announced financial results for the three and nine months ended September 30, 2009.</w:t>
      </w:r>
    </w:p>
    <w:p>
      <w:pPr>
        <w:spacing w:after="0" w:line="153"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“We are pleased to announce our fourth consecutive quarter of strong results,” said Brian Mueller, Chief Executive Officer of Grand Canyon Education, Inc. “It was another solid quarter, as we continue to execute against our strategy and feel good about our growing capacity to achieve our long-term growth plans. Most importantly, both our traditional students on campus and our adult students online continue to have success in meeting their academic and professional goals,” he said.</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September 30, 2009:</w:t>
      </w:r>
    </w:p>
    <w:p>
      <w:pPr>
        <w:spacing w:after="0" w:line="185" w:lineRule="exact"/>
        <w:rPr>
          <w:sz w:val="20"/>
          <w:szCs w:val="20"/>
          <w:color w:val="auto"/>
        </w:rPr>
      </w:pPr>
    </w:p>
    <w:p>
      <w:pPr>
        <w:ind w:left="348" w:right="5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revenues increased 67.9% to $66.1 million for the third quarter of 2009, compared to $39.3 million for the third quarter of 2008.</w:t>
      </w:r>
    </w:p>
    <w:p>
      <w:pPr>
        <w:spacing w:after="0" w:line="102"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At September 30, 2009 our enrollment was approximately 34,200, an increase of 55.8% from our enrollment of approximately 22,000 at September 30, 2008.</w:t>
      </w:r>
    </w:p>
    <w:p>
      <w:pPr>
        <w:spacing w:after="0" w:line="102" w:lineRule="exact"/>
        <w:rPr>
          <w:rFonts w:ascii="Arial" w:cs="Arial" w:eastAsia="Arial" w:hAnsi="Arial"/>
          <w:sz w:val="18"/>
          <w:szCs w:val="18"/>
          <w:b w:val="1"/>
          <w:bCs w:val="1"/>
          <w:color w:val="auto"/>
        </w:rPr>
      </w:pPr>
    </w:p>
    <w:p>
      <w:pPr>
        <w:jc w:val="both"/>
        <w:ind w:left="348" w:right="559" w:hanging="348"/>
        <w:spacing w:after="0" w:line="259"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Operating income for the third quarter of 2009 was $6.7 million, as compared to $2.7 million for the same period in 2008. The operating margin for the third quarter 2009 was 10.1%, compared to 6.8% for the same period in 2008 and excluding the estimated litigation loss, operating margin for the third quarter was $11.9 million or 18.0% for the three months ended September 30, 2009.</w:t>
      </w:r>
    </w:p>
    <w:p>
      <w:pPr>
        <w:spacing w:after="0" w:line="119"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During the third quarter of 2009, an estimated litigation loss was recorded for $5.2 million for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has been reached in principle but is conditioned upon obtaining governmental approval and finalizing settlement terms.</w:t>
      </w:r>
    </w:p>
    <w:p>
      <w:pPr>
        <w:spacing w:after="0" w:line="11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Adjusted EBITDA increased 254% to $15.1 million for the third quarter of 2009, compared to $4.3 million for the same period in 2008.</w:t>
      </w:r>
    </w:p>
    <w:p>
      <w:pPr>
        <w:spacing w:after="0" w:line="102"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The tax rate in the third quarter of 2009 was 46.0% compared to 40.2% in the third quarter of 2008. The increase in the effective tax rate is primarily attributable to the potential impact of the estimated litigation loss for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settlement, which may not be fully deductible.</w:t>
      </w:r>
    </w:p>
    <w:p>
      <w:pPr>
        <w:spacing w:after="0" w:line="11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income was $3.5 million for the third quarter of 2009, compared to a net income of $1.3 million for the same period in 2008.</w:t>
      </w:r>
    </w:p>
    <w:p>
      <w:pPr>
        <w:spacing w:after="0" w:line="102"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$0.08 for the third quarter of 2009, compared to diluted net income per share of $0.03 for the same period in 2008. Excluding the estimated litigation loss of $5.2 million, net of taxes of $1.7 million, diluted net income per share was $0.15 for the third quarter of 2009.</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nine months ended September 30, 2009:</w:t>
      </w:r>
    </w:p>
    <w:p>
      <w:pPr>
        <w:spacing w:after="0" w:line="198" w:lineRule="exact"/>
        <w:rPr>
          <w:sz w:val="20"/>
          <w:szCs w:val="20"/>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68.3% to $184.5 million, compared to $109.6 million for the same period in 2008.</w:t>
      </w:r>
    </w:p>
    <w:p>
      <w:pPr>
        <w:spacing w:after="0" w:line="157" w:lineRule="exact"/>
        <w:rPr>
          <w:rFonts w:ascii="Arial" w:cs="Arial" w:eastAsia="Arial" w:hAnsi="Arial"/>
          <w:sz w:val="18"/>
          <w:szCs w:val="18"/>
          <w:b w:val="1"/>
          <w:bCs w:val="1"/>
          <w:color w:val="auto"/>
        </w:rPr>
      </w:pPr>
    </w:p>
    <w:p>
      <w:pPr>
        <w:jc w:val="both"/>
        <w:ind w:left="348" w:right="559" w:hanging="348"/>
        <w:spacing w:after="0" w:line="279" w:lineRule="auto"/>
        <w:tabs>
          <w:tab w:leader="none" w:pos="348"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Operating income for the nine months ended September 30, 2009 was $28.7 million, an increase of 219% as compared to $9.0 million for the same period in 2008. The operating margin for the nine months ended September 30, 2009 was 15.6%, compared to 8.2% for the same period in 2008. Excluding the estimated litigation loss, operating income was $33.9 million and operating margin was 18.4% for the nine months ended September 30, 2009.</w:t>
      </w:r>
    </w:p>
    <w:p>
      <w:pPr>
        <w:spacing w:after="0" w:line="103" w:lineRule="exact"/>
        <w:rPr>
          <w:rFonts w:ascii="Arial" w:cs="Arial" w:eastAsia="Arial" w:hAnsi="Arial"/>
          <w:sz w:val="17"/>
          <w:szCs w:val="17"/>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During the nine months ended September 30, 2009, an estimated litigation loss was recorded for $5.2 million for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has been reached in principle but is conditioned upon obtaining governmental approval and finalizing settlement terms.</w:t>
      </w:r>
    </w:p>
    <w:p>
      <w:pPr>
        <w:spacing w:after="0" w:line="11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189% to $42.1 million for the nine months ended September 30, 2009, compared to $14.6 million for the same period in 2008.</w:t>
      </w:r>
    </w:p>
    <w:p>
      <w:pPr>
        <w:spacing w:after="0" w:line="102" w:lineRule="exact"/>
        <w:rPr>
          <w:rFonts w:ascii="Arial" w:cs="Arial" w:eastAsia="Arial" w:hAnsi="Arial"/>
          <w:sz w:val="18"/>
          <w:szCs w:val="18"/>
          <w:b w:val="1"/>
          <w:bCs w:val="1"/>
          <w:color w:val="auto"/>
        </w:rPr>
      </w:pPr>
    </w:p>
    <w:p>
      <w:pPr>
        <w:ind w:left="348" w:hanging="348"/>
        <w:spacing w:after="0"/>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in 2009 was 41.3% compared to 39.1% for the same period in 2008.</w:t>
      </w:r>
    </w:p>
    <w:p>
      <w:pPr>
        <w:spacing w:after="0" w:line="157"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262% to $16.2 million for the nine months ended September 30, 2009, compared to $4.5 million for the same period in 2008.</w:t>
      </w:r>
    </w:p>
    <w:p>
      <w:pPr>
        <w:spacing w:after="0" w:line="102"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$0.36 for the nine months ended September 30, 2009, compared to $0.11 for the same period in 2008. Excluding the estimated litigation loss, net of taxes, diluted net income per share was $0.43 for the nine months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20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As of September 30, 2009, the Company had unrestricted cash, cash equivalents and investments of $74.2 million compared to $35.6 million as of December 31, 2008 and restricted cash, cash equivalents and investments at September 30, 2009 and December 31, 2008 of $3.7 million and $5.1 million, respectively.</w:t>
      </w:r>
    </w:p>
    <w:p>
      <w:pPr>
        <w:spacing w:after="0" w:line="141"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The Company generated $66.8 million in cash from operating activities in the first nine months of 2009 compared to $17.9 million in the same period of 2008. Cash used in investing activities and cash provided by financing activities during the first nine months of 2009 are primarily the result of the acquisition by the Company on April 28, 2009 of the land and buildings that comprise its ground campus and 909,348 shares of its common stock from Spirit Master Funding, LLC and Spirit Management Company, respectively (collectively, “Spirit”) for an aggregate purchase price of $50 million.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to which it received net proceeds of $25.5 million, all of which was used as part of the purchase price. Included in cash used in investing activities is the allocated purchase amount for the campus land and buildings of $35.5 million. Included in cash provided by financing activities for the nine months ended September 30, 2009 is the net proceeds of $25.5 million partially offset by the repurchase of the 909,348 shares of our common stock for an allocated purchase price of $14.5 million.</w:t>
      </w:r>
    </w:p>
    <w:p>
      <w:pPr>
        <w:spacing w:after="0" w:line="139" w:lineRule="exact"/>
        <w:rPr>
          <w:sz w:val="20"/>
          <w:szCs w:val="20"/>
          <w:color w:val="auto"/>
        </w:rPr>
      </w:pPr>
    </w:p>
    <w:p>
      <w:pPr>
        <w:jc w:val="both"/>
        <w:ind w:right="559" w:firstLine="187"/>
        <w:spacing w:after="0" w:line="276" w:lineRule="auto"/>
        <w:rPr>
          <w:sz w:val="20"/>
          <w:szCs w:val="20"/>
          <w:color w:val="auto"/>
        </w:rPr>
      </w:pPr>
      <w:r>
        <w:rPr>
          <w:rFonts w:ascii="Arial" w:cs="Arial" w:eastAsia="Arial" w:hAnsi="Arial"/>
          <w:sz w:val="17"/>
          <w:szCs w:val="17"/>
          <w:color w:val="auto"/>
        </w:rPr>
        <w:t>In September 2009, the Company completed a secondary offering. In the offering 6,900,000 shares were sold, consisting of 1,000,000 shares sold by the Company and 5,900,000 shares sold by certain stockholders of the Company. Total net proceeds to the Company were $14.9 million, net of underwriting discounts and commissions and offering expenses, which are included in the cash provided by financing activities for the nine months ended September 30, 2009. The Company did not receive any of the proceeds from the sale of common stock sold by the selling stockholders.</w:t>
      </w:r>
    </w:p>
    <w:p>
      <w:pPr>
        <w:spacing w:after="0" w:line="146" w:lineRule="exact"/>
        <w:rPr>
          <w:sz w:val="20"/>
          <w:szCs w:val="20"/>
          <w:color w:val="auto"/>
        </w:rPr>
      </w:pPr>
    </w:p>
    <w:p>
      <w:pPr>
        <w:jc w:val="both"/>
        <w:ind w:right="559" w:firstLine="187"/>
        <w:spacing w:after="0" w:line="259" w:lineRule="auto"/>
        <w:rPr>
          <w:sz w:val="20"/>
          <w:szCs w:val="20"/>
          <w:color w:val="auto"/>
        </w:rPr>
      </w:pPr>
      <w:r>
        <w:rPr>
          <w:rFonts w:ascii="Arial" w:cs="Arial" w:eastAsia="Arial" w:hAnsi="Arial"/>
          <w:sz w:val="18"/>
          <w:szCs w:val="18"/>
          <w:color w:val="auto"/>
        </w:rPr>
        <w:t>In addition, the Company spent $18.9 million in other capital expenditures including leasehold improvements and furniture and equipment for increased number of employees and internal use software development. Cash used by financing activity for the nine months ended September 30, 2008 was $13.1 million primarily due to the settlement reached in April 2008 with the former owners.</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2009 Outlook</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For the fourth quarter ending December 31, 2009, enrollment is expected to grow by 46% to 36,000 from 24,600 at December 31, 2008, and net revenues by 53% to $79.0 million from $51.7 million as compared to the fourth quarter of 2008. Diluted net income per share is expected to be $0.26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Annual Outlook</w:t>
      </w:r>
    </w:p>
    <w:p>
      <w:pPr>
        <w:spacing w:after="0" w:line="20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We expect net revenues to be between $390 million and $400 million for the year ended December 31, 2010, and enrollment to be between 47,000 and 49,000 at December 31, 2010. The annual tax rate is anticipated to be approximately 40%. Diluted net income per share is expected to be between $1.15 and $1.23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5"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30"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 w:name="page9"/>
    <w:bookmarkEnd w:id="8"/>
    <w:p>
      <w:pPr>
        <w:ind w:left="8"/>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 xml:space="preserve">Grand Canyon Education, Inc. will discuss its third quarter 2009 results and 2010 outlook during a conference call scheduled for today, November 3, 2009 at 5:00 p.m. Eastern time (ET). To participate in the live call, investors should dial 877-815-5362 (domestic and Canada) or 706-679-7806 (international), passcode 36022285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November 4, 2010, at 800-642-1687 (domestic) or 706-645-9291 (international), passcode 36022285.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investor relations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34,200 students were enrolled as of September 30, 2009.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94" w:lineRule="exact"/>
        <w:rPr>
          <w:sz w:val="20"/>
          <w:szCs w:val="20"/>
          <w:color w:val="auto"/>
        </w:rPr>
      </w:pPr>
    </w:p>
    <w:p>
      <w:pPr>
        <w:jc w:val="both"/>
        <w:ind w:left="348" w:right="559" w:hanging="348"/>
        <w:spacing w:after="0" w:line="264"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141"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2"/>
              </w:rPr>
              <w:t>Grand Canyon Education, Inc. Reports Third Quarter 2009 Results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360" w:type="dxa"/>
            <w:vAlign w:val="bottom"/>
            <w:gridSpan w:val="7"/>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200" w:type="dxa"/>
            <w:vAlign w:val="bottom"/>
            <w:gridSpan w:val="6"/>
          </w:tcPr>
          <w:p>
            <w:pPr>
              <w:ind w:left="3680"/>
              <w:spacing w:after="0"/>
              <w:rPr>
                <w:sz w:val="20"/>
                <w:szCs w:val="20"/>
                <w:color w:val="auto"/>
              </w:rPr>
            </w:pPr>
            <w:r>
              <w:rPr>
                <w:rFonts w:ascii="Arial" w:cs="Arial" w:eastAsia="Arial" w:hAnsi="Arial"/>
                <w:sz w:val="18"/>
                <w:szCs w:val="18"/>
                <w:b w:val="1"/>
                <w:bCs w:val="1"/>
                <w:color w:val="auto"/>
              </w:rPr>
              <w:t>Statements of Operations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Nine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80" w:type="dxa"/>
            <w:vAlign w:val="bottom"/>
            <w:vMerge w:val="restart"/>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184,448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109,626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61,845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w w:val="95"/>
              </w:rPr>
              <w:t>Selling and promotional, including $1,928 and $1,398 for the three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w w:val="95"/>
              </w:rPr>
              <w:t>months ended September 30, 2009 and 2008, respectively, and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w w:val="98"/>
              </w:rPr>
              <w:t>$5,319 and $4,323 for the nine months ended September 30,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2009 and 2008, respectively, to related parties</w:t>
            </w: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22,095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18,562</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62,396</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46,035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26,077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Estimated litigation loss</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to former owner</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36,685</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155,740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100,634</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27,617</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Shares used in computing net 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45,032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340" w:right="1760"/>
        <w:spacing w:after="0" w:line="269"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management fees and expenses that are no longer paid; (iii) estimated litigation loss and (iv)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management fees and expenses, royalty expenses to our former owner, and any other expenses and income that we do not consider reflective of our core operating performance, as an adjustment when calculating Adjusted EBITDA.</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57" w:lineRule="exact"/>
        <w:rPr>
          <w:rFonts w:ascii="Arial" w:cs="Arial" w:eastAsia="Arial" w:hAnsi="Arial"/>
          <w:sz w:val="18"/>
          <w:szCs w:val="18"/>
          <w:b w:val="1"/>
          <w:bCs w:val="1"/>
          <w:color w:val="auto"/>
        </w:rPr>
      </w:pPr>
    </w:p>
    <w:p>
      <w:pPr>
        <w:jc w:val="both"/>
        <w:ind w:left="1040" w:right="1760"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estimated litigation loss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Third Quarter 2009 Results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87"/>
        </w:trPr>
        <w:tc>
          <w:tcPr>
            <w:tcW w:w="340" w:type="dxa"/>
            <w:vAlign w:val="bottom"/>
          </w:tcPr>
          <w:p>
            <w:pPr>
              <w:spacing w:after="0"/>
              <w:rPr>
                <w:sz w:val="24"/>
                <w:szCs w:val="24"/>
                <w:color w:val="auto"/>
              </w:rPr>
            </w:pPr>
          </w:p>
        </w:tc>
        <w:tc>
          <w:tcPr>
            <w:tcW w:w="6380" w:type="dxa"/>
            <w:vAlign w:val="bottom"/>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380" w:type="dxa"/>
            <w:vAlign w:val="bottom"/>
          </w:tcPr>
          <w:p>
            <w:pPr>
              <w:ind w:left="4080"/>
              <w:spacing w:after="0"/>
              <w:rPr>
                <w:sz w:val="20"/>
                <w:szCs w:val="20"/>
                <w:color w:val="auto"/>
              </w:rPr>
            </w:pPr>
            <w:r>
              <w:rPr>
                <w:rFonts w:ascii="Arial" w:cs="Arial" w:eastAsia="Arial" w:hAnsi="Arial"/>
                <w:sz w:val="18"/>
                <w:szCs w:val="18"/>
                <w:b w:val="1"/>
                <w:bCs w:val="1"/>
                <w:color w:val="auto"/>
              </w:rPr>
              <w:t>Balance Sheets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7"/>
              </w:rPr>
              <w:t>September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data)</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580"/>
              <w:spacing w:after="0"/>
              <w:rPr>
                <w:sz w:val="20"/>
                <w:szCs w:val="20"/>
                <w:color w:val="auto"/>
              </w:rPr>
            </w:pPr>
            <w:r>
              <w:rPr>
                <w:rFonts w:ascii="Arial" w:cs="Arial" w:eastAsia="Arial" w:hAnsi="Arial"/>
                <w:sz w:val="18"/>
                <w:szCs w:val="18"/>
                <w:b w:val="1"/>
                <w:bCs w:val="1"/>
                <w:color w:val="auto"/>
                <w:w w:val="95"/>
              </w:rPr>
              <w:t>(Unaudited)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73,670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380" w:type="dxa"/>
            <w:vAlign w:val="bottom"/>
          </w:tcPr>
          <w:p>
            <w:pPr>
              <w:ind w:left="200"/>
              <w:spacing w:after="0" w:line="201" w:lineRule="exact"/>
              <w:rPr>
                <w:sz w:val="20"/>
                <w:szCs w:val="20"/>
                <w:color w:val="auto"/>
              </w:rPr>
            </w:pPr>
            <w:r>
              <w:rPr>
                <w:rFonts w:ascii="Arial" w:cs="Arial" w:eastAsia="Arial" w:hAnsi="Arial"/>
                <w:sz w:val="18"/>
                <w:szCs w:val="18"/>
                <w:color w:val="auto"/>
                <w:w w:val="91"/>
              </w:rPr>
              <w:t>Restricted cash and cash equivalents and investments (of which $171 is unrestricted</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380" w:type="dxa"/>
            <w:vAlign w:val="bottom"/>
          </w:tcPr>
          <w:p>
            <w:pPr>
              <w:ind w:left="400"/>
              <w:spacing w:after="0"/>
              <w:rPr>
                <w:sz w:val="20"/>
                <w:szCs w:val="20"/>
                <w:color w:val="auto"/>
              </w:rPr>
            </w:pPr>
            <w:r>
              <w:rPr>
                <w:rFonts w:ascii="Arial" w:cs="Arial" w:eastAsia="Arial" w:hAnsi="Arial"/>
                <w:sz w:val="18"/>
                <w:szCs w:val="18"/>
                <w:color w:val="auto"/>
              </w:rPr>
              <w:t>at September 30, 2009)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3,844</w:t>
            </w:r>
          </w:p>
        </w:tc>
        <w:tc>
          <w:tcPr>
            <w:tcW w:w="3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$5,232 and $6,356 at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2009 and December 31, 2008, respectively</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15,577</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2,623</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2,629</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101,080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63,425</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41,399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5"/>
              </w:rPr>
              <w:t>Restricted cash and investments (of which $2,928 is restricted December 31, 2008)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Prepaid royalties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7,494</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8,043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7,752</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183,608</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12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10,512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18,358</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42,595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3,110</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2,101</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83,038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32,557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29,384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110,119</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63,400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10,000,000 shares authorized; 0 shares issued and</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2009 and December 31, 2008</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8"/>
              </w:rPr>
              <w:t>Common stock, $0.01 par value, 100,000,000 shares authorized; 45,613,794 and</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0"/>
              </w:rPr>
              <w:t>45,465,160 shares issued and outstanding at September 30, 2009 and December 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2008, respectively</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68,670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64,808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(deficit)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73,489</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183,608</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116,990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Third Quarter 2009 Results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580" w:type="dxa"/>
            <w:vAlign w:val="bottom"/>
            <w:gridSpan w:val="2"/>
          </w:tcPr>
          <w:p>
            <w:pPr>
              <w:ind w:left="3120"/>
              <w:spacing w:after="0"/>
              <w:rPr>
                <w:sz w:val="20"/>
                <w:szCs w:val="20"/>
                <w:color w:val="auto"/>
              </w:rPr>
            </w:pPr>
            <w:r>
              <w:rPr>
                <w:rFonts w:ascii="Arial" w:cs="Arial" w:eastAsia="Arial" w:hAnsi="Arial"/>
                <w:sz w:val="18"/>
                <w:szCs w:val="18"/>
                <w:b w:val="1"/>
                <w:bCs w:val="1"/>
                <w:color w:val="auto"/>
              </w:rPr>
              <w:t>GRAND CANYON EDUCATION,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368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vMerge w:val="restart"/>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16,209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2,439</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9,931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5,782</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(2,575)</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(16,066)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827</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4,240</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8,909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Income taxes receivable/payable</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1,711</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Deposit with former owner</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Royalty payable to former owner</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royalties to former owner</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28,333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17,946</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(18,881)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Purchase of campus land and buildings</w:t>
            </w:r>
          </w:p>
        </w:tc>
        <w:tc>
          <w:tcPr>
            <w:tcW w:w="2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(35,505)</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(52,983)</w:t>
            </w: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(1,693)</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25,547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(14,495)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Repayment on line of credit</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Repurchase of Institute Warrant</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Institute Note Payable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Amount paid related to initial public offering</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14,888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24,690</w:t>
            </w: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38,518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35,152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11,980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2,116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Purchases of property and equipment included in accounts payable and deferred rent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30,020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Value assigned to Blanchard shares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632460</wp:posOffset>
            </wp:positionV>
            <wp:extent cx="72504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9879"/>
          </w:cols>
          <w:pgMar w:left="580" w:top="931" w:right="1440" w:bottom="603" w:gutter="0" w:footer="0" w:header="0"/>
        </w:sectPr>
      </w:pPr>
    </w:p>
    <w:bookmarkStart w:id="13" w:name="page14"/>
    <w:bookmarkEnd w:id="13"/>
    <w:p>
      <w:pPr>
        <w:ind w:left="8"/>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202"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The following is a summary of our student enrollment at September 30, 2009 and 2008 (which included less than 170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September 30, 2009</w:t>
            </w:r>
          </w:p>
        </w:tc>
        <w:tc>
          <w:tcPr>
            <w:tcW w:w="24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September 30,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Master’s or doctoral degree (1)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15,202</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19,016</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9,671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September 30, 2009</w:t>
            </w:r>
          </w:p>
        </w:tc>
        <w:tc>
          <w:tcPr>
            <w:tcW w:w="24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September 30,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Ground(2)</w:t>
            </w:r>
          </w:p>
        </w:tc>
        <w:tc>
          <w:tcPr>
            <w:tcW w:w="1000" w:type="dxa"/>
            <w:vAlign w:val="bottom"/>
          </w:tcPr>
          <w:p>
            <w:pPr>
              <w:jc w:val="right"/>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063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315 students pursuing doctoral degrees at September 30, 2009.</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both our traditional on-campus students, as well as our professional studies students.</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2019-12-11T05:33:55Z</dcterms:created>
  <dcterms:modified xsi:type="dcterms:W3CDTF">2019-12-11T05:33:55Z</dcterms:modified>
</cp:coreProperties>
</file>