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ind w:left="3860"/>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Date of Report (Date of earliest event reported): March 18, 2010</w:t>
      </w:r>
    </w:p>
    <w:p>
      <w:pPr>
        <w:spacing w:after="0" w:line="200" w:lineRule="exact"/>
        <w:rPr>
          <w:sz w:val="24"/>
          <w:szCs w:val="24"/>
          <w:color w:val="auto"/>
        </w:rPr>
      </w:pP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Delaware</w:t>
            </w:r>
          </w:p>
        </w:tc>
        <w:tc>
          <w:tcPr>
            <w:tcW w:w="2720" w:type="dxa"/>
            <w:vAlign w:val="bottom"/>
            <w:gridSpan w:val="3"/>
          </w:tcPr>
          <w:p>
            <w:pPr>
              <w:jc w:val="right"/>
              <w:ind w:right="1160"/>
              <w:spacing w:after="0"/>
              <w:rPr>
                <w:sz w:val="20"/>
                <w:szCs w:val="20"/>
                <w:color w:val="auto"/>
              </w:rPr>
            </w:pPr>
            <w:r>
              <w:rPr>
                <w:rFonts w:ascii="Arial" w:cs="Arial" w:eastAsia="Arial" w:hAnsi="Arial"/>
                <w:sz w:val="18"/>
                <w:szCs w:val="18"/>
                <w:b w:val="1"/>
                <w:bCs w:val="1"/>
                <w:color w:val="auto"/>
              </w:rPr>
              <w:t>001-34211</w:t>
            </w:r>
          </w:p>
        </w:tc>
        <w:tc>
          <w:tcPr>
            <w:tcW w:w="312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20-3356009</w:t>
            </w:r>
          </w:p>
        </w:tc>
      </w:tr>
      <w:tr>
        <w:trPr>
          <w:trHeight w:val="195"/>
        </w:trPr>
        <w:tc>
          <w:tcPr>
            <w:tcW w:w="3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gridSpan w:val="3"/>
          </w:tcPr>
          <w:p>
            <w:pPr>
              <w:jc w:val="center"/>
              <w:ind w:right="380"/>
              <w:spacing w:after="0" w:line="195" w:lineRule="exact"/>
              <w:rPr>
                <w:sz w:val="20"/>
                <w:szCs w:val="20"/>
                <w:color w:val="auto"/>
              </w:rPr>
            </w:pPr>
            <w:r>
              <w:rPr>
                <w:rFonts w:ascii="Arial" w:cs="Arial" w:eastAsia="Arial" w:hAnsi="Arial"/>
                <w:sz w:val="18"/>
                <w:szCs w:val="18"/>
                <w:color w:val="auto"/>
                <w:w w:val="92"/>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48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Incorporation)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4"/>
        </w:trPr>
        <w:tc>
          <w:tcPr>
            <w:tcW w:w="348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1"/>
              </w:rPr>
              <w:t>3300 W. Camelback Road</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4"/>
        </w:trPr>
        <w:tc>
          <w:tcPr>
            <w:tcW w:w="348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90"/>
              </w:rPr>
              <w:t>Phoenix, Arizona</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1990"/>
              <w:spacing w:after="0"/>
              <w:rPr>
                <w:sz w:val="20"/>
                <w:szCs w:val="20"/>
                <w:color w:val="auto"/>
              </w:rPr>
            </w:pPr>
            <w:r>
              <w:rPr>
                <w:rFonts w:ascii="Arial" w:cs="Arial" w:eastAsia="Arial" w:hAnsi="Arial"/>
                <w:sz w:val="18"/>
                <w:szCs w:val="18"/>
                <w:b w:val="1"/>
                <w:bCs w:val="1"/>
                <w:color w:val="auto"/>
              </w:rPr>
              <w:t>85017</w:t>
            </w:r>
          </w:p>
        </w:tc>
      </w:tr>
      <w:tr>
        <w:trPr>
          <w:trHeight w:val="224"/>
        </w:trPr>
        <w:tc>
          <w:tcPr>
            <w:tcW w:w="46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Pr>
          <w:p>
            <w:pPr>
              <w:jc w:val="center"/>
              <w:ind w:right="1490"/>
              <w:spacing w:after="0"/>
              <w:rPr>
                <w:sz w:val="20"/>
                <w:szCs w:val="20"/>
                <w:color w:val="auto"/>
              </w:rPr>
            </w:pPr>
            <w:r>
              <w:rPr>
                <w:rFonts w:ascii="Arial" w:cs="Arial" w:eastAsia="Arial" w:hAnsi="Arial"/>
                <w:sz w:val="18"/>
                <w:szCs w:val="18"/>
                <w:color w:val="auto"/>
                <w:w w:val="91"/>
              </w:rPr>
              <w:t>(Zip Code)</w:t>
            </w:r>
          </w:p>
        </w:tc>
      </w:tr>
    </w:tbl>
    <w:p>
      <w:pPr>
        <w:spacing w:after="0" w:line="400"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639-7500</w:t>
      </w:r>
    </w:p>
    <w:p>
      <w:pPr>
        <w:spacing w:after="0" w:line="200" w:lineRule="exact"/>
        <w:rPr>
          <w:sz w:val="24"/>
          <w:szCs w:val="24"/>
          <w:color w:val="auto"/>
        </w:rPr>
      </w:pPr>
    </w:p>
    <w:p>
      <w:pPr>
        <w:spacing w:after="0" w:line="25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1555750</wp:posOffset>
            </wp:positionH>
            <wp:positionV relativeFrom="paragraph">
              <wp:posOffset>-130175</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5" w:lineRule="exact"/>
        <w:rPr>
          <w:sz w:val="24"/>
          <w:szCs w:val="24"/>
          <w:color w:val="auto"/>
        </w:rPr>
      </w:pPr>
    </w:p>
    <w:p>
      <w:pPr>
        <w:jc w:val="both"/>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ind w:left="840" w:right="1399" w:hanging="850"/>
        <w:spacing w:after="0" w:line="282" w:lineRule="auto"/>
        <w:rPr>
          <w:sz w:val="20"/>
          <w:szCs w:val="20"/>
          <w:color w:val="auto"/>
        </w:rPr>
      </w:pPr>
      <w:r>
        <w:rPr>
          <w:rFonts w:ascii="Arial" w:cs="Arial" w:eastAsia="Arial" w:hAnsi="Arial"/>
          <w:sz w:val="18"/>
          <w:szCs w:val="18"/>
          <w:b w:val="1"/>
          <w:bCs w:val="1"/>
          <w:color w:val="auto"/>
        </w:rPr>
        <w:t xml:space="preserve">Item 5.02. </w:t>
      </w:r>
      <w:r>
        <w:rPr>
          <w:rFonts w:ascii="Arial" w:cs="Arial" w:eastAsia="Arial" w:hAnsi="Arial"/>
          <w:sz w:val="18"/>
          <w:szCs w:val="18"/>
          <w:b w:val="1"/>
          <w:bCs w:val="1"/>
          <w:u w:val="single" w:color="auto"/>
          <w:color w:val="auto"/>
        </w:rPr>
        <w:t>Departure of Directors or Certain Officers: Election of Directors; Appointment of Certain Officers;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Compensatory Arrangements of Certain Officers</w:t>
      </w:r>
      <w:r>
        <w:rPr>
          <w:rFonts w:ascii="Arial" w:cs="Arial" w:eastAsia="Arial" w:hAnsi="Arial"/>
          <w:sz w:val="18"/>
          <w:szCs w:val="18"/>
          <w:b w:val="1"/>
          <w:bCs w:val="1"/>
          <w:color w:val="auto"/>
        </w:rPr>
        <w:t>.</w:t>
      </w:r>
    </w:p>
    <w:p>
      <w:pPr>
        <w:spacing w:after="0" w:line="166" w:lineRule="exact"/>
        <w:rPr>
          <w:sz w:val="20"/>
          <w:szCs w:val="20"/>
          <w:color w:val="auto"/>
        </w:rPr>
      </w:pPr>
    </w:p>
    <w:p>
      <w:pPr>
        <w:ind w:right="719" w:firstLine="467"/>
        <w:spacing w:after="0" w:line="259" w:lineRule="auto"/>
        <w:rPr>
          <w:sz w:val="20"/>
          <w:szCs w:val="20"/>
          <w:color w:val="auto"/>
        </w:rPr>
      </w:pPr>
      <w:r>
        <w:rPr>
          <w:rFonts w:ascii="Arial" w:cs="Arial" w:eastAsia="Arial" w:hAnsi="Arial"/>
          <w:sz w:val="18"/>
          <w:szCs w:val="18"/>
          <w:color w:val="auto"/>
        </w:rPr>
        <w:t>On March 18, 2010, the compensation committee of the board of directors of Grand Canyon Education, Inc. (the “Company”) adopted an amendment to the Company’s previously approved performance-based cash bonus plan (the “Cash Incentive Plan”). The Cash Incentive Plan was described in a Current Report on Form 8-K, filed by the Company on March 25, 2009, and is incorporated herein by reference.</w:t>
      </w:r>
    </w:p>
    <w:p>
      <w:pPr>
        <w:spacing w:after="0" w:line="160" w:lineRule="exact"/>
        <w:rPr>
          <w:sz w:val="20"/>
          <w:szCs w:val="20"/>
          <w:color w:val="auto"/>
        </w:rPr>
      </w:pPr>
    </w:p>
    <w:p>
      <w:pPr>
        <w:ind w:right="679" w:firstLine="280"/>
        <w:spacing w:after="0" w:line="272" w:lineRule="auto"/>
        <w:rPr>
          <w:sz w:val="20"/>
          <w:szCs w:val="20"/>
          <w:color w:val="auto"/>
        </w:rPr>
      </w:pPr>
      <w:r>
        <w:rPr>
          <w:rFonts w:ascii="Arial" w:cs="Arial" w:eastAsia="Arial" w:hAnsi="Arial"/>
          <w:sz w:val="17"/>
          <w:szCs w:val="17"/>
          <w:color w:val="auto"/>
        </w:rPr>
        <w:t>Under the Cash Incentive Plan, as in effect for 2009, each of the Company’s named executive officers earned cash bonuses, 80% of which were based on the achievement of financial metrics and 20% of which were based on the achievement of specific individual performance goals. In view of the importance to the Company of continuing growth in 2010 and future years, the compensation committee has determined to adjust the relative weighting of the financial performance metrics under the Cash Incentive Plan, so that the financial metrics, which account for 80% of a named executive officer’s target bonus, will be based 50% on revenue (instead of the 37.5% in 2009) and 50% on Adjusted EBITDA (instead of the 62.5% in 2009). For 2010 and future years, the financial metrics bonus matrix will be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Goal</w:t>
            </w:r>
          </w:p>
        </w:tc>
        <w:tc>
          <w:tcPr>
            <w:tcW w:w="14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14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6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195"/>
        </w:trPr>
        <w:tc>
          <w:tcPr>
            <w:tcW w:w="27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Revenue goal</w:t>
            </w:r>
          </w:p>
        </w:tc>
        <w:tc>
          <w:tcPr>
            <w:tcW w:w="140" w:type="dxa"/>
            <w:vAlign w:val="bottom"/>
            <w:shd w:val="clear" w:color="auto" w:fill="CCEEFF"/>
          </w:tcPr>
          <w:p>
            <w:pPr>
              <w:spacing w:after="0"/>
              <w:rPr>
                <w:sz w:val="16"/>
                <w:szCs w:val="16"/>
                <w:color w:val="auto"/>
              </w:rPr>
            </w:pPr>
          </w:p>
        </w:tc>
        <w:tc>
          <w:tcPr>
            <w:tcW w:w="19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95% of budget</w:t>
            </w:r>
          </w:p>
        </w:tc>
        <w:tc>
          <w:tcPr>
            <w:tcW w:w="140" w:type="dxa"/>
            <w:vAlign w:val="bottom"/>
            <w:shd w:val="clear" w:color="auto" w:fill="CCEEFF"/>
          </w:tcPr>
          <w:p>
            <w:pPr>
              <w:spacing w:after="0"/>
              <w:rPr>
                <w:sz w:val="16"/>
                <w:szCs w:val="16"/>
                <w:color w:val="auto"/>
              </w:rPr>
            </w:pPr>
          </w:p>
        </w:tc>
        <w:tc>
          <w:tcPr>
            <w:tcW w:w="21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100% of budget</w:t>
            </w:r>
          </w:p>
        </w:tc>
        <w:tc>
          <w:tcPr>
            <w:tcW w:w="160" w:type="dxa"/>
            <w:vAlign w:val="bottom"/>
            <w:shd w:val="clear" w:color="auto" w:fill="CCEEFF"/>
          </w:tcPr>
          <w:p>
            <w:pPr>
              <w:spacing w:after="0"/>
              <w:rPr>
                <w:sz w:val="16"/>
                <w:szCs w:val="16"/>
                <w:color w:val="auto"/>
              </w:rPr>
            </w:pPr>
          </w:p>
        </w:tc>
        <w:tc>
          <w:tcPr>
            <w:tcW w:w="21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105% of budget</w:t>
            </w:r>
          </w:p>
        </w:tc>
      </w:tr>
      <w:tr>
        <w:trPr>
          <w:trHeight w:val="230"/>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(50.0% of financial metric)</w:t>
            </w:r>
          </w:p>
        </w:tc>
        <w:tc>
          <w:tcPr>
            <w:tcW w:w="14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r>
      <w:tr>
        <w:trPr>
          <w:trHeight w:val="202"/>
        </w:trPr>
        <w:tc>
          <w:tcPr>
            <w:tcW w:w="2700" w:type="dxa"/>
            <w:vAlign w:val="bottom"/>
          </w:tcPr>
          <w:p>
            <w:pPr>
              <w:jc w:val="center"/>
              <w:spacing w:after="0" w:line="201" w:lineRule="exact"/>
              <w:rPr>
                <w:sz w:val="20"/>
                <w:szCs w:val="20"/>
                <w:color w:val="auto"/>
              </w:rPr>
            </w:pPr>
            <w:r>
              <w:rPr>
                <w:rFonts w:ascii="Arial" w:cs="Arial" w:eastAsia="Arial" w:hAnsi="Arial"/>
                <w:sz w:val="18"/>
                <w:szCs w:val="18"/>
                <w:color w:val="auto"/>
                <w:w w:val="95"/>
              </w:rPr>
              <w:t>Adjusted EBITDA</w:t>
            </w:r>
          </w:p>
        </w:tc>
        <w:tc>
          <w:tcPr>
            <w:tcW w:w="140" w:type="dxa"/>
            <w:vAlign w:val="bottom"/>
          </w:tcPr>
          <w:p>
            <w:pPr>
              <w:spacing w:after="0"/>
              <w:rPr>
                <w:sz w:val="17"/>
                <w:szCs w:val="17"/>
                <w:color w:val="auto"/>
              </w:rPr>
            </w:pP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1"/>
              </w:rPr>
              <w:t>95% of budget</w:t>
            </w:r>
          </w:p>
        </w:tc>
        <w:tc>
          <w:tcPr>
            <w:tcW w:w="140" w:type="dxa"/>
            <w:vAlign w:val="bottom"/>
          </w:tcPr>
          <w:p>
            <w:pPr>
              <w:spacing w:after="0"/>
              <w:rPr>
                <w:sz w:val="17"/>
                <w:szCs w:val="17"/>
                <w:color w:val="auto"/>
              </w:rPr>
            </w:pPr>
          </w:p>
        </w:tc>
        <w:tc>
          <w:tcPr>
            <w:tcW w:w="2100" w:type="dxa"/>
            <w:vAlign w:val="bottom"/>
          </w:tcPr>
          <w:p>
            <w:pPr>
              <w:jc w:val="center"/>
              <w:spacing w:after="0" w:line="201" w:lineRule="exact"/>
              <w:rPr>
                <w:sz w:val="20"/>
                <w:szCs w:val="20"/>
                <w:color w:val="auto"/>
              </w:rPr>
            </w:pPr>
            <w:r>
              <w:rPr>
                <w:rFonts w:ascii="Arial" w:cs="Arial" w:eastAsia="Arial" w:hAnsi="Arial"/>
                <w:sz w:val="18"/>
                <w:szCs w:val="18"/>
                <w:color w:val="auto"/>
                <w:w w:val="91"/>
              </w:rPr>
              <w:t>100% of budget</w:t>
            </w:r>
          </w:p>
        </w:tc>
        <w:tc>
          <w:tcPr>
            <w:tcW w:w="160" w:type="dxa"/>
            <w:vAlign w:val="bottom"/>
          </w:tcPr>
          <w:p>
            <w:pPr>
              <w:spacing w:after="0"/>
              <w:rPr>
                <w:sz w:val="17"/>
                <w:szCs w:val="17"/>
                <w:color w:val="auto"/>
              </w:rPr>
            </w:pPr>
          </w:p>
        </w:tc>
        <w:tc>
          <w:tcPr>
            <w:tcW w:w="2100" w:type="dxa"/>
            <w:vAlign w:val="bottom"/>
          </w:tcPr>
          <w:p>
            <w:pPr>
              <w:jc w:val="center"/>
              <w:spacing w:after="0" w:line="201" w:lineRule="exact"/>
              <w:rPr>
                <w:sz w:val="20"/>
                <w:szCs w:val="20"/>
                <w:color w:val="auto"/>
              </w:rPr>
            </w:pPr>
            <w:r>
              <w:rPr>
                <w:rFonts w:ascii="Arial" w:cs="Arial" w:eastAsia="Arial" w:hAnsi="Arial"/>
                <w:sz w:val="18"/>
                <w:szCs w:val="18"/>
                <w:color w:val="auto"/>
                <w:w w:val="90"/>
              </w:rPr>
              <w:t>107% of budget</w:t>
            </w:r>
          </w:p>
        </w:tc>
      </w:tr>
      <w:tr>
        <w:trPr>
          <w:trHeight w:val="230"/>
        </w:trPr>
        <w:tc>
          <w:tcPr>
            <w:tcW w:w="2700" w:type="dxa"/>
            <w:vAlign w:val="bottom"/>
          </w:tcPr>
          <w:p>
            <w:pPr>
              <w:jc w:val="center"/>
              <w:spacing w:after="0"/>
              <w:rPr>
                <w:sz w:val="20"/>
                <w:szCs w:val="20"/>
                <w:color w:val="auto"/>
              </w:rPr>
            </w:pPr>
            <w:r>
              <w:rPr>
                <w:rFonts w:ascii="Arial" w:cs="Arial" w:eastAsia="Arial" w:hAnsi="Arial"/>
                <w:sz w:val="18"/>
                <w:szCs w:val="18"/>
                <w:color w:val="auto"/>
                <w:w w:val="94"/>
              </w:rPr>
              <w:t>(50.0% of financial metric)</w:t>
            </w:r>
          </w:p>
        </w:tc>
        <w:tc>
          <w:tcPr>
            <w:tcW w:w="1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16"/>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Bonus payout as a % of Target Bonus</w:t>
            </w:r>
          </w:p>
        </w:tc>
        <w:tc>
          <w:tcPr>
            <w:tcW w:w="21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50%</w:t>
            </w:r>
          </w:p>
        </w:tc>
        <w:tc>
          <w:tcPr>
            <w:tcW w:w="224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100%</w:t>
            </w:r>
          </w:p>
        </w:tc>
        <w:tc>
          <w:tcPr>
            <w:tcW w:w="22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150%</w:t>
            </w:r>
          </w:p>
        </w:tc>
      </w:tr>
    </w:tbl>
    <w:p>
      <w:pPr>
        <w:spacing w:after="0" w:line="1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All other provisions of the Cash Incentive Plan remain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659" w:firstLine="9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GRAND CANYON EDUCATION,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2010</w:t>
      </w:r>
    </w:p>
    <w:p>
      <w:pPr>
        <w:spacing w:after="0" w:line="1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 /s/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3034030</wp:posOffset>
            </wp:positionH>
            <wp:positionV relativeFrom="paragraph">
              <wp:posOffset>-20320</wp:posOffset>
            </wp:positionV>
            <wp:extent cx="25908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0800" cy="8890"/>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8"/>
          <w:szCs w:val="18"/>
          <w:color w:val="auto"/>
        </w:rPr>
        <w:t>Daniel E. Bachus</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(Principal Financial and Principal Accounting Officer)</w:t>
      </w:r>
    </w:p>
    <w:sectPr>
      <w:pgSz w:w="11900" w:h="16838" w:orient="portrait"/>
      <w:cols w:equalWidth="0" w:num="1">
        <w:col w:w="9879"/>
      </w:cols>
      <w:pgMar w:left="58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2019-12-11T06:57:44Z</dcterms:created>
  <dcterms:modified xsi:type="dcterms:W3CDTF">2019-12-11T06:57:44Z</dcterms:modified>
</cp:coreProperties>
</file>