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10, 2025</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20" w:space="720"/>
            <w:col w:w="2480" w:space="72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1122680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7.01 </w:t>
      </w:r>
      <w:r>
        <w:rPr>
          <w:rFonts w:ascii="Times New Roman" w:cs="Times New Roman" w:eastAsia="Times New Roman" w:hAnsi="Times New Roman"/>
          <w:sz w:val="18"/>
          <w:szCs w:val="18"/>
          <w:b w:val="1"/>
          <w:bCs w:val="1"/>
          <w:u w:val="single" w:color="auto"/>
          <w:color w:val="auto"/>
        </w:rPr>
        <w:t>Regulation FD Disclosure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October 30, 2025, Grand Canyon Education, Inc. (the “Company”) filed a Current Report on Form 8-K (the “Prior 8-K”) that provided an update on various legal matters affecting the Company and its most significant university partner, Grand Canyon University (“GCU”). In the Prior 8-K, we described how various government-initiated or government-related actions against the Company and GCU had been concluded on favorable terms other than GCU’s participation in Title IV as a non-profit institution, which at that time continued to be under review by the U.S. Department of Education (“ED”). On December 12, 2025, GCU announced that ED has formally recognized GCU’s status as a non-profit institution of higher education.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8.01. </w:t>
      </w:r>
      <w:r>
        <w:rPr>
          <w:rFonts w:ascii="Times New Roman" w:cs="Times New Roman" w:eastAsia="Times New Roman" w:hAnsi="Times New Roman"/>
          <w:sz w:val="18"/>
          <w:szCs w:val="18"/>
          <w:b w:val="1"/>
          <w:bCs w:val="1"/>
          <w:u w:val="single" w:color="auto"/>
          <w:color w:val="auto"/>
        </w:rPr>
        <w:t>Other Events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December 10, 2025, the Board of Directors of the Company approved a $300.0 million increase under its existing stock repurchase program, reflecting an aggregate authorization for share repurchases by the Company since the initiation of the program of $2,545.0 million. The current expiration date on the repurchase authorization by the Board of Directors is March 1, 2027. Repurchases may be made in the open market or in privately negotiated transactions, pursuant to the applicable Securities and Exchange Commission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1156970</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117" w:right="10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65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46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15, 2025</w:t>
            </w:r>
          </w:p>
        </w:tc>
        <w:tc>
          <w:tcPr>
            <w:tcW w:w="65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211"/>
        </w:trPr>
        <w:tc>
          <w:tcPr>
            <w:tcW w:w="3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E. Bachus</w:t>
            </w:r>
          </w:p>
        </w:tc>
      </w:tr>
      <w:tr>
        <w:trPr>
          <w:trHeight w:val="230"/>
        </w:trPr>
        <w:tc>
          <w:tcPr>
            <w:tcW w:w="3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22"/>
        </w:trPr>
        <w:tc>
          <w:tcPr>
            <w:tcW w:w="3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33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2025-12-15T07:52:41Z</dcterms:created>
  <dcterms:modified xsi:type="dcterms:W3CDTF">2025-12-15T07:52:41Z</dcterms:modified>
</cp:coreProperties>
</file>