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4, 2026</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Grand Canyon Education,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920"/>
          </w:cols>
          <w:pgMar w:left="980" w:top="840" w:right="999" w:bottom="1440" w:gutter="0" w:footer="0" w:header="0"/>
        </w:sectPr>
      </w:pPr>
    </w:p>
    <w:p>
      <w:pPr>
        <w:spacing w:after="0" w:line="174"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001-34211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20-3356009</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5">
            <w:col w:w="2580" w:space="580"/>
            <w:col w:w="120" w:space="560"/>
            <w:col w:w="2000" w:space="680"/>
            <w:col w:w="140" w:space="380"/>
            <w:col w:w="2880"/>
          </w:cols>
          <w:pgMar w:left="980" w:top="840" w:right="99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Incorporation)</w:t>
      </w:r>
    </w:p>
    <w:p>
      <w:pPr>
        <w:spacing w:after="0" w:line="23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2600 W. Camelback Road</w:t>
      </w:r>
    </w:p>
    <w:p>
      <w:pPr>
        <w:spacing w:after="0" w:line="31" w:lineRule="exact"/>
        <w:rPr>
          <w:sz w:val="24"/>
          <w:szCs w:val="24"/>
          <w:color w:val="auto"/>
        </w:rPr>
      </w:pPr>
    </w:p>
    <w:p>
      <w:pPr>
        <w:ind w:left="188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Phoenix, Arizona</w:t>
      </w:r>
      <w:r>
        <w:rPr>
          <w:sz w:val="20"/>
          <w:szCs w:val="20"/>
          <w:color w:val="auto"/>
        </w:rPr>
        <w:tab/>
      </w:r>
      <w:r>
        <w:rPr>
          <w:rFonts w:ascii="Times New Roman" w:cs="Times New Roman" w:eastAsia="Times New Roman" w:hAnsi="Times New Roman"/>
          <w:sz w:val="17"/>
          <w:szCs w:val="17"/>
          <w:b w:val="1"/>
          <w:bCs w:val="1"/>
          <w:color w:val="auto"/>
        </w:rPr>
        <w:t>85017</w:t>
      </w:r>
    </w:p>
    <w:p>
      <w:pPr>
        <w:spacing w:after="0" w:line="9" w:lineRule="exact"/>
        <w:rPr>
          <w:sz w:val="24"/>
          <w:szCs w:val="24"/>
          <w:color w:val="auto"/>
        </w:rPr>
      </w:pPr>
    </w:p>
    <w:p>
      <w:pPr>
        <w:ind w:left="1080"/>
        <w:spacing w:after="0"/>
        <w:tabs>
          <w:tab w:leader="none" w:pos="708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ectPr>
          <w:pgSz w:w="11900" w:h="16838" w:orient="portrait"/>
          <w:cols w:equalWidth="0" w:num="1">
            <w:col w:w="9920"/>
          </w:cols>
          <w:pgMar w:left="980" w:top="840" w:right="99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(602) 247-4400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1428750</wp:posOffset>
            </wp:positionH>
            <wp:positionV relativeFrom="paragraph">
              <wp:posOffset>-127635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66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LOPE</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00" w:lineRule="exact"/>
        <w:rPr>
          <w:sz w:val="24"/>
          <w:szCs w:val="24"/>
          <w:color w:val="auto"/>
        </w:rPr>
      </w:pPr>
    </w:p>
    <w:p>
      <w:pPr>
        <w:spacing w:after="0" w:line="214" w:lineRule="exact"/>
        <w:rPr>
          <w:sz w:val="24"/>
          <w:szCs w:val="24"/>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1122680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565785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Item 2.02. </w:t>
      </w:r>
      <w:r>
        <w:rPr>
          <w:rFonts w:ascii="Times New Roman" w:cs="Times New Roman" w:eastAsia="Times New Roman" w:hAnsi="Times New Roman"/>
          <w:sz w:val="18"/>
          <w:szCs w:val="18"/>
          <w:b w:val="1"/>
          <w:bCs w:val="1"/>
          <w:u w:val="single" w:color="auto"/>
          <w:color w:val="auto"/>
        </w:rPr>
        <w:t>Results of Operations and Financial Condition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November 4, 2026, Grand Canyon Education, Inc. reported its results for the quarter ended September 30, 2026. The press release dated November 4, 2026 is furnished as Exhibit 99.1 to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9.01. </w:t>
      </w:r>
      <w:r>
        <w:rPr>
          <w:rFonts w:ascii="Times New Roman" w:cs="Times New Roman" w:eastAsia="Times New Roman" w:hAnsi="Times New Roman"/>
          <w:sz w:val="18"/>
          <w:szCs w:val="18"/>
          <w:b w:val="1"/>
          <w:bCs w:val="1"/>
          <w:u w:val="single" w:color="auto"/>
          <w:color w:val="auto"/>
        </w:rPr>
        <w:t>Financial Statements and 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November 4, 2026</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EXHIBIT INDEX</w:t>
            </w:r>
          </w:p>
        </w:tc>
      </w:tr>
      <w:tr>
        <w:trPr>
          <w:trHeight w:val="378"/>
        </w:trPr>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800" w:type="dxa"/>
            <w:vAlign w:val="bottom"/>
          </w:tcPr>
          <w:p>
            <w:pPr>
              <w:spacing w:after="0"/>
              <w:rPr>
                <w:sz w:val="24"/>
                <w:szCs w:val="24"/>
                <w:color w:val="auto"/>
              </w:rPr>
            </w:pPr>
          </w:p>
        </w:tc>
        <w:tc>
          <w:tcPr>
            <w:tcW w:w="592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85"/>
        </w:trPr>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4"/>
                <w:szCs w:val="24"/>
                <w:color w:val="auto"/>
              </w:rPr>
            </w:pPr>
          </w:p>
        </w:tc>
        <w:tc>
          <w:tcPr>
            <w:tcW w:w="8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November 4, 2026</w:t>
            </w:r>
          </w:p>
        </w:tc>
      </w:tr>
      <w:tr>
        <w:trPr>
          <w:trHeight w:val="20"/>
        </w:trPr>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0"/>
                <w:szCs w:val="20"/>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3"/>
        </w:trPr>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66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GRAND CANYON EDUCATION, INC.</w:t>
            </w:r>
          </w:p>
        </w:tc>
      </w:tr>
      <w:tr>
        <w:trPr>
          <w:trHeight w:val="46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66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By: /s/ Lori Browning</w:t>
            </w:r>
          </w:p>
        </w:tc>
      </w:tr>
      <w:tr>
        <w:trPr>
          <w:trHeight w:val="211"/>
        </w:trPr>
        <w:tc>
          <w:tcPr>
            <w:tcW w:w="3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Lori Browning</w:t>
            </w:r>
          </w:p>
        </w:tc>
      </w:tr>
      <w:tr>
        <w:trPr>
          <w:trHeight w:val="230"/>
        </w:trPr>
        <w:tc>
          <w:tcPr>
            <w:tcW w:w="3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 and Senior Vice President &amp;</w:t>
            </w:r>
          </w:p>
        </w:tc>
      </w:tr>
      <w:tr>
        <w:trPr>
          <w:trHeight w:val="229"/>
        </w:trPr>
        <w:tc>
          <w:tcPr>
            <w:tcW w:w="3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Controller – Chief Accounting Officer</w:t>
            </w:r>
          </w:p>
        </w:tc>
      </w:tr>
      <w:tr>
        <w:trPr>
          <w:trHeight w:val="229"/>
        </w:trPr>
        <w:tc>
          <w:tcPr>
            <w:tcW w:w="3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(Interim Principal Financial Officer and Principal Accounting</w:t>
            </w:r>
          </w:p>
        </w:tc>
      </w:tr>
      <w:tr>
        <w:trPr>
          <w:trHeight w:val="234"/>
        </w:trPr>
        <w:tc>
          <w:tcPr>
            <w:tcW w:w="3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790"/>
        </w:trPr>
        <w:tc>
          <w:tcPr>
            <w:tcW w:w="3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Lori Browning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602-639-6622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Lori.Browning@gce.com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 REPORTS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QUARTER 2026 RESULTS</w:t>
      </w:r>
    </w:p>
    <w:p>
      <w:pPr>
        <w:spacing w:after="0" w:line="20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PHOENIX, AZ, November 4, 2026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Grand Canyon Education,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LOPE), (“GCE” or the “Company”),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publicly traded education services company that currently provides services to 20 university partners. GCE provides a full array of support services in the post-secondary education sector and has developed significant technological solutions, infrastructure and operational processes to provide superior services in these areas on a large scale. GCE today announced financial results for the quarter ended September 30, 2026.</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80"/>
          </w:cols>
          <w:pgMar w:left="1260" w:top="117" w:right="1259" w:bottom="1440" w:gutter="0" w:footer="0" w:header="0"/>
        </w:sectPr>
      </w:pPr>
    </w:p>
    <w:bookmarkStart w:id="5" w:name="page6"/>
    <w:bookmarkEnd w:id="5"/>
    <w:p>
      <w:pPr>
        <w:ind w:right="41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Grand Canyon Education, Inc. Reports Third Quarter 2026 Results </w:t>
      </w:r>
      <w:r>
        <w:rPr>
          <w:rFonts w:ascii="Times New Roman" w:cs="Times New Roman" w:eastAsia="Times New Roman" w:hAnsi="Times New Roman"/>
          <w:sz w:val="18"/>
          <w:szCs w:val="18"/>
          <w:color w:val="auto"/>
        </w:rPr>
        <w:t>For the three months ended September 30, 2026:</w:t>
      </w:r>
    </w:p>
    <w:p>
      <w:pPr>
        <w:ind w:left="640" w:hanging="323"/>
        <w:spacing w:after="0" w:line="25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for the three months ended September 30, 2026 was $267.3 million, an increase of $6.2 million, or 2.4%, as compared to service revenue of $261.1 million for the three months ended September 30, 2025. The increase year over year in service revenue was primarily due to an increase in university partner enrollments of 5.2% to 145,270 at September 30, 2026 as compared to 138,073 at September 30, 2025. Revenue from GCU, our largest university partner, for the three months ended September 30, 2026, was earned on tuition and academic-related fees under the Amended MSA, whereas revenue for the three months ended September 30, 2025, was earned under the Original MSA and included, in addition to tuition and academic-related fees, the agreed percentage of ancillary fees related to student housing, food service, athletic ticket sales, arena events, hotel, golf course and apparel operations. Revenue per student slightly decreased between years primarily due to six fewer days of revenue for ground traditional students based on the start date of the Fall semester, resulting in a shift of revenue from the third quarter to the fourth quarter in 2026 which had a $7.5 million impact. Also, we saw a slight decline year over year in revenue per student for online students due to the continued mix shift to students that have a slightly lower net tuition rate. These decreases were offset by service revenue per student for accelerated Bachelor of Science in Nursing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our partners’ students take more credits on average per semester.</w:t>
      </w:r>
    </w:p>
    <w:p>
      <w:pPr>
        <w:spacing w:after="0" w:line="86" w:lineRule="exact"/>
        <w:rPr>
          <w:rFonts w:ascii="Times New Roman" w:cs="Times New Roman" w:eastAsia="Times New Roman" w:hAnsi="Times New Roman"/>
          <w:sz w:val="18"/>
          <w:szCs w:val="18"/>
          <w:color w:val="auto"/>
        </w:rPr>
      </w:pPr>
    </w:p>
    <w:p>
      <w:pPr>
        <w:ind w:left="640" w:right="20" w:hanging="323"/>
        <w:spacing w:after="0" w:line="254" w:lineRule="auto"/>
        <w:tabs>
          <w:tab w:leader="none" w:pos="6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GCU enrollments increased to 139,170 at September 30, 2026, an increase of 5.1% over enrollments at September 30, 2025. University partner enrollments at our off-campus classroom and laboratory sites were 7,780, an increase of 12.6% over enrollments at September 30, 2025, which includes 1,680 and 1,325 GCU students at September 30, 2026, and 2025, respectively. Excluding sites that have been closed or are in teach out, total enrollments at our off-campus classroom and laboratory sites increased 14.1% between years. We opened two new sites in the nine months ended September 30, 2026 and closed one site in which we stopped recruiting new students in 2025, thus the total number of sites were 48 at September 30, 2026. Enrollments for GCU ground students were 23,650 at September 30, 2026, down 4.1% from 24,671 at September 30, 2025. GCU online enrollments were 115,520 at September 30, 2026, up from 107,815 at September 30, 2025, an increase of 7.1% between years.</w:t>
      </w:r>
    </w:p>
    <w:p>
      <w:pPr>
        <w:spacing w:after="0" w:line="80" w:lineRule="exact"/>
        <w:rPr>
          <w:rFonts w:ascii="Times New Roman" w:cs="Times New Roman" w:eastAsia="Times New Roman" w:hAnsi="Times New Roman"/>
          <w:sz w:val="18"/>
          <w:szCs w:val="18"/>
          <w:color w:val="auto"/>
        </w:rPr>
      </w:pPr>
    </w:p>
    <w:p>
      <w:pPr>
        <w:ind w:left="640" w:right="100" w:hanging="323"/>
        <w:spacing w:after="0" w:line="255"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for the three months ended September 30, 2026 was $51.5 million, an increase of $33.5 million, or 185.6%, as compared to $18.0 million for the same period in 2025. The operating margin for the three months ended September 30, 2026 and 2025 was 19.3% and 6.9%, respectively. Operating income and operating margin excluding amortization, non-recurring costs and fixed asset disposals for the three months ended September 30, 2026 was $54.7 million and 20.5%, respectively. Operating income and operating margin excluding amortization, litigation settlement, lease termination, impairment and other, severance and fixed asset disposals for the three months ended September 30, 2025 was $58.2 million and 22.3%, respectively.</w:t>
      </w:r>
    </w:p>
    <w:p>
      <w:pPr>
        <w:spacing w:after="0" w:line="80" w:lineRule="exact"/>
        <w:rPr>
          <w:rFonts w:ascii="Times New Roman" w:cs="Times New Roman" w:eastAsia="Times New Roman" w:hAnsi="Times New Roman"/>
          <w:sz w:val="18"/>
          <w:szCs w:val="18"/>
          <w:color w:val="auto"/>
        </w:rPr>
      </w:pPr>
    </w:p>
    <w:p>
      <w:pPr>
        <w:ind w:left="640" w:right="200" w:hanging="323"/>
        <w:spacing w:after="0" w:line="254"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for the three months ended September 30, 2026 was $10.7 million, an increase of $5.3 million, or 99.5%, as compared to income tax expense of $5.4 million for the three months ended September 30, 2025. Our effective tax rate was 20.0% during the three months ended September 30, 2026 compared to 24.9% during the three months ended September 30, 2025. The increase in income tax expense is due to the increase in income before taxes due to the litigation settlement in the third quarter of 2025, partially offset by a lower effective tax rate. The effective tax rate was favorably impacted by contributions in lieu of state income taxes of $5.0 million for both of the third quarters in 2026 and 2025. The higher effective tax rate in the third quarter of 2025 was due to the nondeductibility of the penalties associated with the litigation settlement.</w:t>
      </w:r>
    </w:p>
    <w:p>
      <w:pPr>
        <w:spacing w:after="0" w:line="83" w:lineRule="exact"/>
        <w:rPr>
          <w:rFonts w:ascii="Times New Roman" w:cs="Times New Roman" w:eastAsia="Times New Roman" w:hAnsi="Times New Roman"/>
          <w:sz w:val="18"/>
          <w:szCs w:val="18"/>
          <w:color w:val="auto"/>
        </w:rPr>
      </w:pPr>
    </w:p>
    <w:p>
      <w:pPr>
        <w:jc w:val="both"/>
        <w:ind w:left="640" w:right="60" w:hanging="323"/>
        <w:spacing w:after="0" w:line="26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three months ended September 30, 2026 was $43.0 million, an increase of $26.7 million, or 164.3% as compared to $16.3 million for the same period in 2025. As adjusted net income was $45.6 million and $49.7 million for the third quarters of 2026 and 2025, respectively.</w:t>
      </w:r>
    </w:p>
    <w:p>
      <w:pPr>
        <w:spacing w:after="0" w:line="67" w:lineRule="exact"/>
        <w:rPr>
          <w:rFonts w:ascii="Times New Roman" w:cs="Times New Roman" w:eastAsia="Times New Roman" w:hAnsi="Times New Roman"/>
          <w:sz w:val="18"/>
          <w:szCs w:val="18"/>
          <w:color w:val="auto"/>
        </w:rPr>
      </w:pPr>
    </w:p>
    <w:p>
      <w:pPr>
        <w:ind w:left="640" w:right="300" w:hanging="323"/>
        <w:spacing w:after="0" w:line="28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per share was $1.67 and $0.58 for the third quarters of 2026 and 2025, respectively. As adjusted diluted net income per share was $1.77 and $1.78 for the third quarters of 2026 and 2025, respectively.</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20"/>
          </w:cols>
          <w:pgMar w:left="1260" w:top="117" w:right="1319" w:bottom="1440" w:gutter="0" w:footer="0" w:header="0"/>
        </w:sectPr>
      </w:pPr>
    </w:p>
    <w:bookmarkStart w:id="6" w:name="page7"/>
    <w:bookmarkEnd w:id="6"/>
    <w:p>
      <w:pPr>
        <w:ind w:left="640" w:hanging="323"/>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decreased 3.2% to $73.5 million for the third quarter of 2026, compared to $75.9 million for the same period in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2026:</w:t>
      </w:r>
    </w:p>
    <w:p>
      <w:pPr>
        <w:spacing w:after="0" w:line="117" w:lineRule="exact"/>
        <w:rPr>
          <w:sz w:val="20"/>
          <w:szCs w:val="20"/>
          <w:color w:val="auto"/>
        </w:rPr>
      </w:pPr>
    </w:p>
    <w:p>
      <w:pPr>
        <w:ind w:left="640" w:right="100" w:hanging="323"/>
        <w:spacing w:after="0" w:line="25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for the nine months ended September 30, 2026 was $840.2 million, an increase of $42.2 million, or 5.3%, as compared to service revenue of $798.0 million for the nine months ended September 30, 2025. The increase year over year in service revenue was primarily due to an increase in university partner enrollments of 5.2% to 145,270 at September 30, 2026 as compared to 138,073 at September 30, 2025. Revenue from GCU, our largest university partner, for the nine months ended September 30, 2026 includes revenue for the 3 months ended September 30, 2026 earned under the Amended MSA including only tuition and academic-related fees plus revenue for the six months ended June 30, 2026 earned under the Original MSA including, in addition to tuition and academic-related fees, the agreed percentage of ancillary fees related to student housing, food service, athletic ticket sales, arena events, hotel, golf course and apparel operations. By contrast, service revenue for the nine months ended September 30, 2025 was entirely earned under the Original MSA. Revenue per student stayed flat between years primarily due to the service revenue per student for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our partners’ students take more credits on average per semester. This increase was offset by six fewer days of revenue for ground traditional students based on the start date of the Fall semester, resulting in a shift of revenue from the third quarter to the fourth quarter in 2026 which had a $7.5 million impact. We also experienced a slight decline year over year in revenue per student for online students due to the continued mix shift to students that have a slightly lower net tuition rate.</w:t>
      </w:r>
    </w:p>
    <w:p>
      <w:pPr>
        <w:spacing w:after="0" w:line="83" w:lineRule="exact"/>
        <w:rPr>
          <w:rFonts w:ascii="Times New Roman" w:cs="Times New Roman" w:eastAsia="Times New Roman" w:hAnsi="Times New Roman"/>
          <w:sz w:val="18"/>
          <w:szCs w:val="18"/>
          <w:color w:val="auto"/>
        </w:rPr>
      </w:pPr>
    </w:p>
    <w:p>
      <w:pPr>
        <w:ind w:left="640" w:right="140" w:hanging="323"/>
        <w:spacing w:after="0" w:line="255"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for the nine months ended September 30, 2026 was $205.1 million, an increase of $47.3 million, or 29.9%, as compared to $157.8 million for the same period in 2025. The operating margin for the nine months ended September 30, 2026 and 2025 was 24.4% and 19.8%, respectively. Operating income and operating margin excluding amortization, non-recurring costs and fixed asset disposals for the nine months ended September 30, 2026 was $212.5 million and 25.3%, respectively. Operating income and operating margin excluding amortization, litigation settlement, lease termination, impairment and other, severance and fixed asset disposals for the nine months ended September 30, 2025 was $202.3 million and 25.4%, respectively.</w:t>
      </w:r>
    </w:p>
    <w:p>
      <w:pPr>
        <w:spacing w:after="0" w:line="80" w:lineRule="exact"/>
        <w:rPr>
          <w:rFonts w:ascii="Times New Roman" w:cs="Times New Roman" w:eastAsia="Times New Roman" w:hAnsi="Times New Roman"/>
          <w:sz w:val="18"/>
          <w:szCs w:val="18"/>
          <w:color w:val="auto"/>
        </w:rPr>
      </w:pPr>
    </w:p>
    <w:p>
      <w:pPr>
        <w:ind w:left="640" w:right="20" w:hanging="323"/>
        <w:spacing w:after="0" w:line="253"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for the nine months ended September 30, 2026 was $48.9 million, an increase of $10.3 million, or 26.5%, as compared to income tax expense of $38.6 million for the nine months ended September 30, 2025. Our effective tax rate was 22.9% during the nine months ended September 30, 2026 compared to 23.0% during the nine months ended September 30, 2025. The effective tax rate for both of the nine months ended September 30, 2026 and 2025 was favorably impacted by the contribution in lieu of state income taxes of $5.0 million. The effective tax rate stayed relatively flat year over year due to changes in state income taxes, an increase in taxable income and a decrease in excess tax benefits to $1.4 million in the nine months ended September 30, 2026 due to the decline in our stock price as compared to $2.7 million in the nine months ended September 30, 2025. The inclusion of excess tax benefits and deficiencies as a component of our income tax expense increases the volatility within our provision for income taxes as the amount of excess tax benefits or deficiencies from share-based compensation awards are dependent on our stock price at the date the restricted stock awards vest. Our restricted stock awards vest in March each year so any benefit or expense will primarily impact the first quarter each year.</w:t>
      </w:r>
    </w:p>
    <w:p>
      <w:pPr>
        <w:spacing w:after="0" w:line="81" w:lineRule="exact"/>
        <w:rPr>
          <w:rFonts w:ascii="Times New Roman" w:cs="Times New Roman" w:eastAsia="Times New Roman" w:hAnsi="Times New Roman"/>
          <w:sz w:val="18"/>
          <w:szCs w:val="18"/>
          <w:color w:val="auto"/>
        </w:rPr>
      </w:pPr>
    </w:p>
    <w:p>
      <w:pPr>
        <w:ind w:left="640" w:right="180" w:hanging="323"/>
        <w:spacing w:after="0" w:line="26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nine months ended September 30, 2026 was $164.2 million, an increase of $34.8 million, or 26.9% as compared to $129.4 million for the same period in 2025. As adjusted net income was $170.0 million and $166.1 million for the nine months ended September 30, 2026 and 2025, respectively.</w:t>
      </w:r>
    </w:p>
    <w:p>
      <w:pPr>
        <w:spacing w:after="0" w:line="67" w:lineRule="exact"/>
        <w:rPr>
          <w:rFonts w:ascii="Times New Roman" w:cs="Times New Roman" w:eastAsia="Times New Roman" w:hAnsi="Times New Roman"/>
          <w:sz w:val="18"/>
          <w:szCs w:val="18"/>
          <w:color w:val="auto"/>
        </w:rPr>
      </w:pPr>
    </w:p>
    <w:p>
      <w:pPr>
        <w:ind w:left="640" w:right="260" w:hanging="323"/>
        <w:spacing w:after="0" w:line="26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per share was $6.25 and $4.60 for the nine months ended September 30, 2026 and 2025, respectively. As adjusted diluted net income per share was $6.47 and $5.90 for the nine months ended September 30, 2026 and 2025, respectively.</w:t>
      </w:r>
    </w:p>
    <w:p>
      <w:pPr>
        <w:spacing w:after="0" w:line="67" w:lineRule="exact"/>
        <w:rPr>
          <w:rFonts w:ascii="Times New Roman" w:cs="Times New Roman" w:eastAsia="Times New Roman" w:hAnsi="Times New Roman"/>
          <w:sz w:val="18"/>
          <w:szCs w:val="18"/>
          <w:color w:val="auto"/>
        </w:rPr>
      </w:pPr>
    </w:p>
    <w:p>
      <w:pPr>
        <w:ind w:left="640" w:right="540" w:hanging="323"/>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5.0% to $257.5 million for the nine months ended September 30, 2026, compared to $245.3 million for the same period in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liquidity position, as measured by cash and cash equivalents and investments decreased by $137.9 million between December 31, 2025 and September 30, 2026, which was largely attributable to cash expended for share repurchases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21" w:right="1279" w:bottom="1440" w:gutter="0" w:footer="0" w:header="0"/>
        </w:sectPr>
      </w:pPr>
    </w:p>
    <w:bookmarkStart w:id="7" w:name="page8"/>
    <w:bookmarkEnd w:id="7"/>
    <w:p>
      <w:pPr>
        <w:ind w:right="400"/>
        <w:spacing w:after="0" w:line="266" w:lineRule="auto"/>
        <w:rPr>
          <w:sz w:val="20"/>
          <w:szCs w:val="20"/>
          <w:color w:val="auto"/>
        </w:rPr>
      </w:pPr>
      <w:r>
        <w:rPr>
          <w:rFonts w:ascii="Times New Roman" w:cs="Times New Roman" w:eastAsia="Times New Roman" w:hAnsi="Times New Roman"/>
          <w:sz w:val="18"/>
          <w:szCs w:val="18"/>
          <w:color w:val="auto"/>
        </w:rPr>
        <w:t>and capital expenditures exceeding our cash provided by operations during the nine months ended September 30, 2026. Our unrestricted cash and cash equivalents and investments were $162.1 million and $300.1 million at September 30, 2026 and December 31, 2025,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 Repurchase Plan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GCE announced today that on October 28, 2026, the Company’s Board of Directors approved a $355.0 million increase under its existing stock repurchase program, reflecting an aggregate authorization for share repurchases by the Company since the initiation of the program of $2.9 billion. The current expiration date on the repurchase authorization by the Board of Directors is March 1, 2028. As of November 2, 2026, there remained $394.5 million available under the current share repurchase authorization, which includes the increased authorization of $355.0 million. As of November 2, 2026, the Company had 25,510,517 shares of common stock outstanding. The plan permits the Company to make purchases in the open market at prevailing market prices or in privately negotiated transactions in compliance with applicable securities laws and other legal requirements. The level of purchase activity is subject to market conditions and other investment opportunities. The plan does not obligate GCE to acquire any particular amount of common stock and may be suspended or discontinued at any time. The repurchase program may be funded using the Company’s available cash, investments, positive operating cash flows and revolving line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21" w:right="12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Third Quarter 2026 Results and Full Year Outlook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2026:</w:t>
      </w:r>
    </w:p>
    <w:p>
      <w:pPr>
        <w:spacing w:after="0" w:line="31" w:lineRule="exact"/>
        <w:rPr>
          <w:sz w:val="20"/>
          <w:szCs w:val="20"/>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of between $320.5 million and $321.5 million;</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of between 36.0% and 36.2%;</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tax rate of 23.0%;</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of between $3.57 and $3.61; and</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25.3 million diluted shares.</w:t>
      </w:r>
    </w:p>
    <w:p>
      <w:pPr>
        <w:spacing w:after="0" w:line="9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diluted EPS guidance includes non-cash amortization of intangible assets net of taxes of $1.6 million, which equates to a $0.06 impact on diluted EPS. Thus, as adjusted, non-GAAP diluted income per share of between $3.63 and $3.67.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2026:</w:t>
      </w:r>
    </w:p>
    <w:p>
      <w:pPr>
        <w:spacing w:after="0" w:line="31" w:lineRule="exact"/>
        <w:rPr>
          <w:sz w:val="20"/>
          <w:szCs w:val="20"/>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of between $1,160.7 million and $1,161.7 million;</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of between 27.6% and 27.7%;</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tax rate of 23.0%;</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between $9.81 and $9.85; and</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26.0 million diluted shares.</w:t>
      </w:r>
    </w:p>
    <w:p>
      <w:pPr>
        <w:spacing w:after="0" w:line="9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diluted EPS guidance includes non-cash amortization of intangible assets net of taxes of $6.5 million, non-recurring costs net of taxes of $0.8 million and loss on disposal of fixed assets net of taxes of nil which equates to a $0.28 impact on diluted EPS. Thus, as adjusted, non-GAAP diluted income per share of between $10.09 and $10.13.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48" w:lineRule="exact"/>
        <w:rPr>
          <w:sz w:val="20"/>
          <w:szCs w:val="20"/>
          <w:color w:val="auto"/>
        </w:rPr>
      </w:pPr>
    </w:p>
    <w:p>
      <w:pPr>
        <w:ind w:right="80" w:firstLine="648"/>
        <w:spacing w:after="0" w:line="233"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federal securities laws including information relating to future events, future financial performance, strategies, expectations, competitive environment, regulation, and availability of resources. These forward-looking statements include, without limitation, statements regarding: proposed new programs; whether regulatory, economic, or business developments or other matters may or may not have a material adverse effect on our financial position, results of operations, or liquidity; projections, predictions, expectations, estimates, and forecasts as to our business, financial and operating results, and future economic performance; and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w:t>
      </w:r>
    </w:p>
    <w:p>
      <w:pPr>
        <w:spacing w:after="0" w:line="81"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 (i) legal and regulatory actions taken against us related to our services business, or against our university partners that impact their businesses and that directly or indirectly reduce the service revenue we can earn under our master services agreements; (ii) the occurrence of any event, change or other circumstance that could give rise to the termination of any of the key university partner agreements; (iii) 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 (iv) our ability to comply with the extensive regulatory framework applicable to us either directly as a third-party service provider or indirectly through our university partners; (v) our ability to manage risks associated with epidemics, pandemics, or public health crises; (vi) our ability to manage risks resulting from system disruptions, interruptions, or outages associated with our technology platforms or those of third-party service providers; (vii) the ability of our university partners’ students to obtain federal Title IV funds, state financial aid, and private financing; (viii) potential damage to our reputation or other adverse effects as a result of negative publicity in the media, in the industry or in connection with governmental reports or investigations or otherwise; (ix) risks associated with changes in applicable federal and state laws and regulations and accrediting commission standards; (x) competition from other education service companies in our geographic region and market sector; (xi) our ability to hire and train new, and develop and train existing employees; (xii) the pace of growth of our university partners’ enrollment and its effect on the pace of our own growth; (xiii) fluctuations in our revenues due to seasonality; (xiv) our ability to, on behalf of our university partners, convert prospective students to enrolled students and to retain active students to graduation; and (xv) other risks and uncertainties identified from time to time in documents filed with</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57570" cy="17145"/>
                    </a:xfrm>
                    <a:prstGeom prst="rect">
                      <a:avLst/>
                    </a:prstGeom>
                    <a:noFill/>
                  </pic:spPr>
                </pic:pic>
              </a:graphicData>
            </a:graphic>
          </wp:anchor>
        </w:drawing>
      </w:r>
    </w:p>
    <w:p>
      <w:pPr>
        <w:sectPr>
          <w:pgSz w:w="11900" w:h="16838" w:orient="portrait"/>
          <w:cols w:equalWidth="0" w:num="1">
            <w:col w:w="9380"/>
          </w:cols>
          <w:pgMar w:left="1260" w:top="117" w:right="1259" w:bottom="1440" w:gutter="0" w:footer="0" w:header="0"/>
        </w:sectPr>
      </w:pPr>
    </w:p>
    <w:bookmarkStart w:id="9" w:name="page10"/>
    <w:bookmarkEnd w:id="9"/>
    <w:p>
      <w:pPr>
        <w:ind w:right="20"/>
        <w:spacing w:after="0" w:line="266" w:lineRule="auto"/>
        <w:rPr>
          <w:sz w:val="20"/>
          <w:szCs w:val="20"/>
          <w:color w:val="auto"/>
        </w:rPr>
      </w:pPr>
      <w:r>
        <w:rPr>
          <w:rFonts w:ascii="Times New Roman" w:cs="Times New Roman" w:eastAsia="Times New Roman" w:hAnsi="Times New Roman"/>
          <w:sz w:val="18"/>
          <w:szCs w:val="18"/>
          <w:color w:val="auto"/>
        </w:rPr>
        <w:t>the Securities and Exchange Commission (the “SEC”) by us, including our Annual Report on Form 10-K for the fiscal year ended December 31, 2025, filed on February 18, 2026.</w:t>
      </w:r>
    </w:p>
    <w:p>
      <w:pPr>
        <w:spacing w:after="0" w:line="4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 This press release should be read in conjunction with the information included in our other press releases, reports and other filings with the SEC. Understanding the information contained in these filings is important in order to fully understand GCE’s reported financial results and our business outlook for future periods.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57570" cy="1714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Third Quarter 2026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2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Grand Canyon Education, Inc. will discuss its third quarter 2026 results and full year 2026 outlook during a conference call scheduled for today, November 4, 2026 at 4:30 p.m. Eastern time (ET).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333333"/>
        </w:rPr>
        <w:t>Live Conference Dial-In:</w:t>
      </w:r>
    </w:p>
    <w:p>
      <w:pPr>
        <w:spacing w:after="0" w:line="121"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333333"/>
        </w:rPr>
        <w:t xml:space="preserve">Those interested in participating in the question-and-answer session should follow the conference dial-in instructions below. Participants may register for the call </w:t>
      </w:r>
      <w:r>
        <w:rPr>
          <w:rFonts w:ascii="Times New Roman" w:cs="Times New Roman" w:eastAsia="Times New Roman" w:hAnsi="Times New Roman"/>
          <w:sz w:val="18"/>
          <w:szCs w:val="18"/>
          <w:color w:val="0000FF"/>
        </w:rPr>
        <w:t>here</w:t>
      </w:r>
      <w:r>
        <w:rPr>
          <w:rFonts w:ascii="Times New Roman" w:cs="Times New Roman" w:eastAsia="Times New Roman" w:hAnsi="Times New Roman"/>
          <w:sz w:val="18"/>
          <w:szCs w:val="18"/>
          <w:color w:val="333333"/>
        </w:rPr>
        <w:t xml:space="preserve"> to receive the dial-in numbers and unique PIN to access the call seamlessly. Please dial in at least ten minutes prior to the start of the call. Journalists are invited to listen only.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333333"/>
        </w:rPr>
        <w:t>Webcast and Replay:</w:t>
      </w:r>
    </w:p>
    <w:p>
      <w:pPr>
        <w:spacing w:after="0" w:line="119"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color w:val="333333"/>
        </w:rPr>
        <w:t xml:space="preserve">Investors, journalists and the general public may access a live webcast of this event at: </w:t>
      </w:r>
      <w:r>
        <w:rPr>
          <w:rFonts w:ascii="Times New Roman" w:cs="Times New Roman" w:eastAsia="Times New Roman" w:hAnsi="Times New Roman"/>
          <w:sz w:val="18"/>
          <w:szCs w:val="18"/>
          <w:i w:val="1"/>
          <w:iCs w:val="1"/>
          <w:color w:val="337AB7"/>
        </w:rPr>
        <w:t>Q3 2026 Grand Canyon</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i w:val="1"/>
          <w:iCs w:val="1"/>
          <w:color w:val="337AB7"/>
        </w:rPr>
        <w:t>Education Inc. Earnings Conference Call</w:t>
      </w:r>
      <w:r>
        <w:rPr>
          <w:rFonts w:ascii="Times New Roman" w:cs="Times New Roman" w:eastAsia="Times New Roman" w:hAnsi="Times New Roman"/>
          <w:sz w:val="18"/>
          <w:szCs w:val="18"/>
          <w:i w:val="1"/>
          <w:iCs w:val="1"/>
          <w:color w:val="333333"/>
        </w:rPr>
        <w:t>.</w:t>
      </w:r>
      <w:r>
        <w:rPr>
          <w:rFonts w:ascii="Times New Roman" w:cs="Times New Roman" w:eastAsia="Times New Roman" w:hAnsi="Times New Roman"/>
          <w:sz w:val="18"/>
          <w:szCs w:val="18"/>
          <w:i w:val="1"/>
          <w:iCs w:val="1"/>
          <w:color w:val="337AB7"/>
        </w:rPr>
        <w:t xml:space="preserve"> </w:t>
      </w:r>
      <w:r>
        <w:rPr>
          <w:rFonts w:ascii="Times New Roman" w:cs="Times New Roman" w:eastAsia="Times New Roman" w:hAnsi="Times New Roman"/>
          <w:sz w:val="18"/>
          <w:szCs w:val="18"/>
          <w:color w:val="333333"/>
        </w:rPr>
        <w:t>A webcast replay will be available approximately two hours following the conclusion</w:t>
      </w:r>
      <w:r>
        <w:rPr>
          <w:rFonts w:ascii="Times New Roman" w:cs="Times New Roman" w:eastAsia="Times New Roman" w:hAnsi="Times New Roman"/>
          <w:sz w:val="18"/>
          <w:szCs w:val="18"/>
          <w:i w:val="1"/>
          <w:iCs w:val="1"/>
          <w:color w:val="337AB7"/>
        </w:rPr>
        <w:t xml:space="preserve"> </w:t>
      </w:r>
      <w:r>
        <w:rPr>
          <w:rFonts w:ascii="Times New Roman" w:cs="Times New Roman" w:eastAsia="Times New Roman" w:hAnsi="Times New Roman"/>
          <w:sz w:val="18"/>
          <w:szCs w:val="18"/>
          <w:color w:val="333333"/>
        </w:rPr>
        <w:t>of the call at the same link.</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Grand Canyon Education, Inc.</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Grand Canyon Education, Inc. (“GCE”), incorporated in 2008, is a publicly traded education services company that currently provides services to 20 university partners. GCE is uniquely positioned in the education services industry in that its leadership has over 30 years of proven expertise in providing a full array of support services in the post-secondary education sector and has developed significant technological solutions, infrastructure and operational processes to provide superior services in these areas on a large scale. GCE provides services that support students, faculty and staff of partner institutions such as marketing, strategic enrollment management, counseling services, financial services, technology, technical support, compliance, human resources, classroom operations, content development, faculty recruitment and training, among others. For more information about GCE visit the Company's website at www.gce.com.</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Grand Canyon Education, Inc., 2600 W. Camelback Road, Phoenix, AZ 85017, </w:t>
      </w:r>
      <w:r>
        <w:rPr>
          <w:rFonts w:ascii="Times New Roman" w:cs="Times New Roman" w:eastAsia="Times New Roman" w:hAnsi="Times New Roman"/>
          <w:sz w:val="18"/>
          <w:szCs w:val="18"/>
          <w:b w:val="1"/>
          <w:bCs w:val="1"/>
          <w:color w:val="auto"/>
        </w:rPr>
        <w:t>www.gce.com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00"/>
          </w:cols>
          <w:pgMar w:left="1260" w:top="117" w:right="1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Third Quarter 2026 Results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960" w:type="dxa"/>
            <w:vAlign w:val="bottom"/>
            <w:gridSpan w:val="3"/>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580" w:type="dxa"/>
            <w:vAlign w:val="bottom"/>
            <w:gridSpan w:val="5"/>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6"/>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02"/>
        </w:trPr>
        <w:tc>
          <w:tcPr>
            <w:tcW w:w="39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26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17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66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660" w:type="dxa"/>
            <w:vAlign w:val="bottom"/>
            <w:tcBorders>
              <w:top w:val="single" w:sz="8" w:color="auto"/>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CCEEFF"/>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17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267,346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261,142</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840,151</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Technology and academic services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133,735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Counseling services and support</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268,272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Marketing and communication</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59,145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189,403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Litigation settlement</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termination, impairment and other</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215,880</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243,123</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635,072</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640,120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205,079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Investment interest and other</w:t>
            </w:r>
          </w:p>
        </w:tc>
        <w:tc>
          <w:tcPr>
            <w:tcW w:w="1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213,091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10,742</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48,878</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43,013</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16,274</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164,213</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Basic income per share</w:t>
            </w:r>
          </w:p>
        </w:tc>
        <w:tc>
          <w:tcPr>
            <w:tcW w:w="1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Diluted income per share</w:t>
            </w:r>
          </w:p>
        </w:tc>
        <w:tc>
          <w:tcPr>
            <w:tcW w:w="17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vMerge w:val="continue"/>
          </w:tcPr>
          <w:p>
            <w:pPr>
              <w:spacing w:after="0"/>
              <w:rPr>
                <w:sz w:val="20"/>
                <w:szCs w:val="20"/>
                <w:color w:val="auto"/>
              </w:rPr>
            </w:pPr>
          </w:p>
        </w:tc>
        <w:tc>
          <w:tcPr>
            <w:tcW w:w="17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1.67</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0.58</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6.25</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920" w:type="dxa"/>
            <w:vAlign w:val="bottom"/>
            <w:tcBorders>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Basic weighted average shares outstanding</w:t>
            </w:r>
          </w:p>
        </w:tc>
        <w:tc>
          <w:tcPr>
            <w:tcW w:w="1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25,698</w:t>
            </w: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27,740</w:t>
            </w: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26,197</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28,002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Diluted weighted average shares outstanding</w:t>
            </w: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2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25,771</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27,897</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26,283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28,165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400"/>
          </w:cols>
          <w:pgMar w:left="1260" w:top="117" w:right="1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Third Quarter 2026 Results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par value)</w:t>
            </w:r>
          </w:p>
        </w:tc>
        <w:tc>
          <w:tcPr>
            <w:tcW w:w="140" w:type="dxa"/>
            <w:vAlign w:val="bottom"/>
          </w:tcPr>
          <w:p>
            <w:pPr>
              <w:spacing w:after="0"/>
              <w:rPr>
                <w:sz w:val="15"/>
                <w:szCs w:val="15"/>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3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0"/>
        </w:trPr>
        <w:tc>
          <w:tcPr>
            <w:tcW w:w="66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00" w:type="dxa"/>
            <w:vAlign w:val="bottom"/>
            <w:vMerge w:val="continue"/>
          </w:tcPr>
          <w:p>
            <w:pPr>
              <w:spacing w:after="0"/>
              <w:rPr>
                <w:sz w:val="12"/>
                <w:szCs w:val="12"/>
                <w:color w:val="auto"/>
              </w:rPr>
            </w:pPr>
          </w:p>
        </w:tc>
        <w:tc>
          <w:tcPr>
            <w:tcW w:w="3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3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00" w:type="dxa"/>
            <w:vAlign w:val="bottom"/>
            <w:tcBorders>
              <w:top w:val="single" w:sz="8" w:color="auto"/>
            </w:tcBorders>
            <w:shd w:val="clear" w:color="auto" w:fill="CCEEFF"/>
          </w:tcPr>
          <w:p>
            <w:pPr>
              <w:ind w:left="29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58,760</w:t>
            </w: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103,382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114,470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103,671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145,228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894,491</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992,305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600" w:type="dxa"/>
            <w:vAlign w:val="bottom"/>
            <w:shd w:val="clear" w:color="auto" w:fill="CCEEFF"/>
          </w:tcPr>
          <w:p>
            <w:pPr>
              <w:ind w:left="13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18,816</w:t>
            </w: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15,253</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liability, less current portion</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98,758</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255,089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245,372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$0.01 par value, 10,000 shares authorized; 0 shares issued and outstanding</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at September 30, 2026 and December 31, 2025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 shares authorized; 54,265 and 54,178 shares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25,726 and 27,393 shares outstanding at September 30, 2026 and December 31,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respectively</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28,539 and 26,785 shares of common stock at September 30, 2026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and December 31, 2025, respectively</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(2,572,525)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(2,291,610)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 gain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2,851,329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639,402</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746,933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894,491</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400"/>
          </w:cols>
          <w:pgMar w:left="1260" w:top="117" w:right="1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Third Quarter 2026 Results</w:t>
      </w:r>
    </w:p>
    <w:p>
      <w:pPr>
        <w:spacing w:after="0" w:line="22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060" w:type="dxa"/>
            <w:vAlign w:val="bottom"/>
          </w:tcPr>
          <w:p>
            <w:pPr>
              <w:jc w:val="center"/>
              <w:ind w:left="219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6"/>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7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operating activities: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164,213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129,438</w:t>
            </w: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Litigation settlement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Lease termination, impairment and other</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including fixed asset disposals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and lease 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receivable/payable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171,589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143,006</w:t>
            </w: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investing activities: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Additions of amortizable content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 of equity investment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Loss on equity investment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(224,715)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Proceeds from sale or maturity of investments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141,134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(205,615)</w:t>
            </w: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Repurchase of common shares and shares withheld in lieu of income taxes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Revolving Credit Facility issuance costs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(278,679)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 and restricted cash</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beginning of period</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end of period</w:t>
            </w:r>
          </w:p>
        </w:tc>
        <w:tc>
          <w:tcPr>
            <w:tcW w:w="2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58,760</w:t>
            </w:r>
          </w:p>
        </w:tc>
        <w:tc>
          <w:tcPr>
            <w:tcW w:w="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97,284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paid for interest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53,748</w:t>
            </w: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ROU Asset and Liability recognition</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Excise tax on treasury stock repurchases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7080" w:type="dxa"/>
            <w:vAlign w:val="bottom"/>
            <w:gridSpan w:val="2"/>
          </w:tcPr>
          <w:p>
            <w:pPr>
              <w:jc w:val="right"/>
              <w:ind w:right="221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00"/>
          </w:cols>
          <w:pgMar w:left="1260" w:top="117" w:right="1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Third Quarter 2026 Results</w:t>
      </w:r>
    </w:p>
    <w:p>
      <w:pPr>
        <w:spacing w:after="0" w:line="22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 (Non-GAAP Financial Measure)</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Adjusted EBITDA is defined as net income plus interest expense, less interest income and other gain (loss) recognized on investments, plus income tax expense, and plus depreciation and amortization (EBITDA), as adjusted for (i) contributions to private Arizona school tuition organizations in lieu of the payment of state income taxes; (ii) share-based compensation; and (iii) unusual charges or gains, such as litigation and regulatory costs, non-recurring costs, impairment charges and asset write-offs, severance costs, and exit or lease termination costs. We present Adjusted EBITDA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spacing w:after="0" w:line="8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8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p>
      <w:pPr>
        <w:spacing w:after="0" w:line="72" w:lineRule="exact"/>
        <w:rPr>
          <w:sz w:val="20"/>
          <w:szCs w:val="20"/>
          <w:color w:val="auto"/>
        </w:rPr>
      </w:pPr>
    </w:p>
    <w:p>
      <w:pPr>
        <w:ind w:left="640" w:hanging="32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expenditures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cash requirements for, our working capital requirements;</w:t>
      </w:r>
    </w:p>
    <w:p>
      <w:pPr>
        <w:spacing w:after="0" w:line="117"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or the cash required to replace assets that are being depreciated or amortized; and</w:t>
      </w:r>
    </w:p>
    <w:p>
      <w:pPr>
        <w:spacing w:after="0" w:line="117" w:lineRule="exact"/>
        <w:rPr>
          <w:rFonts w:ascii="Times New Roman" w:cs="Times New Roman" w:eastAsia="Times New Roman" w:hAnsi="Times New Roman"/>
          <w:sz w:val="18"/>
          <w:szCs w:val="18"/>
          <w:color w:val="auto"/>
        </w:rPr>
      </w:pPr>
    </w:p>
    <w:p>
      <w:pPr>
        <w:ind w:left="640" w:hanging="323"/>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reported results of earnings or charges resulting from the items for which we make adjustments to our EBITDA, as described above and set forth in the table below.</w:t>
      </w:r>
    </w:p>
    <w:p>
      <w:pPr>
        <w:spacing w:after="0" w:line="5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and reported under GAAP, or as an alternative to cash flow from operating activities or as a measure of our liquidity. We compensate for these limitations by relying primarily on our GAAP results and only use Adjusted EBITDA as a supplemental performance measure.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280"/>
          </w:cols>
          <w:pgMar w:left="1260" w:top="117" w:right="1359" w:bottom="1440" w:gutter="0" w:footer="0" w:header="0"/>
        </w:sectPr>
      </w:pPr>
    </w:p>
    <w:bookmarkStart w:id="15" w:name="page16"/>
    <w:bookmarkEnd w:id="15"/>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to Adjusted EBITDA, which is a non-GAAP measure for the periods indicated: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740" w:type="dxa"/>
            <w:vAlign w:val="bottom"/>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0" w:type="dxa"/>
            <w:vAlign w:val="bottom"/>
            <w:tcBorders>
              <w:bottom w:val="single" w:sz="8" w:color="auto"/>
            </w:tcBorders>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74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17"/>
        </w:trPr>
        <w:tc>
          <w:tcPr>
            <w:tcW w:w="4600" w:type="dxa"/>
            <w:vAlign w:val="bottom"/>
          </w:tcPr>
          <w:p>
            <w:pPr>
              <w:spacing w:after="0"/>
              <w:rPr>
                <w:sz w:val="10"/>
                <w:szCs w:val="10"/>
                <w:color w:val="auto"/>
              </w:rPr>
            </w:pPr>
          </w:p>
        </w:tc>
        <w:tc>
          <w:tcPr>
            <w:tcW w:w="2000" w:type="dxa"/>
            <w:vAlign w:val="bottom"/>
            <w:gridSpan w:val="2"/>
          </w:tcPr>
          <w:p>
            <w:pPr>
              <w:jc w:val="right"/>
              <w:ind w:right="137"/>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2026</w:t>
            </w:r>
          </w:p>
        </w:tc>
        <w:tc>
          <w:tcPr>
            <w:tcW w:w="880" w:type="dxa"/>
            <w:vAlign w:val="bottom"/>
            <w:gridSpan w:val="2"/>
          </w:tcPr>
          <w:p>
            <w:pPr>
              <w:jc w:val="right"/>
              <w:ind w:right="134"/>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2025</w:t>
            </w:r>
          </w:p>
        </w:tc>
        <w:tc>
          <w:tcPr>
            <w:tcW w:w="920" w:type="dxa"/>
            <w:vAlign w:val="bottom"/>
            <w:gridSpan w:val="2"/>
          </w:tcPr>
          <w:p>
            <w:pPr>
              <w:jc w:val="right"/>
              <w:ind w:right="157"/>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2026</w:t>
            </w:r>
          </w:p>
        </w:tc>
        <w:tc>
          <w:tcPr>
            <w:tcW w:w="960" w:type="dxa"/>
            <w:vAlign w:val="bottom"/>
            <w:gridSpan w:val="3"/>
          </w:tcPr>
          <w:p>
            <w:pPr>
              <w:jc w:val="right"/>
              <w:ind w:right="17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25"/>
        </w:trPr>
        <w:tc>
          <w:tcPr>
            <w:tcW w:w="4600" w:type="dxa"/>
            <w:vAlign w:val="bottom"/>
          </w:tcPr>
          <w:p>
            <w:pPr>
              <w:spacing w:after="0"/>
              <w:rPr>
                <w:sz w:val="2"/>
                <w:szCs w:val="2"/>
                <w:color w:val="auto"/>
              </w:rPr>
            </w:pPr>
          </w:p>
        </w:tc>
        <w:tc>
          <w:tcPr>
            <w:tcW w:w="1280" w:type="dxa"/>
            <w:vAlign w:val="bottom"/>
            <w:vMerge w:val="restart"/>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6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8"/>
              </w:rPr>
              <w:t>(Unaudited,</w:t>
            </w:r>
          </w:p>
        </w:tc>
        <w:tc>
          <w:tcPr>
            <w:tcW w:w="160" w:type="dxa"/>
            <w:vAlign w:val="bottom"/>
            <w:vMerge w:val="continue"/>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1"/>
                <w:szCs w:val="11"/>
                <w:color w:val="auto"/>
              </w:rPr>
            </w:pPr>
          </w:p>
        </w:tc>
        <w:tc>
          <w:tcPr>
            <w:tcW w:w="174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 in thousands)</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$ 43,013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$ 16,274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$ 164,213</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$ 129,438</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Less: investment interest and other</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income tax expense</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48,878</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38,637</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Plus: amortization of intangible assets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depreciation and amortization</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25,804</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23,323</w:t>
            </w:r>
          </w:p>
        </w:tc>
        <w:tc>
          <w:tcPr>
            <w:tcW w:w="0" w:type="dxa"/>
            <w:vAlign w:val="bottom"/>
          </w:tcPr>
          <w:p>
            <w:pPr>
              <w:spacing w:after="0"/>
              <w:rPr>
                <w:sz w:val="1"/>
                <w:szCs w:val="1"/>
                <w:color w:val="auto"/>
              </w:rPr>
            </w:pPr>
          </w:p>
        </w:tc>
      </w:tr>
      <w:tr>
        <w:trPr>
          <w:trHeight w:val="209"/>
        </w:trPr>
        <w:tc>
          <w:tcPr>
            <w:tcW w:w="4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EBITDA</w:t>
            </w:r>
          </w:p>
        </w:tc>
        <w:tc>
          <w:tcPr>
            <w:tcW w:w="12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62,347</w:t>
            </w:r>
          </w:p>
        </w:tc>
        <w:tc>
          <w:tcPr>
            <w:tcW w:w="1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28,187</w:t>
            </w:r>
          </w:p>
        </w:tc>
        <w:tc>
          <w:tcPr>
            <w:tcW w:w="1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237,198</w:t>
            </w:r>
          </w:p>
        </w:tc>
        <w:tc>
          <w:tcPr>
            <w:tcW w:w="180" w:type="dxa"/>
            <w:vAlign w:val="bottom"/>
            <w:tcBorders>
              <w:bottom w:val="single" w:sz="8" w:color="CCEEFF"/>
            </w:tcBorders>
            <w:gridSpan w:val="2"/>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187,469</w:t>
            </w: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contributions in lieu of state income taxes</w:t>
            </w:r>
          </w:p>
        </w:tc>
        <w:tc>
          <w:tcPr>
            <w:tcW w:w="1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gridSpan w:val="2"/>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Plus: share-based compensation</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10,411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litigation and regulatory costs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Plus: non-recurring costs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lease termination, impairment and other</w:t>
            </w:r>
          </w:p>
        </w:tc>
        <w:tc>
          <w:tcPr>
            <w:tcW w:w="1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Plus: severance costs</w:t>
            </w:r>
          </w:p>
        </w:tc>
        <w:tc>
          <w:tcPr>
            <w:tcW w:w="1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loss on fixed asset disposal</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8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$ 73,467</w:t>
            </w:r>
          </w:p>
        </w:tc>
        <w:tc>
          <w:tcPr>
            <w:tcW w:w="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$ 75,900</w:t>
            </w:r>
          </w:p>
        </w:tc>
        <w:tc>
          <w:tcPr>
            <w:tcW w:w="1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$ 257,548</w:t>
            </w:r>
          </w:p>
        </w:tc>
        <w:tc>
          <w:tcPr>
            <w:tcW w:w="180" w:type="dxa"/>
            <w:vAlign w:val="bottom"/>
            <w:gridSpan w:val="2"/>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$ 245,280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Income and Non-GAAP Diluted Income Per Share</w:t>
      </w:r>
    </w:p>
    <w:p>
      <w:pPr>
        <w:spacing w:after="0" w:line="189"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The Company believes the presentation of non-GAAP net income and non-GAAP diluted income per share information that excludes amortization of intangible assets, non-recurring costs, litigation settlement, lease termination, impairment and other costs, severance costs and loss on disposal of fixed assets allows investors to develop a more meaningful understanding of the Company’s performance over time. Accordingly, for the three and nine months ended September 30, 2026 and 2025, the table below provides reconciliations of these non-GAAP items to GAAP net income and GAAP diluted income per share, respectively:</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68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4060" w:type="dxa"/>
            <w:vAlign w:val="bottom"/>
            <w:gridSpan w:val="5"/>
          </w:tcPr>
          <w:p>
            <w:pPr>
              <w:ind w:left="2460"/>
              <w:spacing w:after="0" w:line="129" w:lineRule="exact"/>
              <w:rPr>
                <w:sz w:val="20"/>
                <w:szCs w:val="20"/>
                <w:color w:val="auto"/>
              </w:rPr>
            </w:pPr>
            <w:r>
              <w:rPr>
                <w:rFonts w:ascii="Times New Roman" w:cs="Times New Roman" w:eastAsia="Times New Roman" w:hAnsi="Times New Roman"/>
                <w:sz w:val="14"/>
                <w:szCs w:val="14"/>
                <w:b w:val="1"/>
                <w:bCs w:val="1"/>
                <w:color w:val="auto"/>
              </w:rPr>
              <w:t>(Unaudited, in thousands</w:t>
            </w:r>
          </w:p>
        </w:tc>
        <w:tc>
          <w:tcPr>
            <w:tcW w:w="136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except per share data)</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43,013</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16,274</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164,213</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Amortization of intangible assets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Non-recurring costs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Litigation settlement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Lease termination, impairment and other</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Severance costs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Loss on disposal of fixed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Income tax effects of adjustments (1)</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Adjusted, Non-GAAP Net income</w:t>
            </w: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45,583</w:t>
            </w: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49,685</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169,959</w:t>
            </w: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3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Diluted income per share</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Amortization of intangible assets (2)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Non-recurring costs (3)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Litigation settlement (4)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Lease termination, impairment and other (5)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Severance costs (6)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Loss on disposal of fixed assets (7)</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9"/>
        </w:trPr>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Adjusted, Non-GAAP Diluted income per share</w:t>
            </w: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spacing w:after="0"/>
              <w:rPr>
                <w:sz w:val="18"/>
                <w:szCs w:val="18"/>
                <w:color w:val="auto"/>
              </w:rPr>
            </w:pPr>
          </w:p>
        </w:tc>
        <w:tc>
          <w:tcPr>
            <w:tcW w:w="3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2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40" w:right="80" w:hanging="323"/>
        <w:spacing w:after="0" w:line="266"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tax effects of adjustments are based on the effective income tax rate applicable to adjusted (non-GAAP) results. The tax effect for the reserve for litigation was 16.49% for both the three and nine months ended September 30, 2025, due to non-deductible components.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21" w:right="1279" w:bottom="1440" w:gutter="0" w:footer="0" w:header="0"/>
        </w:sectPr>
      </w:pPr>
    </w:p>
    <w:bookmarkStart w:id="16" w:name="page17"/>
    <w:bookmarkEnd w:id="16"/>
    <w:p>
      <w:pPr>
        <w:ind w:left="460" w:hanging="323"/>
        <w:spacing w:after="0" w:line="266"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of acquired intangible assets per diluted share is net of an income tax benefit of $0.02 and $0.01 for the three months ended September 30, 2026 and 2025, respectively, and net of an income tax benefit of $0.06 and $0.05 for the nine months ended September 30, 2026 and 2025, respectively.</w:t>
      </w:r>
    </w:p>
    <w:p>
      <w:pPr>
        <w:spacing w:after="0" w:line="67" w:lineRule="exact"/>
        <w:rPr>
          <w:rFonts w:ascii="Times New Roman" w:cs="Times New Roman" w:eastAsia="Times New Roman" w:hAnsi="Times New Roman"/>
          <w:sz w:val="18"/>
          <w:szCs w:val="18"/>
          <w:color w:val="auto"/>
        </w:rPr>
      </w:pPr>
    </w:p>
    <w:p>
      <w:pPr>
        <w:ind w:left="460" w:right="300" w:hanging="323"/>
        <w:spacing w:after="0" w:line="28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non-recurring costs per diluted shares is net of an income tax benefit of $0.01 for both the three and nine months ended September 30, 2026.</w:t>
      </w:r>
    </w:p>
    <w:p>
      <w:pPr>
        <w:spacing w:after="0" w:line="53" w:lineRule="exact"/>
        <w:rPr>
          <w:rFonts w:ascii="Times New Roman" w:cs="Times New Roman" w:eastAsia="Times New Roman" w:hAnsi="Times New Roman"/>
          <w:sz w:val="18"/>
          <w:szCs w:val="18"/>
          <w:color w:val="auto"/>
        </w:rPr>
      </w:pPr>
    </w:p>
    <w:p>
      <w:pPr>
        <w:ind w:left="460" w:right="500" w:hanging="323"/>
        <w:spacing w:after="0" w:line="28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litigation settlement per diluted share is net of an income tax benefit of $0.21 and $0.20 for the three and nine months ended September 30, 2025, respectively.</w:t>
      </w:r>
    </w:p>
    <w:p>
      <w:pPr>
        <w:spacing w:after="0" w:line="53" w:lineRule="exact"/>
        <w:rPr>
          <w:rFonts w:ascii="Times New Roman" w:cs="Times New Roman" w:eastAsia="Times New Roman" w:hAnsi="Times New Roman"/>
          <w:sz w:val="18"/>
          <w:szCs w:val="18"/>
          <w:color w:val="auto"/>
        </w:rPr>
      </w:pPr>
    </w:p>
    <w:p>
      <w:pPr>
        <w:ind w:left="460" w:right="120" w:hanging="323"/>
        <w:spacing w:after="0" w:line="28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termination, impairment and other per diluted share is net of an income tax benefit of $0.02 for both the three and nine months ended September 30, 2025.</w:t>
      </w:r>
    </w:p>
    <w:p>
      <w:pPr>
        <w:spacing w:after="0" w:line="53" w:lineRule="exact"/>
        <w:rPr>
          <w:rFonts w:ascii="Times New Roman" w:cs="Times New Roman" w:eastAsia="Times New Roman" w:hAnsi="Times New Roman"/>
          <w:sz w:val="18"/>
          <w:szCs w:val="18"/>
          <w:color w:val="auto"/>
        </w:rPr>
      </w:pPr>
    </w:p>
    <w:p>
      <w:pPr>
        <w:ind w:left="460" w:right="740" w:hanging="323"/>
        <w:spacing w:after="0" w:line="28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severance costs per diluted share is net of an income tax benefit of nil for the three and nine months ended September 30, 2025, respectively.</w:t>
      </w:r>
    </w:p>
    <w:p>
      <w:pPr>
        <w:spacing w:after="0" w:line="53" w:lineRule="exact"/>
        <w:rPr>
          <w:rFonts w:ascii="Times New Roman" w:cs="Times New Roman" w:eastAsia="Times New Roman" w:hAnsi="Times New Roman"/>
          <w:sz w:val="18"/>
          <w:szCs w:val="18"/>
          <w:color w:val="auto"/>
        </w:rPr>
      </w:pPr>
    </w:p>
    <w:p>
      <w:pPr>
        <w:ind w:left="460" w:right="220" w:hanging="323"/>
        <w:spacing w:after="0" w:line="28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on disposal of fixed assets per diluted share is net of an income tax benefit of nil for both of the three months ended September 30, 2026 and 2025 and nil for both of the nine months ended September 30, 2026 and 2025.</w:t>
      </w:r>
    </w:p>
    <w:p>
      <w:pPr>
        <w:spacing w:after="0" w:line="37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360045</wp:posOffset>
            </wp:positionV>
            <wp:extent cx="59575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sectPr>
      <w:pgSz w:w="11900" w:h="16838" w:orient="portrait"/>
      <w:cols w:equalWidth="0" w:num="1">
        <w:col w:w="9180"/>
      </w:cols>
      <w:pgMar w:left="1440" w:top="121"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2026-11-04T15:20:20Z</dcterms:created>
  <dcterms:modified xsi:type="dcterms:W3CDTF">2026-11-04T15:20:20Z</dcterms:modified>
</cp:coreProperties>
</file>