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656590</wp:posOffset>
            </wp:positionV>
            <wp:extent cx="56648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648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14A</w:t>
      </w:r>
    </w:p>
    <w:p>
      <w:pPr>
        <w:spacing w:after="0" w:line="2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Proxy Statement Pursuant to Section 14(a) of the</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Securities Exchange Act of 1934</w:t>
      </w:r>
    </w:p>
    <w:p>
      <w:pPr>
        <w:spacing w:after="0" w:line="7" w:lineRule="exact"/>
        <w:rPr>
          <w:sz w:val="24"/>
          <w:szCs w:val="24"/>
          <w:color w:val="auto"/>
        </w:rPr>
      </w:pPr>
    </w:p>
    <w:p>
      <w:pPr>
        <w:jc w:val="center"/>
        <w:spacing w:after="0"/>
        <w:tabs>
          <w:tab w:leader="none" w:pos="160" w:val="left"/>
        </w:tabs>
        <w:rPr>
          <w:sz w:val="20"/>
          <w:szCs w:val="20"/>
          <w:color w:val="auto"/>
        </w:rPr>
      </w:pPr>
      <w:r>
        <w:rPr>
          <w:rFonts w:ascii="Times New Roman" w:cs="Times New Roman" w:eastAsia="Times New Roman" w:hAnsi="Times New Roman"/>
          <w:sz w:val="17"/>
          <w:szCs w:val="17"/>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132715</wp:posOffset>
            </wp:positionV>
            <wp:extent cx="56648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64835" cy="8255"/>
                    </a:xfrm>
                    <a:prstGeom prst="rect">
                      <a:avLst/>
                    </a:prstGeom>
                    <a:noFill/>
                  </pic:spPr>
                </pic:pic>
              </a:graphicData>
            </a:graphic>
          </wp:anchor>
        </w:drawing>
      </w:r>
    </w:p>
    <w:p>
      <w:pPr>
        <w:spacing w:after="0" w:line="375" w:lineRule="exact"/>
        <w:rPr>
          <w:sz w:val="24"/>
          <w:szCs w:val="24"/>
          <w:color w:val="auto"/>
        </w:rPr>
      </w:pPr>
    </w:p>
    <w:p>
      <w:pPr>
        <w:ind w:left="40"/>
        <w:spacing w:after="0" w:line="228" w:lineRule="exact"/>
        <w:rPr>
          <w:sz w:val="20"/>
          <w:szCs w:val="20"/>
          <w:color w:val="auto"/>
        </w:rPr>
      </w:pPr>
      <w:r>
        <w:rPr>
          <w:rFonts w:ascii="Times New Roman" w:cs="Times New Roman" w:eastAsia="Times New Roman" w:hAnsi="Times New Roman"/>
          <w:sz w:val="17"/>
          <w:szCs w:val="17"/>
          <w:color w:val="auto"/>
        </w:rPr>
        <w:t xml:space="preserve">Filed by the Registrant </w:t>
      </w:r>
      <w:r>
        <w:rPr>
          <w:rFonts w:ascii="Arial Unicode MS" w:cs="Arial Unicode MS" w:eastAsia="Arial Unicode MS" w:hAnsi="Arial Unicode MS"/>
          <w:sz w:val="17"/>
          <w:szCs w:val="17"/>
          <w:color w:val="auto"/>
        </w:rPr>
        <w:t>⌧</w:t>
      </w:r>
    </w:p>
    <w:p>
      <w:pPr>
        <w:spacing w:after="0" w:line="88" w:lineRule="exact"/>
        <w:rPr>
          <w:sz w:val="24"/>
          <w:szCs w:val="24"/>
          <w:color w:val="auto"/>
        </w:rPr>
      </w:pPr>
    </w:p>
    <w:p>
      <w:pPr>
        <w:ind w:left="40"/>
        <w:spacing w:after="0" w:line="228" w:lineRule="exact"/>
        <w:rPr>
          <w:sz w:val="20"/>
          <w:szCs w:val="20"/>
          <w:color w:val="auto"/>
        </w:rPr>
      </w:pPr>
      <w:r>
        <w:rPr>
          <w:rFonts w:ascii="Times New Roman" w:cs="Times New Roman" w:eastAsia="Times New Roman" w:hAnsi="Times New Roman"/>
          <w:sz w:val="17"/>
          <w:szCs w:val="17"/>
          <w:color w:val="auto"/>
        </w:rPr>
        <w:t xml:space="preserve">Filed by a Party other than the Registrant </w:t>
      </w:r>
      <w:r>
        <w:rPr>
          <w:rFonts w:ascii="Arial Unicode MS" w:cs="Arial Unicode MS" w:eastAsia="Arial Unicode MS" w:hAnsi="Arial Unicode MS"/>
          <w:sz w:val="17"/>
          <w:szCs w:val="17"/>
          <w:color w:val="auto"/>
        </w:rPr>
        <w:t>☐</w:t>
      </w:r>
    </w:p>
    <w:p>
      <w:pPr>
        <w:spacing w:after="0" w:line="1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7"/>
          <w:szCs w:val="17"/>
          <w:color w:val="auto"/>
        </w:rPr>
        <w:t>Check the appropriate box:</w:t>
      </w:r>
    </w:p>
    <w:p>
      <w:pPr>
        <w:spacing w:after="0" w:line="10" w:lineRule="exact"/>
        <w:rPr>
          <w:sz w:val="24"/>
          <w:szCs w:val="24"/>
          <w:color w:val="auto"/>
        </w:rPr>
      </w:pPr>
    </w:p>
    <w:p>
      <w:pPr>
        <w:ind w:left="480" w:hanging="435"/>
        <w:spacing w:after="0"/>
        <w:tabs>
          <w:tab w:leader="none" w:pos="480" w:val="left"/>
        </w:tabs>
        <w:numPr>
          <w:ilvl w:val="0"/>
          <w:numId w:val="1"/>
        </w:numPr>
        <w:rPr>
          <w:rFonts w:ascii="Arial" w:cs="Arial" w:eastAsia="Arial" w:hAnsi="Arial"/>
          <w:sz w:val="17"/>
          <w:szCs w:val="17"/>
          <w:color w:val="auto"/>
        </w:rPr>
      </w:pPr>
      <w:r>
        <w:rPr>
          <w:rFonts w:ascii="Times New Roman" w:cs="Times New Roman" w:eastAsia="Times New Roman" w:hAnsi="Times New Roman"/>
          <w:sz w:val="17"/>
          <w:szCs w:val="17"/>
          <w:color w:val="auto"/>
        </w:rPr>
        <w:t>Preliminary Proxy Statement</w:t>
      </w:r>
    </w:p>
    <w:p>
      <w:pPr>
        <w:spacing w:after="0" w:line="14" w:lineRule="exact"/>
        <w:rPr>
          <w:rFonts w:ascii="Arial" w:cs="Arial" w:eastAsia="Arial" w:hAnsi="Arial"/>
          <w:sz w:val="17"/>
          <w:szCs w:val="17"/>
          <w:color w:val="auto"/>
        </w:rPr>
      </w:pPr>
    </w:p>
    <w:p>
      <w:pPr>
        <w:ind w:left="480" w:hanging="435"/>
        <w:spacing w:after="0" w:line="210" w:lineRule="auto"/>
        <w:tabs>
          <w:tab w:leader="none" w:pos="480" w:val="left"/>
        </w:tabs>
        <w:numPr>
          <w:ilvl w:val="0"/>
          <w:numId w:val="1"/>
        </w:numPr>
        <w:rPr>
          <w:rFonts w:ascii="Arial" w:cs="Arial" w:eastAsia="Arial" w:hAnsi="Arial"/>
          <w:sz w:val="17"/>
          <w:szCs w:val="17"/>
          <w:color w:val="auto"/>
        </w:rPr>
      </w:pPr>
      <w:r>
        <w:rPr>
          <w:rFonts w:ascii="Times New Roman" w:cs="Times New Roman" w:eastAsia="Times New Roman" w:hAnsi="Times New Roman"/>
          <w:sz w:val="17"/>
          <w:szCs w:val="17"/>
          <w:b w:val="1"/>
          <w:bCs w:val="1"/>
          <w:color w:val="auto"/>
        </w:rPr>
        <w:t>Confidential, For Use of the Commission Only (as permitted by Rule 14a-6(e)(2))</w:t>
      </w:r>
    </w:p>
    <w:p>
      <w:pPr>
        <w:spacing w:after="0" w:line="15" w:lineRule="exact"/>
        <w:rPr>
          <w:rFonts w:ascii="Arial" w:cs="Arial" w:eastAsia="Arial" w:hAnsi="Arial"/>
          <w:sz w:val="17"/>
          <w:szCs w:val="17"/>
          <w:color w:val="auto"/>
        </w:rPr>
      </w:pPr>
    </w:p>
    <w:p>
      <w:pPr>
        <w:ind w:left="40"/>
        <w:spacing w:after="0" w:line="215" w:lineRule="exact"/>
        <w:rPr>
          <w:rFonts w:ascii="Arial" w:cs="Arial" w:eastAsia="Arial" w:hAnsi="Arial"/>
          <w:sz w:val="17"/>
          <w:szCs w:val="17"/>
          <w:color w:val="auto"/>
        </w:rPr>
      </w:pPr>
      <w:r>
        <w:rPr>
          <w:rFonts w:ascii="Arial Unicode MS" w:cs="Arial Unicode MS" w:eastAsia="Arial Unicode MS" w:hAnsi="Arial Unicode MS"/>
          <w:sz w:val="17"/>
          <w:szCs w:val="17"/>
          <w:color w:val="auto"/>
        </w:rPr>
        <w:t>⌧</w:t>
      </w:r>
      <w:r>
        <w:rPr>
          <w:rFonts w:ascii="Times New Roman" w:cs="Times New Roman" w:eastAsia="Times New Roman" w:hAnsi="Times New Roman"/>
          <w:sz w:val="17"/>
          <w:szCs w:val="17"/>
          <w:color w:val="auto"/>
        </w:rPr>
        <w:t xml:space="preserve">  Definitive Proxy Statement</w:t>
      </w:r>
    </w:p>
    <w:p>
      <w:pPr>
        <w:ind w:left="480" w:hanging="435"/>
        <w:spacing w:after="0" w:line="210" w:lineRule="auto"/>
        <w:tabs>
          <w:tab w:leader="none" w:pos="480" w:val="left"/>
        </w:tabs>
        <w:numPr>
          <w:ilvl w:val="0"/>
          <w:numId w:val="1"/>
        </w:numPr>
        <w:rPr>
          <w:rFonts w:ascii="Arial" w:cs="Arial" w:eastAsia="Arial" w:hAnsi="Arial"/>
          <w:sz w:val="17"/>
          <w:szCs w:val="17"/>
          <w:color w:val="auto"/>
        </w:rPr>
      </w:pPr>
      <w:r>
        <w:rPr>
          <w:rFonts w:ascii="Times New Roman" w:cs="Times New Roman" w:eastAsia="Times New Roman" w:hAnsi="Times New Roman"/>
          <w:sz w:val="17"/>
          <w:szCs w:val="17"/>
          <w:color w:val="auto"/>
        </w:rPr>
        <w:t>Definitive Additional Materials</w:t>
      </w:r>
    </w:p>
    <w:p>
      <w:pPr>
        <w:spacing w:after="0" w:line="15" w:lineRule="exact"/>
        <w:rPr>
          <w:rFonts w:ascii="Arial" w:cs="Arial" w:eastAsia="Arial" w:hAnsi="Arial"/>
          <w:sz w:val="17"/>
          <w:szCs w:val="17"/>
          <w:color w:val="auto"/>
        </w:rPr>
      </w:pPr>
    </w:p>
    <w:p>
      <w:pPr>
        <w:ind w:left="480" w:hanging="435"/>
        <w:spacing w:after="0" w:line="210" w:lineRule="auto"/>
        <w:tabs>
          <w:tab w:leader="none" w:pos="480" w:val="left"/>
        </w:tabs>
        <w:numPr>
          <w:ilvl w:val="0"/>
          <w:numId w:val="1"/>
        </w:numPr>
        <w:rPr>
          <w:rFonts w:ascii="Arial" w:cs="Arial" w:eastAsia="Arial" w:hAnsi="Arial"/>
          <w:sz w:val="17"/>
          <w:szCs w:val="17"/>
          <w:color w:val="auto"/>
        </w:rPr>
      </w:pPr>
      <w:r>
        <w:rPr>
          <w:rFonts w:ascii="Times New Roman" w:cs="Times New Roman" w:eastAsia="Times New Roman" w:hAnsi="Times New Roman"/>
          <w:sz w:val="17"/>
          <w:szCs w:val="17"/>
          <w:color w:val="auto"/>
        </w:rPr>
        <w:t>Soliciting Material Pursuant to §240.14a-12</w:t>
      </w:r>
    </w:p>
    <w:p>
      <w:pPr>
        <w:spacing w:after="0" w:line="2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Grand Canyon Education,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20955</wp:posOffset>
            </wp:positionV>
            <wp:extent cx="56565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6580" cy="825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(Name of Registrant as Specified in Its Charter)</w:t>
      </w:r>
    </w:p>
    <w:p>
      <w:pPr>
        <w:spacing w:after="0" w:line="261" w:lineRule="exact"/>
        <w:rPr>
          <w:sz w:val="24"/>
          <w:szCs w:val="24"/>
          <w:color w:val="auto"/>
        </w:rPr>
      </w:pPr>
    </w:p>
    <w:p>
      <w:pPr>
        <w:ind w:left="1860"/>
        <w:spacing w:after="0"/>
        <w:rPr>
          <w:sz w:val="20"/>
          <w:szCs w:val="20"/>
          <w:color w:val="auto"/>
        </w:rPr>
      </w:pPr>
      <w:r>
        <w:rPr>
          <w:rFonts w:ascii="Times New Roman" w:cs="Times New Roman" w:eastAsia="Times New Roman" w:hAnsi="Times New Roman"/>
          <w:sz w:val="17"/>
          <w:szCs w:val="17"/>
          <w:b w:val="1"/>
          <w:bCs w:val="1"/>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-118745</wp:posOffset>
            </wp:positionV>
            <wp:extent cx="56565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6580" cy="8255"/>
                    </a:xfrm>
                    <a:prstGeom prst="rect">
                      <a:avLst/>
                    </a:prstGeom>
                    <a:noFill/>
                  </pic:spPr>
                </pic:pic>
              </a:graphicData>
            </a:graphic>
          </wp:anchor>
        </w:drawing>
      </w:r>
    </w:p>
    <w:p>
      <w:pPr>
        <w:spacing w:after="0" w:line="11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7"/>
          <w:szCs w:val="17"/>
          <w:color w:val="auto"/>
        </w:rPr>
        <w:t>Payment of Filing Fee (Check the appropriate box):</w:t>
      </w:r>
    </w:p>
    <w:p>
      <w:pPr>
        <w:ind w:left="480" w:hanging="435"/>
        <w:spacing w:after="0" w:line="236" w:lineRule="auto"/>
        <w:tabs>
          <w:tab w:leader="none" w:pos="480" w:val="left"/>
        </w:tabs>
        <w:numPr>
          <w:ilvl w:val="0"/>
          <w:numId w:val="2"/>
        </w:numPr>
        <w:rPr>
          <w:rFonts w:ascii="Arial" w:cs="Arial" w:eastAsia="Arial" w:hAnsi="Arial"/>
          <w:sz w:val="17"/>
          <w:szCs w:val="17"/>
          <w:color w:val="auto"/>
        </w:rPr>
      </w:pPr>
      <w:r>
        <w:rPr>
          <w:rFonts w:ascii="Times New Roman" w:cs="Times New Roman" w:eastAsia="Times New Roman" w:hAnsi="Times New Roman"/>
          <w:sz w:val="17"/>
          <w:szCs w:val="17"/>
          <w:color w:val="auto"/>
        </w:rPr>
        <w:t>No fee required.</w:t>
      </w:r>
    </w:p>
    <w:p>
      <w:pPr>
        <w:spacing w:after="0" w:line="228" w:lineRule="exact"/>
        <w:rPr>
          <w:sz w:val="24"/>
          <w:szCs w:val="24"/>
          <w:color w:val="auto"/>
        </w:rPr>
      </w:pPr>
    </w:p>
    <w:p>
      <w:pPr>
        <w:ind w:left="480" w:hanging="435"/>
        <w:spacing w:after="0"/>
        <w:tabs>
          <w:tab w:leader="none" w:pos="480" w:val="left"/>
        </w:tabs>
        <w:numPr>
          <w:ilvl w:val="0"/>
          <w:numId w:val="3"/>
        </w:numPr>
        <w:rPr>
          <w:rFonts w:ascii="Arial" w:cs="Arial" w:eastAsia="Arial" w:hAnsi="Arial"/>
          <w:sz w:val="17"/>
          <w:szCs w:val="17"/>
          <w:color w:val="auto"/>
        </w:rPr>
      </w:pPr>
      <w:r>
        <w:rPr>
          <w:rFonts w:ascii="Times New Roman" w:cs="Times New Roman" w:eastAsia="Times New Roman" w:hAnsi="Times New Roman"/>
          <w:sz w:val="17"/>
          <w:szCs w:val="17"/>
          <w:color w:val="auto"/>
        </w:rPr>
        <w:t>Fee paid previously with preliminary material.</w:t>
      </w:r>
    </w:p>
    <w:p>
      <w:pPr>
        <w:spacing w:after="0" w:line="110" w:lineRule="exact"/>
        <w:rPr>
          <w:rFonts w:ascii="Arial" w:cs="Arial" w:eastAsia="Arial" w:hAnsi="Arial"/>
          <w:sz w:val="17"/>
          <w:szCs w:val="17"/>
          <w:color w:val="auto"/>
        </w:rPr>
      </w:pPr>
    </w:p>
    <w:p>
      <w:pPr>
        <w:ind w:left="480" w:hanging="435"/>
        <w:spacing w:after="0"/>
        <w:tabs>
          <w:tab w:leader="none" w:pos="480" w:val="left"/>
        </w:tabs>
        <w:numPr>
          <w:ilvl w:val="0"/>
          <w:numId w:val="3"/>
        </w:numPr>
        <w:rPr>
          <w:rFonts w:ascii="Arial" w:cs="Arial" w:eastAsia="Arial" w:hAnsi="Arial"/>
          <w:sz w:val="16"/>
          <w:szCs w:val="16"/>
          <w:color w:val="auto"/>
        </w:rPr>
      </w:pPr>
      <w:r>
        <w:rPr>
          <w:rFonts w:ascii="Times New Roman" w:cs="Times New Roman" w:eastAsia="Times New Roman" w:hAnsi="Times New Roman"/>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588645</wp:posOffset>
            </wp:positionV>
            <wp:extent cx="5664835" cy="15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64835" cy="15875"/>
                    </a:xfrm>
                    <a:prstGeom prst="rect">
                      <a:avLst/>
                    </a:prstGeom>
                    <a:noFill/>
                  </pic:spPr>
                </pic:pic>
              </a:graphicData>
            </a:graphic>
          </wp:anchor>
        </w:drawing>
        <w:drawing>
          <wp:anchor simplePos="0" relativeHeight="251657728" behindDoc="1" locked="0" layoutInCell="0" allowOverlap="1">
            <wp:simplePos x="0" y="0"/>
            <wp:positionH relativeFrom="column">
              <wp:posOffset>27940</wp:posOffset>
            </wp:positionH>
            <wp:positionV relativeFrom="paragraph">
              <wp:posOffset>235585</wp:posOffset>
            </wp:positionV>
            <wp:extent cx="56648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64835" cy="8255"/>
                    </a:xfrm>
                    <a:prstGeom prst="rect">
                      <a:avLst/>
                    </a:prstGeom>
                    <a:noFill/>
                  </pic:spPr>
                </pic:pic>
              </a:graphicData>
            </a:graphic>
          </wp:anchor>
        </w:drawing>
      </w:r>
    </w:p>
    <w:p>
      <w:pPr>
        <w:sectPr>
          <w:pgSz w:w="11900" w:h="16838" w:orient="portrait"/>
          <w:cols w:equalWidth="0" w:num="1">
            <w:col w:w="9019"/>
          </w:cols>
          <w:pgMar w:left="1440" w:top="628" w:right="1440"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648335</wp:posOffset>
            </wp:positionV>
            <wp:extent cx="5191125" cy="786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91125" cy="786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2600 W. Camelback Road</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Phoenix, Arizona 85017</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(602) 247-4400</w:t>
      </w:r>
    </w:p>
    <w:p>
      <w:pPr>
        <w:spacing w:after="0" w:line="92"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7"/>
          <w:szCs w:val="17"/>
          <w:color w:val="auto"/>
        </w:rPr>
        <w:t>April 24, 2025</w:t>
      </w:r>
    </w:p>
    <w:p>
      <w:pPr>
        <w:spacing w:after="0" w:line="1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Dear Stockholder:</w:t>
      </w:r>
    </w:p>
    <w:p>
      <w:pPr>
        <w:spacing w:after="0" w:line="209" w:lineRule="exact"/>
        <w:rPr>
          <w:sz w:val="20"/>
          <w:szCs w:val="20"/>
          <w:color w:val="auto"/>
        </w:rPr>
      </w:pPr>
    </w:p>
    <w:p>
      <w:pPr>
        <w:ind w:left="40" w:right="99" w:firstLine="606"/>
        <w:spacing w:after="0" w:line="262" w:lineRule="auto"/>
        <w:rPr>
          <w:sz w:val="20"/>
          <w:szCs w:val="20"/>
          <w:color w:val="auto"/>
        </w:rPr>
      </w:pPr>
      <w:r>
        <w:rPr>
          <w:rFonts w:ascii="Times New Roman" w:cs="Times New Roman" w:eastAsia="Times New Roman" w:hAnsi="Times New Roman"/>
          <w:sz w:val="17"/>
          <w:szCs w:val="17"/>
          <w:color w:val="auto"/>
        </w:rPr>
        <w:t>You are cordially invited to attend the 2025 Annual Meeting of Stockholders (the “Annual Meeting”) of Grand Canyon Education, Inc. (the “Company” or “GCE”) to be held at the offices of GCE located at 2600 W. Camelback Road, Phoenix, Arizona 85017, commencing at 10:30 a.m., Arizona time, on Tuesday, June 10, 2025.</w:t>
      </w:r>
    </w:p>
    <w:p>
      <w:pPr>
        <w:spacing w:after="0" w:line="67" w:lineRule="exact"/>
        <w:rPr>
          <w:sz w:val="20"/>
          <w:szCs w:val="20"/>
          <w:color w:val="auto"/>
        </w:rPr>
      </w:pPr>
    </w:p>
    <w:p>
      <w:pPr>
        <w:jc w:val="both"/>
        <w:ind w:left="40" w:right="99" w:firstLine="606"/>
        <w:spacing w:after="0" w:line="278" w:lineRule="auto"/>
        <w:rPr>
          <w:sz w:val="20"/>
          <w:szCs w:val="20"/>
          <w:color w:val="auto"/>
        </w:rPr>
      </w:pPr>
      <w:r>
        <w:rPr>
          <w:rFonts w:ascii="Times New Roman" w:cs="Times New Roman" w:eastAsia="Times New Roman" w:hAnsi="Times New Roman"/>
          <w:sz w:val="16"/>
          <w:szCs w:val="16"/>
          <w:color w:val="auto"/>
        </w:rPr>
        <w:t>The notice of annual meeting and the proxy statement that follow describe the matters to come before the Annual Meeting. Each holder of record of shares of the Company’s common stock (Nasdaq GM: LOPE) at the close of business on April 16, 2025 is entitled to receive notice of and to vote at the Annual Meeting, and any adjournment or postponement of the Annual Meeting. Shares of our common stock can be voted at the Annual Meeting only if the holder is present in person or by valid proxy.</w:t>
      </w:r>
    </w:p>
    <w:p>
      <w:pPr>
        <w:spacing w:after="0" w:line="158" w:lineRule="exact"/>
        <w:rPr>
          <w:sz w:val="20"/>
          <w:szCs w:val="20"/>
          <w:color w:val="auto"/>
        </w:rPr>
      </w:pPr>
    </w:p>
    <w:p>
      <w:pPr>
        <w:ind w:left="40" w:right="79" w:firstLine="606"/>
        <w:spacing w:after="0" w:line="253" w:lineRule="auto"/>
        <w:rPr>
          <w:sz w:val="20"/>
          <w:szCs w:val="20"/>
          <w:color w:val="auto"/>
        </w:rPr>
      </w:pPr>
      <w:r>
        <w:rPr>
          <w:rFonts w:ascii="Times New Roman" w:cs="Times New Roman" w:eastAsia="Times New Roman" w:hAnsi="Times New Roman"/>
          <w:sz w:val="17"/>
          <w:szCs w:val="17"/>
          <w:color w:val="auto"/>
        </w:rPr>
        <w:t>Our Annual Meeting materials are available over the Internet. We believe that this delivery process expedites stockholders’ receipt of proxy materials as well as lowers the costs and reduces the environmental impact of our Annual Meeting. All stockholders as of the record date were mailed a Notice of Internet Availability (the “Notice”) with instructions on how to access our Annual Meeting materials online and how to request a paper copy of the materials by mail. The Notice also includes instructions on how to vote online or by telephone. Internet voting must be completed before midnight, Arizona time, prior to the meeting.</w:t>
      </w:r>
    </w:p>
    <w:p>
      <w:pPr>
        <w:spacing w:after="0" w:line="1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Sincerely,</w:t>
      </w: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Brian E. Mueller</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Chief Executive Officer and Chairman</w:t>
      </w:r>
    </w:p>
    <w:p>
      <w:pPr>
        <w:spacing w:after="0" w:line="1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This proxy statement is dated April 24, 2025 and is first being sent or made available to stockholders on or about April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466725</wp:posOffset>
            </wp:positionV>
            <wp:extent cx="5664835" cy="15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64835" cy="1587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Notice of Annual Meeting of Stockholders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to be held on June 10,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1447800</wp:posOffset>
            </wp:positionH>
            <wp:positionV relativeFrom="paragraph">
              <wp:posOffset>68580</wp:posOffset>
            </wp:positionV>
            <wp:extent cx="2824480" cy="15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24480" cy="15875"/>
                    </a:xfrm>
                    <a:prstGeom prst="rect">
                      <a:avLst/>
                    </a:prstGeom>
                    <a:noFill/>
                  </pic:spPr>
                </pic:pic>
              </a:graphicData>
            </a:graphic>
          </wp:anchor>
        </w:drawing>
      </w:r>
    </w:p>
    <w:p>
      <w:pPr>
        <w:spacing w:after="0" w:line="371" w:lineRule="exact"/>
        <w:rPr>
          <w:sz w:val="20"/>
          <w:szCs w:val="20"/>
          <w:color w:val="auto"/>
        </w:rPr>
      </w:pPr>
    </w:p>
    <w:p>
      <w:pPr>
        <w:ind w:left="40"/>
        <w:spacing w:after="0"/>
        <w:tabs>
          <w:tab w:leader="none" w:pos="1720" w:val="left"/>
        </w:tabs>
        <w:rPr>
          <w:sz w:val="20"/>
          <w:szCs w:val="20"/>
          <w:color w:val="auto"/>
        </w:rPr>
      </w:pPr>
      <w:r>
        <w:rPr>
          <w:rFonts w:ascii="Times New Roman" w:cs="Times New Roman" w:eastAsia="Times New Roman" w:hAnsi="Times New Roman"/>
          <w:sz w:val="17"/>
          <w:szCs w:val="17"/>
          <w:b w:val="1"/>
          <w:bCs w:val="1"/>
          <w:color w:val="auto"/>
        </w:rPr>
        <w:t>Date and Time:</w:t>
      </w:r>
      <w:r>
        <w:rPr>
          <w:sz w:val="20"/>
          <w:szCs w:val="20"/>
          <w:color w:val="auto"/>
        </w:rPr>
        <w:tab/>
      </w:r>
      <w:r>
        <w:rPr>
          <w:rFonts w:ascii="Times New Roman" w:cs="Times New Roman" w:eastAsia="Times New Roman" w:hAnsi="Times New Roman"/>
          <w:sz w:val="16"/>
          <w:szCs w:val="16"/>
          <w:color w:val="auto"/>
        </w:rPr>
        <w:t>Tuesday, June 10, 2025, at 10:30 a.m., Arizona time</w:t>
      </w:r>
    </w:p>
    <w:p>
      <w:pPr>
        <w:spacing w:after="0" w:line="209" w:lineRule="exact"/>
        <w:rPr>
          <w:sz w:val="20"/>
          <w:szCs w:val="20"/>
          <w:color w:val="auto"/>
        </w:rPr>
      </w:pPr>
    </w:p>
    <w:p>
      <w:pPr>
        <w:ind w:left="40"/>
        <w:spacing w:after="0"/>
        <w:tabs>
          <w:tab w:leader="none" w:pos="1720" w:val="left"/>
        </w:tabs>
        <w:rPr>
          <w:sz w:val="20"/>
          <w:szCs w:val="20"/>
          <w:color w:val="auto"/>
        </w:rPr>
      </w:pPr>
      <w:r>
        <w:rPr>
          <w:rFonts w:ascii="Times New Roman" w:cs="Times New Roman" w:eastAsia="Times New Roman" w:hAnsi="Times New Roman"/>
          <w:sz w:val="17"/>
          <w:szCs w:val="17"/>
          <w:b w:val="1"/>
          <w:bCs w:val="1"/>
          <w:color w:val="auto"/>
        </w:rPr>
        <w:t>Place:</w:t>
      </w:r>
      <w:r>
        <w:rPr>
          <w:sz w:val="20"/>
          <w:szCs w:val="20"/>
          <w:color w:val="auto"/>
        </w:rPr>
        <w:tab/>
      </w:r>
      <w:r>
        <w:rPr>
          <w:rFonts w:ascii="Times New Roman" w:cs="Times New Roman" w:eastAsia="Times New Roman" w:hAnsi="Times New Roman"/>
          <w:sz w:val="17"/>
          <w:szCs w:val="17"/>
          <w:color w:val="auto"/>
        </w:rPr>
        <w:t>Grand Canyon Education, Inc. at 2600 W. Camelback Road, Phoenix, Arizona 85017.</w:t>
      </w:r>
    </w:p>
    <w:p>
      <w:pPr>
        <w:spacing w:after="0" w:line="209" w:lineRule="exact"/>
        <w:rPr>
          <w:sz w:val="20"/>
          <w:szCs w:val="20"/>
          <w:color w:val="auto"/>
        </w:rPr>
      </w:pPr>
    </w:p>
    <w:p>
      <w:pPr>
        <w:ind w:left="1740" w:right="399" w:hanging="1680"/>
        <w:spacing w:after="0" w:line="308" w:lineRule="auto"/>
        <w:tabs>
          <w:tab w:leader="none" w:pos="1720" w:val="left"/>
        </w:tabs>
        <w:rPr>
          <w:sz w:val="20"/>
          <w:szCs w:val="20"/>
          <w:color w:val="auto"/>
        </w:rPr>
      </w:pPr>
      <w:r>
        <w:rPr>
          <w:rFonts w:ascii="Times New Roman" w:cs="Times New Roman" w:eastAsia="Times New Roman" w:hAnsi="Times New Roman"/>
          <w:sz w:val="17"/>
          <w:szCs w:val="17"/>
          <w:b w:val="1"/>
          <w:bCs w:val="1"/>
          <w:color w:val="auto"/>
        </w:rPr>
        <w:t>Items of Business:</w:t>
      </w:r>
      <w:r>
        <w:rPr>
          <w:sz w:val="20"/>
          <w:szCs w:val="20"/>
          <w:color w:val="auto"/>
        </w:rPr>
        <w:tab/>
      </w:r>
      <w:r>
        <w:rPr>
          <w:rFonts w:ascii="Times New Roman" w:cs="Times New Roman" w:eastAsia="Times New Roman" w:hAnsi="Times New Roman"/>
          <w:sz w:val="16"/>
          <w:szCs w:val="16"/>
          <w:color w:val="auto"/>
        </w:rPr>
        <w:t>At the Annual Meeting, holders of our common stock will be asked to consider and vote upon the following proposals, all of which are discussed in greater detail in the accompanying proxy statement:</w:t>
      </w:r>
    </w:p>
    <w:p>
      <w:pPr>
        <w:spacing w:after="0" w:line="138" w:lineRule="exact"/>
        <w:rPr>
          <w:sz w:val="20"/>
          <w:szCs w:val="20"/>
          <w:color w:val="auto"/>
        </w:rPr>
      </w:pPr>
    </w:p>
    <w:p>
      <w:pPr>
        <w:ind w:left="2220" w:right="439" w:hanging="308"/>
        <w:spacing w:after="0" w:line="254" w:lineRule="auto"/>
        <w:tabs>
          <w:tab w:leader="none" w:pos="220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elect a Board of Directors of six directors, each to serve until the 2026 annual meeting of stockholders or until his or her successor has been duly elected and qualified or until his or her earlier resignation or removal;</w:t>
      </w:r>
    </w:p>
    <w:p>
      <w:pPr>
        <w:spacing w:after="0" w:line="1" w:lineRule="exact"/>
        <w:rPr>
          <w:rFonts w:ascii="Times New Roman" w:cs="Times New Roman" w:eastAsia="Times New Roman" w:hAnsi="Times New Roman"/>
          <w:sz w:val="17"/>
          <w:szCs w:val="17"/>
          <w:color w:val="auto"/>
        </w:rPr>
      </w:pPr>
    </w:p>
    <w:p>
      <w:pPr>
        <w:ind w:left="2220" w:right="119" w:hanging="308"/>
        <w:spacing w:after="0" w:line="248" w:lineRule="auto"/>
        <w:tabs>
          <w:tab w:leader="none" w:pos="220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on an advisory basis, the compensation of our named executive officers as disclosed in the enclosed Proxy Statement;</w:t>
      </w:r>
    </w:p>
    <w:p>
      <w:pPr>
        <w:ind w:left="2220" w:right="219" w:hanging="308"/>
        <w:spacing w:after="0" w:line="248" w:lineRule="auto"/>
        <w:tabs>
          <w:tab w:leader="none" w:pos="220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ratify the appointment of KPMG LLP as our independent registered public accounting firm for the fiscal year ending December 31, 2025; and</w:t>
      </w:r>
    </w:p>
    <w:p>
      <w:pPr>
        <w:ind w:left="2220" w:right="99" w:hanging="308"/>
        <w:spacing w:after="0" w:line="256" w:lineRule="auto"/>
        <w:tabs>
          <w:tab w:leader="none" w:pos="220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transact such other business as may properly be brought before the meeting or any adjournments or postponements thereof.</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14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Record Date:</w:t>
            </w:r>
          </w:p>
        </w:tc>
        <w:tc>
          <w:tcPr>
            <w:tcW w:w="74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Only stockholders of record at the close of business on April 16, 2025, the record date for the Annual</w:t>
            </w:r>
          </w:p>
        </w:tc>
      </w:tr>
      <w:tr>
        <w:trPr>
          <w:trHeight w:val="202"/>
        </w:trPr>
        <w:tc>
          <w:tcPr>
            <w:tcW w:w="1480" w:type="dxa"/>
            <w:vAlign w:val="bottom"/>
          </w:tcPr>
          <w:p>
            <w:pPr>
              <w:spacing w:after="0"/>
              <w:rPr>
                <w:sz w:val="17"/>
                <w:szCs w:val="17"/>
                <w:color w:val="auto"/>
              </w:rPr>
            </w:pPr>
          </w:p>
        </w:tc>
        <w:tc>
          <w:tcPr>
            <w:tcW w:w="74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Meeting, will be entitled to notice of and to vote at the Annual Meeting and any adjournments or</w:t>
            </w:r>
          </w:p>
        </w:tc>
      </w:tr>
      <w:tr>
        <w:trPr>
          <w:trHeight w:val="218"/>
        </w:trPr>
        <w:tc>
          <w:tcPr>
            <w:tcW w:w="1480" w:type="dxa"/>
            <w:vAlign w:val="bottom"/>
          </w:tcPr>
          <w:p>
            <w:pPr>
              <w:spacing w:after="0"/>
              <w:rPr>
                <w:sz w:val="18"/>
                <w:szCs w:val="18"/>
                <w:color w:val="auto"/>
              </w:rPr>
            </w:pPr>
          </w:p>
        </w:tc>
        <w:tc>
          <w:tcPr>
            <w:tcW w:w="74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postponements thereof.</w:t>
            </w:r>
          </w:p>
        </w:tc>
      </w:tr>
      <w:tr>
        <w:trPr>
          <w:trHeight w:val="384"/>
        </w:trPr>
        <w:tc>
          <w:tcPr>
            <w:tcW w:w="14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Delivery of Proxy</w:t>
            </w:r>
          </w:p>
        </w:tc>
        <w:tc>
          <w:tcPr>
            <w:tcW w:w="74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On April 28, 2025, we will begin mailing a Notice of Internet Availability of Proxy Materials to our</w:t>
            </w:r>
          </w:p>
        </w:tc>
      </w:tr>
      <w:tr>
        <w:trPr>
          <w:trHeight w:val="206"/>
        </w:trPr>
        <w:tc>
          <w:tcPr>
            <w:tcW w:w="14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Materials:</w:t>
            </w:r>
          </w:p>
        </w:tc>
        <w:tc>
          <w:tcPr>
            <w:tcW w:w="74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w w:val="98"/>
              </w:rPr>
              <w:t>stockholders rather than a full paper set of the proxy materials. The Notice of Internet Availability of Proxy</w:t>
            </w:r>
          </w:p>
        </w:tc>
      </w:tr>
      <w:tr>
        <w:trPr>
          <w:trHeight w:val="202"/>
        </w:trPr>
        <w:tc>
          <w:tcPr>
            <w:tcW w:w="1480" w:type="dxa"/>
            <w:vAlign w:val="bottom"/>
          </w:tcPr>
          <w:p>
            <w:pPr>
              <w:spacing w:after="0"/>
              <w:rPr>
                <w:sz w:val="17"/>
                <w:szCs w:val="17"/>
                <w:color w:val="auto"/>
              </w:rPr>
            </w:pPr>
          </w:p>
        </w:tc>
        <w:tc>
          <w:tcPr>
            <w:tcW w:w="74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Materials contains instructions on how to access our proxy materials over the Internet, as well as</w:t>
            </w:r>
          </w:p>
        </w:tc>
      </w:tr>
      <w:tr>
        <w:trPr>
          <w:trHeight w:val="218"/>
        </w:trPr>
        <w:tc>
          <w:tcPr>
            <w:tcW w:w="1480" w:type="dxa"/>
            <w:vAlign w:val="bottom"/>
          </w:tcPr>
          <w:p>
            <w:pPr>
              <w:spacing w:after="0"/>
              <w:rPr>
                <w:sz w:val="18"/>
                <w:szCs w:val="18"/>
                <w:color w:val="auto"/>
              </w:rPr>
            </w:pPr>
          </w:p>
        </w:tc>
        <w:tc>
          <w:tcPr>
            <w:tcW w:w="74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instructions on how stockholders may obtain a paper copy of our proxy materials.</w:t>
            </w:r>
          </w:p>
        </w:tc>
      </w:tr>
      <w:tr>
        <w:trPr>
          <w:trHeight w:val="384"/>
        </w:trPr>
        <w:tc>
          <w:tcPr>
            <w:tcW w:w="14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Internet</w:t>
            </w:r>
          </w:p>
        </w:tc>
        <w:tc>
          <w:tcPr>
            <w:tcW w:w="7440" w:type="dxa"/>
            <w:vAlign w:val="bottom"/>
            <w:gridSpan w:val="2"/>
          </w:tcPr>
          <w:p>
            <w:pPr>
              <w:ind w:left="220"/>
              <w:spacing w:after="0"/>
              <w:rPr>
                <w:sz w:val="20"/>
                <w:szCs w:val="20"/>
                <w:color w:val="auto"/>
              </w:rPr>
            </w:pPr>
            <w:r>
              <w:rPr>
                <w:rFonts w:ascii="Times New Roman" w:cs="Times New Roman" w:eastAsia="Times New Roman" w:hAnsi="Times New Roman"/>
                <w:sz w:val="17"/>
                <w:szCs w:val="17"/>
                <w:b w:val="1"/>
                <w:bCs w:val="1"/>
                <w:color w:val="auto"/>
              </w:rPr>
              <w:t>Important Notice Regarding the Availability of Proxy Materials for the Annual Meeting of</w:t>
            </w:r>
          </w:p>
        </w:tc>
      </w:tr>
      <w:tr>
        <w:trPr>
          <w:trHeight w:val="202"/>
        </w:trPr>
        <w:tc>
          <w:tcPr>
            <w:tcW w:w="14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Availability of</w:t>
            </w:r>
          </w:p>
        </w:tc>
        <w:tc>
          <w:tcPr>
            <w:tcW w:w="7440" w:type="dxa"/>
            <w:vAlign w:val="bottom"/>
            <w:gridSpan w:val="2"/>
          </w:tcPr>
          <w:p>
            <w:pPr>
              <w:ind w:left="220"/>
              <w:spacing w:after="0"/>
              <w:rPr>
                <w:sz w:val="20"/>
                <w:szCs w:val="20"/>
                <w:color w:val="auto"/>
              </w:rPr>
            </w:pPr>
            <w:r>
              <w:rPr>
                <w:rFonts w:ascii="Times New Roman" w:cs="Times New Roman" w:eastAsia="Times New Roman" w:hAnsi="Times New Roman"/>
                <w:sz w:val="17"/>
                <w:szCs w:val="17"/>
                <w:b w:val="1"/>
                <w:bCs w:val="1"/>
                <w:color w:val="auto"/>
              </w:rPr>
              <w:t>Stockholders to be Held on June 10, 2025</w:t>
            </w:r>
            <w:r>
              <w:rPr>
                <w:rFonts w:ascii="Times New Roman" w:cs="Times New Roman" w:eastAsia="Times New Roman" w:hAnsi="Times New Roman"/>
                <w:sz w:val="17"/>
                <w:szCs w:val="17"/>
                <w:color w:val="auto"/>
              </w:rPr>
              <w:t>. Our Proxy Statement is attached. Financial and other</w:t>
            </w:r>
          </w:p>
        </w:tc>
      </w:tr>
      <w:tr>
        <w:trPr>
          <w:trHeight w:val="206"/>
        </w:trPr>
        <w:tc>
          <w:tcPr>
            <w:tcW w:w="14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Proxy Materials:</w:t>
            </w:r>
          </w:p>
        </w:tc>
        <w:tc>
          <w:tcPr>
            <w:tcW w:w="74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information concerning Grand Canyon Education, Inc. is contained in our Annual Report to Stockholders</w:t>
            </w:r>
          </w:p>
        </w:tc>
      </w:tr>
      <w:tr>
        <w:trPr>
          <w:trHeight w:val="202"/>
        </w:trPr>
        <w:tc>
          <w:tcPr>
            <w:tcW w:w="1480" w:type="dxa"/>
            <w:vAlign w:val="bottom"/>
          </w:tcPr>
          <w:p>
            <w:pPr>
              <w:spacing w:after="0"/>
              <w:rPr>
                <w:sz w:val="17"/>
                <w:szCs w:val="17"/>
                <w:color w:val="auto"/>
              </w:rPr>
            </w:pPr>
          </w:p>
        </w:tc>
        <w:tc>
          <w:tcPr>
            <w:tcW w:w="74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for the fiscal year ended December 31, 2024, filed with the Securities and Exchange Commission on</w:t>
            </w:r>
          </w:p>
        </w:tc>
      </w:tr>
      <w:tr>
        <w:trPr>
          <w:trHeight w:val="202"/>
        </w:trPr>
        <w:tc>
          <w:tcPr>
            <w:tcW w:w="1480" w:type="dxa"/>
            <w:vAlign w:val="bottom"/>
          </w:tcPr>
          <w:p>
            <w:pPr>
              <w:spacing w:after="0"/>
              <w:rPr>
                <w:sz w:val="17"/>
                <w:szCs w:val="17"/>
                <w:color w:val="auto"/>
              </w:rPr>
            </w:pPr>
          </w:p>
        </w:tc>
        <w:tc>
          <w:tcPr>
            <w:tcW w:w="74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February 19, 2025. A complete set of proxy materials relating to our Annual Meeting is available on the</w:t>
            </w:r>
          </w:p>
        </w:tc>
      </w:tr>
      <w:tr>
        <w:trPr>
          <w:trHeight w:val="198"/>
        </w:trPr>
        <w:tc>
          <w:tcPr>
            <w:tcW w:w="1480" w:type="dxa"/>
            <w:vAlign w:val="bottom"/>
          </w:tcPr>
          <w:p>
            <w:pPr>
              <w:spacing w:after="0"/>
              <w:rPr>
                <w:sz w:val="17"/>
                <w:szCs w:val="17"/>
                <w:color w:val="auto"/>
              </w:rPr>
            </w:pPr>
          </w:p>
        </w:tc>
        <w:tc>
          <w:tcPr>
            <w:tcW w:w="74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Internet. These materials, consisting of the Notice of Annual Meeting, Proxy Statement, Proxy Card and</w:t>
            </w:r>
          </w:p>
        </w:tc>
      </w:tr>
      <w:tr>
        <w:trPr>
          <w:trHeight w:val="222"/>
        </w:trPr>
        <w:tc>
          <w:tcPr>
            <w:tcW w:w="1480" w:type="dxa"/>
            <w:vAlign w:val="bottom"/>
          </w:tcPr>
          <w:p>
            <w:pPr>
              <w:spacing w:after="0"/>
              <w:rPr>
                <w:sz w:val="19"/>
                <w:szCs w:val="19"/>
                <w:color w:val="auto"/>
              </w:rPr>
            </w:pPr>
          </w:p>
        </w:tc>
        <w:tc>
          <w:tcPr>
            <w:tcW w:w="74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 xml:space="preserve">Annual Report to Stockholders, are available and may be viewed at </w:t>
            </w:r>
            <w:r>
              <w:rPr>
                <w:rFonts w:ascii="Times New Roman" w:cs="Times New Roman" w:eastAsia="Times New Roman" w:hAnsi="Times New Roman"/>
                <w:sz w:val="17"/>
                <w:szCs w:val="17"/>
                <w:i w:val="1"/>
                <w:iCs w:val="1"/>
                <w:color w:val="auto"/>
              </w:rPr>
              <w:t>www.edocumentview.com/LOPE</w:t>
            </w:r>
            <w:r>
              <w:rPr>
                <w:rFonts w:ascii="Times New Roman" w:cs="Times New Roman" w:eastAsia="Times New Roman" w:hAnsi="Times New Roman"/>
                <w:sz w:val="17"/>
                <w:szCs w:val="17"/>
                <w:color w:val="auto"/>
              </w:rPr>
              <w:t>.</w:t>
            </w:r>
          </w:p>
        </w:tc>
      </w:tr>
      <w:tr>
        <w:trPr>
          <w:trHeight w:val="388"/>
        </w:trPr>
        <w:tc>
          <w:tcPr>
            <w:tcW w:w="14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Voting:</w:t>
            </w:r>
          </w:p>
        </w:tc>
        <w:tc>
          <w:tcPr>
            <w:tcW w:w="74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To make it easier for you to vote, Internet and telephone voting are available. The instructions on the</w:t>
            </w:r>
          </w:p>
        </w:tc>
      </w:tr>
      <w:tr>
        <w:trPr>
          <w:trHeight w:val="202"/>
        </w:trPr>
        <w:tc>
          <w:tcPr>
            <w:tcW w:w="1480" w:type="dxa"/>
            <w:vAlign w:val="bottom"/>
          </w:tcPr>
          <w:p>
            <w:pPr>
              <w:spacing w:after="0"/>
              <w:rPr>
                <w:sz w:val="17"/>
                <w:szCs w:val="17"/>
                <w:color w:val="auto"/>
              </w:rPr>
            </w:pPr>
          </w:p>
        </w:tc>
        <w:tc>
          <w:tcPr>
            <w:tcW w:w="74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Notice of Internet Availability of Proxy Materials or, if you received a paper copy of the proxy materials,</w:t>
            </w:r>
          </w:p>
        </w:tc>
      </w:tr>
      <w:tr>
        <w:trPr>
          <w:trHeight w:val="218"/>
        </w:trPr>
        <w:tc>
          <w:tcPr>
            <w:tcW w:w="1480" w:type="dxa"/>
            <w:vAlign w:val="bottom"/>
          </w:tcPr>
          <w:p>
            <w:pPr>
              <w:spacing w:after="0"/>
              <w:rPr>
                <w:sz w:val="18"/>
                <w:szCs w:val="18"/>
                <w:color w:val="auto"/>
              </w:rPr>
            </w:pPr>
          </w:p>
        </w:tc>
        <w:tc>
          <w:tcPr>
            <w:tcW w:w="74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the proxy card describe how to use these convenient services.</w:t>
            </w:r>
          </w:p>
        </w:tc>
      </w:tr>
      <w:tr>
        <w:trPr>
          <w:trHeight w:val="417"/>
        </w:trPr>
        <w:tc>
          <w:tcPr>
            <w:tcW w:w="14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7"/>
                <w:szCs w:val="17"/>
                <w:color w:val="auto"/>
              </w:rPr>
              <w:t>BY ORDER OF THE BOARD OF DIRECTORS</w:t>
            </w:r>
          </w:p>
        </w:tc>
      </w:tr>
      <w:tr>
        <w:trPr>
          <w:trHeight w:val="417"/>
        </w:trPr>
        <w:tc>
          <w:tcPr>
            <w:tcW w:w="1480" w:type="dxa"/>
            <w:vAlign w:val="bottom"/>
          </w:tcPr>
          <w:p>
            <w:pPr>
              <w:spacing w:after="0"/>
              <w:rPr>
                <w:sz w:val="20"/>
                <w:szCs w:val="20"/>
                <w:color w:val="auto"/>
              </w:rPr>
            </w:pPr>
            <w:r>
              <w:rPr>
                <w:rFonts w:ascii="Times New Roman" w:cs="Times New Roman" w:eastAsia="Times New Roman" w:hAnsi="Times New Roman"/>
                <w:sz w:val="17"/>
                <w:szCs w:val="17"/>
                <w:color w:val="auto"/>
              </w:rPr>
              <w:t>Phoenix, Arizona</w:t>
            </w:r>
          </w:p>
        </w:tc>
        <w:tc>
          <w:tcPr>
            <w:tcW w:w="3000" w:type="dxa"/>
            <w:vAlign w:val="bottom"/>
          </w:tcPr>
          <w:p>
            <w:pPr>
              <w:spacing w:after="0"/>
              <w:rPr>
                <w:sz w:val="24"/>
                <w:szCs w:val="24"/>
                <w:color w:val="auto"/>
              </w:rPr>
            </w:pP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BRIAN E. MUELLER</w:t>
            </w:r>
          </w:p>
        </w:tc>
      </w:tr>
      <w:tr>
        <w:trPr>
          <w:trHeight w:val="175"/>
        </w:trPr>
        <w:tc>
          <w:tcPr>
            <w:tcW w:w="1480" w:type="dxa"/>
            <w:vAlign w:val="bottom"/>
          </w:tcPr>
          <w:p>
            <w:pPr>
              <w:ind w:left="200"/>
              <w:spacing w:after="0" w:line="175" w:lineRule="exact"/>
              <w:rPr>
                <w:sz w:val="20"/>
                <w:szCs w:val="20"/>
                <w:color w:val="auto"/>
              </w:rPr>
            </w:pPr>
            <w:r>
              <w:rPr>
                <w:rFonts w:ascii="Times New Roman" w:cs="Times New Roman" w:eastAsia="Times New Roman" w:hAnsi="Times New Roman"/>
                <w:sz w:val="17"/>
                <w:szCs w:val="17"/>
                <w:color w:val="auto"/>
              </w:rPr>
              <w:t>April 24, 2025</w:t>
            </w:r>
          </w:p>
        </w:tc>
        <w:tc>
          <w:tcPr>
            <w:tcW w:w="3000" w:type="dxa"/>
            <w:vAlign w:val="bottom"/>
          </w:tcPr>
          <w:p>
            <w:pPr>
              <w:spacing w:after="0"/>
              <w:rPr>
                <w:sz w:val="15"/>
                <w:szCs w:val="15"/>
                <w:color w:val="auto"/>
              </w:rPr>
            </w:pPr>
          </w:p>
        </w:tc>
        <w:tc>
          <w:tcPr>
            <w:tcW w:w="4440" w:type="dxa"/>
            <w:vAlign w:val="bottom"/>
          </w:tcPr>
          <w:p>
            <w:pPr>
              <w:spacing w:after="0" w:line="175" w:lineRule="exact"/>
              <w:rPr>
                <w:sz w:val="20"/>
                <w:szCs w:val="20"/>
                <w:color w:val="auto"/>
              </w:rPr>
            </w:pPr>
            <w:r>
              <w:rPr>
                <w:rFonts w:ascii="Times New Roman" w:cs="Times New Roman" w:eastAsia="Times New Roman" w:hAnsi="Times New Roman"/>
                <w:sz w:val="17"/>
                <w:szCs w:val="17"/>
                <w:color w:val="auto"/>
              </w:rPr>
              <w:t>Brian E. Mueller</w:t>
            </w:r>
          </w:p>
        </w:tc>
      </w:tr>
      <w:tr>
        <w:trPr>
          <w:trHeight w:val="222"/>
        </w:trPr>
        <w:tc>
          <w:tcPr>
            <w:tcW w:w="148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Chief Executive Officer and Chairman</w:t>
            </w:r>
          </w:p>
        </w:tc>
      </w:tr>
      <w:tr>
        <w:trPr>
          <w:trHeight w:val="941"/>
        </w:trPr>
        <w:tc>
          <w:tcPr>
            <w:tcW w:w="14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9" w:right="1440" w:bottom="1440" w:gutter="0" w:footer="0" w:header="0"/>
        </w:sectPr>
      </w:pPr>
    </w:p>
    <w:bookmarkStart w:id="3" w:name="page4"/>
    <w:bookmarkEnd w:id="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200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7"/>
                <w:szCs w:val="17"/>
                <w:color w:val="0000EE"/>
                <w:w w:val="97"/>
              </w:rPr>
              <w:t>GENERAL INFORMATION</w:t>
            </w:r>
          </w:p>
        </w:tc>
        <w:tc>
          <w:tcPr>
            <w:tcW w:w="6140" w:type="dxa"/>
            <w:vAlign w:val="bottom"/>
            <w:gridSpan w:val="34"/>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334"/>
        </w:trPr>
        <w:tc>
          <w:tcPr>
            <w:tcW w:w="500" w:type="dxa"/>
            <w:vAlign w:val="bottom"/>
          </w:tcPr>
          <w:p>
            <w:pPr>
              <w:spacing w:after="0"/>
              <w:rPr>
                <w:sz w:val="24"/>
                <w:szCs w:val="24"/>
                <w:color w:val="auto"/>
              </w:rPr>
            </w:pPr>
          </w:p>
        </w:tc>
        <w:tc>
          <w:tcPr>
            <w:tcW w:w="204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7"/>
                <w:szCs w:val="17"/>
                <w:color w:val="0000EE"/>
                <w:w w:val="97"/>
              </w:rPr>
              <w:t>Notice of Internet Availability</w:t>
            </w:r>
          </w:p>
        </w:tc>
        <w:tc>
          <w:tcPr>
            <w:tcW w:w="5600" w:type="dxa"/>
            <w:vAlign w:val="bottom"/>
            <w:gridSpan w:val="23"/>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182"/>
        </w:trPr>
        <w:tc>
          <w:tcPr>
            <w:tcW w:w="500" w:type="dxa"/>
            <w:vAlign w:val="bottom"/>
          </w:tcPr>
          <w:p>
            <w:pPr>
              <w:spacing w:after="0"/>
              <w:rPr>
                <w:sz w:val="15"/>
                <w:szCs w:val="15"/>
                <w:color w:val="auto"/>
              </w:rPr>
            </w:pPr>
          </w:p>
        </w:tc>
        <w:tc>
          <w:tcPr>
            <w:tcW w:w="1740" w:type="dxa"/>
            <w:vAlign w:val="bottom"/>
            <w:tcBorders>
              <w:bottom w:val="single" w:sz="8" w:color="0000EE"/>
            </w:tcBorders>
            <w:gridSpan w:val="11"/>
          </w:tcPr>
          <w:p>
            <w:pPr>
              <w:spacing w:after="0" w:line="182" w:lineRule="exact"/>
              <w:rPr>
                <w:sz w:val="20"/>
                <w:szCs w:val="20"/>
                <w:color w:val="auto"/>
              </w:rPr>
            </w:pPr>
            <w:r>
              <w:rPr>
                <w:rFonts w:ascii="Times New Roman" w:cs="Times New Roman" w:eastAsia="Times New Roman" w:hAnsi="Times New Roman"/>
                <w:sz w:val="17"/>
                <w:szCs w:val="17"/>
                <w:color w:val="0000EE"/>
                <w:w w:val="98"/>
              </w:rPr>
              <w:t>Record Date and Quorum</w:t>
            </w:r>
          </w:p>
        </w:tc>
        <w:tc>
          <w:tcPr>
            <w:tcW w:w="5900" w:type="dxa"/>
            <w:vAlign w:val="bottom"/>
            <w:gridSpan w:val="31"/>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7"/>
                <w:szCs w:val="17"/>
                <w:color w:val="auto"/>
              </w:rPr>
              <w:t>13</w:t>
            </w:r>
          </w:p>
        </w:tc>
      </w:tr>
      <w:tr>
        <w:trPr>
          <w:trHeight w:val="182"/>
        </w:trPr>
        <w:tc>
          <w:tcPr>
            <w:tcW w:w="500" w:type="dxa"/>
            <w:vAlign w:val="bottom"/>
          </w:tcPr>
          <w:p>
            <w:pPr>
              <w:spacing w:after="0"/>
              <w:rPr>
                <w:sz w:val="15"/>
                <w:szCs w:val="15"/>
                <w:color w:val="auto"/>
              </w:rPr>
            </w:pPr>
          </w:p>
        </w:tc>
        <w:tc>
          <w:tcPr>
            <w:tcW w:w="7640" w:type="dxa"/>
            <w:vAlign w:val="bottom"/>
            <w:gridSpan w:val="42"/>
          </w:tcPr>
          <w:p>
            <w:pPr>
              <w:spacing w:after="0" w:line="182" w:lineRule="exact"/>
              <w:rPr>
                <w:sz w:val="20"/>
                <w:szCs w:val="20"/>
                <w:color w:val="auto"/>
              </w:rPr>
            </w:pPr>
            <w:r>
              <w:rPr>
                <w:rFonts w:ascii="Times New Roman" w:cs="Times New Roman" w:eastAsia="Times New Roman" w:hAnsi="Times New Roman"/>
                <w:sz w:val="17"/>
                <w:szCs w:val="17"/>
                <w:color w:val="0000EE"/>
              </w:rPr>
              <w:t>Submission of Proxies; Revocation</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7"/>
                <w:szCs w:val="17"/>
                <w:color w:val="auto"/>
              </w:rPr>
              <w:t>13</w:t>
            </w:r>
          </w:p>
        </w:tc>
      </w:tr>
      <w:tr>
        <w:trPr>
          <w:trHeight w:val="20"/>
        </w:trPr>
        <w:tc>
          <w:tcPr>
            <w:tcW w:w="5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82"/>
        </w:trPr>
        <w:tc>
          <w:tcPr>
            <w:tcW w:w="500" w:type="dxa"/>
            <w:vAlign w:val="bottom"/>
          </w:tcPr>
          <w:p>
            <w:pPr>
              <w:spacing w:after="0"/>
              <w:rPr>
                <w:sz w:val="15"/>
                <w:szCs w:val="15"/>
                <w:color w:val="auto"/>
              </w:rPr>
            </w:pPr>
          </w:p>
        </w:tc>
        <w:tc>
          <w:tcPr>
            <w:tcW w:w="2460" w:type="dxa"/>
            <w:vAlign w:val="bottom"/>
            <w:tcBorders>
              <w:bottom w:val="single" w:sz="8" w:color="0000EE"/>
            </w:tcBorders>
            <w:gridSpan w:val="24"/>
          </w:tcPr>
          <w:p>
            <w:pPr>
              <w:spacing w:after="0" w:line="182" w:lineRule="exact"/>
              <w:rPr>
                <w:sz w:val="20"/>
                <w:szCs w:val="20"/>
                <w:color w:val="auto"/>
              </w:rPr>
            </w:pPr>
            <w:r>
              <w:rPr>
                <w:rFonts w:ascii="Times New Roman" w:cs="Times New Roman" w:eastAsia="Times New Roman" w:hAnsi="Times New Roman"/>
                <w:sz w:val="17"/>
                <w:szCs w:val="17"/>
                <w:color w:val="0000EE"/>
                <w:w w:val="98"/>
              </w:rPr>
              <w:t>Deadlines for Stockholder Proposals</w:t>
            </w:r>
          </w:p>
        </w:tc>
        <w:tc>
          <w:tcPr>
            <w:tcW w:w="5180" w:type="dxa"/>
            <w:vAlign w:val="bottom"/>
            <w:gridSpan w:val="18"/>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7"/>
                <w:szCs w:val="17"/>
                <w:color w:val="auto"/>
              </w:rPr>
              <w:t>13</w:t>
            </w:r>
          </w:p>
        </w:tc>
      </w:tr>
      <w:tr>
        <w:trPr>
          <w:trHeight w:val="182"/>
        </w:trPr>
        <w:tc>
          <w:tcPr>
            <w:tcW w:w="500" w:type="dxa"/>
            <w:vAlign w:val="bottom"/>
          </w:tcPr>
          <w:p>
            <w:pPr>
              <w:spacing w:after="0"/>
              <w:rPr>
                <w:sz w:val="15"/>
                <w:szCs w:val="15"/>
                <w:color w:val="auto"/>
              </w:rPr>
            </w:pPr>
          </w:p>
        </w:tc>
        <w:tc>
          <w:tcPr>
            <w:tcW w:w="560" w:type="dxa"/>
            <w:vAlign w:val="bottom"/>
            <w:tcBorders>
              <w:bottom w:val="single" w:sz="8" w:color="0000EE"/>
            </w:tcBorders>
            <w:gridSpan w:val="2"/>
          </w:tcPr>
          <w:p>
            <w:pPr>
              <w:spacing w:after="0" w:line="182" w:lineRule="exact"/>
              <w:rPr>
                <w:sz w:val="20"/>
                <w:szCs w:val="20"/>
                <w:color w:val="auto"/>
              </w:rPr>
            </w:pPr>
            <w:r>
              <w:rPr>
                <w:rFonts w:ascii="Times New Roman" w:cs="Times New Roman" w:eastAsia="Times New Roman" w:hAnsi="Times New Roman"/>
                <w:sz w:val="17"/>
                <w:szCs w:val="17"/>
                <w:color w:val="0000EE"/>
                <w:w w:val="95"/>
              </w:rPr>
              <w:t>Quorum</w:t>
            </w:r>
          </w:p>
        </w:tc>
        <w:tc>
          <w:tcPr>
            <w:tcW w:w="7080" w:type="dxa"/>
            <w:vAlign w:val="bottom"/>
            <w:gridSpan w:val="40"/>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7"/>
                <w:szCs w:val="17"/>
                <w:color w:val="auto"/>
              </w:rPr>
              <w:t>14</w:t>
            </w:r>
          </w:p>
        </w:tc>
      </w:tr>
      <w:tr>
        <w:trPr>
          <w:trHeight w:val="182"/>
        </w:trPr>
        <w:tc>
          <w:tcPr>
            <w:tcW w:w="500" w:type="dxa"/>
            <w:vAlign w:val="bottom"/>
          </w:tcPr>
          <w:p>
            <w:pPr>
              <w:spacing w:after="0"/>
              <w:rPr>
                <w:sz w:val="15"/>
                <w:szCs w:val="15"/>
                <w:color w:val="auto"/>
              </w:rPr>
            </w:pPr>
          </w:p>
        </w:tc>
        <w:tc>
          <w:tcPr>
            <w:tcW w:w="960" w:type="dxa"/>
            <w:vAlign w:val="bottom"/>
            <w:tcBorders>
              <w:bottom w:val="single" w:sz="8" w:color="0000EE"/>
            </w:tcBorders>
            <w:gridSpan w:val="3"/>
          </w:tcPr>
          <w:p>
            <w:pPr>
              <w:spacing w:after="0" w:line="182" w:lineRule="exact"/>
              <w:rPr>
                <w:sz w:val="20"/>
                <w:szCs w:val="20"/>
                <w:color w:val="auto"/>
              </w:rPr>
            </w:pPr>
            <w:r>
              <w:rPr>
                <w:rFonts w:ascii="Times New Roman" w:cs="Times New Roman" w:eastAsia="Times New Roman" w:hAnsi="Times New Roman"/>
                <w:sz w:val="17"/>
                <w:szCs w:val="17"/>
                <w:color w:val="0000EE"/>
                <w:w w:val="94"/>
              </w:rPr>
              <w:t>Vote Required</w:t>
            </w:r>
          </w:p>
        </w:tc>
        <w:tc>
          <w:tcPr>
            <w:tcW w:w="6680" w:type="dxa"/>
            <w:vAlign w:val="bottom"/>
            <w:gridSpan w:val="39"/>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7"/>
                <w:szCs w:val="17"/>
                <w:color w:val="auto"/>
              </w:rPr>
              <w:t>15</w:t>
            </w:r>
          </w:p>
        </w:tc>
      </w:tr>
      <w:tr>
        <w:trPr>
          <w:trHeight w:val="182"/>
        </w:trPr>
        <w:tc>
          <w:tcPr>
            <w:tcW w:w="500" w:type="dxa"/>
            <w:vAlign w:val="bottom"/>
          </w:tcPr>
          <w:p>
            <w:pPr>
              <w:spacing w:after="0"/>
              <w:rPr>
                <w:sz w:val="15"/>
                <w:szCs w:val="15"/>
                <w:color w:val="auto"/>
              </w:rPr>
            </w:pPr>
          </w:p>
        </w:tc>
        <w:tc>
          <w:tcPr>
            <w:tcW w:w="2860" w:type="dxa"/>
            <w:vAlign w:val="bottom"/>
            <w:tcBorders>
              <w:bottom w:val="single" w:sz="8" w:color="0000EE"/>
            </w:tcBorders>
            <w:gridSpan w:val="29"/>
          </w:tcPr>
          <w:p>
            <w:pPr>
              <w:spacing w:after="0" w:line="182" w:lineRule="exact"/>
              <w:rPr>
                <w:sz w:val="20"/>
                <w:szCs w:val="20"/>
                <w:color w:val="auto"/>
              </w:rPr>
            </w:pPr>
            <w:r>
              <w:rPr>
                <w:rFonts w:ascii="Times New Roman" w:cs="Times New Roman" w:eastAsia="Times New Roman" w:hAnsi="Times New Roman"/>
                <w:sz w:val="17"/>
                <w:szCs w:val="17"/>
                <w:color w:val="0000EE"/>
                <w:w w:val="98"/>
              </w:rPr>
              <w:t>Adjournment or Postponement of Meeting</w:t>
            </w:r>
          </w:p>
        </w:tc>
        <w:tc>
          <w:tcPr>
            <w:tcW w:w="4780" w:type="dxa"/>
            <w:vAlign w:val="bottom"/>
            <w:gridSpan w:val="13"/>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7"/>
                <w:szCs w:val="17"/>
                <w:color w:val="auto"/>
              </w:rPr>
              <w:t>15</w:t>
            </w:r>
          </w:p>
        </w:tc>
      </w:tr>
      <w:tr>
        <w:trPr>
          <w:trHeight w:val="182"/>
        </w:trPr>
        <w:tc>
          <w:tcPr>
            <w:tcW w:w="500" w:type="dxa"/>
            <w:vAlign w:val="bottom"/>
          </w:tcPr>
          <w:p>
            <w:pPr>
              <w:spacing w:after="0"/>
              <w:rPr>
                <w:sz w:val="15"/>
                <w:szCs w:val="15"/>
                <w:color w:val="auto"/>
              </w:rPr>
            </w:pPr>
          </w:p>
        </w:tc>
        <w:tc>
          <w:tcPr>
            <w:tcW w:w="2060" w:type="dxa"/>
            <w:vAlign w:val="bottom"/>
            <w:tcBorders>
              <w:bottom w:val="single" w:sz="8" w:color="0000EE"/>
            </w:tcBorders>
            <w:gridSpan w:val="20"/>
          </w:tcPr>
          <w:p>
            <w:pPr>
              <w:spacing w:after="0" w:line="182" w:lineRule="exact"/>
              <w:rPr>
                <w:sz w:val="20"/>
                <w:szCs w:val="20"/>
                <w:color w:val="auto"/>
              </w:rPr>
            </w:pPr>
            <w:r>
              <w:rPr>
                <w:rFonts w:ascii="Times New Roman" w:cs="Times New Roman" w:eastAsia="Times New Roman" w:hAnsi="Times New Roman"/>
                <w:sz w:val="17"/>
                <w:szCs w:val="17"/>
                <w:color w:val="0000EE"/>
                <w:w w:val="97"/>
              </w:rPr>
              <w:t>Expenses of Soliciting Proxies</w:t>
            </w:r>
          </w:p>
        </w:tc>
        <w:tc>
          <w:tcPr>
            <w:tcW w:w="5580" w:type="dxa"/>
            <w:vAlign w:val="bottom"/>
            <w:gridSpan w:val="2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7"/>
                <w:szCs w:val="17"/>
                <w:color w:val="auto"/>
              </w:rPr>
              <w:t>15</w:t>
            </w:r>
          </w:p>
        </w:tc>
      </w:tr>
      <w:tr>
        <w:trPr>
          <w:trHeight w:val="334"/>
        </w:trPr>
        <w:tc>
          <w:tcPr>
            <w:tcW w:w="8140" w:type="dxa"/>
            <w:vAlign w:val="bottom"/>
            <w:gridSpan w:val="43"/>
          </w:tcPr>
          <w:p>
            <w:pPr>
              <w:spacing w:after="0"/>
              <w:rPr>
                <w:sz w:val="20"/>
                <w:szCs w:val="20"/>
                <w:color w:val="auto"/>
              </w:rPr>
            </w:pPr>
            <w:r>
              <w:rPr>
                <w:rFonts w:ascii="Times New Roman" w:cs="Times New Roman" w:eastAsia="Times New Roman" w:hAnsi="Times New Roman"/>
                <w:sz w:val="17"/>
                <w:szCs w:val="17"/>
                <w:color w:val="0000EE"/>
              </w:rPr>
              <w:t>CORPORATE GOVERNANCE AND BOARD MATTERS</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334"/>
        </w:trPr>
        <w:tc>
          <w:tcPr>
            <w:tcW w:w="500" w:type="dxa"/>
            <w:vAlign w:val="bottom"/>
            <w:tcBorders>
              <w:top w:val="single" w:sz="8" w:color="0000EE"/>
            </w:tcBorders>
          </w:tcPr>
          <w:p>
            <w:pPr>
              <w:spacing w:after="0"/>
              <w:rPr>
                <w:sz w:val="24"/>
                <w:szCs w:val="24"/>
                <w:color w:val="auto"/>
              </w:rPr>
            </w:pPr>
          </w:p>
        </w:tc>
        <w:tc>
          <w:tcPr>
            <w:tcW w:w="3540" w:type="dxa"/>
            <w:vAlign w:val="bottom"/>
            <w:tcBorders>
              <w:top w:val="single" w:sz="8" w:color="0000EE"/>
            </w:tcBorders>
            <w:gridSpan w:val="35"/>
          </w:tcPr>
          <w:p>
            <w:pPr>
              <w:spacing w:after="0"/>
              <w:rPr>
                <w:sz w:val="20"/>
                <w:szCs w:val="20"/>
                <w:color w:val="auto"/>
              </w:rPr>
            </w:pPr>
            <w:r>
              <w:rPr>
                <w:rFonts w:ascii="Times New Roman" w:cs="Times New Roman" w:eastAsia="Times New Roman" w:hAnsi="Times New Roman"/>
                <w:sz w:val="17"/>
                <w:szCs w:val="17"/>
                <w:color w:val="0000EE"/>
              </w:rPr>
              <w:t>Corporate Governance Philosophy</w:t>
            </w:r>
          </w:p>
        </w:tc>
        <w:tc>
          <w:tcPr>
            <w:tcW w:w="4100" w:type="dxa"/>
            <w:vAlign w:val="bottom"/>
            <w:gridSpan w:val="7"/>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0"/>
        </w:trPr>
        <w:tc>
          <w:tcPr>
            <w:tcW w:w="5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82"/>
        </w:trPr>
        <w:tc>
          <w:tcPr>
            <w:tcW w:w="500" w:type="dxa"/>
            <w:vAlign w:val="bottom"/>
          </w:tcPr>
          <w:p>
            <w:pPr>
              <w:spacing w:after="0"/>
              <w:rPr>
                <w:sz w:val="15"/>
                <w:szCs w:val="15"/>
                <w:color w:val="auto"/>
              </w:rPr>
            </w:pPr>
          </w:p>
        </w:tc>
        <w:tc>
          <w:tcPr>
            <w:tcW w:w="3200" w:type="dxa"/>
            <w:vAlign w:val="bottom"/>
            <w:tcBorders>
              <w:bottom w:val="single" w:sz="8" w:color="0000EE"/>
            </w:tcBorders>
            <w:gridSpan w:val="33"/>
          </w:tcPr>
          <w:p>
            <w:pPr>
              <w:spacing w:after="0" w:line="182" w:lineRule="exact"/>
              <w:rPr>
                <w:sz w:val="20"/>
                <w:szCs w:val="20"/>
                <w:color w:val="auto"/>
              </w:rPr>
            </w:pPr>
            <w:r>
              <w:rPr>
                <w:rFonts w:ascii="Times New Roman" w:cs="Times New Roman" w:eastAsia="Times New Roman" w:hAnsi="Times New Roman"/>
                <w:sz w:val="17"/>
                <w:szCs w:val="17"/>
                <w:color w:val="0000EE"/>
                <w:w w:val="98"/>
              </w:rPr>
              <w:t>Changes to the Board of Directors During 2024</w:t>
            </w:r>
          </w:p>
        </w:tc>
        <w:tc>
          <w:tcPr>
            <w:tcW w:w="4440" w:type="dxa"/>
            <w:vAlign w:val="bottom"/>
            <w:gridSpan w:val="9"/>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7"/>
                <w:szCs w:val="17"/>
                <w:color w:val="auto"/>
              </w:rPr>
              <w:t>16</w:t>
            </w:r>
          </w:p>
        </w:tc>
      </w:tr>
      <w:tr>
        <w:trPr>
          <w:trHeight w:val="182"/>
        </w:trPr>
        <w:tc>
          <w:tcPr>
            <w:tcW w:w="500" w:type="dxa"/>
            <w:vAlign w:val="bottom"/>
          </w:tcPr>
          <w:p>
            <w:pPr>
              <w:spacing w:after="0"/>
              <w:rPr>
                <w:sz w:val="15"/>
                <w:szCs w:val="15"/>
                <w:color w:val="auto"/>
              </w:rPr>
            </w:pPr>
          </w:p>
        </w:tc>
        <w:tc>
          <w:tcPr>
            <w:tcW w:w="7640" w:type="dxa"/>
            <w:vAlign w:val="bottom"/>
            <w:gridSpan w:val="42"/>
          </w:tcPr>
          <w:p>
            <w:pPr>
              <w:spacing w:after="0" w:line="182" w:lineRule="exact"/>
              <w:rPr>
                <w:sz w:val="20"/>
                <w:szCs w:val="20"/>
                <w:color w:val="auto"/>
              </w:rPr>
            </w:pPr>
            <w:r>
              <w:rPr>
                <w:rFonts w:ascii="Times New Roman" w:cs="Times New Roman" w:eastAsia="Times New Roman" w:hAnsi="Times New Roman"/>
                <w:sz w:val="17"/>
                <w:szCs w:val="17"/>
                <w:color w:val="0000EE"/>
              </w:rPr>
              <w:t>Board of Directors Meetings and Attendance</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7"/>
                <w:szCs w:val="17"/>
                <w:color w:val="auto"/>
              </w:rPr>
              <w:t>16</w:t>
            </w:r>
          </w:p>
        </w:tc>
      </w:tr>
      <w:tr>
        <w:trPr>
          <w:trHeight w:val="182"/>
        </w:trPr>
        <w:tc>
          <w:tcPr>
            <w:tcW w:w="500" w:type="dxa"/>
            <w:vAlign w:val="bottom"/>
          </w:tcPr>
          <w:p>
            <w:pPr>
              <w:spacing w:after="0"/>
              <w:rPr>
                <w:sz w:val="15"/>
                <w:szCs w:val="15"/>
                <w:color w:val="auto"/>
              </w:rPr>
            </w:pPr>
          </w:p>
        </w:tc>
        <w:tc>
          <w:tcPr>
            <w:tcW w:w="1540" w:type="dxa"/>
            <w:vAlign w:val="bottom"/>
            <w:tcBorders>
              <w:top w:val="single" w:sz="8" w:color="0000EE"/>
              <w:bottom w:val="single" w:sz="8" w:color="0000EE"/>
            </w:tcBorders>
            <w:gridSpan w:val="9"/>
          </w:tcPr>
          <w:p>
            <w:pPr>
              <w:spacing w:after="0" w:line="182" w:lineRule="exact"/>
              <w:rPr>
                <w:sz w:val="20"/>
                <w:szCs w:val="20"/>
                <w:color w:val="auto"/>
              </w:rPr>
            </w:pPr>
            <w:r>
              <w:rPr>
                <w:rFonts w:ascii="Times New Roman" w:cs="Times New Roman" w:eastAsia="Times New Roman" w:hAnsi="Times New Roman"/>
                <w:sz w:val="17"/>
                <w:szCs w:val="17"/>
                <w:color w:val="0000EE"/>
                <w:w w:val="97"/>
              </w:rPr>
              <w:t>Director Independence</w:t>
            </w:r>
          </w:p>
        </w:tc>
        <w:tc>
          <w:tcPr>
            <w:tcW w:w="1480" w:type="dxa"/>
            <w:vAlign w:val="bottom"/>
            <w:tcBorders>
              <w:top w:val="single" w:sz="8" w:color="0000EE"/>
            </w:tcBorders>
            <w:gridSpan w:val="23"/>
          </w:tcPr>
          <w:p>
            <w:pPr>
              <w:spacing w:after="0"/>
              <w:rPr>
                <w:sz w:val="15"/>
                <w:szCs w:val="15"/>
                <w:color w:val="auto"/>
              </w:rPr>
            </w:pPr>
          </w:p>
        </w:tc>
        <w:tc>
          <w:tcPr>
            <w:tcW w:w="4620" w:type="dxa"/>
            <w:vAlign w:val="bottom"/>
            <w:gridSpan w:val="10"/>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7"/>
                <w:szCs w:val="17"/>
                <w:color w:val="auto"/>
              </w:rPr>
              <w:t>16</w:t>
            </w:r>
          </w:p>
        </w:tc>
      </w:tr>
      <w:tr>
        <w:trPr>
          <w:trHeight w:val="182"/>
        </w:trPr>
        <w:tc>
          <w:tcPr>
            <w:tcW w:w="500" w:type="dxa"/>
            <w:vAlign w:val="bottom"/>
          </w:tcPr>
          <w:p>
            <w:pPr>
              <w:spacing w:after="0"/>
              <w:rPr>
                <w:sz w:val="15"/>
                <w:szCs w:val="15"/>
                <w:color w:val="auto"/>
              </w:rPr>
            </w:pPr>
          </w:p>
        </w:tc>
        <w:tc>
          <w:tcPr>
            <w:tcW w:w="1860" w:type="dxa"/>
            <w:vAlign w:val="bottom"/>
            <w:tcBorders>
              <w:bottom w:val="single" w:sz="8" w:color="0000EE"/>
            </w:tcBorders>
            <w:gridSpan w:val="15"/>
          </w:tcPr>
          <w:p>
            <w:pPr>
              <w:spacing w:after="0" w:line="182" w:lineRule="exact"/>
              <w:rPr>
                <w:sz w:val="20"/>
                <w:szCs w:val="20"/>
                <w:color w:val="auto"/>
              </w:rPr>
            </w:pPr>
            <w:r>
              <w:rPr>
                <w:rFonts w:ascii="Times New Roman" w:cs="Times New Roman" w:eastAsia="Times New Roman" w:hAnsi="Times New Roman"/>
                <w:sz w:val="17"/>
                <w:szCs w:val="17"/>
                <w:color w:val="0000EE"/>
                <w:w w:val="97"/>
              </w:rPr>
              <w:t>Board Leadership Structure</w:t>
            </w:r>
          </w:p>
        </w:tc>
        <w:tc>
          <w:tcPr>
            <w:tcW w:w="5780" w:type="dxa"/>
            <w:vAlign w:val="bottom"/>
            <w:gridSpan w:val="27"/>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7"/>
                <w:szCs w:val="17"/>
                <w:color w:val="auto"/>
              </w:rPr>
              <w:t>16</w:t>
            </w:r>
          </w:p>
        </w:tc>
      </w:tr>
      <w:tr>
        <w:trPr>
          <w:trHeight w:val="182"/>
        </w:trPr>
        <w:tc>
          <w:tcPr>
            <w:tcW w:w="500" w:type="dxa"/>
            <w:vAlign w:val="bottom"/>
          </w:tcPr>
          <w:p>
            <w:pPr>
              <w:spacing w:after="0"/>
              <w:rPr>
                <w:sz w:val="15"/>
                <w:szCs w:val="15"/>
                <w:color w:val="auto"/>
              </w:rPr>
            </w:pPr>
          </w:p>
        </w:tc>
        <w:tc>
          <w:tcPr>
            <w:tcW w:w="3500" w:type="dxa"/>
            <w:vAlign w:val="bottom"/>
            <w:tcBorders>
              <w:bottom w:val="single" w:sz="8" w:color="0000EE"/>
            </w:tcBorders>
            <w:gridSpan w:val="34"/>
          </w:tcPr>
          <w:p>
            <w:pPr>
              <w:spacing w:after="0" w:line="182" w:lineRule="exact"/>
              <w:rPr>
                <w:sz w:val="20"/>
                <w:szCs w:val="20"/>
                <w:color w:val="auto"/>
              </w:rPr>
            </w:pPr>
            <w:r>
              <w:rPr>
                <w:rFonts w:ascii="Times New Roman" w:cs="Times New Roman" w:eastAsia="Times New Roman" w:hAnsi="Times New Roman"/>
                <w:sz w:val="17"/>
                <w:szCs w:val="17"/>
                <w:color w:val="0000EE"/>
                <w:w w:val="98"/>
              </w:rPr>
              <w:t>Committees of Our Board of Directors During 2024</w:t>
            </w:r>
          </w:p>
        </w:tc>
        <w:tc>
          <w:tcPr>
            <w:tcW w:w="4140" w:type="dxa"/>
            <w:vAlign w:val="bottom"/>
            <w:gridSpan w:val="8"/>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7"/>
                <w:szCs w:val="17"/>
                <w:color w:val="auto"/>
              </w:rPr>
              <w:t>17</w:t>
            </w:r>
          </w:p>
        </w:tc>
      </w:tr>
      <w:tr>
        <w:trPr>
          <w:trHeight w:val="182"/>
        </w:trPr>
        <w:tc>
          <w:tcPr>
            <w:tcW w:w="500" w:type="dxa"/>
            <w:vAlign w:val="bottom"/>
          </w:tcPr>
          <w:p>
            <w:pPr>
              <w:spacing w:after="0"/>
              <w:rPr>
                <w:sz w:val="15"/>
                <w:szCs w:val="15"/>
                <w:color w:val="auto"/>
              </w:rPr>
            </w:pPr>
          </w:p>
        </w:tc>
        <w:tc>
          <w:tcPr>
            <w:tcW w:w="2820" w:type="dxa"/>
            <w:vAlign w:val="bottom"/>
            <w:tcBorders>
              <w:bottom w:val="single" w:sz="8" w:color="0000EE"/>
            </w:tcBorders>
            <w:gridSpan w:val="28"/>
          </w:tcPr>
          <w:p>
            <w:pPr>
              <w:spacing w:after="0" w:line="182" w:lineRule="exact"/>
              <w:rPr>
                <w:sz w:val="20"/>
                <w:szCs w:val="20"/>
                <w:color w:val="auto"/>
              </w:rPr>
            </w:pPr>
            <w:r>
              <w:rPr>
                <w:rFonts w:ascii="Times New Roman" w:cs="Times New Roman" w:eastAsia="Times New Roman" w:hAnsi="Times New Roman"/>
                <w:sz w:val="17"/>
                <w:szCs w:val="17"/>
                <w:color w:val="0000EE"/>
                <w:w w:val="98"/>
              </w:rPr>
              <w:t>Information About the Board of Directors</w:t>
            </w:r>
          </w:p>
        </w:tc>
        <w:tc>
          <w:tcPr>
            <w:tcW w:w="4820" w:type="dxa"/>
            <w:vAlign w:val="bottom"/>
            <w:gridSpan w:val="14"/>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7"/>
                <w:szCs w:val="17"/>
                <w:color w:val="auto"/>
              </w:rPr>
              <w:t>19</w:t>
            </w:r>
          </w:p>
        </w:tc>
      </w:tr>
      <w:tr>
        <w:trPr>
          <w:trHeight w:val="182"/>
        </w:trPr>
        <w:tc>
          <w:tcPr>
            <w:tcW w:w="500" w:type="dxa"/>
            <w:vAlign w:val="bottom"/>
          </w:tcPr>
          <w:p>
            <w:pPr>
              <w:spacing w:after="0"/>
              <w:rPr>
                <w:sz w:val="15"/>
                <w:szCs w:val="15"/>
                <w:color w:val="auto"/>
              </w:rPr>
            </w:pPr>
          </w:p>
        </w:tc>
        <w:tc>
          <w:tcPr>
            <w:tcW w:w="1160" w:type="dxa"/>
            <w:vAlign w:val="bottom"/>
            <w:tcBorders>
              <w:bottom w:val="single" w:sz="8" w:color="0000EE"/>
            </w:tcBorders>
            <w:gridSpan w:val="6"/>
          </w:tcPr>
          <w:p>
            <w:pPr>
              <w:spacing w:after="0" w:line="182" w:lineRule="exact"/>
              <w:rPr>
                <w:sz w:val="20"/>
                <w:szCs w:val="20"/>
                <w:color w:val="auto"/>
              </w:rPr>
            </w:pPr>
            <w:r>
              <w:rPr>
                <w:rFonts w:ascii="Times New Roman" w:cs="Times New Roman" w:eastAsia="Times New Roman" w:hAnsi="Times New Roman"/>
                <w:sz w:val="17"/>
                <w:szCs w:val="17"/>
                <w:color w:val="0000EE"/>
                <w:w w:val="98"/>
              </w:rPr>
              <w:t>Code of Conduct</w:t>
            </w:r>
          </w:p>
        </w:tc>
        <w:tc>
          <w:tcPr>
            <w:tcW w:w="6480" w:type="dxa"/>
            <w:vAlign w:val="bottom"/>
            <w:gridSpan w:val="36"/>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7"/>
                <w:szCs w:val="17"/>
                <w:color w:val="auto"/>
              </w:rPr>
              <w:t>19</w:t>
            </w:r>
          </w:p>
        </w:tc>
      </w:tr>
      <w:tr>
        <w:trPr>
          <w:trHeight w:val="182"/>
        </w:trPr>
        <w:tc>
          <w:tcPr>
            <w:tcW w:w="500" w:type="dxa"/>
            <w:vAlign w:val="bottom"/>
          </w:tcPr>
          <w:p>
            <w:pPr>
              <w:spacing w:after="0"/>
              <w:rPr>
                <w:sz w:val="15"/>
                <w:szCs w:val="15"/>
                <w:color w:val="auto"/>
              </w:rPr>
            </w:pPr>
          </w:p>
        </w:tc>
        <w:tc>
          <w:tcPr>
            <w:tcW w:w="1020" w:type="dxa"/>
            <w:vAlign w:val="bottom"/>
            <w:tcBorders>
              <w:bottom w:val="single" w:sz="8" w:color="0000EE"/>
            </w:tcBorders>
            <w:gridSpan w:val="4"/>
          </w:tcPr>
          <w:p>
            <w:pPr>
              <w:spacing w:after="0" w:line="182" w:lineRule="exact"/>
              <w:rPr>
                <w:sz w:val="20"/>
                <w:szCs w:val="20"/>
                <w:color w:val="auto"/>
              </w:rPr>
            </w:pPr>
            <w:r>
              <w:rPr>
                <w:rFonts w:ascii="Times New Roman" w:cs="Times New Roman" w:eastAsia="Times New Roman" w:hAnsi="Times New Roman"/>
                <w:sz w:val="17"/>
                <w:szCs w:val="17"/>
                <w:color w:val="0000EE"/>
                <w:w w:val="97"/>
              </w:rPr>
              <w:t>Risk Oversight</w:t>
            </w:r>
          </w:p>
        </w:tc>
        <w:tc>
          <w:tcPr>
            <w:tcW w:w="6620" w:type="dxa"/>
            <w:vAlign w:val="bottom"/>
            <w:gridSpan w:val="38"/>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7"/>
                <w:szCs w:val="17"/>
                <w:color w:val="auto"/>
              </w:rPr>
              <w:t>19</w:t>
            </w:r>
          </w:p>
        </w:tc>
      </w:tr>
      <w:tr>
        <w:trPr>
          <w:trHeight w:val="182"/>
        </w:trPr>
        <w:tc>
          <w:tcPr>
            <w:tcW w:w="500" w:type="dxa"/>
            <w:vAlign w:val="bottom"/>
          </w:tcPr>
          <w:p>
            <w:pPr>
              <w:spacing w:after="0"/>
              <w:rPr>
                <w:sz w:val="15"/>
                <w:szCs w:val="15"/>
                <w:color w:val="auto"/>
              </w:rPr>
            </w:pPr>
          </w:p>
        </w:tc>
        <w:tc>
          <w:tcPr>
            <w:tcW w:w="1960" w:type="dxa"/>
            <w:vAlign w:val="bottom"/>
            <w:tcBorders>
              <w:bottom w:val="single" w:sz="8" w:color="0000EE"/>
            </w:tcBorders>
            <w:gridSpan w:val="17"/>
          </w:tcPr>
          <w:p>
            <w:pPr>
              <w:spacing w:after="0" w:line="182" w:lineRule="exact"/>
              <w:rPr>
                <w:sz w:val="20"/>
                <w:szCs w:val="20"/>
                <w:color w:val="auto"/>
              </w:rPr>
            </w:pPr>
            <w:r>
              <w:rPr>
                <w:rFonts w:ascii="Times New Roman" w:cs="Times New Roman" w:eastAsia="Times New Roman" w:hAnsi="Times New Roman"/>
                <w:sz w:val="17"/>
                <w:szCs w:val="17"/>
                <w:color w:val="0000EE"/>
                <w:w w:val="97"/>
              </w:rPr>
              <w:t>Director Nomination Process</w:t>
            </w:r>
          </w:p>
        </w:tc>
        <w:tc>
          <w:tcPr>
            <w:tcW w:w="5680" w:type="dxa"/>
            <w:vAlign w:val="bottom"/>
            <w:gridSpan w:val="25"/>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7"/>
                <w:szCs w:val="17"/>
                <w:color w:val="auto"/>
              </w:rPr>
              <w:t>20</w:t>
            </w:r>
          </w:p>
        </w:tc>
      </w:tr>
      <w:tr>
        <w:trPr>
          <w:trHeight w:val="182"/>
        </w:trPr>
        <w:tc>
          <w:tcPr>
            <w:tcW w:w="500" w:type="dxa"/>
            <w:vAlign w:val="bottom"/>
          </w:tcPr>
          <w:p>
            <w:pPr>
              <w:spacing w:after="0"/>
              <w:rPr>
                <w:sz w:val="15"/>
                <w:szCs w:val="15"/>
                <w:color w:val="auto"/>
              </w:rPr>
            </w:pPr>
          </w:p>
        </w:tc>
        <w:tc>
          <w:tcPr>
            <w:tcW w:w="2020" w:type="dxa"/>
            <w:vAlign w:val="bottom"/>
            <w:tcBorders>
              <w:bottom w:val="single" w:sz="8" w:color="0000EE"/>
            </w:tcBorders>
            <w:gridSpan w:val="18"/>
          </w:tcPr>
          <w:p>
            <w:pPr>
              <w:spacing w:after="0" w:line="182" w:lineRule="exact"/>
              <w:rPr>
                <w:sz w:val="20"/>
                <w:szCs w:val="20"/>
                <w:color w:val="auto"/>
              </w:rPr>
            </w:pPr>
            <w:r>
              <w:rPr>
                <w:rFonts w:ascii="Times New Roman" w:cs="Times New Roman" w:eastAsia="Times New Roman" w:hAnsi="Times New Roman"/>
                <w:sz w:val="17"/>
                <w:szCs w:val="17"/>
                <w:color w:val="0000EE"/>
                <w:w w:val="98"/>
              </w:rPr>
              <w:t>Annual Elections of Directors</w:t>
            </w:r>
          </w:p>
        </w:tc>
        <w:tc>
          <w:tcPr>
            <w:tcW w:w="5620" w:type="dxa"/>
            <w:vAlign w:val="bottom"/>
            <w:gridSpan w:val="24"/>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7"/>
                <w:szCs w:val="17"/>
                <w:color w:val="auto"/>
              </w:rPr>
              <w:t>21</w:t>
            </w:r>
          </w:p>
        </w:tc>
      </w:tr>
      <w:tr>
        <w:trPr>
          <w:trHeight w:val="182"/>
        </w:trPr>
        <w:tc>
          <w:tcPr>
            <w:tcW w:w="500" w:type="dxa"/>
            <w:vAlign w:val="bottom"/>
          </w:tcPr>
          <w:p>
            <w:pPr>
              <w:spacing w:after="0"/>
              <w:rPr>
                <w:sz w:val="15"/>
                <w:szCs w:val="15"/>
                <w:color w:val="auto"/>
              </w:rPr>
            </w:pPr>
          </w:p>
        </w:tc>
        <w:tc>
          <w:tcPr>
            <w:tcW w:w="1760" w:type="dxa"/>
            <w:vAlign w:val="bottom"/>
            <w:tcBorders>
              <w:bottom w:val="single" w:sz="8" w:color="0000EE"/>
            </w:tcBorders>
            <w:gridSpan w:val="12"/>
          </w:tcPr>
          <w:p>
            <w:pPr>
              <w:spacing w:after="0" w:line="182" w:lineRule="exact"/>
              <w:rPr>
                <w:sz w:val="20"/>
                <w:szCs w:val="20"/>
                <w:color w:val="auto"/>
              </w:rPr>
            </w:pPr>
            <w:r>
              <w:rPr>
                <w:rFonts w:ascii="Times New Roman" w:cs="Times New Roman" w:eastAsia="Times New Roman" w:hAnsi="Times New Roman"/>
                <w:sz w:val="17"/>
                <w:szCs w:val="17"/>
                <w:color w:val="0000EE"/>
                <w:w w:val="96"/>
              </w:rPr>
              <w:t>Policy on Majority Voting</w:t>
            </w:r>
          </w:p>
        </w:tc>
        <w:tc>
          <w:tcPr>
            <w:tcW w:w="5880" w:type="dxa"/>
            <w:vAlign w:val="bottom"/>
            <w:gridSpan w:val="30"/>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7"/>
                <w:szCs w:val="17"/>
                <w:color w:val="auto"/>
              </w:rPr>
              <w:t>22</w:t>
            </w:r>
          </w:p>
        </w:tc>
      </w:tr>
      <w:tr>
        <w:trPr>
          <w:trHeight w:val="182"/>
        </w:trPr>
        <w:tc>
          <w:tcPr>
            <w:tcW w:w="500" w:type="dxa"/>
            <w:vAlign w:val="bottom"/>
          </w:tcPr>
          <w:p>
            <w:pPr>
              <w:spacing w:after="0"/>
              <w:rPr>
                <w:sz w:val="15"/>
                <w:szCs w:val="15"/>
                <w:color w:val="auto"/>
              </w:rPr>
            </w:pPr>
          </w:p>
        </w:tc>
        <w:tc>
          <w:tcPr>
            <w:tcW w:w="4180" w:type="dxa"/>
            <w:vAlign w:val="bottom"/>
            <w:tcBorders>
              <w:bottom w:val="single" w:sz="8" w:color="0000EE"/>
            </w:tcBorders>
            <w:gridSpan w:val="38"/>
          </w:tcPr>
          <w:p>
            <w:pPr>
              <w:spacing w:after="0" w:line="182" w:lineRule="exact"/>
              <w:rPr>
                <w:sz w:val="20"/>
                <w:szCs w:val="20"/>
                <w:color w:val="auto"/>
              </w:rPr>
            </w:pPr>
            <w:r>
              <w:rPr>
                <w:rFonts w:ascii="Times New Roman" w:cs="Times New Roman" w:eastAsia="Times New Roman" w:hAnsi="Times New Roman"/>
                <w:sz w:val="17"/>
                <w:szCs w:val="17"/>
                <w:color w:val="0000EE"/>
                <w:w w:val="98"/>
              </w:rPr>
              <w:t>Compensation Committee Interlocks and Insider Participation</w:t>
            </w:r>
          </w:p>
        </w:tc>
        <w:tc>
          <w:tcPr>
            <w:tcW w:w="3460" w:type="dxa"/>
            <w:vAlign w:val="bottom"/>
            <w:gridSpan w:val="4"/>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7"/>
                <w:szCs w:val="17"/>
                <w:color w:val="auto"/>
              </w:rPr>
              <w:t>22</w:t>
            </w:r>
          </w:p>
        </w:tc>
      </w:tr>
      <w:tr>
        <w:trPr>
          <w:trHeight w:val="182"/>
        </w:trPr>
        <w:tc>
          <w:tcPr>
            <w:tcW w:w="500" w:type="dxa"/>
            <w:vAlign w:val="bottom"/>
          </w:tcPr>
          <w:p>
            <w:pPr>
              <w:spacing w:after="0"/>
              <w:rPr>
                <w:sz w:val="15"/>
                <w:szCs w:val="15"/>
                <w:color w:val="auto"/>
              </w:rPr>
            </w:pPr>
          </w:p>
        </w:tc>
        <w:tc>
          <w:tcPr>
            <w:tcW w:w="3900" w:type="dxa"/>
            <w:vAlign w:val="bottom"/>
            <w:tcBorders>
              <w:bottom w:val="single" w:sz="8" w:color="0000EE"/>
            </w:tcBorders>
            <w:gridSpan w:val="36"/>
          </w:tcPr>
          <w:p>
            <w:pPr>
              <w:spacing w:after="0" w:line="182" w:lineRule="exact"/>
              <w:rPr>
                <w:sz w:val="20"/>
                <w:szCs w:val="20"/>
                <w:color w:val="auto"/>
              </w:rPr>
            </w:pPr>
            <w:r>
              <w:rPr>
                <w:rFonts w:ascii="Times New Roman" w:cs="Times New Roman" w:eastAsia="Times New Roman" w:hAnsi="Times New Roman"/>
                <w:sz w:val="17"/>
                <w:szCs w:val="17"/>
                <w:color w:val="0000EE"/>
                <w:w w:val="98"/>
              </w:rPr>
              <w:t>Stockholder Communications with the Board of Directors</w:t>
            </w:r>
          </w:p>
        </w:tc>
        <w:tc>
          <w:tcPr>
            <w:tcW w:w="3740" w:type="dxa"/>
            <w:vAlign w:val="bottom"/>
            <w:gridSpan w:val="6"/>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7"/>
                <w:szCs w:val="17"/>
                <w:color w:val="auto"/>
              </w:rPr>
              <w:t>22</w:t>
            </w:r>
          </w:p>
        </w:tc>
      </w:tr>
      <w:tr>
        <w:trPr>
          <w:trHeight w:val="182"/>
        </w:trPr>
        <w:tc>
          <w:tcPr>
            <w:tcW w:w="500" w:type="dxa"/>
            <w:vAlign w:val="bottom"/>
          </w:tcPr>
          <w:p>
            <w:pPr>
              <w:spacing w:after="0"/>
              <w:rPr>
                <w:sz w:val="15"/>
                <w:szCs w:val="15"/>
                <w:color w:val="auto"/>
              </w:rPr>
            </w:pPr>
          </w:p>
        </w:tc>
        <w:tc>
          <w:tcPr>
            <w:tcW w:w="1640" w:type="dxa"/>
            <w:vAlign w:val="bottom"/>
            <w:tcBorders>
              <w:bottom w:val="single" w:sz="8" w:color="0000EE"/>
            </w:tcBorders>
            <w:gridSpan w:val="10"/>
          </w:tcPr>
          <w:p>
            <w:pPr>
              <w:spacing w:after="0" w:line="182" w:lineRule="exact"/>
              <w:rPr>
                <w:sz w:val="20"/>
                <w:szCs w:val="20"/>
                <w:color w:val="auto"/>
              </w:rPr>
            </w:pPr>
            <w:r>
              <w:rPr>
                <w:rFonts w:ascii="Times New Roman" w:cs="Times New Roman" w:eastAsia="Times New Roman" w:hAnsi="Times New Roman"/>
                <w:sz w:val="17"/>
                <w:szCs w:val="17"/>
                <w:color w:val="0000EE"/>
                <w:w w:val="97"/>
              </w:rPr>
              <w:t>Stock Ownership Policy</w:t>
            </w:r>
          </w:p>
        </w:tc>
        <w:tc>
          <w:tcPr>
            <w:tcW w:w="6000" w:type="dxa"/>
            <w:vAlign w:val="bottom"/>
            <w:gridSpan w:val="3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7"/>
                <w:szCs w:val="17"/>
                <w:color w:val="auto"/>
              </w:rPr>
              <w:t>22</w:t>
            </w:r>
          </w:p>
        </w:tc>
      </w:tr>
      <w:tr>
        <w:trPr>
          <w:trHeight w:val="182"/>
        </w:trPr>
        <w:tc>
          <w:tcPr>
            <w:tcW w:w="500" w:type="dxa"/>
            <w:vAlign w:val="bottom"/>
          </w:tcPr>
          <w:p>
            <w:pPr>
              <w:spacing w:after="0"/>
              <w:rPr>
                <w:sz w:val="15"/>
                <w:szCs w:val="15"/>
                <w:color w:val="auto"/>
              </w:rPr>
            </w:pPr>
          </w:p>
        </w:tc>
        <w:tc>
          <w:tcPr>
            <w:tcW w:w="7640" w:type="dxa"/>
            <w:vAlign w:val="bottom"/>
            <w:gridSpan w:val="42"/>
          </w:tcPr>
          <w:p>
            <w:pPr>
              <w:spacing w:after="0" w:line="182" w:lineRule="exact"/>
              <w:rPr>
                <w:sz w:val="20"/>
                <w:szCs w:val="20"/>
                <w:color w:val="auto"/>
              </w:rPr>
            </w:pPr>
            <w:r>
              <w:rPr>
                <w:rFonts w:ascii="Times New Roman" w:cs="Times New Roman" w:eastAsia="Times New Roman" w:hAnsi="Times New Roman"/>
                <w:sz w:val="17"/>
                <w:szCs w:val="17"/>
                <w:color w:val="0000EE"/>
              </w:rPr>
              <w:t>Anti-Hedging and Anti-Pledging Policy</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7"/>
                <w:szCs w:val="17"/>
                <w:color w:val="auto"/>
              </w:rPr>
              <w:t>23</w:t>
            </w:r>
          </w:p>
        </w:tc>
      </w:tr>
      <w:tr>
        <w:trPr>
          <w:trHeight w:val="182"/>
        </w:trPr>
        <w:tc>
          <w:tcPr>
            <w:tcW w:w="500" w:type="dxa"/>
            <w:vAlign w:val="bottom"/>
          </w:tcPr>
          <w:p>
            <w:pPr>
              <w:spacing w:after="0"/>
              <w:rPr>
                <w:sz w:val="15"/>
                <w:szCs w:val="15"/>
                <w:color w:val="auto"/>
              </w:rPr>
            </w:pPr>
          </w:p>
        </w:tc>
        <w:tc>
          <w:tcPr>
            <w:tcW w:w="1820" w:type="dxa"/>
            <w:vAlign w:val="bottom"/>
            <w:tcBorders>
              <w:top w:val="single" w:sz="8" w:color="0000EE"/>
              <w:bottom w:val="single" w:sz="8" w:color="0000EE"/>
            </w:tcBorders>
            <w:gridSpan w:val="14"/>
          </w:tcPr>
          <w:p>
            <w:pPr>
              <w:spacing w:after="0" w:line="182" w:lineRule="exact"/>
              <w:rPr>
                <w:sz w:val="20"/>
                <w:szCs w:val="20"/>
                <w:color w:val="auto"/>
              </w:rPr>
            </w:pPr>
            <w:r>
              <w:rPr>
                <w:rFonts w:ascii="Times New Roman" w:cs="Times New Roman" w:eastAsia="Times New Roman" w:hAnsi="Times New Roman"/>
                <w:sz w:val="17"/>
                <w:szCs w:val="17"/>
                <w:color w:val="0000EE"/>
                <w:w w:val="97"/>
              </w:rPr>
              <w:t>Compensation of Directors</w:t>
            </w:r>
          </w:p>
        </w:tc>
        <w:tc>
          <w:tcPr>
            <w:tcW w:w="860" w:type="dxa"/>
            <w:vAlign w:val="bottom"/>
            <w:tcBorders>
              <w:top w:val="single" w:sz="8" w:color="0000EE"/>
            </w:tcBorders>
            <w:gridSpan w:val="13"/>
          </w:tcPr>
          <w:p>
            <w:pPr>
              <w:spacing w:after="0"/>
              <w:rPr>
                <w:sz w:val="15"/>
                <w:szCs w:val="15"/>
                <w:color w:val="auto"/>
              </w:rPr>
            </w:pPr>
          </w:p>
        </w:tc>
        <w:tc>
          <w:tcPr>
            <w:tcW w:w="4960" w:type="dxa"/>
            <w:vAlign w:val="bottom"/>
            <w:gridSpan w:val="15"/>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7"/>
                <w:szCs w:val="17"/>
                <w:color w:val="auto"/>
              </w:rPr>
              <w:t>24</w:t>
            </w:r>
          </w:p>
        </w:tc>
      </w:tr>
      <w:tr>
        <w:trPr>
          <w:trHeight w:val="182"/>
        </w:trPr>
        <w:tc>
          <w:tcPr>
            <w:tcW w:w="500" w:type="dxa"/>
            <w:vAlign w:val="bottom"/>
          </w:tcPr>
          <w:p>
            <w:pPr>
              <w:spacing w:after="0"/>
              <w:rPr>
                <w:sz w:val="15"/>
                <w:szCs w:val="15"/>
                <w:color w:val="auto"/>
              </w:rPr>
            </w:pPr>
          </w:p>
        </w:tc>
        <w:tc>
          <w:tcPr>
            <w:tcW w:w="7640" w:type="dxa"/>
            <w:vAlign w:val="bottom"/>
            <w:gridSpan w:val="42"/>
          </w:tcPr>
          <w:p>
            <w:pPr>
              <w:spacing w:after="0" w:line="182" w:lineRule="exact"/>
              <w:rPr>
                <w:sz w:val="20"/>
                <w:szCs w:val="20"/>
                <w:color w:val="auto"/>
              </w:rPr>
            </w:pPr>
            <w:r>
              <w:rPr>
                <w:rFonts w:ascii="Times New Roman" w:cs="Times New Roman" w:eastAsia="Times New Roman" w:hAnsi="Times New Roman"/>
                <w:sz w:val="17"/>
                <w:szCs w:val="17"/>
                <w:color w:val="0000EE"/>
              </w:rPr>
              <w:t>2024 Director Compensation</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7"/>
                <w:szCs w:val="17"/>
                <w:color w:val="auto"/>
              </w:rPr>
              <w:t>25</w:t>
            </w:r>
          </w:p>
        </w:tc>
      </w:tr>
      <w:tr>
        <w:trPr>
          <w:trHeight w:val="20"/>
        </w:trPr>
        <w:tc>
          <w:tcPr>
            <w:tcW w:w="5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520" w:type="dxa"/>
            <w:vAlign w:val="bottom"/>
            <w:gridSpan w:val="6"/>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34"/>
        </w:trPr>
        <w:tc>
          <w:tcPr>
            <w:tcW w:w="8140" w:type="dxa"/>
            <w:vAlign w:val="bottom"/>
            <w:gridSpan w:val="43"/>
          </w:tcPr>
          <w:p>
            <w:pPr>
              <w:spacing w:after="0"/>
              <w:rPr>
                <w:sz w:val="20"/>
                <w:szCs w:val="20"/>
                <w:color w:val="auto"/>
              </w:rPr>
            </w:pPr>
            <w:r>
              <w:rPr>
                <w:rFonts w:ascii="Times New Roman" w:cs="Times New Roman" w:eastAsia="Times New Roman" w:hAnsi="Times New Roman"/>
                <w:sz w:val="17"/>
                <w:szCs w:val="17"/>
                <w:color w:val="0000EE"/>
              </w:rPr>
              <w:t>PROPOSAL NO. 1 ELECTION OF DIRECTORS</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334"/>
        </w:trPr>
        <w:tc>
          <w:tcPr>
            <w:tcW w:w="500" w:type="dxa"/>
            <w:vAlign w:val="bottom"/>
            <w:tcBorders>
              <w:top w:val="single" w:sz="8" w:color="0000EE"/>
            </w:tcBorders>
          </w:tcPr>
          <w:p>
            <w:pPr>
              <w:spacing w:after="0"/>
              <w:rPr>
                <w:sz w:val="24"/>
                <w:szCs w:val="24"/>
                <w:color w:val="auto"/>
              </w:rPr>
            </w:pPr>
          </w:p>
        </w:tc>
        <w:tc>
          <w:tcPr>
            <w:tcW w:w="2620" w:type="dxa"/>
            <w:vAlign w:val="bottom"/>
            <w:tcBorders>
              <w:top w:val="single" w:sz="8" w:color="0000EE"/>
              <w:bottom w:val="single" w:sz="8" w:color="0000EE"/>
            </w:tcBorders>
            <w:gridSpan w:val="25"/>
          </w:tcPr>
          <w:p>
            <w:pPr>
              <w:spacing w:after="0"/>
              <w:rPr>
                <w:sz w:val="20"/>
                <w:szCs w:val="20"/>
                <w:color w:val="auto"/>
              </w:rPr>
            </w:pPr>
            <w:r>
              <w:rPr>
                <w:rFonts w:ascii="Times New Roman" w:cs="Times New Roman" w:eastAsia="Times New Roman" w:hAnsi="Times New Roman"/>
                <w:sz w:val="17"/>
                <w:szCs w:val="17"/>
                <w:color w:val="0000EE"/>
                <w:w w:val="98"/>
              </w:rPr>
              <w:t>Composition of our Board of Directors</w:t>
            </w:r>
          </w:p>
        </w:tc>
        <w:tc>
          <w:tcPr>
            <w:tcW w:w="300" w:type="dxa"/>
            <w:vAlign w:val="bottom"/>
            <w:tcBorders>
              <w:top w:val="single" w:sz="8" w:color="0000EE"/>
            </w:tcBorders>
            <w:gridSpan w:val="5"/>
          </w:tcPr>
          <w:p>
            <w:pPr>
              <w:spacing w:after="0"/>
              <w:rPr>
                <w:sz w:val="24"/>
                <w:szCs w:val="24"/>
                <w:color w:val="auto"/>
              </w:rPr>
            </w:pPr>
          </w:p>
        </w:tc>
        <w:tc>
          <w:tcPr>
            <w:tcW w:w="4720" w:type="dxa"/>
            <w:vAlign w:val="bottom"/>
            <w:gridSpan w:val="12"/>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182"/>
        </w:trPr>
        <w:tc>
          <w:tcPr>
            <w:tcW w:w="500" w:type="dxa"/>
            <w:vAlign w:val="bottom"/>
          </w:tcPr>
          <w:p>
            <w:pPr>
              <w:spacing w:after="0"/>
              <w:rPr>
                <w:sz w:val="15"/>
                <w:szCs w:val="15"/>
                <w:color w:val="auto"/>
              </w:rPr>
            </w:pPr>
          </w:p>
        </w:tc>
        <w:tc>
          <w:tcPr>
            <w:tcW w:w="2240" w:type="dxa"/>
            <w:vAlign w:val="bottom"/>
            <w:tcBorders>
              <w:bottom w:val="single" w:sz="8" w:color="0000EE"/>
            </w:tcBorders>
            <w:gridSpan w:val="21"/>
          </w:tcPr>
          <w:p>
            <w:pPr>
              <w:spacing w:after="0" w:line="182" w:lineRule="exact"/>
              <w:rPr>
                <w:sz w:val="20"/>
                <w:szCs w:val="20"/>
                <w:color w:val="auto"/>
              </w:rPr>
            </w:pPr>
            <w:r>
              <w:rPr>
                <w:rFonts w:ascii="Times New Roman" w:cs="Times New Roman" w:eastAsia="Times New Roman" w:hAnsi="Times New Roman"/>
                <w:sz w:val="17"/>
                <w:szCs w:val="17"/>
                <w:color w:val="0000EE"/>
                <w:w w:val="98"/>
              </w:rPr>
              <w:t>Directors and Director Nominees</w:t>
            </w:r>
          </w:p>
        </w:tc>
        <w:tc>
          <w:tcPr>
            <w:tcW w:w="5400" w:type="dxa"/>
            <w:vAlign w:val="bottom"/>
            <w:gridSpan w:val="21"/>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7"/>
                <w:szCs w:val="17"/>
                <w:color w:val="auto"/>
              </w:rPr>
              <w:t>26</w:t>
            </w:r>
          </w:p>
        </w:tc>
      </w:tr>
      <w:tr>
        <w:trPr>
          <w:trHeight w:val="334"/>
        </w:trPr>
        <w:tc>
          <w:tcPr>
            <w:tcW w:w="7520" w:type="dxa"/>
            <w:vAlign w:val="bottom"/>
            <w:tcBorders>
              <w:bottom w:val="single" w:sz="8" w:color="0000EE"/>
            </w:tcBorders>
            <w:gridSpan w:val="42"/>
          </w:tcPr>
          <w:p>
            <w:pPr>
              <w:spacing w:after="0"/>
              <w:rPr>
                <w:sz w:val="20"/>
                <w:szCs w:val="20"/>
                <w:color w:val="auto"/>
              </w:rPr>
            </w:pPr>
            <w:r>
              <w:rPr>
                <w:rFonts w:ascii="Times New Roman" w:cs="Times New Roman" w:eastAsia="Times New Roman" w:hAnsi="Times New Roman"/>
                <w:sz w:val="17"/>
                <w:szCs w:val="17"/>
                <w:color w:val="0000EE"/>
                <w:w w:val="98"/>
              </w:rPr>
              <w:t>PROPOSAL NO. 2 ADVISORY VOTE TO APPROVE NAMED EXECUTIVE OFFICER COMPENSATION</w:t>
            </w:r>
          </w:p>
        </w:tc>
        <w:tc>
          <w:tcPr>
            <w:tcW w:w="6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334"/>
        </w:trPr>
        <w:tc>
          <w:tcPr>
            <w:tcW w:w="8140" w:type="dxa"/>
            <w:vAlign w:val="bottom"/>
            <w:gridSpan w:val="43"/>
          </w:tcPr>
          <w:p>
            <w:pPr>
              <w:spacing w:after="0"/>
              <w:rPr>
                <w:sz w:val="20"/>
                <w:szCs w:val="20"/>
                <w:color w:val="auto"/>
              </w:rPr>
            </w:pPr>
            <w:r>
              <w:rPr>
                <w:rFonts w:ascii="Times New Roman" w:cs="Times New Roman" w:eastAsia="Times New Roman" w:hAnsi="Times New Roman"/>
                <w:sz w:val="17"/>
                <w:szCs w:val="17"/>
                <w:color w:val="0000EE"/>
              </w:rPr>
              <w:t>EXECUTIVE OFFICERS</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r>
      <w:tr>
        <w:trPr>
          <w:trHeight w:val="20"/>
        </w:trPr>
        <w:tc>
          <w:tcPr>
            <w:tcW w:w="800" w:type="dxa"/>
            <w:vAlign w:val="bottom"/>
            <w:gridSpan w:val="2"/>
            <w:shd w:val="clear" w:color="auto" w:fill="0000EE"/>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44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34"/>
        </w:trPr>
        <w:tc>
          <w:tcPr>
            <w:tcW w:w="230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7"/>
                <w:szCs w:val="17"/>
                <w:color w:val="0000EE"/>
                <w:w w:val="97"/>
              </w:rPr>
              <w:t>EXECUTIVE COMPENSATION</w:t>
            </w:r>
          </w:p>
        </w:tc>
        <w:tc>
          <w:tcPr>
            <w:tcW w:w="5840" w:type="dxa"/>
            <w:vAlign w:val="bottom"/>
            <w:gridSpan w:val="29"/>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334"/>
        </w:trPr>
        <w:tc>
          <w:tcPr>
            <w:tcW w:w="500" w:type="dxa"/>
            <w:vAlign w:val="bottom"/>
          </w:tcPr>
          <w:p>
            <w:pPr>
              <w:spacing w:after="0"/>
              <w:rPr>
                <w:sz w:val="24"/>
                <w:szCs w:val="24"/>
                <w:color w:val="auto"/>
              </w:rPr>
            </w:pPr>
          </w:p>
        </w:tc>
        <w:tc>
          <w:tcPr>
            <w:tcW w:w="7640" w:type="dxa"/>
            <w:vAlign w:val="bottom"/>
            <w:gridSpan w:val="42"/>
          </w:tcPr>
          <w:p>
            <w:pPr>
              <w:spacing w:after="0"/>
              <w:rPr>
                <w:sz w:val="20"/>
                <w:szCs w:val="20"/>
                <w:color w:val="auto"/>
              </w:rPr>
            </w:pPr>
            <w:r>
              <w:rPr>
                <w:rFonts w:ascii="Times New Roman" w:cs="Times New Roman" w:eastAsia="Times New Roman" w:hAnsi="Times New Roman"/>
                <w:sz w:val="17"/>
                <w:szCs w:val="17"/>
                <w:color w:val="0000EE"/>
              </w:rPr>
              <w:t>Compensation Discussion and Analysis</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182"/>
        </w:trPr>
        <w:tc>
          <w:tcPr>
            <w:tcW w:w="500" w:type="dxa"/>
            <w:vAlign w:val="bottom"/>
          </w:tcPr>
          <w:p>
            <w:pPr>
              <w:spacing w:after="0"/>
              <w:rPr>
                <w:sz w:val="15"/>
                <w:szCs w:val="15"/>
                <w:color w:val="auto"/>
              </w:rPr>
            </w:pPr>
          </w:p>
        </w:tc>
        <w:tc>
          <w:tcPr>
            <w:tcW w:w="2660" w:type="dxa"/>
            <w:vAlign w:val="bottom"/>
            <w:tcBorders>
              <w:top w:val="single" w:sz="8" w:color="0000EE"/>
            </w:tcBorders>
            <w:gridSpan w:val="26"/>
          </w:tcPr>
          <w:p>
            <w:pPr>
              <w:spacing w:after="0" w:line="182" w:lineRule="exact"/>
              <w:rPr>
                <w:sz w:val="20"/>
                <w:szCs w:val="20"/>
                <w:color w:val="auto"/>
              </w:rPr>
            </w:pPr>
            <w:r>
              <w:rPr>
                <w:rFonts w:ascii="Times New Roman" w:cs="Times New Roman" w:eastAsia="Times New Roman" w:hAnsi="Times New Roman"/>
                <w:sz w:val="17"/>
                <w:szCs w:val="17"/>
                <w:color w:val="0000EE"/>
              </w:rPr>
              <w:t>Clawback Policy</w:t>
            </w:r>
          </w:p>
        </w:tc>
        <w:tc>
          <w:tcPr>
            <w:tcW w:w="4980" w:type="dxa"/>
            <w:vAlign w:val="bottom"/>
            <w:gridSpan w:val="16"/>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7"/>
                <w:szCs w:val="17"/>
                <w:color w:val="auto"/>
              </w:rPr>
              <w:t>44</w:t>
            </w:r>
          </w:p>
        </w:tc>
      </w:tr>
      <w:tr>
        <w:trPr>
          <w:trHeight w:val="20"/>
        </w:trPr>
        <w:tc>
          <w:tcPr>
            <w:tcW w:w="5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1100" w:type="dxa"/>
            <w:vAlign w:val="bottom"/>
            <w:gridSpan w:val="1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8"/>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82"/>
        </w:trPr>
        <w:tc>
          <w:tcPr>
            <w:tcW w:w="500" w:type="dxa"/>
            <w:vAlign w:val="bottom"/>
          </w:tcPr>
          <w:p>
            <w:pPr>
              <w:spacing w:after="0"/>
              <w:rPr>
                <w:sz w:val="15"/>
                <w:szCs w:val="15"/>
                <w:color w:val="auto"/>
              </w:rPr>
            </w:pPr>
          </w:p>
        </w:tc>
        <w:tc>
          <w:tcPr>
            <w:tcW w:w="7640" w:type="dxa"/>
            <w:vAlign w:val="bottom"/>
            <w:gridSpan w:val="42"/>
          </w:tcPr>
          <w:p>
            <w:pPr>
              <w:spacing w:after="0" w:line="182" w:lineRule="exact"/>
              <w:rPr>
                <w:sz w:val="20"/>
                <w:szCs w:val="20"/>
                <w:color w:val="auto"/>
              </w:rPr>
            </w:pPr>
            <w:r>
              <w:rPr>
                <w:rFonts w:ascii="Times New Roman" w:cs="Times New Roman" w:eastAsia="Times New Roman" w:hAnsi="Times New Roman"/>
                <w:sz w:val="17"/>
                <w:szCs w:val="17"/>
                <w:color w:val="0000EE"/>
              </w:rPr>
              <w:t>Compensation of Named Executive Officers</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7"/>
                <w:szCs w:val="17"/>
                <w:color w:val="auto"/>
              </w:rPr>
              <w:t>46</w:t>
            </w:r>
          </w:p>
        </w:tc>
      </w:tr>
      <w:tr>
        <w:trPr>
          <w:trHeight w:val="182"/>
        </w:trPr>
        <w:tc>
          <w:tcPr>
            <w:tcW w:w="500" w:type="dxa"/>
            <w:vAlign w:val="bottom"/>
          </w:tcPr>
          <w:p>
            <w:pPr>
              <w:spacing w:after="0"/>
              <w:rPr>
                <w:sz w:val="15"/>
                <w:szCs w:val="15"/>
                <w:color w:val="auto"/>
              </w:rPr>
            </w:pPr>
          </w:p>
        </w:tc>
        <w:tc>
          <w:tcPr>
            <w:tcW w:w="2440" w:type="dxa"/>
            <w:vAlign w:val="bottom"/>
            <w:tcBorders>
              <w:top w:val="single" w:sz="8" w:color="0000EE"/>
              <w:bottom w:val="single" w:sz="8" w:color="0000EE"/>
            </w:tcBorders>
            <w:gridSpan w:val="23"/>
          </w:tcPr>
          <w:p>
            <w:pPr>
              <w:spacing w:after="0" w:line="182" w:lineRule="exact"/>
              <w:rPr>
                <w:sz w:val="20"/>
                <w:szCs w:val="20"/>
                <w:color w:val="auto"/>
              </w:rPr>
            </w:pPr>
            <w:r>
              <w:rPr>
                <w:rFonts w:ascii="Times New Roman" w:cs="Times New Roman" w:eastAsia="Times New Roman" w:hAnsi="Times New Roman"/>
                <w:sz w:val="17"/>
                <w:szCs w:val="17"/>
                <w:color w:val="0000EE"/>
                <w:w w:val="98"/>
              </w:rPr>
              <w:t>Executive Employment Agreements</w:t>
            </w:r>
          </w:p>
        </w:tc>
        <w:tc>
          <w:tcPr>
            <w:tcW w:w="540" w:type="dxa"/>
            <w:vAlign w:val="bottom"/>
            <w:tcBorders>
              <w:top w:val="single" w:sz="8" w:color="0000EE"/>
            </w:tcBorders>
            <w:gridSpan w:val="8"/>
          </w:tcPr>
          <w:p>
            <w:pPr>
              <w:spacing w:after="0"/>
              <w:rPr>
                <w:sz w:val="15"/>
                <w:szCs w:val="15"/>
                <w:color w:val="auto"/>
              </w:rPr>
            </w:pPr>
          </w:p>
        </w:tc>
        <w:tc>
          <w:tcPr>
            <w:tcW w:w="4660" w:type="dxa"/>
            <w:vAlign w:val="bottom"/>
            <w:gridSpan w:val="11"/>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7"/>
                <w:szCs w:val="17"/>
                <w:color w:val="auto"/>
              </w:rPr>
              <w:t>50</w:t>
            </w:r>
          </w:p>
        </w:tc>
      </w:tr>
      <w:tr>
        <w:trPr>
          <w:trHeight w:val="182"/>
        </w:trPr>
        <w:tc>
          <w:tcPr>
            <w:tcW w:w="500" w:type="dxa"/>
            <w:vAlign w:val="bottom"/>
          </w:tcPr>
          <w:p>
            <w:pPr>
              <w:spacing w:after="0"/>
              <w:rPr>
                <w:sz w:val="15"/>
                <w:szCs w:val="15"/>
                <w:color w:val="auto"/>
              </w:rPr>
            </w:pPr>
          </w:p>
        </w:tc>
        <w:tc>
          <w:tcPr>
            <w:tcW w:w="7640" w:type="dxa"/>
            <w:vAlign w:val="bottom"/>
            <w:gridSpan w:val="42"/>
          </w:tcPr>
          <w:p>
            <w:pPr>
              <w:spacing w:after="0" w:line="182" w:lineRule="exact"/>
              <w:rPr>
                <w:sz w:val="20"/>
                <w:szCs w:val="20"/>
                <w:color w:val="auto"/>
              </w:rPr>
            </w:pPr>
            <w:r>
              <w:rPr>
                <w:rFonts w:ascii="Times New Roman" w:cs="Times New Roman" w:eastAsia="Times New Roman" w:hAnsi="Times New Roman"/>
                <w:sz w:val="17"/>
                <w:szCs w:val="17"/>
                <w:color w:val="0000EE"/>
              </w:rPr>
              <w:t>Potential Payments upon Termination or Change in Control</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7"/>
                <w:szCs w:val="17"/>
                <w:color w:val="auto"/>
              </w:rPr>
              <w:t>52</w:t>
            </w:r>
          </w:p>
        </w:tc>
      </w:tr>
      <w:tr>
        <w:trPr>
          <w:trHeight w:val="182"/>
        </w:trPr>
        <w:tc>
          <w:tcPr>
            <w:tcW w:w="500" w:type="dxa"/>
            <w:vAlign w:val="bottom"/>
          </w:tcPr>
          <w:p>
            <w:pPr>
              <w:spacing w:after="0"/>
              <w:rPr>
                <w:sz w:val="15"/>
                <w:szCs w:val="15"/>
                <w:color w:val="auto"/>
              </w:rPr>
            </w:pPr>
          </w:p>
        </w:tc>
        <w:tc>
          <w:tcPr>
            <w:tcW w:w="4000" w:type="dxa"/>
            <w:vAlign w:val="bottom"/>
            <w:tcBorders>
              <w:top w:val="single" w:sz="8" w:color="0000EE"/>
            </w:tcBorders>
            <w:gridSpan w:val="37"/>
          </w:tcPr>
          <w:p>
            <w:pPr>
              <w:spacing w:after="0" w:line="182" w:lineRule="exact"/>
              <w:rPr>
                <w:sz w:val="20"/>
                <w:szCs w:val="20"/>
                <w:color w:val="auto"/>
              </w:rPr>
            </w:pPr>
            <w:r>
              <w:rPr>
                <w:rFonts w:ascii="Times New Roman" w:cs="Times New Roman" w:eastAsia="Times New Roman" w:hAnsi="Times New Roman"/>
                <w:sz w:val="17"/>
                <w:szCs w:val="17"/>
                <w:color w:val="0000EE"/>
              </w:rPr>
              <w:t>Pay vs. Performance Comparison</w:t>
            </w:r>
          </w:p>
        </w:tc>
        <w:tc>
          <w:tcPr>
            <w:tcW w:w="3640" w:type="dxa"/>
            <w:vAlign w:val="bottom"/>
            <w:gridSpan w:val="5"/>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7"/>
                <w:szCs w:val="17"/>
                <w:color w:val="auto"/>
              </w:rPr>
              <w:t>53</w:t>
            </w:r>
          </w:p>
        </w:tc>
      </w:tr>
      <w:tr>
        <w:trPr>
          <w:trHeight w:val="20"/>
        </w:trPr>
        <w:tc>
          <w:tcPr>
            <w:tcW w:w="5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940" w:type="dxa"/>
            <w:vAlign w:val="bottom"/>
            <w:gridSpan w:val="20"/>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40" w:type="dxa"/>
            <w:vAlign w:val="bottom"/>
            <w:gridSpan w:val="17"/>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82"/>
        </w:trPr>
        <w:tc>
          <w:tcPr>
            <w:tcW w:w="500" w:type="dxa"/>
            <w:vAlign w:val="bottom"/>
          </w:tcPr>
          <w:p>
            <w:pPr>
              <w:spacing w:after="0"/>
              <w:rPr>
                <w:sz w:val="15"/>
                <w:szCs w:val="15"/>
                <w:color w:val="auto"/>
              </w:rPr>
            </w:pPr>
          </w:p>
        </w:tc>
        <w:tc>
          <w:tcPr>
            <w:tcW w:w="2320" w:type="dxa"/>
            <w:vAlign w:val="bottom"/>
            <w:tcBorders>
              <w:bottom w:val="single" w:sz="8" w:color="0000EE"/>
            </w:tcBorders>
            <w:gridSpan w:val="22"/>
          </w:tcPr>
          <w:p>
            <w:pPr>
              <w:spacing w:after="0" w:line="182" w:lineRule="exact"/>
              <w:rPr>
                <w:sz w:val="20"/>
                <w:szCs w:val="20"/>
                <w:color w:val="auto"/>
              </w:rPr>
            </w:pPr>
            <w:r>
              <w:rPr>
                <w:rFonts w:ascii="Times New Roman" w:cs="Times New Roman" w:eastAsia="Times New Roman" w:hAnsi="Times New Roman"/>
                <w:sz w:val="17"/>
                <w:szCs w:val="17"/>
                <w:color w:val="0000EE"/>
                <w:w w:val="99"/>
              </w:rPr>
              <w:t>Compensation Committee Report</w:t>
            </w:r>
          </w:p>
        </w:tc>
        <w:tc>
          <w:tcPr>
            <w:tcW w:w="5320" w:type="dxa"/>
            <w:vAlign w:val="bottom"/>
            <w:gridSpan w:val="20"/>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7"/>
                <w:szCs w:val="17"/>
                <w:color w:val="auto"/>
              </w:rPr>
              <w:t>57</w:t>
            </w:r>
          </w:p>
        </w:tc>
      </w:tr>
      <w:tr>
        <w:trPr>
          <w:trHeight w:val="334"/>
        </w:trPr>
        <w:tc>
          <w:tcPr>
            <w:tcW w:w="7300" w:type="dxa"/>
            <w:vAlign w:val="bottom"/>
            <w:tcBorders>
              <w:bottom w:val="single" w:sz="8" w:color="0000EE"/>
            </w:tcBorders>
            <w:gridSpan w:val="41"/>
          </w:tcPr>
          <w:p>
            <w:pPr>
              <w:spacing w:after="0"/>
              <w:rPr>
                <w:sz w:val="20"/>
                <w:szCs w:val="20"/>
                <w:color w:val="auto"/>
              </w:rPr>
            </w:pPr>
            <w:r>
              <w:rPr>
                <w:rFonts w:ascii="Times New Roman" w:cs="Times New Roman" w:eastAsia="Times New Roman" w:hAnsi="Times New Roman"/>
                <w:sz w:val="17"/>
                <w:szCs w:val="17"/>
                <w:color w:val="0000EE"/>
                <w:w w:val="98"/>
              </w:rPr>
              <w:t>PROPOSAL NO. 3 RATIFICATION OF INDEPENDENT REGISTERED PUBLIC ACCOUNTING FIRM</w:t>
            </w:r>
          </w:p>
        </w:tc>
        <w:tc>
          <w:tcPr>
            <w:tcW w:w="840" w:type="dxa"/>
            <w:vAlign w:val="bottom"/>
            <w:gridSpan w:val="2"/>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r>
      <w:tr>
        <w:trPr>
          <w:trHeight w:val="334"/>
        </w:trPr>
        <w:tc>
          <w:tcPr>
            <w:tcW w:w="500" w:type="dxa"/>
            <w:vAlign w:val="bottom"/>
          </w:tcPr>
          <w:p>
            <w:pPr>
              <w:spacing w:after="0"/>
              <w:rPr>
                <w:sz w:val="24"/>
                <w:szCs w:val="24"/>
                <w:color w:val="auto"/>
              </w:rPr>
            </w:pPr>
          </w:p>
        </w:tc>
        <w:tc>
          <w:tcPr>
            <w:tcW w:w="7640" w:type="dxa"/>
            <w:vAlign w:val="bottom"/>
            <w:gridSpan w:val="42"/>
          </w:tcPr>
          <w:p>
            <w:pPr>
              <w:spacing w:after="0"/>
              <w:rPr>
                <w:sz w:val="20"/>
                <w:szCs w:val="20"/>
                <w:color w:val="auto"/>
              </w:rPr>
            </w:pPr>
            <w:r>
              <w:rPr>
                <w:rFonts w:ascii="Times New Roman" w:cs="Times New Roman" w:eastAsia="Times New Roman" w:hAnsi="Times New Roman"/>
                <w:sz w:val="17"/>
                <w:szCs w:val="17"/>
                <w:color w:val="0000EE"/>
              </w:rPr>
              <w:t>Fees</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r>
      <w:tr>
        <w:trPr>
          <w:trHeight w:val="20"/>
        </w:trPr>
        <w:tc>
          <w:tcPr>
            <w:tcW w:w="5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060" w:type="dxa"/>
            <w:vAlign w:val="bottom"/>
            <w:gridSpan w:val="38"/>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82"/>
        </w:trPr>
        <w:tc>
          <w:tcPr>
            <w:tcW w:w="500" w:type="dxa"/>
            <w:vAlign w:val="bottom"/>
          </w:tcPr>
          <w:p>
            <w:pPr>
              <w:spacing w:after="0"/>
              <w:rPr>
                <w:sz w:val="15"/>
                <w:szCs w:val="15"/>
                <w:color w:val="auto"/>
              </w:rPr>
            </w:pPr>
          </w:p>
        </w:tc>
        <w:tc>
          <w:tcPr>
            <w:tcW w:w="7640" w:type="dxa"/>
            <w:vAlign w:val="bottom"/>
            <w:gridSpan w:val="42"/>
          </w:tcPr>
          <w:p>
            <w:pPr>
              <w:spacing w:after="0" w:line="182" w:lineRule="exact"/>
              <w:rPr>
                <w:sz w:val="20"/>
                <w:szCs w:val="20"/>
                <w:color w:val="auto"/>
              </w:rPr>
            </w:pPr>
            <w:r>
              <w:rPr>
                <w:rFonts w:ascii="Times New Roman" w:cs="Times New Roman" w:eastAsia="Times New Roman" w:hAnsi="Times New Roman"/>
                <w:sz w:val="17"/>
                <w:szCs w:val="17"/>
                <w:color w:val="0000EE"/>
              </w:rPr>
              <w:t>Approval of Independent Registered Public Accounting Firm Services and Fees</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7"/>
                <w:szCs w:val="17"/>
                <w:color w:val="auto"/>
              </w:rPr>
              <w:t>59</w:t>
            </w:r>
          </w:p>
        </w:tc>
      </w:tr>
      <w:tr>
        <w:trPr>
          <w:trHeight w:val="781"/>
        </w:trPr>
        <w:tc>
          <w:tcPr>
            <w:tcW w:w="500" w:type="dxa"/>
            <w:vAlign w:val="bottom"/>
            <w:tcBorders>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1180" w:type="dxa"/>
            <w:vAlign w:val="bottom"/>
            <w:tcBorders>
              <w:top w:val="single" w:sz="8" w:color="0000EE"/>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9" w:right="1440" w:bottom="1440" w:gutter="0" w:footer="0" w:header="0"/>
        </w:sectPr>
      </w:pPr>
    </w:p>
    <w:bookmarkStart w:id="4" w:name="page5"/>
    <w:bookmarkEnd w:id="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22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7"/>
                <w:szCs w:val="17"/>
                <w:color w:val="0000EE"/>
                <w:w w:val="98"/>
              </w:rPr>
              <w:t>AUDIT COMMITTEE REPORT</w:t>
            </w:r>
          </w:p>
        </w:tc>
        <w:tc>
          <w:tcPr>
            <w:tcW w:w="5580" w:type="dxa"/>
            <w:vAlign w:val="bottom"/>
            <w:gridSpan w:val="7"/>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r>
      <w:tr>
        <w:trPr>
          <w:trHeight w:val="182"/>
        </w:trPr>
        <w:tc>
          <w:tcPr>
            <w:tcW w:w="500" w:type="dxa"/>
            <w:vAlign w:val="bottom"/>
          </w:tcPr>
          <w:p>
            <w:pPr>
              <w:spacing w:after="0"/>
              <w:rPr>
                <w:sz w:val="15"/>
                <w:szCs w:val="15"/>
                <w:color w:val="auto"/>
              </w:rPr>
            </w:pPr>
          </w:p>
        </w:tc>
        <w:tc>
          <w:tcPr>
            <w:tcW w:w="6420" w:type="dxa"/>
            <w:vAlign w:val="bottom"/>
            <w:tcBorders>
              <w:bottom w:val="single" w:sz="8" w:color="0000EE"/>
            </w:tcBorders>
            <w:gridSpan w:val="8"/>
          </w:tcPr>
          <w:p>
            <w:pPr>
              <w:spacing w:after="0" w:line="182" w:lineRule="exact"/>
              <w:rPr>
                <w:sz w:val="20"/>
                <w:szCs w:val="20"/>
                <w:color w:val="auto"/>
              </w:rPr>
            </w:pPr>
            <w:r>
              <w:rPr>
                <w:rFonts w:ascii="Times New Roman" w:cs="Times New Roman" w:eastAsia="Times New Roman" w:hAnsi="Times New Roman"/>
                <w:sz w:val="17"/>
                <w:szCs w:val="17"/>
                <w:color w:val="0000EE"/>
                <w:w w:val="98"/>
              </w:rPr>
              <w:t>Primary Responsibilities of the Audit Committee and the Audit Committee’s Activities in 2024</w:t>
            </w:r>
          </w:p>
        </w:tc>
        <w:tc>
          <w:tcPr>
            <w:tcW w:w="920" w:type="dxa"/>
            <w:vAlign w:val="bottom"/>
          </w:tcPr>
          <w:p>
            <w:pPr>
              <w:spacing w:after="0"/>
              <w:rPr>
                <w:sz w:val="15"/>
                <w:szCs w:val="15"/>
                <w:color w:val="auto"/>
              </w:rPr>
            </w:pPr>
          </w:p>
        </w:tc>
        <w:tc>
          <w:tcPr>
            <w:tcW w:w="1080" w:type="dxa"/>
            <w:vAlign w:val="bottom"/>
          </w:tcPr>
          <w:p>
            <w:pPr>
              <w:jc w:val="right"/>
              <w:spacing w:after="0" w:line="182" w:lineRule="exact"/>
              <w:rPr>
                <w:sz w:val="20"/>
                <w:szCs w:val="20"/>
                <w:color w:val="auto"/>
              </w:rPr>
            </w:pPr>
            <w:r>
              <w:rPr>
                <w:rFonts w:ascii="Times New Roman" w:cs="Times New Roman" w:eastAsia="Times New Roman" w:hAnsi="Times New Roman"/>
                <w:sz w:val="17"/>
                <w:szCs w:val="17"/>
                <w:color w:val="auto"/>
              </w:rPr>
              <w:t>59</w:t>
            </w:r>
          </w:p>
        </w:tc>
      </w:tr>
      <w:tr>
        <w:trPr>
          <w:trHeight w:val="182"/>
        </w:trPr>
        <w:tc>
          <w:tcPr>
            <w:tcW w:w="500" w:type="dxa"/>
            <w:vAlign w:val="bottom"/>
          </w:tcPr>
          <w:p>
            <w:pPr>
              <w:spacing w:after="0"/>
              <w:rPr>
                <w:sz w:val="15"/>
                <w:szCs w:val="15"/>
                <w:color w:val="auto"/>
              </w:rPr>
            </w:pPr>
          </w:p>
        </w:tc>
        <w:tc>
          <w:tcPr>
            <w:tcW w:w="7340" w:type="dxa"/>
            <w:vAlign w:val="bottom"/>
            <w:gridSpan w:val="9"/>
          </w:tcPr>
          <w:p>
            <w:pPr>
              <w:spacing w:after="0" w:line="182" w:lineRule="exact"/>
              <w:rPr>
                <w:sz w:val="20"/>
                <w:szCs w:val="20"/>
                <w:color w:val="auto"/>
              </w:rPr>
            </w:pPr>
            <w:r>
              <w:rPr>
                <w:rFonts w:ascii="Times New Roman" w:cs="Times New Roman" w:eastAsia="Times New Roman" w:hAnsi="Times New Roman"/>
                <w:sz w:val="17"/>
                <w:szCs w:val="17"/>
                <w:color w:val="0000EE"/>
              </w:rPr>
              <w:t>2024 Audited Financial Statements</w:t>
            </w:r>
          </w:p>
        </w:tc>
        <w:tc>
          <w:tcPr>
            <w:tcW w:w="1080" w:type="dxa"/>
            <w:vAlign w:val="bottom"/>
          </w:tcPr>
          <w:p>
            <w:pPr>
              <w:jc w:val="right"/>
              <w:spacing w:after="0" w:line="182" w:lineRule="exact"/>
              <w:rPr>
                <w:sz w:val="20"/>
                <w:szCs w:val="20"/>
                <w:color w:val="auto"/>
              </w:rPr>
            </w:pPr>
            <w:r>
              <w:rPr>
                <w:rFonts w:ascii="Times New Roman" w:cs="Times New Roman" w:eastAsia="Times New Roman" w:hAnsi="Times New Roman"/>
                <w:sz w:val="17"/>
                <w:szCs w:val="17"/>
                <w:color w:val="auto"/>
              </w:rPr>
              <w:t>60</w:t>
            </w:r>
          </w:p>
        </w:tc>
      </w:tr>
      <w:tr>
        <w:trPr>
          <w:trHeight w:val="20"/>
        </w:trPr>
        <w:tc>
          <w:tcPr>
            <w:tcW w:w="50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84"/>
        </w:trPr>
        <w:tc>
          <w:tcPr>
            <w:tcW w:w="7840" w:type="dxa"/>
            <w:vAlign w:val="bottom"/>
            <w:gridSpan w:val="10"/>
          </w:tcPr>
          <w:p>
            <w:pPr>
              <w:spacing w:after="0"/>
              <w:rPr>
                <w:sz w:val="20"/>
                <w:szCs w:val="20"/>
                <w:color w:val="auto"/>
              </w:rPr>
            </w:pPr>
            <w:r>
              <w:rPr>
                <w:rFonts w:ascii="Times New Roman" w:cs="Times New Roman" w:eastAsia="Times New Roman" w:hAnsi="Times New Roman"/>
                <w:sz w:val="17"/>
                <w:szCs w:val="17"/>
                <w:color w:val="0000EE"/>
              </w:rPr>
              <w:t>BENEFICIAL OWNERSHIP OF COMMON STOCK</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r>
      <w:tr>
        <w:trPr>
          <w:trHeight w:val="20"/>
        </w:trPr>
        <w:tc>
          <w:tcPr>
            <w:tcW w:w="18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84"/>
        </w:trPr>
        <w:tc>
          <w:tcPr>
            <w:tcW w:w="7840" w:type="dxa"/>
            <w:vAlign w:val="bottom"/>
            <w:gridSpan w:val="10"/>
          </w:tcPr>
          <w:p>
            <w:pPr>
              <w:spacing w:after="0"/>
              <w:rPr>
                <w:sz w:val="20"/>
                <w:szCs w:val="20"/>
                <w:color w:val="auto"/>
              </w:rPr>
            </w:pPr>
            <w:r>
              <w:rPr>
                <w:rFonts w:ascii="Times New Roman" w:cs="Times New Roman" w:eastAsia="Times New Roman" w:hAnsi="Times New Roman"/>
                <w:sz w:val="17"/>
                <w:szCs w:val="17"/>
                <w:color w:val="0000EE"/>
              </w:rPr>
              <w:t>CERTAIN RELATIONSHIPS AND RELATED TRANSACTIONS</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r>
      <w:tr>
        <w:trPr>
          <w:trHeight w:val="384"/>
        </w:trPr>
        <w:tc>
          <w:tcPr>
            <w:tcW w:w="500" w:type="dxa"/>
            <w:vAlign w:val="bottom"/>
            <w:tcBorders>
              <w:top w:val="single" w:sz="8" w:color="0000EE"/>
            </w:tcBorders>
          </w:tcPr>
          <w:p>
            <w:pPr>
              <w:spacing w:after="0"/>
              <w:rPr>
                <w:sz w:val="24"/>
                <w:szCs w:val="24"/>
                <w:color w:val="auto"/>
              </w:rPr>
            </w:pPr>
          </w:p>
        </w:tc>
        <w:tc>
          <w:tcPr>
            <w:tcW w:w="370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7"/>
                <w:szCs w:val="17"/>
                <w:color w:val="0000EE"/>
                <w:w w:val="98"/>
              </w:rPr>
              <w:t>Policies and Procedures for Related Party Transactions</w:t>
            </w:r>
          </w:p>
        </w:tc>
        <w:tc>
          <w:tcPr>
            <w:tcW w:w="360" w:type="dxa"/>
            <w:vAlign w:val="bottom"/>
            <w:tcBorders>
              <w:top w:val="single" w:sz="8" w:color="0000EE"/>
            </w:tcBorders>
          </w:tcPr>
          <w:p>
            <w:pPr>
              <w:spacing w:after="0"/>
              <w:rPr>
                <w:sz w:val="24"/>
                <w:szCs w:val="24"/>
                <w:color w:val="auto"/>
              </w:rPr>
            </w:pPr>
          </w:p>
        </w:tc>
        <w:tc>
          <w:tcPr>
            <w:tcW w:w="3280" w:type="dxa"/>
            <w:vAlign w:val="bottom"/>
            <w:gridSpan w:val="2"/>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r>
      <w:tr>
        <w:trPr>
          <w:trHeight w:val="182"/>
        </w:trPr>
        <w:tc>
          <w:tcPr>
            <w:tcW w:w="500" w:type="dxa"/>
            <w:vAlign w:val="bottom"/>
          </w:tcPr>
          <w:p>
            <w:pPr>
              <w:spacing w:after="0"/>
              <w:rPr>
                <w:sz w:val="15"/>
                <w:szCs w:val="15"/>
                <w:color w:val="auto"/>
              </w:rPr>
            </w:pPr>
          </w:p>
        </w:tc>
        <w:tc>
          <w:tcPr>
            <w:tcW w:w="7340" w:type="dxa"/>
            <w:vAlign w:val="bottom"/>
            <w:gridSpan w:val="9"/>
          </w:tcPr>
          <w:p>
            <w:pPr>
              <w:spacing w:after="0" w:line="182" w:lineRule="exact"/>
              <w:rPr>
                <w:sz w:val="20"/>
                <w:szCs w:val="20"/>
                <w:color w:val="auto"/>
              </w:rPr>
            </w:pPr>
            <w:r>
              <w:rPr>
                <w:rFonts w:ascii="Times New Roman" w:cs="Times New Roman" w:eastAsia="Times New Roman" w:hAnsi="Times New Roman"/>
                <w:sz w:val="17"/>
                <w:szCs w:val="17"/>
                <w:color w:val="0000EE"/>
              </w:rPr>
              <w:t>Certain Transactions</w:t>
            </w:r>
          </w:p>
        </w:tc>
        <w:tc>
          <w:tcPr>
            <w:tcW w:w="1080" w:type="dxa"/>
            <w:vAlign w:val="bottom"/>
          </w:tcPr>
          <w:p>
            <w:pPr>
              <w:jc w:val="right"/>
              <w:spacing w:after="0" w:line="182" w:lineRule="exact"/>
              <w:rPr>
                <w:sz w:val="20"/>
                <w:szCs w:val="20"/>
                <w:color w:val="auto"/>
              </w:rPr>
            </w:pPr>
            <w:r>
              <w:rPr>
                <w:rFonts w:ascii="Times New Roman" w:cs="Times New Roman" w:eastAsia="Times New Roman" w:hAnsi="Times New Roman"/>
                <w:sz w:val="17"/>
                <w:szCs w:val="17"/>
                <w:color w:val="auto"/>
              </w:rPr>
              <w:t>63</w:t>
            </w:r>
          </w:p>
        </w:tc>
      </w:tr>
      <w:tr>
        <w:trPr>
          <w:trHeight w:val="20"/>
        </w:trPr>
        <w:tc>
          <w:tcPr>
            <w:tcW w:w="50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640" w:type="dxa"/>
            <w:vAlign w:val="bottom"/>
            <w:gridSpan w:val="5"/>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84"/>
        </w:trPr>
        <w:tc>
          <w:tcPr>
            <w:tcW w:w="320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7"/>
                <w:szCs w:val="17"/>
                <w:color w:val="0000EE"/>
                <w:w w:val="98"/>
              </w:rPr>
              <w:t>HOUSEHOLDING OF PROXY MATERIALS</w:t>
            </w:r>
          </w:p>
        </w:tc>
        <w:tc>
          <w:tcPr>
            <w:tcW w:w="4640" w:type="dxa"/>
            <w:vAlign w:val="bottom"/>
            <w:gridSpan w:val="5"/>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r>
      <w:tr>
        <w:trPr>
          <w:trHeight w:val="384"/>
        </w:trPr>
        <w:tc>
          <w:tcPr>
            <w:tcW w:w="7840" w:type="dxa"/>
            <w:vAlign w:val="bottom"/>
            <w:gridSpan w:val="10"/>
          </w:tcPr>
          <w:p>
            <w:pPr>
              <w:spacing w:after="0"/>
              <w:rPr>
                <w:sz w:val="20"/>
                <w:szCs w:val="20"/>
                <w:color w:val="auto"/>
              </w:rPr>
            </w:pPr>
            <w:r>
              <w:rPr>
                <w:rFonts w:ascii="Times New Roman" w:cs="Times New Roman" w:eastAsia="Times New Roman" w:hAnsi="Times New Roman"/>
                <w:sz w:val="17"/>
                <w:szCs w:val="17"/>
                <w:color w:val="0000EE"/>
              </w:rPr>
              <w:t>ADDITIONAL INFORMATION</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r>
      <w:tr>
        <w:trPr>
          <w:trHeight w:val="958"/>
        </w:trPr>
        <w:tc>
          <w:tcPr>
            <w:tcW w:w="500" w:type="dxa"/>
            <w:vAlign w:val="bottom"/>
            <w:tcBorders>
              <w:top w:val="single" w:sz="8" w:color="0000EE"/>
              <w:bottom w:val="single" w:sz="8" w:color="auto"/>
            </w:tcBorders>
          </w:tcPr>
          <w:p>
            <w:pPr>
              <w:spacing w:after="0"/>
              <w:rPr>
                <w:sz w:val="24"/>
                <w:szCs w:val="24"/>
                <w:color w:val="auto"/>
              </w:rPr>
            </w:pPr>
          </w:p>
        </w:tc>
        <w:tc>
          <w:tcPr>
            <w:tcW w:w="1380" w:type="dxa"/>
            <w:vAlign w:val="bottom"/>
            <w:tcBorders>
              <w:top w:val="single" w:sz="8" w:color="0000EE"/>
              <w:bottom w:val="single" w:sz="8" w:color="auto"/>
            </w:tcBorders>
          </w:tcPr>
          <w:p>
            <w:pPr>
              <w:spacing w:after="0"/>
              <w:rPr>
                <w:sz w:val="24"/>
                <w:szCs w:val="24"/>
                <w:color w:val="auto"/>
              </w:rPr>
            </w:pPr>
          </w:p>
        </w:tc>
        <w:tc>
          <w:tcPr>
            <w:tcW w:w="380" w:type="dxa"/>
            <w:vAlign w:val="bottom"/>
            <w:tcBorders>
              <w:top w:val="single" w:sz="8" w:color="0000EE"/>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9" w:right="1440" w:bottom="1440" w:gutter="0" w:footer="0" w:header="0"/>
        </w:sectPr>
      </w:pPr>
    </w:p>
    <w:bookmarkStart w:id="5" w:name="page6"/>
    <w:bookmarkEnd w:id="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1563370</wp:posOffset>
            </wp:positionV>
            <wp:extent cx="5656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6580" cy="8255"/>
                    </a:xfrm>
                    <a:prstGeom prst="rect">
                      <a:avLst/>
                    </a:prstGeom>
                    <a:noFill/>
                  </pic:spPr>
                </pic:pic>
              </a:graphicData>
            </a:graphic>
          </wp:anchor>
        </w:drawing>
        <w:drawing>
          <wp:anchor simplePos="0" relativeHeight="251657728" behindDoc="1" locked="0" layoutInCell="0" allowOverlap="1">
            <wp:simplePos x="0" y="0"/>
            <wp:positionH relativeFrom="column">
              <wp:posOffset>260350</wp:posOffset>
            </wp:positionH>
            <wp:positionV relativeFrom="paragraph">
              <wp:posOffset>648335</wp:posOffset>
            </wp:positionV>
            <wp:extent cx="5199380" cy="7861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99380" cy="786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121285</wp:posOffset>
            </wp:positionV>
            <wp:extent cx="5656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6580" cy="8255"/>
                    </a:xfrm>
                    <a:prstGeom prst="rect">
                      <a:avLst/>
                    </a:prstGeom>
                    <a:noFill/>
                  </pic:spPr>
                </pic:pic>
              </a:graphicData>
            </a:graphic>
          </wp:anchor>
        </w:drawing>
      </w:r>
    </w:p>
    <w:p>
      <w:pPr>
        <w:spacing w:after="0" w:line="366" w:lineRule="exact"/>
        <w:rPr>
          <w:sz w:val="20"/>
          <w:szCs w:val="20"/>
          <w:color w:val="auto"/>
        </w:rPr>
      </w:pPr>
    </w:p>
    <w:p>
      <w:pPr>
        <w:ind w:left="40" w:right="79" w:firstLine="606"/>
        <w:spacing w:after="0" w:line="256" w:lineRule="auto"/>
        <w:rPr>
          <w:sz w:val="20"/>
          <w:szCs w:val="20"/>
          <w:color w:val="auto"/>
        </w:rPr>
      </w:pPr>
      <w:r>
        <w:rPr>
          <w:rFonts w:ascii="Times New Roman" w:cs="Times New Roman" w:eastAsia="Times New Roman" w:hAnsi="Times New Roman"/>
          <w:sz w:val="17"/>
          <w:szCs w:val="17"/>
          <w:i w:val="1"/>
          <w:iCs w:val="1"/>
          <w:color w:val="auto"/>
        </w:rPr>
        <w:t>This summary highlights information contained elsewhere in the accompanying Proxy Statement (this “Proxy Statement”). This summary does not contain all of the information that you should consider, and you should read the entire Proxy Statement before voting. For more complete information regarding the Company’s 2024 performance, please review the Company’s Annual Report on Form 10-K for the year ended December 31, 2024 filed with the Securities and Exchange Commission (the “SEC”) on February 19, 2025.</w:t>
      </w:r>
    </w:p>
    <w:p>
      <w:pPr>
        <w:spacing w:after="0" w:line="1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-118745</wp:posOffset>
            </wp:positionV>
            <wp:extent cx="5656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6580" cy="8255"/>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INFORMATION</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235"/>
        </w:trPr>
        <w:tc>
          <w:tcPr>
            <w:tcW w:w="1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Date and Time:</w:t>
            </w:r>
          </w:p>
        </w:tc>
        <w:tc>
          <w:tcPr>
            <w:tcW w:w="756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Tuesday, June 10, 2025 10:30 a.m., Arizona time</w:t>
            </w:r>
          </w:p>
        </w:tc>
      </w:tr>
      <w:tr>
        <w:trPr>
          <w:trHeight w:val="368"/>
        </w:trPr>
        <w:tc>
          <w:tcPr>
            <w:tcW w:w="13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Record Date:</w:t>
            </w:r>
          </w:p>
        </w:tc>
        <w:tc>
          <w:tcPr>
            <w:tcW w:w="75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Only stockholders of record at the close of business on April 16, 2025, the record date for the Annual</w:t>
            </w:r>
          </w:p>
        </w:tc>
      </w:tr>
      <w:tr>
        <w:trPr>
          <w:trHeight w:val="202"/>
        </w:trPr>
        <w:tc>
          <w:tcPr>
            <w:tcW w:w="1360" w:type="dxa"/>
            <w:vAlign w:val="bottom"/>
          </w:tcPr>
          <w:p>
            <w:pPr>
              <w:spacing w:after="0"/>
              <w:rPr>
                <w:sz w:val="17"/>
                <w:szCs w:val="17"/>
                <w:color w:val="auto"/>
              </w:rPr>
            </w:pPr>
          </w:p>
        </w:tc>
        <w:tc>
          <w:tcPr>
            <w:tcW w:w="75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Meeting (the “Record Date”), will be entitled to notice of and to vote at the Annual Meeting and any</w:t>
            </w:r>
          </w:p>
        </w:tc>
      </w:tr>
      <w:tr>
        <w:trPr>
          <w:trHeight w:val="218"/>
        </w:trPr>
        <w:tc>
          <w:tcPr>
            <w:tcW w:w="1360" w:type="dxa"/>
            <w:vAlign w:val="bottom"/>
          </w:tcPr>
          <w:p>
            <w:pPr>
              <w:spacing w:after="0"/>
              <w:rPr>
                <w:sz w:val="18"/>
                <w:szCs w:val="18"/>
                <w:color w:val="auto"/>
              </w:rPr>
            </w:pPr>
          </w:p>
        </w:tc>
        <w:tc>
          <w:tcPr>
            <w:tcW w:w="75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adjournments or postponements thereof.</w:t>
            </w:r>
          </w:p>
        </w:tc>
      </w:tr>
      <w:tr>
        <w:trPr>
          <w:trHeight w:val="388"/>
        </w:trPr>
        <w:tc>
          <w:tcPr>
            <w:tcW w:w="13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Place:</w:t>
            </w:r>
          </w:p>
        </w:tc>
        <w:tc>
          <w:tcPr>
            <w:tcW w:w="75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Grand Canyon Education, Inc.</w:t>
            </w:r>
          </w:p>
        </w:tc>
      </w:tr>
      <w:tr>
        <w:trPr>
          <w:trHeight w:val="202"/>
        </w:trPr>
        <w:tc>
          <w:tcPr>
            <w:tcW w:w="1360" w:type="dxa"/>
            <w:vAlign w:val="bottom"/>
          </w:tcPr>
          <w:p>
            <w:pPr>
              <w:spacing w:after="0"/>
              <w:rPr>
                <w:sz w:val="17"/>
                <w:szCs w:val="17"/>
                <w:color w:val="auto"/>
              </w:rPr>
            </w:pPr>
          </w:p>
        </w:tc>
        <w:tc>
          <w:tcPr>
            <w:tcW w:w="75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2600 W. Camelback Road</w:t>
            </w:r>
          </w:p>
        </w:tc>
      </w:tr>
      <w:tr>
        <w:trPr>
          <w:trHeight w:val="218"/>
        </w:trPr>
        <w:tc>
          <w:tcPr>
            <w:tcW w:w="1360" w:type="dxa"/>
            <w:vAlign w:val="bottom"/>
          </w:tcPr>
          <w:p>
            <w:pPr>
              <w:spacing w:after="0"/>
              <w:rPr>
                <w:sz w:val="18"/>
                <w:szCs w:val="18"/>
                <w:color w:val="auto"/>
              </w:rPr>
            </w:pPr>
          </w:p>
        </w:tc>
        <w:tc>
          <w:tcPr>
            <w:tcW w:w="75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Phoenix, Arizona 85017</w:t>
            </w:r>
          </w:p>
        </w:tc>
      </w:tr>
      <w:tr>
        <w:trPr>
          <w:trHeight w:val="388"/>
        </w:trPr>
        <w:tc>
          <w:tcPr>
            <w:tcW w:w="13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Voting:</w:t>
            </w:r>
          </w:p>
        </w:tc>
        <w:tc>
          <w:tcPr>
            <w:tcW w:w="75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The accompanying Proxy Statement describes important issues affecting Grand Canyon Education, Inc. If</w:t>
            </w:r>
          </w:p>
        </w:tc>
      </w:tr>
      <w:tr>
        <w:trPr>
          <w:trHeight w:val="202"/>
        </w:trPr>
        <w:tc>
          <w:tcPr>
            <w:tcW w:w="1360" w:type="dxa"/>
            <w:vAlign w:val="bottom"/>
          </w:tcPr>
          <w:p>
            <w:pPr>
              <w:spacing w:after="0"/>
              <w:rPr>
                <w:sz w:val="17"/>
                <w:szCs w:val="17"/>
                <w:color w:val="auto"/>
              </w:rPr>
            </w:pPr>
          </w:p>
        </w:tc>
        <w:tc>
          <w:tcPr>
            <w:tcW w:w="75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you are a stockholder of record as of the Record Date, you have the right to submit your proxy through the</w:t>
            </w:r>
          </w:p>
        </w:tc>
      </w:tr>
      <w:tr>
        <w:trPr>
          <w:trHeight w:val="202"/>
        </w:trPr>
        <w:tc>
          <w:tcPr>
            <w:tcW w:w="1360" w:type="dxa"/>
            <w:vAlign w:val="bottom"/>
          </w:tcPr>
          <w:p>
            <w:pPr>
              <w:spacing w:after="0"/>
              <w:rPr>
                <w:sz w:val="17"/>
                <w:szCs w:val="17"/>
                <w:color w:val="auto"/>
              </w:rPr>
            </w:pPr>
          </w:p>
        </w:tc>
        <w:tc>
          <w:tcPr>
            <w:tcW w:w="75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Internet, by telephone or by mail. Please help us save time and administrative costs by submitting your</w:t>
            </w:r>
          </w:p>
        </w:tc>
      </w:tr>
      <w:tr>
        <w:trPr>
          <w:trHeight w:val="202"/>
        </w:trPr>
        <w:tc>
          <w:tcPr>
            <w:tcW w:w="1360" w:type="dxa"/>
            <w:vAlign w:val="bottom"/>
          </w:tcPr>
          <w:p>
            <w:pPr>
              <w:spacing w:after="0"/>
              <w:rPr>
                <w:sz w:val="17"/>
                <w:szCs w:val="17"/>
                <w:color w:val="auto"/>
              </w:rPr>
            </w:pPr>
          </w:p>
        </w:tc>
        <w:tc>
          <w:tcPr>
            <w:tcW w:w="75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proxy through the Internet or by telephone. Each method is generally available 24 hours a day and will</w:t>
            </w:r>
          </w:p>
        </w:tc>
      </w:tr>
      <w:tr>
        <w:trPr>
          <w:trHeight w:val="202"/>
        </w:trPr>
        <w:tc>
          <w:tcPr>
            <w:tcW w:w="1360" w:type="dxa"/>
            <w:vAlign w:val="bottom"/>
          </w:tcPr>
          <w:p>
            <w:pPr>
              <w:spacing w:after="0"/>
              <w:rPr>
                <w:sz w:val="17"/>
                <w:szCs w:val="17"/>
                <w:color w:val="auto"/>
              </w:rPr>
            </w:pPr>
          </w:p>
        </w:tc>
        <w:tc>
          <w:tcPr>
            <w:tcW w:w="75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ensure that your voting instructions are confirmed and posted immediately. Stockholders of record as of the</w:t>
            </w:r>
          </w:p>
        </w:tc>
      </w:tr>
      <w:tr>
        <w:trPr>
          <w:trHeight w:val="218"/>
        </w:trPr>
        <w:tc>
          <w:tcPr>
            <w:tcW w:w="1360" w:type="dxa"/>
            <w:vAlign w:val="bottom"/>
          </w:tcPr>
          <w:p>
            <w:pPr>
              <w:spacing w:after="0"/>
              <w:rPr>
                <w:sz w:val="18"/>
                <w:szCs w:val="18"/>
                <w:color w:val="auto"/>
              </w:rPr>
            </w:pPr>
          </w:p>
        </w:tc>
        <w:tc>
          <w:tcPr>
            <w:tcW w:w="75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Record Date may cast their votes in any of the following ways: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2001520</wp:posOffset>
            </wp:positionH>
            <wp:positionV relativeFrom="paragraph">
              <wp:posOffset>321310</wp:posOffset>
            </wp:positionV>
            <wp:extent cx="273050" cy="4895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3050" cy="489585"/>
                    </a:xfrm>
                    <a:prstGeom prst="rect">
                      <a:avLst/>
                    </a:prstGeom>
                    <a:noFill/>
                  </pic:spPr>
                </pic:pic>
              </a:graphicData>
            </a:graphic>
          </wp:anchor>
        </w:drawing>
        <w:drawing>
          <wp:anchor simplePos="0" relativeHeight="251657728" behindDoc="1" locked="0" layoutInCell="0" allowOverlap="1">
            <wp:simplePos x="0" y="0"/>
            <wp:positionH relativeFrom="column">
              <wp:posOffset>421005</wp:posOffset>
            </wp:positionH>
            <wp:positionV relativeFrom="paragraph">
              <wp:posOffset>288925</wp:posOffset>
            </wp:positionV>
            <wp:extent cx="553720" cy="521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3720" cy="52133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345440</wp:posOffset>
            </wp:positionV>
            <wp:extent cx="408940" cy="4654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08940" cy="465455"/>
                    </a:xfrm>
                    <a:prstGeom prst="rect">
                      <a:avLst/>
                    </a:prstGeom>
                    <a:noFill/>
                  </pic:spPr>
                </pic:pic>
              </a:graphicData>
            </a:graphic>
          </wp:anchor>
        </w:drawing>
        <w:drawing>
          <wp:anchor simplePos="0" relativeHeight="251657728" behindDoc="1" locked="0" layoutInCell="0" allowOverlap="1">
            <wp:simplePos x="0" y="0"/>
            <wp:positionH relativeFrom="column">
              <wp:posOffset>4769485</wp:posOffset>
            </wp:positionH>
            <wp:positionV relativeFrom="paragraph">
              <wp:posOffset>144780</wp:posOffset>
            </wp:positionV>
            <wp:extent cx="505460" cy="6661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05460" cy="66611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4"/>
          <w:szCs w:val="14"/>
          <w:b w:val="1"/>
          <w:bCs w:val="1"/>
          <w:color w:val="3C5F52"/>
        </w:rPr>
        <w:t>Internet</w:t>
      </w:r>
    </w:p>
    <w:p>
      <w:pPr>
        <w:spacing w:after="0" w:line="9" w:lineRule="exact"/>
        <w:rPr>
          <w:sz w:val="20"/>
          <w:szCs w:val="20"/>
          <w:color w:val="auto"/>
        </w:rPr>
      </w:pPr>
    </w:p>
    <w:p>
      <w:pPr>
        <w:jc w:val="both"/>
        <w:ind w:left="40"/>
        <w:spacing w:after="0" w:line="230" w:lineRule="auto"/>
        <w:rPr>
          <w:sz w:val="20"/>
          <w:szCs w:val="20"/>
          <w:color w:val="auto"/>
        </w:rPr>
      </w:pPr>
      <w:r>
        <w:rPr>
          <w:rFonts w:ascii="Times New Roman" w:cs="Times New Roman" w:eastAsia="Times New Roman" w:hAnsi="Times New Roman"/>
          <w:sz w:val="14"/>
          <w:szCs w:val="14"/>
          <w:color w:val="auto"/>
        </w:rPr>
        <w:t xml:space="preserve">Visit </w:t>
      </w:r>
      <w:r>
        <w:rPr>
          <w:rFonts w:ascii="Times New Roman" w:cs="Times New Roman" w:eastAsia="Times New Roman" w:hAnsi="Times New Roman"/>
          <w:sz w:val="14"/>
          <w:szCs w:val="14"/>
          <w:i w:val="1"/>
          <w:iCs w:val="1"/>
          <w:color w:val="auto"/>
        </w:rPr>
        <w:t>www.investorvote.com/LOPE</w:t>
      </w:r>
      <w:r>
        <w:rPr>
          <w:rFonts w:ascii="Times New Roman" w:cs="Times New Roman" w:eastAsia="Times New Roman" w:hAnsi="Times New Roman"/>
          <w:sz w:val="14"/>
          <w:szCs w:val="14"/>
          <w:color w:val="auto"/>
        </w:rPr>
        <w:t>, 24 hours a day, seven days a week, through 11:00 p.m. (PT) on June 9, 2025. Please have available your notice card. Follow the simple instructions provided.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3C5F52"/>
        </w:rPr>
        <w:t>Phone</w:t>
      </w:r>
    </w:p>
    <w:p>
      <w:pPr>
        <w:spacing w:after="0" w:line="9"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4"/>
          <w:szCs w:val="14"/>
          <w:color w:val="auto"/>
        </w:rPr>
        <w:t>Call 1-800-652-VOTE (8683), 24 hours a day, seven days a week, through 11:00 p.m. (PT) on June 9, 2025. Please have available your notice card. Follow the simple instructions provided.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3C5F52"/>
        </w:rPr>
        <w:t>Mail</w:t>
      </w:r>
    </w:p>
    <w:p>
      <w:pPr>
        <w:spacing w:after="0" w:line="9"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4"/>
          <w:szCs w:val="14"/>
          <w:color w:val="auto"/>
        </w:rPr>
        <w:t>Mark, sign and date your proxy card. Return it in the enclosed postage-paid envelope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3C5F52"/>
        </w:rPr>
        <w:t>In Person</w:t>
      </w:r>
    </w:p>
    <w:p>
      <w:pPr>
        <w:spacing w:after="0" w:line="9" w:lineRule="exact"/>
        <w:rPr>
          <w:sz w:val="20"/>
          <w:szCs w:val="20"/>
          <w:color w:val="auto"/>
        </w:rPr>
      </w:pPr>
    </w:p>
    <w:p>
      <w:pPr>
        <w:jc w:val="both"/>
        <w:ind w:right="59"/>
        <w:spacing w:after="0" w:line="230" w:lineRule="auto"/>
        <w:rPr>
          <w:sz w:val="20"/>
          <w:szCs w:val="20"/>
          <w:color w:val="auto"/>
        </w:rPr>
      </w:pPr>
      <w:r>
        <w:rPr>
          <w:rFonts w:ascii="Times New Roman" w:cs="Times New Roman" w:eastAsia="Times New Roman" w:hAnsi="Times New Roman"/>
          <w:sz w:val="14"/>
          <w:szCs w:val="14"/>
          <w:color w:val="auto"/>
        </w:rPr>
        <w:t>If you plan to attend the meeting in person, you will need to bring a picture ID and proof of ownership of Grand Canyon Education, Inc. common stock as of the Record Date.</w:t>
      </w:r>
    </w:p>
    <w:p>
      <w:pPr>
        <w:spacing w:after="0" w:line="200" w:lineRule="exact"/>
        <w:rPr>
          <w:sz w:val="20"/>
          <w:szCs w:val="20"/>
          <w:color w:val="auto"/>
        </w:rPr>
      </w:pPr>
    </w:p>
    <w:p>
      <w:pPr>
        <w:sectPr>
          <w:pgSz w:w="11900" w:h="16838" w:orient="portrait"/>
          <w:cols w:equalWidth="0" w:num="4">
            <w:col w:w="2140" w:space="180"/>
            <w:col w:w="2080" w:space="180"/>
            <w:col w:w="2100" w:space="180"/>
            <w:col w:w="2159"/>
          </w:cols>
          <w:pgMar w:left="1440" w:top="489" w:right="1440" w:bottom="1440" w:gutter="0" w:footer="0" w:header="0"/>
          <w:type w:val="continuous"/>
        </w:sect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342900</wp:posOffset>
            </wp:positionV>
            <wp:extent cx="5664835" cy="241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64835"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type w:val="continuous"/>
        </w:sectPr>
      </w:pPr>
    </w:p>
    <w:bookmarkStart w:id="6" w:name="page7"/>
    <w:bookmarkEnd w:id="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648335</wp:posOffset>
            </wp:positionV>
            <wp:extent cx="56648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648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0" w:right="2339"/>
        <w:spacing w:after="0" w:line="461" w:lineRule="auto"/>
        <w:rPr>
          <w:sz w:val="20"/>
          <w:szCs w:val="20"/>
          <w:color w:val="auto"/>
        </w:rPr>
      </w:pPr>
      <w:r>
        <w:rPr>
          <w:rFonts w:ascii="Times New Roman" w:cs="Times New Roman" w:eastAsia="Times New Roman" w:hAnsi="Times New Roman"/>
          <w:sz w:val="16"/>
          <w:szCs w:val="16"/>
          <w:b w:val="1"/>
          <w:bCs w:val="1"/>
          <w:color w:val="auto"/>
        </w:rPr>
        <w:t xml:space="preserve">SUMMARY OF MATTERS TO BE VOTED UPON AND BOARD RECOMMENDATIONS </w:t>
      </w:r>
      <w:r>
        <w:rPr>
          <w:rFonts w:ascii="Times New Roman" w:cs="Times New Roman" w:eastAsia="Times New Roman" w:hAnsi="Times New Roman"/>
          <w:sz w:val="16"/>
          <w:szCs w:val="16"/>
          <w:i w:val="1"/>
          <w:iCs w:val="1"/>
          <w:color w:val="auto"/>
        </w:rPr>
        <w:t>Stockholders are being asked to vote on the following matters at the Annual Meeting:</w:t>
      </w:r>
    </w:p>
    <w:p>
      <w:pPr>
        <w:spacing w:after="0" w:line="115"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19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5"/>
                <w:szCs w:val="15"/>
                <w:b w:val="1"/>
                <w:bCs w:val="1"/>
                <w:i w:val="1"/>
                <w:iCs w:val="1"/>
                <w:color w:val="auto"/>
              </w:rPr>
              <w:t>Proposal</w:t>
            </w:r>
          </w:p>
        </w:tc>
        <w:tc>
          <w:tcPr>
            <w:tcW w:w="394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5"/>
                <w:szCs w:val="15"/>
                <w:b w:val="1"/>
                <w:bCs w:val="1"/>
                <w:i w:val="1"/>
                <w:iCs w:val="1"/>
                <w:color w:val="auto"/>
              </w:rPr>
              <w:t>Description</w:t>
            </w:r>
          </w:p>
        </w:tc>
        <w:tc>
          <w:tcPr>
            <w:tcW w:w="13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5"/>
                <w:szCs w:val="15"/>
                <w:b w:val="1"/>
                <w:bCs w:val="1"/>
                <w:i w:val="1"/>
                <w:iCs w:val="1"/>
                <w:color w:val="auto"/>
              </w:rPr>
              <w:t>Board</w:t>
            </w:r>
          </w:p>
        </w:tc>
        <w:tc>
          <w:tcPr>
            <w:tcW w:w="172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5"/>
                <w:szCs w:val="15"/>
                <w:b w:val="1"/>
                <w:bCs w:val="1"/>
                <w:i w:val="1"/>
                <w:iCs w:val="1"/>
                <w:color w:val="auto"/>
              </w:rPr>
              <w:t>Page Reference for</w:t>
            </w:r>
          </w:p>
        </w:tc>
      </w:tr>
      <w:tr>
        <w:trPr>
          <w:trHeight w:val="203"/>
        </w:trPr>
        <w:tc>
          <w:tcPr>
            <w:tcW w:w="1900" w:type="dxa"/>
            <w:vAlign w:val="bottom"/>
            <w:tcBorders>
              <w:bottom w:val="single" w:sz="8" w:color="auto"/>
            </w:tcBorders>
          </w:tcPr>
          <w:p>
            <w:pPr>
              <w:spacing w:after="0"/>
              <w:rPr>
                <w:sz w:val="17"/>
                <w:szCs w:val="17"/>
                <w:color w:val="auto"/>
              </w:rPr>
            </w:pPr>
          </w:p>
        </w:tc>
        <w:tc>
          <w:tcPr>
            <w:tcW w:w="39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b w:val="1"/>
                <w:bCs w:val="1"/>
                <w:i w:val="1"/>
                <w:iCs w:val="1"/>
                <w:color w:val="auto"/>
              </w:rPr>
              <w:t>Recommendation</w:t>
            </w:r>
          </w:p>
        </w:tc>
        <w:tc>
          <w:tcPr>
            <w:tcW w:w="17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5"/>
                <w:szCs w:val="15"/>
                <w:b w:val="1"/>
                <w:bCs w:val="1"/>
                <w:i w:val="1"/>
                <w:iCs w:val="1"/>
                <w:color w:val="auto"/>
              </w:rPr>
              <w:t>Further Information:</w:t>
            </w:r>
          </w:p>
        </w:tc>
      </w:tr>
      <w:tr>
        <w:trPr>
          <w:trHeight w:val="168"/>
        </w:trPr>
        <w:tc>
          <w:tcPr>
            <w:tcW w:w="1900" w:type="dxa"/>
            <w:vAlign w:val="bottom"/>
          </w:tcPr>
          <w:p>
            <w:pPr>
              <w:ind w:left="120"/>
              <w:spacing w:after="0" w:line="169" w:lineRule="exact"/>
              <w:rPr>
                <w:sz w:val="20"/>
                <w:szCs w:val="20"/>
                <w:color w:val="auto"/>
              </w:rPr>
            </w:pPr>
            <w:r>
              <w:rPr>
                <w:rFonts w:ascii="Times New Roman" w:cs="Times New Roman" w:eastAsia="Times New Roman" w:hAnsi="Times New Roman"/>
                <w:sz w:val="15"/>
                <w:szCs w:val="15"/>
                <w:b w:val="1"/>
                <w:bCs w:val="1"/>
                <w:color w:val="auto"/>
              </w:rPr>
              <w:t xml:space="preserve">1  </w:t>
            </w:r>
            <w:r>
              <w:rPr>
                <w:rFonts w:ascii="Times New Roman" w:cs="Times New Roman" w:eastAsia="Times New Roman" w:hAnsi="Times New Roman"/>
                <w:sz w:val="15"/>
                <w:szCs w:val="15"/>
                <w:i w:val="1"/>
                <w:iCs w:val="1"/>
                <w:color w:val="auto"/>
              </w:rPr>
              <w:t>To elect six directors to</w:t>
            </w:r>
          </w:p>
        </w:tc>
        <w:tc>
          <w:tcPr>
            <w:tcW w:w="3940" w:type="dxa"/>
            <w:vAlign w:val="bottom"/>
          </w:tcPr>
          <w:p>
            <w:pPr>
              <w:ind w:left="160"/>
              <w:spacing w:after="0" w:line="169" w:lineRule="exact"/>
              <w:rPr>
                <w:sz w:val="20"/>
                <w:szCs w:val="20"/>
                <w:color w:val="auto"/>
              </w:rPr>
            </w:pPr>
            <w:r>
              <w:rPr>
                <w:rFonts w:ascii="Times New Roman" w:cs="Times New Roman" w:eastAsia="Times New Roman" w:hAnsi="Times New Roman"/>
                <w:sz w:val="15"/>
                <w:szCs w:val="15"/>
                <w:color w:val="auto"/>
              </w:rPr>
              <w:t>The Company’s Board of Directors (“Board” or “Board of</w:t>
            </w:r>
          </w:p>
        </w:tc>
        <w:tc>
          <w:tcPr>
            <w:tcW w:w="1340" w:type="dxa"/>
            <w:vAlign w:val="bottom"/>
          </w:tcPr>
          <w:p>
            <w:pPr>
              <w:ind w:left="80"/>
              <w:spacing w:after="0" w:line="169" w:lineRule="exact"/>
              <w:rPr>
                <w:sz w:val="20"/>
                <w:szCs w:val="20"/>
                <w:color w:val="auto"/>
              </w:rPr>
            </w:pPr>
            <w:r>
              <w:rPr>
                <w:rFonts w:ascii="Times New Roman" w:cs="Times New Roman" w:eastAsia="Times New Roman" w:hAnsi="Times New Roman"/>
                <w:sz w:val="15"/>
                <w:szCs w:val="15"/>
                <w:b w:val="1"/>
                <w:bCs w:val="1"/>
                <w:color w:val="auto"/>
              </w:rPr>
              <w:t xml:space="preserve">“FOR” </w:t>
            </w:r>
            <w:r>
              <w:rPr>
                <w:rFonts w:ascii="Times New Roman" w:cs="Times New Roman" w:eastAsia="Times New Roman" w:hAnsi="Times New Roman"/>
                <w:sz w:val="15"/>
                <w:szCs w:val="15"/>
                <w:color w:val="auto"/>
              </w:rPr>
              <w:t>each</w:t>
            </w:r>
          </w:p>
        </w:tc>
        <w:tc>
          <w:tcPr>
            <w:tcW w:w="1720" w:type="dxa"/>
            <w:vAlign w:val="bottom"/>
          </w:tcPr>
          <w:p>
            <w:pPr>
              <w:jc w:val="right"/>
              <w:ind w:right="1161"/>
              <w:spacing w:after="0" w:line="168" w:lineRule="exact"/>
              <w:rPr>
                <w:sz w:val="20"/>
                <w:szCs w:val="20"/>
                <w:color w:val="auto"/>
              </w:rPr>
            </w:pPr>
            <w:r>
              <w:rPr>
                <w:rFonts w:ascii="Times New Roman" w:cs="Times New Roman" w:eastAsia="Times New Roman" w:hAnsi="Times New Roman"/>
                <w:sz w:val="17"/>
                <w:szCs w:val="17"/>
                <w:color w:val="auto"/>
              </w:rPr>
              <w:t>26</w:t>
            </w:r>
          </w:p>
        </w:tc>
      </w:tr>
      <w:tr>
        <w:trPr>
          <w:trHeight w:val="194"/>
        </w:trPr>
        <w:tc>
          <w:tcPr>
            <w:tcW w:w="1900" w:type="dxa"/>
            <w:vAlign w:val="bottom"/>
          </w:tcPr>
          <w:p>
            <w:pPr>
              <w:ind w:left="300"/>
              <w:spacing w:after="0"/>
              <w:rPr>
                <w:sz w:val="20"/>
                <w:szCs w:val="20"/>
                <w:color w:val="auto"/>
              </w:rPr>
            </w:pPr>
            <w:r>
              <w:rPr>
                <w:rFonts w:ascii="Times New Roman" w:cs="Times New Roman" w:eastAsia="Times New Roman" w:hAnsi="Times New Roman"/>
                <w:sz w:val="15"/>
                <w:szCs w:val="15"/>
                <w:i w:val="1"/>
                <w:iCs w:val="1"/>
                <w:color w:val="auto"/>
              </w:rPr>
              <w:t>our Board of Directors</w:t>
            </w:r>
            <w:r>
              <w:rPr>
                <w:rFonts w:ascii="Times New Roman" w:cs="Times New Roman" w:eastAsia="Times New Roman" w:hAnsi="Times New Roman"/>
                <w:sz w:val="15"/>
                <w:szCs w:val="15"/>
                <w:color w:val="auto"/>
              </w:rPr>
              <w:t>.</w:t>
            </w:r>
          </w:p>
        </w:tc>
        <w:tc>
          <w:tcPr>
            <w:tcW w:w="39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Directors”) and the Nominating and Corporate Governance</w:t>
            </w:r>
          </w:p>
        </w:tc>
        <w:tc>
          <w:tcPr>
            <w:tcW w:w="13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director nominee</w:t>
            </w:r>
          </w:p>
        </w:tc>
        <w:tc>
          <w:tcPr>
            <w:tcW w:w="1720" w:type="dxa"/>
            <w:vAlign w:val="bottom"/>
          </w:tcPr>
          <w:p>
            <w:pPr>
              <w:spacing w:after="0"/>
              <w:rPr>
                <w:sz w:val="16"/>
                <w:szCs w:val="16"/>
                <w:color w:val="auto"/>
              </w:rPr>
            </w:pPr>
          </w:p>
        </w:tc>
      </w:tr>
      <w:tr>
        <w:trPr>
          <w:trHeight w:val="190"/>
        </w:trPr>
        <w:tc>
          <w:tcPr>
            <w:tcW w:w="1900" w:type="dxa"/>
            <w:vAlign w:val="bottom"/>
          </w:tcPr>
          <w:p>
            <w:pPr>
              <w:spacing w:after="0"/>
              <w:rPr>
                <w:sz w:val="16"/>
                <w:szCs w:val="16"/>
                <w:color w:val="auto"/>
              </w:rPr>
            </w:pPr>
          </w:p>
        </w:tc>
        <w:tc>
          <w:tcPr>
            <w:tcW w:w="39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Committee believe that the six director nominees possess the</w:t>
            </w:r>
          </w:p>
        </w:tc>
        <w:tc>
          <w:tcPr>
            <w:tcW w:w="134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190"/>
        </w:trPr>
        <w:tc>
          <w:tcPr>
            <w:tcW w:w="1900" w:type="dxa"/>
            <w:vAlign w:val="bottom"/>
          </w:tcPr>
          <w:p>
            <w:pPr>
              <w:spacing w:after="0"/>
              <w:rPr>
                <w:sz w:val="16"/>
                <w:szCs w:val="16"/>
                <w:color w:val="auto"/>
              </w:rPr>
            </w:pPr>
          </w:p>
        </w:tc>
        <w:tc>
          <w:tcPr>
            <w:tcW w:w="39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necessary qualifications, attributes, skills and experiences to</w:t>
            </w:r>
          </w:p>
        </w:tc>
        <w:tc>
          <w:tcPr>
            <w:tcW w:w="134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190"/>
        </w:trPr>
        <w:tc>
          <w:tcPr>
            <w:tcW w:w="1900" w:type="dxa"/>
            <w:vAlign w:val="bottom"/>
          </w:tcPr>
          <w:p>
            <w:pPr>
              <w:spacing w:after="0"/>
              <w:rPr>
                <w:sz w:val="16"/>
                <w:szCs w:val="16"/>
                <w:color w:val="auto"/>
              </w:rPr>
            </w:pPr>
          </w:p>
        </w:tc>
        <w:tc>
          <w:tcPr>
            <w:tcW w:w="39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provide quality advice and counsel to the Company’s</w:t>
            </w:r>
          </w:p>
        </w:tc>
        <w:tc>
          <w:tcPr>
            <w:tcW w:w="134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190"/>
        </w:trPr>
        <w:tc>
          <w:tcPr>
            <w:tcW w:w="1900" w:type="dxa"/>
            <w:vAlign w:val="bottom"/>
          </w:tcPr>
          <w:p>
            <w:pPr>
              <w:spacing w:after="0"/>
              <w:rPr>
                <w:sz w:val="16"/>
                <w:szCs w:val="16"/>
                <w:color w:val="auto"/>
              </w:rPr>
            </w:pPr>
          </w:p>
        </w:tc>
        <w:tc>
          <w:tcPr>
            <w:tcW w:w="39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management and effectively oversee the business and long-</w:t>
            </w:r>
          </w:p>
        </w:tc>
        <w:tc>
          <w:tcPr>
            <w:tcW w:w="134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197"/>
        </w:trPr>
        <w:tc>
          <w:tcPr>
            <w:tcW w:w="1900" w:type="dxa"/>
            <w:vAlign w:val="bottom"/>
          </w:tcPr>
          <w:p>
            <w:pPr>
              <w:spacing w:after="0"/>
              <w:rPr>
                <w:sz w:val="17"/>
                <w:szCs w:val="17"/>
                <w:color w:val="auto"/>
              </w:rPr>
            </w:pPr>
          </w:p>
        </w:tc>
        <w:tc>
          <w:tcPr>
            <w:tcW w:w="39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term interests of our stockholders.</w:t>
            </w:r>
          </w:p>
        </w:tc>
        <w:tc>
          <w:tcPr>
            <w:tcW w:w="1340" w:type="dxa"/>
            <w:vAlign w:val="bottom"/>
          </w:tcPr>
          <w:p>
            <w:pPr>
              <w:spacing w:after="0"/>
              <w:rPr>
                <w:sz w:val="17"/>
                <w:szCs w:val="17"/>
                <w:color w:val="auto"/>
              </w:rPr>
            </w:pPr>
          </w:p>
        </w:tc>
        <w:tc>
          <w:tcPr>
            <w:tcW w:w="1720" w:type="dxa"/>
            <w:vAlign w:val="bottom"/>
          </w:tcPr>
          <w:p>
            <w:pPr>
              <w:spacing w:after="0"/>
              <w:rPr>
                <w:sz w:val="17"/>
                <w:szCs w:val="17"/>
                <w:color w:val="auto"/>
              </w:rPr>
            </w:pPr>
          </w:p>
        </w:tc>
      </w:tr>
    </w:tbl>
    <w:p>
      <w:pPr>
        <w:spacing w:after="0" w:line="176" w:lineRule="exact"/>
        <w:rPr>
          <w:sz w:val="20"/>
          <w:szCs w:val="20"/>
          <w:color w:val="auto"/>
        </w:rPr>
      </w:pPr>
    </w:p>
    <w:p>
      <w:pPr>
        <w:sectPr>
          <w:pgSz w:w="11900" w:h="16838" w:orient="portrait"/>
          <w:cols w:equalWidth="0" w:num="1">
            <w:col w:w="9019"/>
          </w:cols>
          <w:pgMar w:left="1440" w:top="489" w:right="1440" w:bottom="1440" w:gutter="0" w:footer="0" w:header="0"/>
        </w:sectPr>
      </w:pPr>
    </w:p>
    <w:p>
      <w:pPr>
        <w:spacing w:after="0" w:line="2" w:lineRule="exact"/>
        <w:rPr>
          <w:sz w:val="20"/>
          <w:szCs w:val="20"/>
          <w:color w:val="auto"/>
        </w:rPr>
      </w:pPr>
    </w:p>
    <w:p>
      <w:pPr>
        <w:ind w:left="360" w:right="20" w:hanging="189"/>
        <w:spacing w:after="0" w:line="302" w:lineRule="auto"/>
        <w:tabs>
          <w:tab w:leader="none" w:pos="368" w:val="left"/>
        </w:tabs>
        <w:numPr>
          <w:ilvl w:val="0"/>
          <w:numId w:val="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i w:val="1"/>
          <w:iCs w:val="1"/>
          <w:color w:val="auto"/>
        </w:rPr>
        <w:t>To approve, on an advisory basis, the compensation of our named executive officers.</w:t>
      </w:r>
    </w:p>
    <w:p>
      <w:pPr>
        <w:spacing w:after="0" w:line="137" w:lineRule="exact"/>
        <w:rPr>
          <w:sz w:val="20"/>
          <w:szCs w:val="20"/>
          <w:color w:val="auto"/>
        </w:rPr>
      </w:pPr>
    </w:p>
    <w:p>
      <w:pPr>
        <w:ind w:left="360" w:hanging="189"/>
        <w:spacing w:after="0" w:line="276" w:lineRule="auto"/>
        <w:tabs>
          <w:tab w:leader="none" w:pos="368" w:val="left"/>
        </w:tabs>
        <w:numPr>
          <w:ilvl w:val="0"/>
          <w:numId w:val="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i w:val="1"/>
          <w:iCs w:val="1"/>
          <w:color w:val="auto"/>
        </w:rPr>
        <w:t>To ratify the appointment of KPMG LLP as our independent registered public accounting firm.</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3720" w:type="dxa"/>
            <w:vAlign w:val="bottom"/>
          </w:tcPr>
          <w:p>
            <w:pPr>
              <w:spacing w:after="0"/>
              <w:rPr>
                <w:sz w:val="20"/>
                <w:szCs w:val="20"/>
                <w:color w:val="auto"/>
              </w:rPr>
            </w:pPr>
            <w:r>
              <w:rPr>
                <w:rFonts w:ascii="Times New Roman" w:cs="Times New Roman" w:eastAsia="Times New Roman" w:hAnsi="Times New Roman"/>
                <w:sz w:val="15"/>
                <w:szCs w:val="15"/>
                <w:color w:val="auto"/>
              </w:rPr>
              <w:t>The Company seeks the approval, on an advisory, basis, of</w:t>
            </w:r>
          </w:p>
        </w:tc>
        <w:tc>
          <w:tcPr>
            <w:tcW w:w="116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“FOR”</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186"/>
        </w:trPr>
        <w:tc>
          <w:tcPr>
            <w:tcW w:w="3720" w:type="dxa"/>
            <w:vAlign w:val="bottom"/>
          </w:tcPr>
          <w:p>
            <w:pPr>
              <w:spacing w:after="0"/>
              <w:rPr>
                <w:sz w:val="20"/>
                <w:szCs w:val="20"/>
                <w:color w:val="auto"/>
              </w:rPr>
            </w:pPr>
            <w:r>
              <w:rPr>
                <w:rFonts w:ascii="Times New Roman" w:cs="Times New Roman" w:eastAsia="Times New Roman" w:hAnsi="Times New Roman"/>
                <w:sz w:val="15"/>
                <w:szCs w:val="15"/>
                <w:color w:val="auto"/>
              </w:rPr>
              <w:t>the compensation of its named executive officers as</w:t>
            </w:r>
          </w:p>
        </w:tc>
        <w:tc>
          <w:tcPr>
            <w:tcW w:w="11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0"/>
        </w:trPr>
        <w:tc>
          <w:tcPr>
            <w:tcW w:w="3720" w:type="dxa"/>
            <w:vAlign w:val="bottom"/>
          </w:tcPr>
          <w:p>
            <w:pPr>
              <w:spacing w:after="0"/>
              <w:rPr>
                <w:sz w:val="20"/>
                <w:szCs w:val="20"/>
                <w:color w:val="auto"/>
              </w:rPr>
            </w:pPr>
            <w:r>
              <w:rPr>
                <w:rFonts w:ascii="Times New Roman" w:cs="Times New Roman" w:eastAsia="Times New Roman" w:hAnsi="Times New Roman"/>
                <w:sz w:val="15"/>
                <w:szCs w:val="15"/>
                <w:color w:val="auto"/>
              </w:rPr>
              <w:t>described in the section titled “</w:t>
            </w:r>
            <w:r>
              <w:rPr>
                <w:rFonts w:ascii="Times New Roman" w:cs="Times New Roman" w:eastAsia="Times New Roman" w:hAnsi="Times New Roman"/>
                <w:sz w:val="15"/>
                <w:szCs w:val="15"/>
                <w:i w:val="1"/>
                <w:iCs w:val="1"/>
                <w:color w:val="auto"/>
              </w:rPr>
              <w:t>Compensation Discussion</w:t>
            </w:r>
          </w:p>
        </w:tc>
        <w:tc>
          <w:tcPr>
            <w:tcW w:w="11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01"/>
        </w:trPr>
        <w:tc>
          <w:tcPr>
            <w:tcW w:w="3720" w:type="dxa"/>
            <w:vAlign w:val="bottom"/>
          </w:tcPr>
          <w:p>
            <w:pPr>
              <w:spacing w:after="0"/>
              <w:rPr>
                <w:sz w:val="20"/>
                <w:szCs w:val="20"/>
                <w:color w:val="auto"/>
              </w:rPr>
            </w:pPr>
            <w:r>
              <w:rPr>
                <w:rFonts w:ascii="Times New Roman" w:cs="Times New Roman" w:eastAsia="Times New Roman" w:hAnsi="Times New Roman"/>
                <w:sz w:val="15"/>
                <w:szCs w:val="15"/>
                <w:i w:val="1"/>
                <w:iCs w:val="1"/>
                <w:color w:val="auto"/>
              </w:rPr>
              <w:t xml:space="preserve">and Analysis” </w:t>
            </w:r>
            <w:r>
              <w:rPr>
                <w:rFonts w:ascii="Times New Roman" w:cs="Times New Roman" w:eastAsia="Times New Roman" w:hAnsi="Times New Roman"/>
                <w:sz w:val="15"/>
                <w:szCs w:val="15"/>
                <w:color w:val="auto"/>
              </w:rPr>
              <w:t>and the related tables.</w:t>
            </w:r>
          </w:p>
        </w:tc>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388"/>
        </w:trPr>
        <w:tc>
          <w:tcPr>
            <w:tcW w:w="3720" w:type="dxa"/>
            <w:vAlign w:val="bottom"/>
          </w:tcPr>
          <w:p>
            <w:pPr>
              <w:spacing w:after="0"/>
              <w:rPr>
                <w:sz w:val="20"/>
                <w:szCs w:val="20"/>
                <w:color w:val="auto"/>
              </w:rPr>
            </w:pPr>
            <w:r>
              <w:rPr>
                <w:rFonts w:ascii="Times New Roman" w:cs="Times New Roman" w:eastAsia="Times New Roman" w:hAnsi="Times New Roman"/>
                <w:sz w:val="15"/>
                <w:szCs w:val="15"/>
                <w:color w:val="auto"/>
              </w:rPr>
              <w:t>The Audit Committee and the Board believe that the</w:t>
            </w:r>
          </w:p>
        </w:tc>
        <w:tc>
          <w:tcPr>
            <w:tcW w:w="116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“FOR”</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r>
    </w:tbl>
    <w:p>
      <w:pPr>
        <w:ind w:right="3319"/>
        <w:spacing w:after="0" w:line="266" w:lineRule="auto"/>
        <w:rPr>
          <w:sz w:val="20"/>
          <w:szCs w:val="20"/>
          <w:color w:val="auto"/>
        </w:rPr>
      </w:pPr>
      <w:r>
        <w:rPr>
          <w:rFonts w:ascii="Times New Roman" w:cs="Times New Roman" w:eastAsia="Times New Roman" w:hAnsi="Times New Roman"/>
          <w:sz w:val="15"/>
          <w:szCs w:val="15"/>
          <w:color w:val="auto"/>
        </w:rPr>
        <w:t>retention of KPMG LLP to serve as our independent registered public accounting firm for the fiscal year ending December 31, 2025 is in the best interests of the Company and its stockholders and we are asking our stockholders to ratify the Audit Committee’s selection of KPMG LLP to serve in that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-1317625</wp:posOffset>
            </wp:positionH>
            <wp:positionV relativeFrom="paragraph">
              <wp:posOffset>119380</wp:posOffset>
            </wp:positionV>
            <wp:extent cx="56648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64835" cy="8255"/>
                    </a:xfrm>
                    <a:prstGeom prst="rect">
                      <a:avLst/>
                    </a:prstGeom>
                    <a:noFill/>
                  </pic:spPr>
                </pic:pic>
              </a:graphicData>
            </a:graphic>
          </wp:anchor>
        </w:drawing>
      </w:r>
    </w:p>
    <w:p>
      <w:pPr>
        <w:spacing w:after="0" w:line="193" w:lineRule="exact"/>
        <w:rPr>
          <w:sz w:val="20"/>
          <w:szCs w:val="20"/>
          <w:color w:val="auto"/>
        </w:rPr>
      </w:pPr>
    </w:p>
    <w:p>
      <w:pPr>
        <w:sectPr>
          <w:pgSz w:w="11900" w:h="16838" w:orient="portrait"/>
          <w:cols w:equalWidth="0" w:num="2">
            <w:col w:w="1900" w:space="220"/>
            <w:col w:w="6899"/>
          </w:cols>
          <w:pgMar w:left="1440" w:top="489" w:right="1440"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7"/>
          <w:szCs w:val="17"/>
          <w:b w:val="1"/>
          <w:bCs w:val="1"/>
          <w:color w:val="auto"/>
        </w:rPr>
        <w:t>DIRECTOR NOMINEES</w:t>
      </w:r>
    </w:p>
    <w:p>
      <w:pPr>
        <w:spacing w:after="0" w:line="1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following provides summary information regarding our director nominees:</w:t>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Age</w:t>
            </w:r>
          </w:p>
        </w:tc>
        <w:tc>
          <w:tcPr>
            <w:tcW w:w="660" w:type="dxa"/>
            <w:vAlign w:val="bottom"/>
          </w:tcPr>
          <w:p>
            <w:pPr>
              <w:ind w:left="80"/>
              <w:spacing w:after="0" w:line="133" w:lineRule="exact"/>
              <w:rPr>
                <w:sz w:val="20"/>
                <w:szCs w:val="20"/>
                <w:color w:val="auto"/>
              </w:rPr>
            </w:pPr>
            <w:r>
              <w:rPr>
                <w:rFonts w:ascii="Times New Roman" w:cs="Times New Roman" w:eastAsia="Times New Roman" w:hAnsi="Times New Roman"/>
                <w:sz w:val="13"/>
                <w:szCs w:val="13"/>
                <w:b w:val="1"/>
                <w:bCs w:val="1"/>
                <w:color w:val="auto"/>
              </w:rPr>
              <w:t>Director</w:t>
            </w:r>
          </w:p>
        </w:tc>
        <w:tc>
          <w:tcPr>
            <w:tcW w:w="31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Primary Occupation</w:t>
            </w:r>
          </w:p>
        </w:tc>
        <w:tc>
          <w:tcPr>
            <w:tcW w:w="1920" w:type="dxa"/>
            <w:vAlign w:val="bottom"/>
            <w:gridSpan w:val="3"/>
            <w:vMerge w:val="restart"/>
          </w:tcPr>
          <w:p>
            <w:pPr>
              <w:ind w:left="200"/>
              <w:spacing w:after="0"/>
              <w:rPr>
                <w:sz w:val="20"/>
                <w:szCs w:val="20"/>
                <w:color w:val="auto"/>
              </w:rPr>
            </w:pPr>
            <w:r>
              <w:rPr>
                <w:rFonts w:ascii="Times New Roman" w:cs="Times New Roman" w:eastAsia="Times New Roman" w:hAnsi="Times New Roman"/>
                <w:sz w:val="13"/>
                <w:szCs w:val="13"/>
                <w:b w:val="1"/>
                <w:bCs w:val="1"/>
                <w:color w:val="auto"/>
              </w:rPr>
              <w:t>Committee Memberships</w:t>
            </w:r>
            <w:r>
              <w:rPr>
                <w:rFonts w:ascii="Times New Roman" w:cs="Times New Roman" w:eastAsia="Times New Roman" w:hAnsi="Times New Roman"/>
                <w:sz w:val="20"/>
                <w:szCs w:val="20"/>
                <w:b w:val="1"/>
                <w:bCs w:val="1"/>
                <w:color w:val="auto"/>
                <w:vertAlign w:val="superscript"/>
              </w:rPr>
              <w:t>(1)</w:t>
            </w:r>
          </w:p>
        </w:tc>
        <w:tc>
          <w:tcPr>
            <w:tcW w:w="124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auto"/>
              </w:rPr>
              <w:t>Other Public</w:t>
            </w:r>
          </w:p>
        </w:tc>
        <w:tc>
          <w:tcPr>
            <w:tcW w:w="0" w:type="dxa"/>
            <w:vAlign w:val="bottom"/>
          </w:tcPr>
          <w:p>
            <w:pPr>
              <w:spacing w:after="0"/>
              <w:rPr>
                <w:sz w:val="1"/>
                <w:szCs w:val="1"/>
                <w:color w:val="auto"/>
              </w:rPr>
            </w:pPr>
          </w:p>
        </w:tc>
      </w:tr>
      <w:tr>
        <w:trPr>
          <w:trHeight w:val="163"/>
        </w:trPr>
        <w:tc>
          <w:tcPr>
            <w:tcW w:w="1480" w:type="dxa"/>
            <w:vAlign w:val="bottom"/>
            <w:gridSpan w:val="2"/>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Since</w:t>
            </w:r>
          </w:p>
        </w:tc>
        <w:tc>
          <w:tcPr>
            <w:tcW w:w="3180" w:type="dxa"/>
            <w:vAlign w:val="bottom"/>
            <w:vMerge w:val="continue"/>
          </w:tcPr>
          <w:p>
            <w:pPr>
              <w:spacing w:after="0"/>
              <w:rPr>
                <w:sz w:val="14"/>
                <w:szCs w:val="14"/>
                <w:color w:val="auto"/>
              </w:rPr>
            </w:pPr>
          </w:p>
        </w:tc>
        <w:tc>
          <w:tcPr>
            <w:tcW w:w="1920" w:type="dxa"/>
            <w:vAlign w:val="bottom"/>
            <w:gridSpan w:val="3"/>
            <w:vMerge w:val="continue"/>
          </w:tcPr>
          <w:p>
            <w:pPr>
              <w:spacing w:after="0"/>
              <w:rPr>
                <w:sz w:val="14"/>
                <w:szCs w:val="1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Company Boards</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31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5"/>
                <w:szCs w:val="15"/>
                <w:i w:val="1"/>
                <w:iCs w:val="1"/>
                <w:color w:val="auto"/>
              </w:rPr>
              <w:t>A</w:t>
            </w:r>
          </w:p>
        </w:tc>
        <w:tc>
          <w:tcPr>
            <w:tcW w:w="66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5"/>
                <w:szCs w:val="15"/>
                <w:i w:val="1"/>
                <w:iCs w:val="1"/>
                <w:color w:val="auto"/>
              </w:rPr>
              <w:t>C</w:t>
            </w:r>
          </w:p>
        </w:tc>
        <w:tc>
          <w:tcPr>
            <w:tcW w:w="64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5"/>
                <w:szCs w:val="15"/>
                <w:i w:val="1"/>
                <w:iCs w:val="1"/>
                <w:color w:val="auto"/>
              </w:rPr>
              <w:t>NCG</w:t>
            </w:r>
          </w:p>
        </w:tc>
        <w:tc>
          <w:tcPr>
            <w:tcW w:w="12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480" w:type="dxa"/>
            <w:vAlign w:val="bottom"/>
            <w:gridSpan w:val="2"/>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460" w:type="dxa"/>
            <w:vAlign w:val="bottom"/>
            <w:tcBorders>
              <w:top w:val="single" w:sz="8" w:color="auto"/>
            </w:tcBorders>
          </w:tcPr>
          <w:p>
            <w:pPr>
              <w:spacing w:after="0" w:line="170" w:lineRule="exact"/>
              <w:rPr>
                <w:sz w:val="20"/>
                <w:szCs w:val="20"/>
                <w:color w:val="auto"/>
              </w:rPr>
            </w:pPr>
            <w:r>
              <w:rPr>
                <w:rFonts w:ascii="Times New Roman" w:cs="Times New Roman" w:eastAsia="Times New Roman" w:hAnsi="Times New Roman"/>
                <w:sz w:val="15"/>
                <w:szCs w:val="15"/>
                <w:color w:val="auto"/>
              </w:rPr>
              <w:t>Brian E. Mueller*</w:t>
            </w:r>
          </w:p>
        </w:tc>
        <w:tc>
          <w:tcPr>
            <w:tcW w:w="440" w:type="dxa"/>
            <w:vAlign w:val="bottom"/>
            <w:tcBorders>
              <w:top w:val="single" w:sz="8" w:color="auto"/>
            </w:tcBorders>
          </w:tcPr>
          <w:p>
            <w:pPr>
              <w:ind w:left="120"/>
              <w:spacing w:after="0" w:line="170" w:lineRule="exact"/>
              <w:rPr>
                <w:sz w:val="20"/>
                <w:szCs w:val="20"/>
                <w:color w:val="auto"/>
              </w:rPr>
            </w:pPr>
            <w:r>
              <w:rPr>
                <w:rFonts w:ascii="Times New Roman" w:cs="Times New Roman" w:eastAsia="Times New Roman" w:hAnsi="Times New Roman"/>
                <w:sz w:val="15"/>
                <w:szCs w:val="15"/>
                <w:color w:val="auto"/>
              </w:rPr>
              <w:t>71</w:t>
            </w:r>
          </w:p>
        </w:tc>
        <w:tc>
          <w:tcPr>
            <w:tcW w:w="660" w:type="dxa"/>
            <w:vAlign w:val="bottom"/>
            <w:tcBorders>
              <w:top w:val="single" w:sz="8" w:color="auto"/>
            </w:tcBorders>
          </w:tcPr>
          <w:p>
            <w:pPr>
              <w:ind w:left="80"/>
              <w:spacing w:after="0" w:line="170" w:lineRule="exact"/>
              <w:rPr>
                <w:sz w:val="20"/>
                <w:szCs w:val="20"/>
                <w:color w:val="auto"/>
              </w:rPr>
            </w:pPr>
            <w:r>
              <w:rPr>
                <w:rFonts w:ascii="Times New Roman" w:cs="Times New Roman" w:eastAsia="Times New Roman" w:hAnsi="Times New Roman"/>
                <w:sz w:val="15"/>
                <w:szCs w:val="15"/>
                <w:color w:val="auto"/>
              </w:rPr>
              <w:t>2009</w:t>
            </w:r>
          </w:p>
        </w:tc>
        <w:tc>
          <w:tcPr>
            <w:tcW w:w="3180" w:type="dxa"/>
            <w:vAlign w:val="bottom"/>
            <w:tcBorders>
              <w:top w:val="single" w:sz="8" w:color="auto"/>
            </w:tcBorders>
          </w:tcPr>
          <w:p>
            <w:pPr>
              <w:ind w:left="100"/>
              <w:spacing w:after="0" w:line="170" w:lineRule="exact"/>
              <w:rPr>
                <w:sz w:val="20"/>
                <w:szCs w:val="20"/>
                <w:color w:val="auto"/>
              </w:rPr>
            </w:pPr>
            <w:r>
              <w:rPr>
                <w:rFonts w:ascii="Times New Roman" w:cs="Times New Roman" w:eastAsia="Times New Roman" w:hAnsi="Times New Roman"/>
                <w:sz w:val="15"/>
                <w:szCs w:val="15"/>
                <w:color w:val="auto"/>
              </w:rPr>
              <w:t>Chairman of the Board of Directors and Chief</w:t>
            </w:r>
          </w:p>
        </w:tc>
        <w:tc>
          <w:tcPr>
            <w:tcW w:w="6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center"/>
              <w:spacing w:after="0" w:line="170" w:lineRule="exact"/>
              <w:rPr>
                <w:sz w:val="20"/>
                <w:szCs w:val="20"/>
                <w:color w:val="auto"/>
              </w:rPr>
            </w:pPr>
            <w:r>
              <w:rPr>
                <w:rFonts w:ascii="Times New Roman" w:cs="Times New Roman" w:eastAsia="Times New Roman" w:hAnsi="Times New Roman"/>
                <w:sz w:val="15"/>
                <w:szCs w:val="15"/>
                <w:color w:val="auto"/>
                <w:w w:val="98"/>
              </w:rPr>
              <w:t>None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1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Executive Officer, Grand Canyon</w:t>
            </w: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1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Education, Inc.</w:t>
            </w:r>
          </w:p>
        </w:tc>
        <w:tc>
          <w:tcPr>
            <w:tcW w:w="6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1"/>
        </w:trPr>
        <w:tc>
          <w:tcPr>
            <w:tcW w:w="14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Sara Ward</w:t>
            </w:r>
            <w:r>
              <w:rPr>
                <w:rFonts w:ascii="Times New Roman" w:cs="Times New Roman" w:eastAsia="Times New Roman" w:hAnsi="Times New Roman"/>
                <w:sz w:val="22"/>
                <w:szCs w:val="22"/>
                <w:color w:val="auto"/>
                <w:vertAlign w:val="superscript"/>
              </w:rPr>
              <w:t>+≠</w:t>
            </w:r>
          </w:p>
        </w:tc>
        <w:tc>
          <w:tcPr>
            <w:tcW w:w="4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61</w:t>
            </w:r>
          </w:p>
        </w:tc>
        <w:tc>
          <w:tcPr>
            <w:tcW w:w="6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2013</w:t>
            </w:r>
          </w:p>
        </w:tc>
        <w:tc>
          <w:tcPr>
            <w:tcW w:w="31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President and Chief Executive Officer, Sara</w:t>
            </w:r>
          </w:p>
        </w:tc>
        <w:tc>
          <w:tcPr>
            <w:tcW w:w="620" w:type="dxa"/>
            <w:vAlign w:val="bottom"/>
          </w:tcPr>
          <w:p>
            <w:pPr>
              <w:ind w:left="160"/>
              <w:spacing w:after="0" w:line="201" w:lineRule="exact"/>
              <w:rPr>
                <w:sz w:val="20"/>
                <w:szCs w:val="20"/>
                <w:color w:val="auto"/>
              </w:rPr>
            </w:pPr>
            <w:r>
              <w:rPr>
                <w:rFonts w:ascii="Arial Unicode MS" w:cs="Arial Unicode MS" w:eastAsia="Arial Unicode MS" w:hAnsi="Arial Unicode MS"/>
                <w:sz w:val="15"/>
                <w:szCs w:val="15"/>
                <w:color w:val="auto"/>
              </w:rPr>
              <w:t>⌧</w:t>
            </w:r>
          </w:p>
        </w:tc>
        <w:tc>
          <w:tcPr>
            <w:tcW w:w="660" w:type="dxa"/>
            <w:vAlign w:val="bottom"/>
          </w:tcPr>
          <w:p>
            <w:pPr>
              <w:ind w:left="220"/>
              <w:spacing w:after="0" w:line="201" w:lineRule="exact"/>
              <w:rPr>
                <w:sz w:val="20"/>
                <w:szCs w:val="20"/>
                <w:color w:val="auto"/>
              </w:rPr>
            </w:pPr>
            <w:r>
              <w:rPr>
                <w:rFonts w:ascii="Arial Unicode MS" w:cs="Arial Unicode MS" w:eastAsia="Arial Unicode MS" w:hAnsi="Arial Unicode MS"/>
                <w:sz w:val="15"/>
                <w:szCs w:val="15"/>
                <w:color w:val="auto"/>
              </w:rPr>
              <w:t>⌧</w:t>
            </w:r>
          </w:p>
        </w:tc>
        <w:tc>
          <w:tcPr>
            <w:tcW w:w="640" w:type="dxa"/>
            <w:vAlign w:val="bottom"/>
          </w:tcPr>
          <w:p>
            <w:pPr>
              <w:jc w:val="center"/>
              <w:spacing w:after="0" w:line="201" w:lineRule="exact"/>
              <w:rPr>
                <w:sz w:val="20"/>
                <w:szCs w:val="20"/>
                <w:color w:val="auto"/>
              </w:rPr>
            </w:pPr>
            <w:r>
              <w:rPr>
                <w:rFonts w:ascii="Arial Unicode MS" w:cs="Arial Unicode MS" w:eastAsia="Arial Unicode MS" w:hAnsi="Arial Unicode MS"/>
                <w:sz w:val="15"/>
                <w:szCs w:val="15"/>
                <w:color w:val="auto"/>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None</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1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Ward &amp; Associates</w:t>
            </w:r>
          </w:p>
        </w:tc>
        <w:tc>
          <w:tcPr>
            <w:tcW w:w="6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1"/>
        </w:trPr>
        <w:tc>
          <w:tcPr>
            <w:tcW w:w="14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Jack A. Henry</w:t>
            </w:r>
            <w:r>
              <w:rPr>
                <w:rFonts w:ascii="Times New Roman" w:cs="Times New Roman" w:eastAsia="Times New Roman" w:hAnsi="Times New Roman"/>
                <w:sz w:val="22"/>
                <w:szCs w:val="22"/>
                <w:color w:val="auto"/>
                <w:vertAlign w:val="superscript"/>
              </w:rPr>
              <w:t>+</w:t>
            </w:r>
          </w:p>
        </w:tc>
        <w:tc>
          <w:tcPr>
            <w:tcW w:w="4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81</w:t>
            </w:r>
          </w:p>
        </w:tc>
        <w:tc>
          <w:tcPr>
            <w:tcW w:w="6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2008</w:t>
            </w:r>
          </w:p>
        </w:tc>
        <w:tc>
          <w:tcPr>
            <w:tcW w:w="31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Managing Director, Sierra Blanca Ventures,</w:t>
            </w:r>
          </w:p>
        </w:tc>
        <w:tc>
          <w:tcPr>
            <w:tcW w:w="620" w:type="dxa"/>
            <w:vAlign w:val="bottom"/>
          </w:tcPr>
          <w:p>
            <w:pPr>
              <w:ind w:left="160"/>
              <w:spacing w:after="0" w:line="201" w:lineRule="exact"/>
              <w:rPr>
                <w:sz w:val="20"/>
                <w:szCs w:val="20"/>
                <w:color w:val="auto"/>
              </w:rPr>
            </w:pPr>
            <w:r>
              <w:rPr>
                <w:rFonts w:ascii="Arial Unicode MS" w:cs="Arial Unicode MS" w:eastAsia="Arial Unicode MS" w:hAnsi="Arial Unicode MS"/>
                <w:sz w:val="15"/>
                <w:szCs w:val="15"/>
                <w:color w:val="auto"/>
              </w:rPr>
              <w:t>⌧</w:t>
            </w:r>
            <w:r>
              <w:rPr>
                <w:rFonts w:ascii="Times New Roman" w:cs="Times New Roman" w:eastAsia="Times New Roman" w:hAnsi="Times New Roman"/>
                <w:sz w:val="15"/>
                <w:szCs w:val="15"/>
                <w:color w:val="auto"/>
              </w:rPr>
              <w:t>*</w:t>
            </w:r>
          </w:p>
        </w:tc>
        <w:tc>
          <w:tcPr>
            <w:tcW w:w="660" w:type="dxa"/>
            <w:vAlign w:val="bottom"/>
          </w:tcPr>
          <w:p>
            <w:pPr>
              <w:ind w:left="220"/>
              <w:spacing w:after="0" w:line="201" w:lineRule="exact"/>
              <w:rPr>
                <w:sz w:val="20"/>
                <w:szCs w:val="20"/>
                <w:color w:val="auto"/>
              </w:rPr>
            </w:pPr>
            <w:r>
              <w:rPr>
                <w:rFonts w:ascii="Arial Unicode MS" w:cs="Arial Unicode MS" w:eastAsia="Arial Unicode MS" w:hAnsi="Arial Unicode MS"/>
                <w:sz w:val="15"/>
                <w:szCs w:val="15"/>
                <w:color w:val="auto"/>
              </w:rPr>
              <w:t>⌧</w:t>
            </w:r>
          </w:p>
        </w:tc>
        <w:tc>
          <w:tcPr>
            <w:tcW w:w="640" w:type="dxa"/>
            <w:vAlign w:val="bottom"/>
          </w:tcPr>
          <w:p>
            <w:pPr>
              <w:ind w:left="200"/>
              <w:spacing w:after="0" w:line="201" w:lineRule="exact"/>
              <w:rPr>
                <w:sz w:val="20"/>
                <w:szCs w:val="20"/>
                <w:color w:val="auto"/>
              </w:rPr>
            </w:pPr>
            <w:r>
              <w:rPr>
                <w:rFonts w:ascii="Arial Unicode MS" w:cs="Arial Unicode MS" w:eastAsia="Arial Unicode MS" w:hAnsi="Arial Unicode MS"/>
                <w:sz w:val="15"/>
                <w:szCs w:val="15"/>
                <w:color w:val="auto"/>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None</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1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LLC</w:t>
            </w:r>
          </w:p>
        </w:tc>
        <w:tc>
          <w:tcPr>
            <w:tcW w:w="6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14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Lisa Graham Keegan</w:t>
            </w:r>
            <w:r>
              <w:rPr>
                <w:rFonts w:ascii="Times New Roman" w:cs="Times New Roman" w:eastAsia="Times New Roman" w:hAnsi="Times New Roman"/>
                <w:sz w:val="22"/>
                <w:szCs w:val="22"/>
                <w:color w:val="auto"/>
                <w:vertAlign w:val="superscript"/>
              </w:rPr>
              <w:t>+</w:t>
            </w:r>
          </w:p>
        </w:tc>
        <w:tc>
          <w:tcPr>
            <w:tcW w:w="4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65</w:t>
            </w:r>
          </w:p>
        </w:tc>
        <w:tc>
          <w:tcPr>
            <w:tcW w:w="6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2019</w:t>
            </w:r>
          </w:p>
        </w:tc>
        <w:tc>
          <w:tcPr>
            <w:tcW w:w="31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Principal Partner at The Keegan Company</w:t>
            </w:r>
          </w:p>
        </w:tc>
        <w:tc>
          <w:tcPr>
            <w:tcW w:w="620" w:type="dxa"/>
            <w:vAlign w:val="bottom"/>
          </w:tcPr>
          <w:p>
            <w:pPr>
              <w:ind w:left="160"/>
              <w:spacing w:after="0" w:line="201" w:lineRule="exact"/>
              <w:rPr>
                <w:sz w:val="20"/>
                <w:szCs w:val="20"/>
                <w:color w:val="auto"/>
              </w:rPr>
            </w:pPr>
            <w:r>
              <w:rPr>
                <w:rFonts w:ascii="Arial Unicode MS" w:cs="Arial Unicode MS" w:eastAsia="Arial Unicode MS" w:hAnsi="Arial Unicode MS"/>
                <w:sz w:val="15"/>
                <w:szCs w:val="15"/>
                <w:color w:val="auto"/>
              </w:rPr>
              <w:t>⌧</w:t>
            </w:r>
          </w:p>
        </w:tc>
        <w:tc>
          <w:tcPr>
            <w:tcW w:w="660" w:type="dxa"/>
            <w:vAlign w:val="bottom"/>
          </w:tcPr>
          <w:p>
            <w:pPr>
              <w:ind w:left="220"/>
              <w:spacing w:after="0" w:line="201" w:lineRule="exact"/>
              <w:rPr>
                <w:sz w:val="20"/>
                <w:szCs w:val="20"/>
                <w:color w:val="auto"/>
              </w:rPr>
            </w:pPr>
            <w:r>
              <w:rPr>
                <w:rFonts w:ascii="Arial Unicode MS" w:cs="Arial Unicode MS" w:eastAsia="Arial Unicode MS" w:hAnsi="Arial Unicode MS"/>
                <w:sz w:val="15"/>
                <w:szCs w:val="15"/>
                <w:color w:val="auto"/>
              </w:rPr>
              <w:t>⌧</w:t>
            </w:r>
          </w:p>
        </w:tc>
        <w:tc>
          <w:tcPr>
            <w:tcW w:w="640" w:type="dxa"/>
            <w:vAlign w:val="bottom"/>
          </w:tcPr>
          <w:p>
            <w:pPr>
              <w:jc w:val="center"/>
              <w:spacing w:after="0" w:line="201" w:lineRule="exact"/>
              <w:rPr>
                <w:sz w:val="20"/>
                <w:szCs w:val="20"/>
                <w:color w:val="auto"/>
              </w:rPr>
            </w:pPr>
            <w:r>
              <w:rPr>
                <w:rFonts w:ascii="Arial Unicode MS" w:cs="Arial Unicode MS" w:eastAsia="Arial Unicode MS" w:hAnsi="Arial Unicode MS"/>
                <w:sz w:val="15"/>
                <w:szCs w:val="15"/>
                <w:color w:val="auto"/>
              </w:rPr>
              <w:t>⌧</w:t>
            </w:r>
            <w:r>
              <w:rPr>
                <w:rFonts w:ascii="Times New Roman" w:cs="Times New Roman" w:eastAsia="Times New Roman" w:hAnsi="Times New Roman"/>
                <w:sz w:val="15"/>
                <w:szCs w:val="15"/>
                <w:color w:val="auto"/>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None</w:t>
            </w:r>
          </w:p>
        </w:tc>
        <w:tc>
          <w:tcPr>
            <w:tcW w:w="0" w:type="dxa"/>
            <w:vAlign w:val="bottom"/>
          </w:tcPr>
          <w:p>
            <w:pPr>
              <w:spacing w:after="0"/>
              <w:rPr>
                <w:sz w:val="1"/>
                <w:szCs w:val="1"/>
                <w:color w:val="auto"/>
              </w:rPr>
            </w:pPr>
          </w:p>
        </w:tc>
      </w:tr>
      <w:tr>
        <w:trPr>
          <w:trHeight w:val="232"/>
        </w:trPr>
        <w:tc>
          <w:tcPr>
            <w:tcW w:w="1480" w:type="dxa"/>
            <w:vAlign w:val="bottom"/>
            <w:gridSpan w:val="2"/>
          </w:tcPr>
          <w:p>
            <w:pPr>
              <w:spacing w:after="0" w:line="231" w:lineRule="exact"/>
              <w:rPr>
                <w:sz w:val="20"/>
                <w:szCs w:val="20"/>
                <w:color w:val="auto"/>
              </w:rPr>
            </w:pPr>
            <w:r>
              <w:rPr>
                <w:rFonts w:ascii="Times New Roman" w:cs="Times New Roman" w:eastAsia="Times New Roman" w:hAnsi="Times New Roman"/>
                <w:sz w:val="15"/>
                <w:szCs w:val="15"/>
                <w:color w:val="auto"/>
              </w:rPr>
              <w:t>Chevy Humphrey</w:t>
            </w:r>
            <w:r>
              <w:rPr>
                <w:rFonts w:ascii="Times New Roman" w:cs="Times New Roman" w:eastAsia="Times New Roman" w:hAnsi="Times New Roman"/>
                <w:sz w:val="22"/>
                <w:szCs w:val="22"/>
                <w:color w:val="auto"/>
                <w:vertAlign w:val="superscript"/>
              </w:rPr>
              <w:t>+</w:t>
            </w:r>
          </w:p>
        </w:tc>
        <w:tc>
          <w:tcPr>
            <w:tcW w:w="4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60</w:t>
            </w:r>
          </w:p>
        </w:tc>
        <w:tc>
          <w:tcPr>
            <w:tcW w:w="6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2019</w:t>
            </w:r>
          </w:p>
        </w:tc>
        <w:tc>
          <w:tcPr>
            <w:tcW w:w="31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President and Chief Executive Officer, Museum</w:t>
            </w:r>
          </w:p>
        </w:tc>
        <w:tc>
          <w:tcPr>
            <w:tcW w:w="620" w:type="dxa"/>
            <w:vAlign w:val="bottom"/>
          </w:tcPr>
          <w:p>
            <w:pPr>
              <w:ind w:left="160"/>
              <w:spacing w:after="0" w:line="201" w:lineRule="exact"/>
              <w:rPr>
                <w:sz w:val="20"/>
                <w:szCs w:val="20"/>
                <w:color w:val="auto"/>
              </w:rPr>
            </w:pPr>
            <w:r>
              <w:rPr>
                <w:rFonts w:ascii="Arial Unicode MS" w:cs="Arial Unicode MS" w:eastAsia="Arial Unicode MS" w:hAnsi="Arial Unicode MS"/>
                <w:sz w:val="15"/>
                <w:szCs w:val="15"/>
                <w:color w:val="auto"/>
              </w:rPr>
              <w:t>⌧</w:t>
            </w:r>
          </w:p>
        </w:tc>
        <w:tc>
          <w:tcPr>
            <w:tcW w:w="660" w:type="dxa"/>
            <w:vAlign w:val="bottom"/>
          </w:tcPr>
          <w:p>
            <w:pPr>
              <w:ind w:left="200"/>
              <w:spacing w:after="0" w:line="201" w:lineRule="exact"/>
              <w:rPr>
                <w:sz w:val="20"/>
                <w:szCs w:val="20"/>
                <w:color w:val="auto"/>
              </w:rPr>
            </w:pPr>
            <w:r>
              <w:rPr>
                <w:rFonts w:ascii="Arial Unicode MS" w:cs="Arial Unicode MS" w:eastAsia="Arial Unicode MS" w:hAnsi="Arial Unicode MS"/>
                <w:sz w:val="15"/>
                <w:szCs w:val="15"/>
                <w:color w:val="auto"/>
              </w:rPr>
              <w:t>⌧</w:t>
            </w:r>
            <w:r>
              <w:rPr>
                <w:rFonts w:ascii="Times New Roman" w:cs="Times New Roman" w:eastAsia="Times New Roman" w:hAnsi="Times New Roman"/>
                <w:sz w:val="15"/>
                <w:szCs w:val="15"/>
                <w:color w:val="auto"/>
              </w:rPr>
              <w:t>*</w:t>
            </w:r>
          </w:p>
        </w:tc>
        <w:tc>
          <w:tcPr>
            <w:tcW w:w="640" w:type="dxa"/>
            <w:vAlign w:val="bottom"/>
          </w:tcPr>
          <w:p>
            <w:pPr>
              <w:jc w:val="center"/>
              <w:spacing w:after="0" w:line="201" w:lineRule="exact"/>
              <w:rPr>
                <w:sz w:val="20"/>
                <w:szCs w:val="20"/>
                <w:color w:val="auto"/>
              </w:rPr>
            </w:pPr>
            <w:r>
              <w:rPr>
                <w:rFonts w:ascii="Arial Unicode MS" w:cs="Arial Unicode MS" w:eastAsia="Arial Unicode MS" w:hAnsi="Arial Unicode MS"/>
                <w:sz w:val="15"/>
                <w:szCs w:val="15"/>
                <w:color w:val="auto"/>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None</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1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of Science and Industry Chicago</w:t>
            </w:r>
          </w:p>
        </w:tc>
        <w:tc>
          <w:tcPr>
            <w:tcW w:w="6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1"/>
        </w:trPr>
        <w:tc>
          <w:tcPr>
            <w:tcW w:w="14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Kevin F. Warren</w:t>
            </w:r>
            <w:r>
              <w:rPr>
                <w:rFonts w:ascii="Times New Roman" w:cs="Times New Roman" w:eastAsia="Times New Roman" w:hAnsi="Times New Roman"/>
                <w:sz w:val="22"/>
                <w:szCs w:val="22"/>
                <w:color w:val="auto"/>
                <w:vertAlign w:val="superscript"/>
              </w:rPr>
              <w:t>+</w:t>
            </w:r>
          </w:p>
        </w:tc>
        <w:tc>
          <w:tcPr>
            <w:tcW w:w="4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61</w:t>
            </w:r>
          </w:p>
        </w:tc>
        <w:tc>
          <w:tcPr>
            <w:tcW w:w="6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2024</w:t>
            </w:r>
          </w:p>
        </w:tc>
        <w:tc>
          <w:tcPr>
            <w:tcW w:w="31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President and Chief Executive Officer of the</w:t>
            </w:r>
          </w:p>
        </w:tc>
        <w:tc>
          <w:tcPr>
            <w:tcW w:w="620" w:type="dxa"/>
            <w:vAlign w:val="bottom"/>
          </w:tcPr>
          <w:p>
            <w:pPr>
              <w:ind w:left="160"/>
              <w:spacing w:after="0" w:line="201" w:lineRule="exact"/>
              <w:rPr>
                <w:sz w:val="20"/>
                <w:szCs w:val="20"/>
                <w:color w:val="auto"/>
              </w:rPr>
            </w:pPr>
            <w:r>
              <w:rPr>
                <w:rFonts w:ascii="Arial Unicode MS" w:cs="Arial Unicode MS" w:eastAsia="Arial Unicode MS" w:hAnsi="Arial Unicode MS"/>
                <w:sz w:val="15"/>
                <w:szCs w:val="15"/>
                <w:color w:val="auto"/>
              </w:rPr>
              <w:t>⌧</w:t>
            </w:r>
          </w:p>
        </w:tc>
        <w:tc>
          <w:tcPr>
            <w:tcW w:w="660" w:type="dxa"/>
            <w:vAlign w:val="bottom"/>
          </w:tcPr>
          <w:p>
            <w:pPr>
              <w:ind w:left="200"/>
              <w:spacing w:after="0" w:line="201" w:lineRule="exact"/>
              <w:rPr>
                <w:sz w:val="20"/>
                <w:szCs w:val="20"/>
                <w:color w:val="auto"/>
              </w:rPr>
            </w:pPr>
            <w:r>
              <w:rPr>
                <w:rFonts w:ascii="Arial Unicode MS" w:cs="Arial Unicode MS" w:eastAsia="Arial Unicode MS" w:hAnsi="Arial Unicode MS"/>
                <w:sz w:val="15"/>
                <w:szCs w:val="15"/>
                <w:color w:val="auto"/>
              </w:rPr>
              <w:t>⌧</w:t>
            </w:r>
          </w:p>
        </w:tc>
        <w:tc>
          <w:tcPr>
            <w:tcW w:w="640" w:type="dxa"/>
            <w:vAlign w:val="bottom"/>
          </w:tcPr>
          <w:p>
            <w:pPr>
              <w:jc w:val="center"/>
              <w:spacing w:after="0" w:line="201" w:lineRule="exact"/>
              <w:rPr>
                <w:sz w:val="20"/>
                <w:szCs w:val="20"/>
                <w:color w:val="auto"/>
              </w:rPr>
            </w:pPr>
            <w:r>
              <w:rPr>
                <w:rFonts w:ascii="Arial Unicode MS" w:cs="Arial Unicode MS" w:eastAsia="Arial Unicode MS" w:hAnsi="Arial Unicode MS"/>
                <w:sz w:val="15"/>
                <w:szCs w:val="15"/>
                <w:color w:val="auto"/>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None</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1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Chicago Bears Football Club</w:t>
            </w:r>
          </w:p>
        </w:tc>
        <w:tc>
          <w:tcPr>
            <w:tcW w:w="6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67310</wp:posOffset>
            </wp:positionV>
            <wp:extent cx="142049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20495" cy="8255"/>
                    </a:xfrm>
                    <a:prstGeom prst="rect">
                      <a:avLst/>
                    </a:prstGeom>
                    <a:noFill/>
                  </pic:spPr>
                </pic:pic>
              </a:graphicData>
            </a:graphic>
          </wp:anchor>
        </w:drawing>
      </w:r>
    </w:p>
    <w:p>
      <w:pPr>
        <w:spacing w:after="0" w:line="170" w:lineRule="exact"/>
        <w:rPr>
          <w:sz w:val="20"/>
          <w:szCs w:val="20"/>
          <w:color w:val="auto"/>
        </w:rPr>
      </w:pPr>
    </w:p>
    <w:p>
      <w:pPr>
        <w:ind w:left="340" w:hanging="295"/>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Chair</w:t>
      </w:r>
    </w:p>
    <w:p>
      <w:pPr>
        <w:spacing w:after="0" w:line="23" w:lineRule="exact"/>
        <w:rPr>
          <w:sz w:val="20"/>
          <w:szCs w:val="20"/>
          <w:color w:val="auto"/>
        </w:rPr>
      </w:pPr>
    </w:p>
    <w:p>
      <w:pPr>
        <w:ind w:left="340" w:hanging="295"/>
        <w:spacing w:after="0"/>
        <w:tabs>
          <w:tab w:leader="none" w:pos="3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Independent director</w:t>
      </w:r>
    </w:p>
    <w:p>
      <w:pPr>
        <w:spacing w:after="0" w:line="7" w:lineRule="exact"/>
        <w:rPr>
          <w:sz w:val="20"/>
          <w:szCs w:val="20"/>
          <w:color w:val="auto"/>
        </w:rPr>
      </w:pPr>
    </w:p>
    <w:p>
      <w:pPr>
        <w:ind w:left="340" w:hanging="295"/>
        <w:spacing w:after="0"/>
        <w:tabs>
          <w:tab w:leader="none" w:pos="3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Lead independent director</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335915</wp:posOffset>
            </wp:positionV>
            <wp:extent cx="5664835" cy="241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64835"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type w:val="continuous"/>
        </w:sectPr>
      </w:pPr>
    </w:p>
    <w:bookmarkStart w:id="7" w:name="page8"/>
    <w:bookmarkEnd w:id="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40" w:hanging="295"/>
        <w:spacing w:after="0"/>
        <w:tabs>
          <w:tab w:leader="none" w:pos="3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7"/>
          <w:szCs w:val="17"/>
          <w:color w:val="auto"/>
        </w:rPr>
        <w:t>= Audit Committee;</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7"/>
          <w:szCs w:val="17"/>
          <w:color w:val="auto"/>
        </w:rPr>
        <w:t>Compensation Committee; and</w:t>
      </w:r>
      <w:r>
        <w:rPr>
          <w:rFonts w:ascii="Times New Roman" w:cs="Times New Roman" w:eastAsia="Times New Roman" w:hAnsi="Times New Roman"/>
          <w:sz w:val="17"/>
          <w:szCs w:val="17"/>
          <w:b w:val="1"/>
          <w:bCs w:val="1"/>
          <w:color w:val="auto"/>
        </w:rPr>
        <w:t xml:space="preserve"> NCG</w:t>
      </w:r>
      <w:r>
        <w:rPr>
          <w:rFonts w:ascii="Times New Roman" w:cs="Times New Roman" w:eastAsia="Times New Roman" w:hAnsi="Times New Roman"/>
          <w:sz w:val="17"/>
          <w:szCs w:val="17"/>
          <w:color w:val="auto"/>
        </w:rPr>
        <w:t>=Nominating and Corporate Governance Committee</w:t>
      </w:r>
    </w:p>
    <w:p>
      <w:pPr>
        <w:spacing w:after="0" w:line="111" w:lineRule="exact"/>
        <w:rPr>
          <w:rFonts w:ascii="Times New Roman" w:cs="Times New Roman" w:eastAsia="Times New Roman" w:hAnsi="Times New Roman"/>
          <w:sz w:val="17"/>
          <w:szCs w:val="17"/>
          <w:color w:val="auto"/>
        </w:rPr>
      </w:pPr>
    </w:p>
    <w:p>
      <w:pPr>
        <w:ind w:left="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CORPORATE 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-137160</wp:posOffset>
            </wp:positionV>
            <wp:extent cx="56648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64835" cy="8255"/>
                    </a:xfrm>
                    <a:prstGeom prst="rect">
                      <a:avLst/>
                    </a:prstGeom>
                    <a:noFill/>
                  </pic:spPr>
                </pic:pic>
              </a:graphicData>
            </a:graphic>
          </wp:anchor>
        </w:drawing>
      </w:r>
    </w:p>
    <w:p>
      <w:pPr>
        <w:spacing w:after="0" w:line="151" w:lineRule="exact"/>
        <w:rPr>
          <w:sz w:val="20"/>
          <w:szCs w:val="20"/>
          <w:color w:val="auto"/>
        </w:rPr>
      </w:pPr>
    </w:p>
    <w:p>
      <w:pPr>
        <w:ind w:left="40" w:right="159" w:firstLine="606"/>
        <w:spacing w:after="0" w:line="275" w:lineRule="auto"/>
        <w:rPr>
          <w:sz w:val="20"/>
          <w:szCs w:val="20"/>
          <w:color w:val="auto"/>
        </w:rPr>
      </w:pPr>
      <w:r>
        <w:rPr>
          <w:rFonts w:ascii="Times New Roman" w:cs="Times New Roman" w:eastAsia="Times New Roman" w:hAnsi="Times New Roman"/>
          <w:sz w:val="17"/>
          <w:szCs w:val="17"/>
          <w:color w:val="auto"/>
        </w:rPr>
        <w:t>We believe that effective corporate governance is critical to our ability to create long term value for our stockholders. The following highlights certain key aspects of our corporate governance framework:</w:t>
      </w:r>
    </w:p>
    <w:p>
      <w:pPr>
        <w:sectPr>
          <w:pgSz w:w="11900" w:h="16838" w:orient="portrait"/>
          <w:cols w:equalWidth="0" w:num="1">
            <w:col w:w="9019"/>
          </w:cols>
          <w:pgMar w:left="1440" w:top="489" w:right="1440" w:bottom="1440" w:gutter="0" w:footer="0" w:header="0"/>
        </w:sectPr>
      </w:pPr>
    </w:p>
    <w:p>
      <w:pPr>
        <w:spacing w:after="0" w:line="146" w:lineRule="exact"/>
        <w:rPr>
          <w:sz w:val="20"/>
          <w:szCs w:val="20"/>
          <w:color w:val="auto"/>
        </w:rPr>
      </w:pPr>
    </w:p>
    <w:p>
      <w:pPr>
        <w:ind w:left="540" w:hanging="237"/>
        <w:spacing w:after="0" w:line="276" w:lineRule="auto"/>
        <w:tabs>
          <w:tab w:leader="none" w:pos="540" w:val="left"/>
        </w:tabs>
        <w:numPr>
          <w:ilvl w:val="0"/>
          <w:numId w:val="11"/>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i w:val="1"/>
          <w:iCs w:val="1"/>
          <w:color w:val="auto"/>
        </w:rPr>
        <w:t>We Have An Independent and Diverse Board</w:t>
      </w:r>
      <w:r>
        <w:rPr>
          <w:rFonts w:ascii="Times New Roman" w:cs="Times New Roman" w:eastAsia="Times New Roman" w:hAnsi="Times New Roman"/>
          <w:sz w:val="15"/>
          <w:szCs w:val="15"/>
          <w:color w:val="auto"/>
        </w:rPr>
        <w:t>. Five of our six</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directors are independent. Three of our six directors are women and two of our directors identify with an underrepresented diverse race or ethnicity.</w:t>
      </w:r>
    </w:p>
    <w:p>
      <w:pPr>
        <w:spacing w:after="0" w:line="154" w:lineRule="exact"/>
        <w:rPr>
          <w:rFonts w:ascii="MS PGothic" w:cs="MS PGothic" w:eastAsia="MS PGothic" w:hAnsi="MS PGothic"/>
          <w:sz w:val="15"/>
          <w:szCs w:val="15"/>
          <w:color w:val="auto"/>
        </w:rPr>
      </w:pPr>
    </w:p>
    <w:p>
      <w:pPr>
        <w:ind w:left="540" w:right="20" w:hanging="237"/>
        <w:spacing w:after="0" w:line="276" w:lineRule="auto"/>
        <w:tabs>
          <w:tab w:leader="none" w:pos="540" w:val="left"/>
        </w:tabs>
        <w:numPr>
          <w:ilvl w:val="0"/>
          <w:numId w:val="11"/>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i w:val="1"/>
          <w:iCs w:val="1"/>
          <w:color w:val="auto"/>
        </w:rPr>
        <w:t>We Have Majority Voting for Directors</w:t>
      </w:r>
      <w:r>
        <w:rPr>
          <w:rFonts w:ascii="Times New Roman" w:cs="Times New Roman" w:eastAsia="Times New Roman" w:hAnsi="Times New Roman"/>
          <w:sz w:val="15"/>
          <w:szCs w:val="15"/>
          <w:color w:val="auto"/>
        </w:rPr>
        <w:t>. We have adopted</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majority voting for directors pursuant to which nominees who fail to achieve an affirmative majority of votes cast must submit their resignation.</w:t>
      </w:r>
    </w:p>
    <w:p>
      <w:pPr>
        <w:spacing w:after="0" w:line="154" w:lineRule="exact"/>
        <w:rPr>
          <w:rFonts w:ascii="MS PGothic" w:cs="MS PGothic" w:eastAsia="MS PGothic" w:hAnsi="MS PGothic"/>
          <w:sz w:val="15"/>
          <w:szCs w:val="15"/>
          <w:color w:val="auto"/>
        </w:rPr>
      </w:pPr>
    </w:p>
    <w:p>
      <w:pPr>
        <w:ind w:left="540" w:right="260" w:hanging="237"/>
        <w:spacing w:after="0" w:line="303" w:lineRule="auto"/>
        <w:tabs>
          <w:tab w:leader="none" w:pos="540" w:val="left"/>
        </w:tabs>
        <w:numPr>
          <w:ilvl w:val="0"/>
          <w:numId w:val="11"/>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i w:val="1"/>
          <w:iCs w:val="1"/>
          <w:color w:val="auto"/>
        </w:rPr>
        <w:t xml:space="preserve">We Hold Annual Elections for Directors. </w:t>
      </w:r>
      <w:r>
        <w:rPr>
          <w:rFonts w:ascii="Times New Roman" w:cs="Times New Roman" w:eastAsia="Times New Roman" w:hAnsi="Times New Roman"/>
          <w:sz w:val="15"/>
          <w:szCs w:val="15"/>
          <w:color w:val="auto"/>
        </w:rPr>
        <w:t>We do not have a</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staggered board.</w:t>
      </w:r>
    </w:p>
    <w:p>
      <w:pPr>
        <w:spacing w:after="0" w:line="322" w:lineRule="exact"/>
        <w:rPr>
          <w:rFonts w:ascii="MS PGothic" w:cs="MS PGothic" w:eastAsia="MS PGothic" w:hAnsi="MS PGothic"/>
          <w:sz w:val="15"/>
          <w:szCs w:val="15"/>
          <w:color w:val="auto"/>
        </w:rPr>
      </w:pPr>
    </w:p>
    <w:p>
      <w:pPr>
        <w:ind w:left="540" w:hanging="237"/>
        <w:spacing w:after="0" w:line="303" w:lineRule="auto"/>
        <w:tabs>
          <w:tab w:leader="none" w:pos="540" w:val="left"/>
        </w:tabs>
        <w:numPr>
          <w:ilvl w:val="0"/>
          <w:numId w:val="11"/>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i w:val="1"/>
          <w:iCs w:val="1"/>
          <w:color w:val="auto"/>
        </w:rPr>
        <w:t>We Assess Board Performance</w:t>
      </w:r>
      <w:r>
        <w:rPr>
          <w:rFonts w:ascii="Times New Roman" w:cs="Times New Roman" w:eastAsia="Times New Roman" w:hAnsi="Times New Roman"/>
          <w:sz w:val="15"/>
          <w:szCs w:val="15"/>
          <w:color w:val="auto"/>
        </w:rPr>
        <w:t>. We conduct regular evaluations</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of our Board and Committees.</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ind w:left="230" w:right="279" w:hanging="230"/>
        <w:spacing w:after="0" w:line="283" w:lineRule="auto"/>
        <w:tabs>
          <w:tab w:leader="none" w:pos="230" w:val="left"/>
        </w:tabs>
        <w:numPr>
          <w:ilvl w:val="0"/>
          <w:numId w:val="12"/>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i w:val="1"/>
          <w:iCs w:val="1"/>
          <w:color w:val="auto"/>
        </w:rPr>
        <w:t>Our Independent Directors Meet Without Management</w:t>
      </w:r>
      <w:r>
        <w:rPr>
          <w:rFonts w:ascii="Times New Roman" w:cs="Times New Roman" w:eastAsia="Times New Roman" w:hAnsi="Times New Roman"/>
          <w:sz w:val="15"/>
          <w:szCs w:val="15"/>
          <w:color w:val="auto"/>
        </w:rPr>
        <w:t>. Our</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independent directors meet regularly in executive sessions without management present.</w:t>
      </w:r>
    </w:p>
    <w:p>
      <w:pPr>
        <w:spacing w:after="0" w:line="337" w:lineRule="exact"/>
        <w:rPr>
          <w:rFonts w:ascii="MS PGothic" w:cs="MS PGothic" w:eastAsia="MS PGothic" w:hAnsi="MS PGothic"/>
          <w:sz w:val="15"/>
          <w:szCs w:val="15"/>
          <w:color w:val="auto"/>
        </w:rPr>
      </w:pPr>
    </w:p>
    <w:p>
      <w:pPr>
        <w:ind w:left="230" w:right="99" w:hanging="230"/>
        <w:spacing w:after="0" w:line="276" w:lineRule="auto"/>
        <w:tabs>
          <w:tab w:leader="none" w:pos="230" w:val="left"/>
        </w:tabs>
        <w:numPr>
          <w:ilvl w:val="0"/>
          <w:numId w:val="12"/>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i w:val="1"/>
          <w:iCs w:val="1"/>
          <w:color w:val="auto"/>
        </w:rPr>
        <w:t>We Have a Stock Ownership Policy</w:t>
      </w:r>
      <w:r>
        <w:rPr>
          <w:rFonts w:ascii="Times New Roman" w:cs="Times New Roman" w:eastAsia="Times New Roman" w:hAnsi="Times New Roman"/>
          <w:sz w:val="15"/>
          <w:szCs w:val="15"/>
          <w:color w:val="auto"/>
        </w:rPr>
        <w:t>. We require both our named</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executive officers and our directors to maintain a meaningful ownership stake at levels specified in our stock ownership policy.</w:t>
      </w:r>
    </w:p>
    <w:p>
      <w:pPr>
        <w:spacing w:after="0" w:line="154" w:lineRule="exact"/>
        <w:rPr>
          <w:rFonts w:ascii="MS PGothic" w:cs="MS PGothic" w:eastAsia="MS PGothic" w:hAnsi="MS PGothic"/>
          <w:sz w:val="15"/>
          <w:szCs w:val="15"/>
          <w:color w:val="auto"/>
        </w:rPr>
      </w:pPr>
    </w:p>
    <w:p>
      <w:pPr>
        <w:ind w:left="230" w:right="679" w:hanging="230"/>
        <w:spacing w:after="0" w:line="283" w:lineRule="auto"/>
        <w:tabs>
          <w:tab w:leader="none" w:pos="230" w:val="left"/>
        </w:tabs>
        <w:numPr>
          <w:ilvl w:val="0"/>
          <w:numId w:val="12"/>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i w:val="1"/>
          <w:iCs w:val="1"/>
          <w:color w:val="auto"/>
        </w:rPr>
        <w:t>Our Key Committees are Independent</w:t>
      </w:r>
      <w:r>
        <w:rPr>
          <w:rFonts w:ascii="Times New Roman" w:cs="Times New Roman" w:eastAsia="Times New Roman" w:hAnsi="Times New Roman"/>
          <w:sz w:val="15"/>
          <w:szCs w:val="15"/>
          <w:color w:val="auto"/>
        </w:rPr>
        <w:t>. We have fully</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independent Audit, Compensation and Nominating and Corporate Governance Committees.</w:t>
      </w:r>
    </w:p>
    <w:p>
      <w:pPr>
        <w:spacing w:after="0" w:line="147" w:lineRule="exact"/>
        <w:rPr>
          <w:rFonts w:ascii="MS PGothic" w:cs="MS PGothic" w:eastAsia="MS PGothic" w:hAnsi="MS PGothic"/>
          <w:sz w:val="15"/>
          <w:szCs w:val="15"/>
          <w:color w:val="auto"/>
        </w:rPr>
      </w:pPr>
    </w:p>
    <w:p>
      <w:pPr>
        <w:ind w:left="230" w:right="619" w:hanging="230"/>
        <w:spacing w:after="0" w:line="303" w:lineRule="auto"/>
        <w:tabs>
          <w:tab w:leader="none" w:pos="230" w:val="left"/>
        </w:tabs>
        <w:numPr>
          <w:ilvl w:val="0"/>
          <w:numId w:val="12"/>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i w:val="1"/>
          <w:iCs w:val="1"/>
          <w:color w:val="auto"/>
        </w:rPr>
        <w:t xml:space="preserve">We Do Not Have a “Poison Pill.” </w:t>
      </w:r>
      <w:r>
        <w:rPr>
          <w:rFonts w:ascii="Times New Roman" w:cs="Times New Roman" w:eastAsia="Times New Roman" w:hAnsi="Times New Roman"/>
          <w:sz w:val="15"/>
          <w:szCs w:val="15"/>
          <w:color w:val="auto"/>
        </w:rPr>
        <w:t>We do not maintain a</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stockholder rights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94615</wp:posOffset>
            </wp:positionV>
            <wp:extent cx="55200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20055" cy="8255"/>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-1958975</wp:posOffset>
            </wp:positionV>
            <wp:extent cx="55200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200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40" w:space="310"/>
            <w:col w:w="4269"/>
          </w:cols>
          <w:pgMar w:left="1440" w:top="48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342900</wp:posOffset>
            </wp:positionV>
            <wp:extent cx="5664835" cy="241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64835"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type w:val="continuous"/>
        </w:sectPr>
      </w:pPr>
    </w:p>
    <w:bookmarkStart w:id="8" w:name="page9"/>
    <w:bookmarkEnd w:id="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SOCIAL RESPONSIBILITY AND HUMAN CAPITAL DEVELOPMENT</w:t>
      </w:r>
    </w:p>
    <w:p>
      <w:pPr>
        <w:spacing w:after="0" w:line="112" w:lineRule="exact"/>
        <w:rPr>
          <w:sz w:val="20"/>
          <w:szCs w:val="20"/>
          <w:color w:val="auto"/>
        </w:rPr>
      </w:pPr>
    </w:p>
    <w:p>
      <w:pPr>
        <w:ind w:left="40" w:right="119" w:firstLine="606"/>
        <w:spacing w:after="0" w:line="255" w:lineRule="auto"/>
        <w:rPr>
          <w:sz w:val="20"/>
          <w:szCs w:val="20"/>
          <w:color w:val="auto"/>
        </w:rPr>
      </w:pPr>
      <w:r>
        <w:rPr>
          <w:rFonts w:ascii="Times New Roman" w:cs="Times New Roman" w:eastAsia="Times New Roman" w:hAnsi="Times New Roman"/>
          <w:sz w:val="17"/>
          <w:szCs w:val="17"/>
          <w:color w:val="auto"/>
        </w:rPr>
        <w:t>Social responsibility and human capital development are a significant focus of the Company. Our efforts are led by our Chief Executive Officer and a portion of his compensation is tied to our success in these areas. To this end, our business was created and continues to evolve to meet the needs of the local community in which we operate as well as those outside our community. We started by identifying what we believe to be the educational challenges that our country is facing and then worked to find solutions to these challenges. We believe these challenges include:</w:t>
      </w:r>
    </w:p>
    <w:p>
      <w:pPr>
        <w:spacing w:after="0" w:line="73" w:lineRule="exact"/>
        <w:rPr>
          <w:sz w:val="20"/>
          <w:szCs w:val="20"/>
          <w:color w:val="auto"/>
        </w:rPr>
      </w:pPr>
    </w:p>
    <w:p>
      <w:pPr>
        <w:ind w:left="1400" w:hanging="306"/>
        <w:spacing w:after="0"/>
        <w:tabs>
          <w:tab w:leader="none" w:pos="14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University education is too expensive;</w:t>
      </w:r>
    </w:p>
    <w:p>
      <w:pPr>
        <w:spacing w:after="0" w:line="22" w:lineRule="exact"/>
        <w:rPr>
          <w:rFonts w:ascii="Times New Roman" w:cs="Times New Roman" w:eastAsia="Times New Roman" w:hAnsi="Times New Roman"/>
          <w:sz w:val="17"/>
          <w:szCs w:val="17"/>
          <w:color w:val="auto"/>
        </w:rPr>
      </w:pPr>
    </w:p>
    <w:p>
      <w:pPr>
        <w:ind w:left="1400" w:hanging="306"/>
        <w:spacing w:after="0"/>
        <w:tabs>
          <w:tab w:leader="none" w:pos="14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Students are taking on too much debt;</w:t>
      </w:r>
    </w:p>
    <w:p>
      <w:pPr>
        <w:spacing w:after="0" w:line="6" w:lineRule="exact"/>
        <w:rPr>
          <w:rFonts w:ascii="Times New Roman" w:cs="Times New Roman" w:eastAsia="Times New Roman" w:hAnsi="Times New Roman"/>
          <w:sz w:val="17"/>
          <w:szCs w:val="17"/>
          <w:color w:val="auto"/>
        </w:rPr>
      </w:pPr>
    </w:p>
    <w:p>
      <w:pPr>
        <w:ind w:left="1400" w:hanging="306"/>
        <w:spacing w:after="0"/>
        <w:tabs>
          <w:tab w:leader="none" w:pos="14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Bachelor’s degrees are taking too long to complete;</w:t>
      </w:r>
    </w:p>
    <w:p>
      <w:pPr>
        <w:spacing w:after="0" w:line="6" w:lineRule="exact"/>
        <w:rPr>
          <w:rFonts w:ascii="Times New Roman" w:cs="Times New Roman" w:eastAsia="Times New Roman" w:hAnsi="Times New Roman"/>
          <w:sz w:val="17"/>
          <w:szCs w:val="17"/>
          <w:color w:val="auto"/>
        </w:rPr>
      </w:pPr>
    </w:p>
    <w:p>
      <w:pPr>
        <w:ind w:left="1400" w:right="99" w:hanging="306"/>
        <w:spacing w:after="0" w:line="248" w:lineRule="auto"/>
        <w:tabs>
          <w:tab w:leader="none" w:pos="14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Programs are not targeted enough toward careers. Recent surveys show that a large percentage of college students would change majors if starting over, and a significant number of recent graduates are under employed or are in jobs that don’t require degrees;</w:t>
      </w:r>
    </w:p>
    <w:p>
      <w:pPr>
        <w:ind w:left="1400" w:hanging="306"/>
        <w:spacing w:after="0"/>
        <w:tabs>
          <w:tab w:leader="none" w:pos="14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tuition increases, diversity decreases;</w:t>
      </w:r>
    </w:p>
    <w:p>
      <w:pPr>
        <w:spacing w:after="0" w:line="6" w:lineRule="exact"/>
        <w:rPr>
          <w:rFonts w:ascii="Times New Roman" w:cs="Times New Roman" w:eastAsia="Times New Roman" w:hAnsi="Times New Roman"/>
          <w:sz w:val="17"/>
          <w:szCs w:val="17"/>
          <w:color w:val="auto"/>
        </w:rPr>
      </w:pPr>
    </w:p>
    <w:p>
      <w:pPr>
        <w:ind w:left="1400" w:hanging="306"/>
        <w:spacing w:after="0"/>
        <w:tabs>
          <w:tab w:leader="none" w:pos="14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Universities have inadequate counseling and support services, especially for distance learners;</w:t>
      </w:r>
    </w:p>
    <w:p>
      <w:pPr>
        <w:spacing w:after="0" w:line="6" w:lineRule="exact"/>
        <w:rPr>
          <w:rFonts w:ascii="Times New Roman" w:cs="Times New Roman" w:eastAsia="Times New Roman" w:hAnsi="Times New Roman"/>
          <w:sz w:val="17"/>
          <w:szCs w:val="17"/>
          <w:color w:val="auto"/>
        </w:rPr>
      </w:pPr>
    </w:p>
    <w:p>
      <w:pPr>
        <w:ind w:left="1400" w:hanging="306"/>
        <w:spacing w:after="0"/>
        <w:tabs>
          <w:tab w:leader="none" w:pos="14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Most university professors have no formal training in teaching, learning or course design;</w:t>
      </w:r>
    </w:p>
    <w:p>
      <w:pPr>
        <w:spacing w:after="0" w:line="6" w:lineRule="exact"/>
        <w:rPr>
          <w:rFonts w:ascii="Times New Roman" w:cs="Times New Roman" w:eastAsia="Times New Roman" w:hAnsi="Times New Roman"/>
          <w:sz w:val="17"/>
          <w:szCs w:val="17"/>
          <w:color w:val="auto"/>
        </w:rPr>
      </w:pPr>
    </w:p>
    <w:p>
      <w:pPr>
        <w:ind w:left="1400" w:right="199" w:hanging="306"/>
        <w:spacing w:after="0" w:line="256" w:lineRule="auto"/>
        <w:tabs>
          <w:tab w:leader="none" w:pos="14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Universities are under significant financial pressure, which has only been enhanced due to the pandemic and a declining number of high school graduates attending college.</w:t>
      </w:r>
    </w:p>
    <w:p>
      <w:pPr>
        <w:spacing w:after="0" w:line="72" w:lineRule="exact"/>
        <w:rPr>
          <w:sz w:val="20"/>
          <w:szCs w:val="20"/>
          <w:color w:val="auto"/>
        </w:rPr>
      </w:pPr>
    </w:p>
    <w:p>
      <w:pPr>
        <w:ind w:left="40" w:right="79" w:firstLine="606"/>
        <w:spacing w:after="0" w:line="268" w:lineRule="auto"/>
        <w:rPr>
          <w:sz w:val="20"/>
          <w:szCs w:val="20"/>
          <w:color w:val="auto"/>
        </w:rPr>
      </w:pPr>
      <w:r>
        <w:rPr>
          <w:rFonts w:ascii="Times New Roman" w:cs="Times New Roman" w:eastAsia="Times New Roman" w:hAnsi="Times New Roman"/>
          <w:sz w:val="16"/>
          <w:szCs w:val="16"/>
          <w:color w:val="auto"/>
        </w:rPr>
        <w:t>We provide the capital, technology and expertise to our university partners to lessen the challenges in each of the areas listed above. We work with these university partners to develop educational models that allow them the ability to decrease tuition or increase scholarships to their students which will often lower the debt their students incur. We work with our university partners and thousands of high schools across the country on dual credit, online prerequisite courses and other programs that shorten the time to completion thereby lowering cost and debt levels. We focus with our university partners and their local communities to develop programs where there are skills shortages such as healthcare, teacher education, science, technology, engineering and math. GCE provides expanded academic counseling services and support to the students of our university partners which has proven to increase retention and completion. Our faculty services and curriculum development teams assist not only our university partners but other universities and K12 schools in improving their online education pedagogy. And our business model has helped our university partners as changes in the educational landscape has put pressure on their financial condition.</w:t>
      </w:r>
    </w:p>
    <w:p>
      <w:pPr>
        <w:spacing w:after="0" w:line="68" w:lineRule="exact"/>
        <w:rPr>
          <w:sz w:val="20"/>
          <w:szCs w:val="20"/>
          <w:color w:val="auto"/>
        </w:rPr>
      </w:pPr>
    </w:p>
    <w:p>
      <w:pPr>
        <w:ind w:left="40" w:right="139" w:firstLine="606"/>
        <w:spacing w:after="0" w:line="269" w:lineRule="auto"/>
        <w:rPr>
          <w:sz w:val="20"/>
          <w:szCs w:val="20"/>
          <w:color w:val="auto"/>
        </w:rPr>
      </w:pPr>
      <w:r>
        <w:rPr>
          <w:rFonts w:ascii="Times New Roman" w:cs="Times New Roman" w:eastAsia="Times New Roman" w:hAnsi="Times New Roman"/>
          <w:sz w:val="16"/>
          <w:szCs w:val="16"/>
          <w:color w:val="auto"/>
        </w:rPr>
        <w:t>GCE is committed to hiring policies and practices that identify the most qualified candidate for a given position. We believe that we must have the best talent, including employees who possess a diverse range of experiences, backgrounds and skills, in order to anticipate and meet the needs of our business and those of our university partners. We provide employees with training, development, and educational resources that promote learning and lead to real career advancement opportunities. We believe that our success in attracting, retaining, and developing human capital is directly correlated to our ability to provide employees both an interesting and engaging work experience as well as opportunities for meaningful involvement in the surrounding community. Our employees take advantage of these opportunities and share our commitment to and enthusiasm for community service projects, as well as charitable organizations throughout the Phoenix area. Through these activities, our employees have the opportunity to volunteer and provide servant leadership that benefits the surrounding neighborhoods and the West Phoenix community.</w:t>
      </w:r>
    </w:p>
    <w:p>
      <w:pPr>
        <w:spacing w:after="0" w:line="61" w:lineRule="exact"/>
        <w:rPr>
          <w:sz w:val="20"/>
          <w:szCs w:val="20"/>
          <w:color w:val="auto"/>
        </w:rPr>
      </w:pPr>
    </w:p>
    <w:p>
      <w:pPr>
        <w:ind w:left="40" w:right="119" w:firstLine="606"/>
        <w:spacing w:after="0" w:line="273" w:lineRule="auto"/>
        <w:rPr>
          <w:sz w:val="20"/>
          <w:szCs w:val="20"/>
          <w:color w:val="auto"/>
        </w:rPr>
      </w:pPr>
      <w:r>
        <w:rPr>
          <w:rFonts w:ascii="Times New Roman" w:cs="Times New Roman" w:eastAsia="Times New Roman" w:hAnsi="Times New Roman"/>
          <w:sz w:val="16"/>
          <w:szCs w:val="16"/>
          <w:i w:val="1"/>
          <w:iCs w:val="1"/>
          <w:color w:val="auto"/>
        </w:rPr>
        <w:t xml:space="preserve">Employee Learning and Development (ELD) Services </w:t>
      </w:r>
      <w:r>
        <w:rPr>
          <w:rFonts w:ascii="Times New Roman" w:cs="Times New Roman" w:eastAsia="Times New Roman" w:hAnsi="Times New Roman"/>
          <w:sz w:val="16"/>
          <w:szCs w:val="16"/>
          <w:color w:val="auto"/>
        </w:rPr>
        <w:t>– We provide learning and development support to our employees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through numerous ELD initiatives. Onboarding Programs provide new employees a foundation from which one can progress in his or her career at GCE. Leadership Development, Team Development, Advanced Skills, and Self-Development Programs help employees improve their skills, assist management in identifying potential talent for leadership roles, and support those employees already in leadership roles. Finally, our Compliance Curriculum ensures that employees stay current with regulatory and other compliance requirements. These programs and curricula are offered virtually in both synchronous and self-paced formats.</w:t>
      </w:r>
    </w:p>
    <w:p>
      <w:pPr>
        <w:spacing w:after="0" w:line="58" w:lineRule="exact"/>
        <w:rPr>
          <w:sz w:val="20"/>
          <w:szCs w:val="20"/>
          <w:color w:val="auto"/>
        </w:rPr>
      </w:pPr>
    </w:p>
    <w:p>
      <w:pPr>
        <w:ind w:left="40" w:right="179" w:firstLine="606"/>
        <w:spacing w:after="0" w:line="256" w:lineRule="auto"/>
        <w:rPr>
          <w:sz w:val="20"/>
          <w:szCs w:val="20"/>
          <w:color w:val="auto"/>
        </w:rPr>
      </w:pPr>
      <w:r>
        <w:rPr>
          <w:rFonts w:ascii="Times New Roman" w:cs="Times New Roman" w:eastAsia="Times New Roman" w:hAnsi="Times New Roman"/>
          <w:sz w:val="17"/>
          <w:szCs w:val="17"/>
          <w:i w:val="1"/>
          <w:iCs w:val="1"/>
          <w:color w:val="auto"/>
        </w:rPr>
        <w:t xml:space="preserve">Employee Tuition Benefit </w:t>
      </w:r>
      <w:r>
        <w:rPr>
          <w:rFonts w:ascii="Times New Roman" w:cs="Times New Roman" w:eastAsia="Times New Roman" w:hAnsi="Times New Roman"/>
          <w:sz w:val="17"/>
          <w:szCs w:val="17"/>
          <w:color w:val="auto"/>
        </w:rPr>
        <w:t>– GCE promotes the concept of lifelong learning and supports this concept by offering its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employees a generous Tuition Benefit program through its university partner, Grand Canyon University (“GCU”). After 3 months of continuous service, fulltime employees admitted to GCU receive a 100% tuition reduction on undergraduate and graduate programs Additionally, the tuition benefit is available for an eligible employee’s spouse or up to two children with no more than two participants receiving the benefits at any one time. An eligible employee’s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335915</wp:posOffset>
            </wp:positionV>
            <wp:extent cx="5664835" cy="241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64835"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9" w:name="page10"/>
    <w:bookmarkEnd w:id="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0" w:right="439"/>
        <w:spacing w:after="0" w:line="275" w:lineRule="auto"/>
        <w:rPr>
          <w:sz w:val="20"/>
          <w:szCs w:val="20"/>
          <w:color w:val="auto"/>
        </w:rPr>
      </w:pPr>
      <w:r>
        <w:rPr>
          <w:rFonts w:ascii="Times New Roman" w:cs="Times New Roman" w:eastAsia="Times New Roman" w:hAnsi="Times New Roman"/>
          <w:sz w:val="17"/>
          <w:szCs w:val="17"/>
          <w:color w:val="auto"/>
        </w:rPr>
        <w:t>spouse or child admitted to GCU receives a 100% tuition reduction on undergraduate programs and a 50% tuition reduction on graduate programs.</w:t>
      </w:r>
    </w:p>
    <w:p>
      <w:pPr>
        <w:spacing w:after="0" w:line="53" w:lineRule="exact"/>
        <w:rPr>
          <w:sz w:val="20"/>
          <w:szCs w:val="20"/>
          <w:color w:val="auto"/>
        </w:rPr>
      </w:pPr>
    </w:p>
    <w:p>
      <w:pPr>
        <w:ind w:left="40" w:right="119" w:firstLine="606"/>
        <w:spacing w:after="0" w:line="253" w:lineRule="auto"/>
        <w:rPr>
          <w:sz w:val="20"/>
          <w:szCs w:val="20"/>
          <w:color w:val="auto"/>
        </w:rPr>
      </w:pPr>
      <w:r>
        <w:rPr>
          <w:rFonts w:ascii="Times New Roman" w:cs="Times New Roman" w:eastAsia="Times New Roman" w:hAnsi="Times New Roman"/>
          <w:sz w:val="17"/>
          <w:szCs w:val="17"/>
          <w:i w:val="1"/>
          <w:iCs w:val="1"/>
          <w:color w:val="auto"/>
        </w:rPr>
        <w:t xml:space="preserve">Monitoring employee engagement and satisfaction </w:t>
      </w:r>
      <w:r>
        <w:rPr>
          <w:rFonts w:ascii="Times New Roman" w:cs="Times New Roman" w:eastAsia="Times New Roman" w:hAnsi="Times New Roman"/>
          <w:sz w:val="17"/>
          <w:szCs w:val="17"/>
          <w:color w:val="auto"/>
        </w:rPr>
        <w:t>– GCE administers an annual survey of all of its employees to assess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employee engagement and satisfaction. GCE received responses from 1,330 employees on the 2024 survey. The survey asked a number of questions regarding employee engagement and satisfaction including whether they are actively engaged with their work, whether they have a sense of pride in what they do and whether they enjoy the type of work assigned to them. The responses to each question were overwhelmingly positive. To the prompt, “I plan to continue my career at GCE for at least two more years”; “I would recommend employment at GCE to a friend”; “I am actively engaged with my work at GCE”; and “Overall I am satisfied with GCE as an employer,” less than 12% of the responders disagreed with any of these statements.</w:t>
      </w:r>
    </w:p>
    <w:p>
      <w:pPr>
        <w:spacing w:after="0" w:line="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We also participate with our employees in a number of activities to benefit our communities including:</w:t>
      </w:r>
    </w:p>
    <w:p>
      <w:pPr>
        <w:sectPr>
          <w:pgSz w:w="11900" w:h="16838" w:orient="portrait"/>
          <w:cols w:equalWidth="0" w:num="1">
            <w:col w:w="9019"/>
          </w:cols>
          <w:pgMar w:left="1440" w:top="489" w:right="1440" w:bottom="1440" w:gutter="0" w:footer="0" w:header="0"/>
        </w:sectPr>
      </w:pPr>
    </w:p>
    <w:p>
      <w:pPr>
        <w:spacing w:after="0" w:line="104" w:lineRule="exact"/>
        <w:rPr>
          <w:sz w:val="20"/>
          <w:szCs w:val="20"/>
          <w:color w:val="auto"/>
        </w:rPr>
      </w:pPr>
    </w:p>
    <w:p>
      <w:pPr>
        <w:ind w:left="1180" w:right="289" w:hanging="299"/>
        <w:spacing w:after="0" w:line="267" w:lineRule="auto"/>
        <w:tabs>
          <w:tab w:leader="none" w:pos="11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Improving Our Neighborhood and Increased Home Values</w:t>
      </w:r>
      <w:r>
        <w:rPr>
          <w:rFonts w:ascii="Times New Roman" w:cs="Times New Roman" w:eastAsia="Times New Roman" w:hAnsi="Times New Roman"/>
          <w:sz w:val="16"/>
          <w:szCs w:val="16"/>
          <w:color w:val="auto"/>
        </w:rPr>
        <w:t>. Together with Habitat for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Humanity and in concert with our largest university partner, GCU, we are participating in the largest home renovation project in the country in the West Phoenix area surrounding GCU’s campus. As of December 31, 2024, 1,446 projects have been completed in which 37,757 hours have been logged by volunteers. These efforts, combined with GCE and GCU’s expanded presence in the community, have contributed to a significant increase in home values since 2011 in the 85017 zip code.</w:t>
      </w:r>
    </w:p>
    <w:p>
      <w:pPr>
        <w:spacing w:after="0" w:line="68" w:lineRule="exact"/>
        <w:rPr>
          <w:rFonts w:ascii="Times New Roman" w:cs="Times New Roman" w:eastAsia="Times New Roman" w:hAnsi="Times New Roman"/>
          <w:sz w:val="16"/>
          <w:szCs w:val="16"/>
          <w:color w:val="auto"/>
        </w:rPr>
      </w:pPr>
    </w:p>
    <w:p>
      <w:pPr>
        <w:ind w:left="1180" w:right="229" w:hanging="299"/>
        <w:spacing w:after="0" w:line="253" w:lineRule="auto"/>
        <w:tabs>
          <w:tab w:leader="none" w:pos="11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Furthering Job Creation</w:t>
      </w:r>
      <w:r>
        <w:rPr>
          <w:rFonts w:ascii="Times New Roman" w:cs="Times New Roman" w:eastAsia="Times New Roman" w:hAnsi="Times New Roman"/>
          <w:sz w:val="17"/>
          <w:szCs w:val="17"/>
          <w:color w:val="auto"/>
        </w:rPr>
        <w:t>. We, along with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GCU, have launched a number of new business enterprises that have reduced costs, provided management opportunities for recent graduates and employment opportunities for students and neighborhood residents, while spurring economic growth in the area.</w:t>
      </w:r>
    </w:p>
    <w:p>
      <w:pPr>
        <w:spacing w:after="0" w:line="73" w:lineRule="exact"/>
        <w:rPr>
          <w:rFonts w:ascii="Times New Roman" w:cs="Times New Roman" w:eastAsia="Times New Roman" w:hAnsi="Times New Roman"/>
          <w:sz w:val="17"/>
          <w:szCs w:val="17"/>
          <w:color w:val="auto"/>
        </w:rPr>
      </w:pPr>
    </w:p>
    <w:p>
      <w:pPr>
        <w:ind w:left="1180" w:hanging="299"/>
        <w:spacing w:after="0"/>
        <w:tabs>
          <w:tab w:leader="none" w:pos="11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Youth Opportunity Foundation</w:t>
      </w:r>
    </w:p>
    <w:p>
      <w:pPr>
        <w:spacing w:after="0" w:line="26" w:lineRule="exact"/>
        <w:rPr>
          <w:rFonts w:ascii="Times New Roman" w:cs="Times New Roman" w:eastAsia="Times New Roman" w:hAnsi="Times New Roman"/>
          <w:sz w:val="17"/>
          <w:szCs w:val="17"/>
          <w:color w:val="auto"/>
        </w:rPr>
      </w:pPr>
    </w:p>
    <w:p>
      <w:pPr>
        <w:ind w:left="1180" w:right="329"/>
        <w:spacing w:after="0" w:line="26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Our employees volunteer and donate time and funds to the Youth Opportunity Foundation which provides advocacy, clinical treatment, education and workforce development for at-risk young people in underprivileged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-3486150</wp:posOffset>
            </wp:positionV>
            <wp:extent cx="5656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65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ind w:left="311" w:right="319" w:hanging="311"/>
        <w:spacing w:after="0" w:line="252" w:lineRule="auto"/>
        <w:tabs>
          <w:tab w:leader="none" w:pos="311"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Funding of Student Tuition Organizations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Company contributes to private school tuition organizations and in 2024 its annual contribution was $4.5 million. Financial contributions are allocated toward tuition assistance and awarding low-income Arizona students with scholarships to attend Arizona private schools.</w:t>
      </w:r>
    </w:p>
    <w:p>
      <w:pPr>
        <w:spacing w:after="0" w:line="177" w:lineRule="exact"/>
        <w:rPr>
          <w:rFonts w:ascii="Times New Roman" w:cs="Times New Roman" w:eastAsia="Times New Roman" w:hAnsi="Times New Roman"/>
          <w:sz w:val="17"/>
          <w:szCs w:val="17"/>
          <w:color w:val="auto"/>
        </w:rPr>
      </w:pPr>
    </w:p>
    <w:p>
      <w:pPr>
        <w:ind w:left="311" w:right="179" w:hanging="311"/>
        <w:spacing w:after="0" w:line="252" w:lineRule="auto"/>
        <w:tabs>
          <w:tab w:leader="none" w:pos="311"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Encouraging Employee Giving</w:t>
      </w:r>
      <w:r>
        <w:rPr>
          <w:rFonts w:ascii="Times New Roman" w:cs="Times New Roman" w:eastAsia="Times New Roman" w:hAnsi="Times New Roman"/>
          <w:sz w:val="17"/>
          <w:szCs w:val="17"/>
          <w:color w:val="auto"/>
        </w:rPr>
        <w:t>. We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participate in Donate to Elevate, a program that encourages employees to contribute money in lieu of state income tax payments to benefit private schools in Arizona and the partnership with Habitat for Humanity and GCU CityServe, as well as local public schools’ and public charter schools’ extracurricular programs.</w:t>
      </w:r>
    </w:p>
    <w:p>
      <w:pPr>
        <w:spacing w:after="0" w:line="174" w:lineRule="exact"/>
        <w:rPr>
          <w:rFonts w:ascii="Times New Roman" w:cs="Times New Roman" w:eastAsia="Times New Roman" w:hAnsi="Times New Roman"/>
          <w:sz w:val="17"/>
          <w:szCs w:val="17"/>
          <w:color w:val="auto"/>
        </w:rPr>
      </w:pPr>
    </w:p>
    <w:p>
      <w:pPr>
        <w:ind w:left="311" w:right="179" w:hanging="311"/>
        <w:spacing w:after="0" w:line="250" w:lineRule="auto"/>
        <w:tabs>
          <w:tab w:leader="none" w:pos="311"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Students Inspiring Students. </w:t>
      </w:r>
      <w:r>
        <w:rPr>
          <w:rFonts w:ascii="Times New Roman" w:cs="Times New Roman" w:eastAsia="Times New Roman" w:hAnsi="Times New Roman"/>
          <w:sz w:val="17"/>
          <w:szCs w:val="17"/>
          <w:color w:val="auto"/>
        </w:rPr>
        <w:t>GCE continues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support GCU’s free tutoring/mentoring program that serves Phoenix-area K-12 schools. Students who seek academic assistance in the GCU Learning Lounge may become eligible to receive the Students Inspiring Students full-tuition scholarship. To serve our clients and community, GCE seeks donations to fund this neighborhood scholarship program.</w:t>
      </w:r>
    </w:p>
    <w:p>
      <w:pPr>
        <w:spacing w:after="0" w:line="5" w:lineRule="exact"/>
        <w:rPr>
          <w:rFonts w:ascii="Times New Roman" w:cs="Times New Roman" w:eastAsia="Times New Roman" w:hAnsi="Times New Roman"/>
          <w:sz w:val="17"/>
          <w:szCs w:val="17"/>
          <w:color w:val="auto"/>
        </w:rPr>
      </w:pPr>
    </w:p>
    <w:p>
      <w:pPr>
        <w:ind w:left="311"/>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p>
    <w:p>
      <w:pPr>
        <w:spacing w:after="0" w:line="200" w:lineRule="exact"/>
        <w:rPr>
          <w:sz w:val="20"/>
          <w:szCs w:val="20"/>
          <w:color w:val="auto"/>
        </w:rPr>
      </w:pPr>
    </w:p>
    <w:p>
      <w:pPr>
        <w:sectPr>
          <w:pgSz w:w="11900" w:h="16838" w:orient="portrait"/>
          <w:cols w:equalWidth="0" w:num="2">
            <w:col w:w="4609" w:space="720"/>
            <w:col w:w="3690"/>
          </w:cols>
          <w:pgMar w:left="1440" w:top="489" w:right="1440" w:bottom="1440" w:gutter="0" w:footer="0" w:header="0"/>
          <w:type w:val="continuous"/>
        </w:sect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342900</wp:posOffset>
            </wp:positionV>
            <wp:extent cx="5664835" cy="15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64835" cy="1587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type w:val="continuous"/>
        </w:sectPr>
      </w:pPr>
    </w:p>
    <w:bookmarkStart w:id="10" w:name="page11"/>
    <w:bookmarkEnd w:id="1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180" w:right="269" w:hanging="299"/>
        <w:spacing w:after="0" w:line="267" w:lineRule="auto"/>
        <w:tabs>
          <w:tab w:leader="none" w:pos="11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Sponsoring K-12 Educational Development. </w:t>
      </w:r>
      <w:r>
        <w:rPr>
          <w:rFonts w:ascii="Times New Roman" w:cs="Times New Roman" w:eastAsia="Times New Roman" w:hAnsi="Times New Roman"/>
          <w:sz w:val="16"/>
          <w:szCs w:val="16"/>
          <w:color w:val="auto"/>
        </w:rPr>
        <w:t>GCE supports GCU’s K-12 Educational Development Department through sponsorship of GCU Canyon Professional Development and K-12 Targeted School Assistance programs. Canyon Professional Development offers professional development opportunities for educators and administrators, and their student/parent engagement programs aim to help students become college ready. K-12 Targeted School Assistance programs also offer tutoring and mentorship and more to community schools to improve learning environments and outcomes.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120650</wp:posOffset>
            </wp:positionV>
            <wp:extent cx="5656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65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11" w:right="359" w:hanging="311"/>
        <w:spacing w:after="0" w:line="252" w:lineRule="auto"/>
        <w:tabs>
          <w:tab w:leader="none" w:pos="311"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7"/>
          <w:szCs w:val="17"/>
          <w:b w:val="1"/>
          <w:bCs w:val="1"/>
          <w:i w:val="1"/>
          <w:iCs w:val="1"/>
          <w:color w:val="auto"/>
        </w:rPr>
        <w:t>Continuing Community Involvement</w:t>
      </w:r>
      <w:r>
        <w:rPr>
          <w:rFonts w:ascii="Times New Roman" w:cs="Times New Roman" w:eastAsia="Times New Roman" w:hAnsi="Times New Roman"/>
          <w:sz w:val="17"/>
          <w:szCs w:val="17"/>
          <w:color w:val="auto"/>
        </w:rPr>
        <w:t>. GCE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our employees partner in countless community events and projects throughout the year. The Company offers its full-time employees a maximum of 16 hours of PTO annually for community service. This time is used to volunteer at more than 40 approved charitable organizations.</w:t>
      </w:r>
    </w:p>
    <w:p>
      <w:pPr>
        <w:spacing w:after="0" w:line="1218" w:lineRule="exact"/>
        <w:rPr>
          <w:sz w:val="20"/>
          <w:szCs w:val="20"/>
          <w:color w:val="auto"/>
        </w:rPr>
      </w:pPr>
    </w:p>
    <w:p>
      <w:pPr>
        <w:sectPr>
          <w:pgSz w:w="11900" w:h="16838" w:orient="portrait"/>
          <w:cols w:equalWidth="0" w:num="2">
            <w:col w:w="4609" w:space="720"/>
            <w:col w:w="3690"/>
          </w:cols>
          <w:pgMar w:left="1440" w:top="489" w:right="1440" w:bottom="1440" w:gutter="0" w:footer="0" w:header="0"/>
        </w:sectPr>
      </w:pP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Our Workforce</w:t>
      </w:r>
    </w:p>
    <w:p>
      <w:pPr>
        <w:spacing w:after="0" w:line="112" w:lineRule="exact"/>
        <w:rPr>
          <w:sz w:val="20"/>
          <w:szCs w:val="20"/>
          <w:color w:val="auto"/>
        </w:rPr>
      </w:pPr>
    </w:p>
    <w:p>
      <w:pPr>
        <w:ind w:left="40" w:right="79" w:firstLine="606"/>
        <w:spacing w:after="0" w:line="257" w:lineRule="auto"/>
        <w:rPr>
          <w:sz w:val="20"/>
          <w:szCs w:val="20"/>
          <w:color w:val="auto"/>
        </w:rPr>
      </w:pPr>
      <w:r>
        <w:rPr>
          <w:rFonts w:ascii="Times New Roman" w:cs="Times New Roman" w:eastAsia="Times New Roman" w:hAnsi="Times New Roman"/>
          <w:sz w:val="17"/>
          <w:szCs w:val="17"/>
          <w:color w:val="auto"/>
        </w:rPr>
        <w:t>The Company believes that it must have the best talent, including employees who possess a diverse range of experiences, backgrounds and skills, in order to anticipate and meet the needs of our business and those of our university partners. Over time, we have hired, developed and retained a diverse management and workforce that reflects our surrounding community and that is a key component in GCE’s success and an important part of the Company’s culture.</w:t>
      </w:r>
    </w:p>
    <w:p>
      <w:pPr>
        <w:spacing w:after="0" w:line="110" w:lineRule="exact"/>
        <w:rPr>
          <w:sz w:val="20"/>
          <w:szCs w:val="20"/>
          <w:color w:val="auto"/>
        </w:rPr>
      </w:pPr>
    </w:p>
    <w:p>
      <w:pPr>
        <w:ind w:left="40" w:right="279" w:firstLine="606"/>
        <w:spacing w:after="0" w:line="308" w:lineRule="auto"/>
        <w:rPr>
          <w:sz w:val="20"/>
          <w:szCs w:val="20"/>
          <w:color w:val="auto"/>
        </w:rPr>
      </w:pPr>
      <w:r>
        <w:rPr>
          <w:rFonts w:ascii="Times New Roman" w:cs="Times New Roman" w:eastAsia="Times New Roman" w:hAnsi="Times New Roman"/>
          <w:sz w:val="16"/>
          <w:szCs w:val="16"/>
          <w:color w:val="auto"/>
        </w:rPr>
        <w:t>A growing body of evidence suggests that diverse teams improve financial outcomes and support innovation, resiliency, and productivity. GCE’s commitment to fostering diversity among its workforce in its community is evident in the following:</w:t>
      </w:r>
    </w:p>
    <w:p>
      <w:pPr>
        <w:spacing w:after="0" w:line="33" w:lineRule="exact"/>
        <w:rPr>
          <w:sz w:val="20"/>
          <w:szCs w:val="20"/>
          <w:color w:val="auto"/>
        </w:rPr>
      </w:pPr>
    </w:p>
    <w:p>
      <w:pPr>
        <w:ind w:left="1280" w:hanging="300"/>
        <w:spacing w:after="0"/>
        <w:tabs>
          <w:tab w:leader="none" w:pos="12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attract, develop and retain diverse talent is reflected at both the Board and management</w:t>
      </w:r>
    </w:p>
    <w:p>
      <w:pPr>
        <w:spacing w:after="0" w:line="22" w:lineRule="exact"/>
        <w:rPr>
          <w:rFonts w:ascii="Times New Roman" w:cs="Times New Roman" w:eastAsia="Times New Roman" w:hAnsi="Times New Roman"/>
          <w:sz w:val="17"/>
          <w:szCs w:val="17"/>
          <w:color w:val="auto"/>
        </w:rPr>
      </w:pPr>
    </w:p>
    <w:p>
      <w:pPr>
        <w:ind w:left="1280" w:right="99"/>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levels. Three of our six directors are women, and two of our directors identify with an underrepresented diverse race or ethnicity. In addition, as of December 31, 2024, 70.2% of the positions at the Company at the level of manager and above, totaling 644 persons, were held by women and other diverse persons and 80.3% of our 5,830 total employees were women and other diverse persons.</w:t>
      </w:r>
    </w:p>
    <w:p>
      <w:pPr>
        <w:spacing w:after="0" w:line="79" w:lineRule="exact"/>
        <w:rPr>
          <w:rFonts w:ascii="Times New Roman" w:cs="Times New Roman" w:eastAsia="Times New Roman" w:hAnsi="Times New Roman"/>
          <w:sz w:val="17"/>
          <w:szCs w:val="17"/>
          <w:color w:val="auto"/>
        </w:rPr>
      </w:pPr>
    </w:p>
    <w:p>
      <w:pPr>
        <w:ind w:left="1280" w:right="219" w:hanging="300"/>
        <w:spacing w:after="0" w:line="257" w:lineRule="auto"/>
        <w:tabs>
          <w:tab w:leader="none" w:pos="12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GCE maintains hiring policies and practices that include Equal Employment Opportunity Policy, Nondiscrimination and Anti-Harassment Policy and Complaint Procedure, and a Disability Accommodation Policy. We post all open positions to a variety of job boards to ensure we attract a wide pool of candidates. We also collect and analyze employee demographic data to identify current trends.</w:t>
      </w:r>
    </w:p>
    <w:p>
      <w:pPr>
        <w:spacing w:after="0" w:line="72" w:lineRule="exact"/>
        <w:rPr>
          <w:rFonts w:ascii="Times New Roman" w:cs="Times New Roman" w:eastAsia="Times New Roman" w:hAnsi="Times New Roman"/>
          <w:sz w:val="17"/>
          <w:szCs w:val="17"/>
          <w:color w:val="auto"/>
        </w:rPr>
      </w:pPr>
    </w:p>
    <w:p>
      <w:pPr>
        <w:ind w:left="1280" w:right="99" w:hanging="300"/>
        <w:spacing w:after="0" w:line="257" w:lineRule="auto"/>
        <w:tabs>
          <w:tab w:leader="none" w:pos="12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GCE provides employees and management with regular training. New hires all complete anti-discrimination and harassment training within three months of starting at GCE. Thereafter, all employees complete the training every other year, while management undertakes it annually. We have also provided Implicit Bias Training to all employees.</w:t>
      </w:r>
    </w:p>
    <w:p>
      <w:pPr>
        <w:spacing w:after="0" w:line="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ENVIRONMENTAL AWARENESS</w:t>
      </w:r>
    </w:p>
    <w:p>
      <w:pPr>
        <w:spacing w:after="0" w:line="112" w:lineRule="exact"/>
        <w:rPr>
          <w:sz w:val="20"/>
          <w:szCs w:val="20"/>
          <w:color w:val="auto"/>
        </w:rPr>
      </w:pPr>
    </w:p>
    <w:p>
      <w:pPr>
        <w:ind w:left="40" w:right="159" w:firstLine="606"/>
        <w:spacing w:after="0" w:line="253" w:lineRule="auto"/>
        <w:rPr>
          <w:sz w:val="20"/>
          <w:szCs w:val="20"/>
          <w:color w:val="auto"/>
        </w:rPr>
      </w:pPr>
      <w:r>
        <w:rPr>
          <w:rFonts w:ascii="Times New Roman" w:cs="Times New Roman" w:eastAsia="Times New Roman" w:hAnsi="Times New Roman"/>
          <w:sz w:val="17"/>
          <w:szCs w:val="17"/>
          <w:color w:val="auto"/>
        </w:rPr>
        <w:t>Online education is inherently more environmentally friendly than traditional campus education due to a reduction in greenhouse gas production caused by avoiding traveling to and from a brick-and-mortar campus. It also increases student capacity while eliminating the need for construction of a physical campus. A majority of our university partners’ students are enrolled in hybrid or online educational models. In addition, a significant number of our university partners’ students utilize an ebook format versus paper textbooks, which is more environmentally friendly in that it saves paper and other material and there is no shipment required.</w:t>
      </w:r>
    </w:p>
    <w:p>
      <w:pPr>
        <w:spacing w:after="0" w:line="78" w:lineRule="exact"/>
        <w:rPr>
          <w:sz w:val="20"/>
          <w:szCs w:val="20"/>
          <w:color w:val="auto"/>
        </w:rPr>
      </w:pPr>
    </w:p>
    <w:p>
      <w:pPr>
        <w:ind w:left="40" w:right="139" w:firstLine="606"/>
        <w:spacing w:after="0" w:line="257" w:lineRule="auto"/>
        <w:rPr>
          <w:sz w:val="20"/>
          <w:szCs w:val="20"/>
          <w:color w:val="auto"/>
        </w:rPr>
      </w:pPr>
      <w:r>
        <w:rPr>
          <w:rFonts w:ascii="Times New Roman" w:cs="Times New Roman" w:eastAsia="Times New Roman" w:hAnsi="Times New Roman"/>
          <w:sz w:val="17"/>
          <w:szCs w:val="17"/>
          <w:color w:val="auto"/>
        </w:rPr>
        <w:t>The Company owns, and operates its business from, a four-story 325,000 square foot administrative building, which includes office space for approximately 2,700 employees and a parking garage. We constructed these facilities in 2016 and, as with every one of our projects over the past ten years, we designed them to maximize energy efficiency and minimize electricity usage and environmental impact. Our headquarters building includes the following design features: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335915</wp:posOffset>
            </wp:positionV>
            <wp:extent cx="5664835" cy="241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64835"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type w:val="continuous"/>
        </w:sectPr>
      </w:pPr>
    </w:p>
    <w:bookmarkStart w:id="11" w:name="page12"/>
    <w:bookmarkEnd w:id="11"/>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ectPr>
          <w:pgSz w:w="11900" w:h="16838" w:orient="portrait"/>
          <w:cols w:equalWidth="0" w:num="1">
            <w:col w:w="9019"/>
          </w:cols>
          <w:pgMar w:left="1440" w:top="48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80" w:hanging="318"/>
        <w:spacing w:after="0" w:line="273" w:lineRule="auto"/>
        <w:tabs>
          <w:tab w:leader="none" w:pos="580" w:val="left"/>
        </w:tabs>
        <w:numPr>
          <w:ilvl w:val="0"/>
          <w:numId w:val="19"/>
        </w:numPr>
        <w:rPr>
          <w:rFonts w:ascii="MS PGothic" w:cs="MS PGothic" w:eastAsia="MS PGothic" w:hAnsi="MS PGothic"/>
          <w:sz w:val="14"/>
          <w:szCs w:val="14"/>
          <w:color w:val="auto"/>
        </w:rPr>
      </w:pPr>
      <w:r>
        <w:rPr>
          <w:rFonts w:ascii="Times New Roman" w:cs="Times New Roman" w:eastAsia="Times New Roman" w:hAnsi="Times New Roman"/>
          <w:sz w:val="16"/>
          <w:szCs w:val="16"/>
          <w:b w:val="1"/>
          <w:bCs w:val="1"/>
          <w:i w:val="1"/>
          <w:iCs w:val="1"/>
          <w:color w:val="auto"/>
        </w:rPr>
        <w:t>North/South Building Orientation</w:t>
      </w:r>
      <w:r>
        <w:rPr>
          <w:rFonts w:ascii="Times New Roman" w:cs="Times New Roman" w:eastAsia="Times New Roman" w:hAnsi="Times New Roman"/>
          <w:sz w:val="16"/>
          <w:szCs w:val="16"/>
          <w:color w:val="auto"/>
        </w:rPr>
        <w:t>. The Company’s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office building is orientated with north/south exposure in order to minimize direct sun and thereby reduce power usage. Exterior courtyards were arranged to ensure summer shade thus creating outdoor areas that can be used by our employees throughout the year.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30" w:right="179" w:hanging="330"/>
        <w:spacing w:after="0" w:line="252" w:lineRule="auto"/>
        <w:tabs>
          <w:tab w:leader="none" w:pos="330" w:val="left"/>
        </w:tabs>
        <w:numPr>
          <w:ilvl w:val="0"/>
          <w:numId w:val="20"/>
        </w:numPr>
        <w:rPr>
          <w:rFonts w:ascii="MS PGothic" w:cs="MS PGothic" w:eastAsia="MS PGothic" w:hAnsi="MS PGothic"/>
          <w:sz w:val="15"/>
          <w:szCs w:val="15"/>
          <w:color w:val="auto"/>
        </w:rPr>
      </w:pPr>
      <w:r>
        <w:rPr>
          <w:rFonts w:ascii="Times New Roman" w:cs="Times New Roman" w:eastAsia="Times New Roman" w:hAnsi="Times New Roman"/>
          <w:sz w:val="17"/>
          <w:szCs w:val="17"/>
          <w:b w:val="1"/>
          <w:bCs w:val="1"/>
          <w:i w:val="1"/>
          <w:iCs w:val="1"/>
          <w:color w:val="auto"/>
        </w:rPr>
        <w:t>Reducing Water Consumption</w:t>
      </w:r>
      <w:r>
        <w:rPr>
          <w:rFonts w:ascii="Times New Roman" w:cs="Times New Roman" w:eastAsia="Times New Roman" w:hAnsi="Times New Roman"/>
          <w:sz w:val="17"/>
          <w:szCs w:val="17"/>
          <w:color w:val="auto"/>
        </w:rPr>
        <w:t>. Water usage is another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environmental factor for office space that is magnified by the Arizona sun. The Company’s office building utilizes numerous water conservation methods including push-tap faucets, waterless urinals, and a rooftop rain water collection system for irrigating the landscaping below, which significantly reduces our water consumption.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-2954655</wp:posOffset>
            </wp:positionH>
            <wp:positionV relativeFrom="paragraph">
              <wp:posOffset>61595</wp:posOffset>
            </wp:positionV>
            <wp:extent cx="5656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65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40" w:space="470"/>
            <w:col w:w="4309"/>
          </w:cols>
          <w:pgMar w:left="1440" w:top="489" w:right="1440" w:bottom="1440" w:gutter="0" w:footer="0" w:header="0"/>
          <w:type w:val="continuous"/>
        </w:sectPr>
      </w:pPr>
    </w:p>
    <w:p>
      <w:pPr>
        <w:spacing w:after="0" w:line="104" w:lineRule="exact"/>
        <w:rPr>
          <w:sz w:val="20"/>
          <w:szCs w:val="20"/>
          <w:color w:val="auto"/>
        </w:rPr>
      </w:pPr>
    </w:p>
    <w:p>
      <w:pPr>
        <w:ind w:left="580" w:hanging="318"/>
        <w:spacing w:after="0" w:line="253" w:lineRule="auto"/>
        <w:tabs>
          <w:tab w:leader="none" w:pos="580" w:val="left"/>
        </w:tabs>
        <w:numPr>
          <w:ilvl w:val="0"/>
          <w:numId w:val="21"/>
        </w:numPr>
        <w:rPr>
          <w:rFonts w:ascii="MS PGothic" w:cs="MS PGothic" w:eastAsia="MS PGothic" w:hAnsi="MS PGothic"/>
          <w:sz w:val="15"/>
          <w:szCs w:val="15"/>
          <w:color w:val="auto"/>
        </w:rPr>
      </w:pPr>
      <w:r>
        <w:rPr>
          <w:rFonts w:ascii="Times New Roman" w:cs="Times New Roman" w:eastAsia="Times New Roman" w:hAnsi="Times New Roman"/>
          <w:sz w:val="17"/>
          <w:szCs w:val="17"/>
          <w:b w:val="1"/>
          <w:bCs w:val="1"/>
          <w:i w:val="1"/>
          <w:iCs w:val="1"/>
          <w:color w:val="auto"/>
        </w:rPr>
        <w:t>Use of Window Glazing</w:t>
      </w:r>
      <w:r>
        <w:rPr>
          <w:rFonts w:ascii="Times New Roman" w:cs="Times New Roman" w:eastAsia="Times New Roman" w:hAnsi="Times New Roman"/>
          <w:sz w:val="17"/>
          <w:szCs w:val="17"/>
          <w:color w:val="auto"/>
        </w:rPr>
        <w:t>. Our building utilizes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significant window glazing to allow for daylighting thus reducing the need for supplemental electrical lighting. As a result, the building is designed to use just .41 watts per square foot of electrical energy for lighting, which is half of what a typical environmentally efficient building uses.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-3810</wp:posOffset>
            </wp:positionV>
            <wp:extent cx="5656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65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ind w:left="330" w:right="239" w:hanging="330"/>
        <w:spacing w:after="0" w:line="276" w:lineRule="auto"/>
        <w:tabs>
          <w:tab w:leader="none" w:pos="330" w:val="left"/>
        </w:tabs>
        <w:numPr>
          <w:ilvl w:val="0"/>
          <w:numId w:val="22"/>
        </w:numPr>
        <w:rPr>
          <w:rFonts w:ascii="MS PGothic" w:cs="MS PGothic" w:eastAsia="MS PGothic" w:hAnsi="MS PGothic"/>
          <w:sz w:val="14"/>
          <w:szCs w:val="14"/>
          <w:color w:val="auto"/>
        </w:rPr>
      </w:pPr>
      <w:r>
        <w:rPr>
          <w:rFonts w:ascii="Times New Roman" w:cs="Times New Roman" w:eastAsia="Times New Roman" w:hAnsi="Times New Roman"/>
          <w:sz w:val="16"/>
          <w:szCs w:val="16"/>
          <w:b w:val="1"/>
          <w:bCs w:val="1"/>
          <w:i w:val="1"/>
          <w:iCs w:val="1"/>
          <w:color w:val="auto"/>
        </w:rPr>
        <w:t>Other Design Features</w:t>
      </w:r>
      <w:r>
        <w:rPr>
          <w:rFonts w:ascii="Times New Roman" w:cs="Times New Roman" w:eastAsia="Times New Roman" w:hAnsi="Times New Roman"/>
          <w:sz w:val="16"/>
          <w:szCs w:val="16"/>
          <w:color w:val="auto"/>
        </w:rPr>
        <w:t>. Additional environment-friendly design features include low VOC paints, use of recycled building materials, interior and exterior LED light bulbs, motion sensor lighting and implementation of an energy-efficient VRF mechanical system.</w:t>
      </w:r>
    </w:p>
    <w:p>
      <w:pPr>
        <w:spacing w:after="0" w:line="576" w:lineRule="exact"/>
        <w:rPr>
          <w:sz w:val="20"/>
          <w:szCs w:val="20"/>
          <w:color w:val="auto"/>
        </w:rPr>
      </w:pPr>
    </w:p>
    <w:p>
      <w:pPr>
        <w:sectPr>
          <w:pgSz w:w="11900" w:h="16838" w:orient="portrait"/>
          <w:cols w:equalWidth="0" w:num="2">
            <w:col w:w="4380" w:space="330"/>
            <w:col w:w="4309"/>
          </w:cols>
          <w:pgMar w:left="1440" w:top="489" w:right="1440" w:bottom="1440" w:gutter="0" w:footer="0" w:header="0"/>
          <w:type w:val="continuous"/>
        </w:sectPr>
      </w:pPr>
    </w:p>
    <w:p>
      <w:pPr>
        <w:ind w:left="40" w:right="319" w:firstLine="606"/>
        <w:spacing w:after="0" w:line="275" w:lineRule="auto"/>
        <w:rPr>
          <w:sz w:val="20"/>
          <w:szCs w:val="20"/>
          <w:color w:val="auto"/>
        </w:rPr>
      </w:pPr>
      <w:r>
        <w:rPr>
          <w:rFonts w:ascii="Times New Roman" w:cs="Times New Roman" w:eastAsia="Times New Roman" w:hAnsi="Times New Roman"/>
          <w:sz w:val="17"/>
          <w:szCs w:val="17"/>
          <w:color w:val="auto"/>
        </w:rPr>
        <w:t>In addition to its efficient facilities, the Company has undertaken other measures to minimize its environmental impact, including, among others:</w:t>
      </w:r>
    </w:p>
    <w:p>
      <w:pPr>
        <w:spacing w:after="0" w:line="57" w:lineRule="exact"/>
        <w:rPr>
          <w:sz w:val="20"/>
          <w:szCs w:val="20"/>
          <w:color w:val="auto"/>
        </w:rPr>
      </w:pPr>
    </w:p>
    <w:p>
      <w:pPr>
        <w:ind w:left="680" w:hanging="307"/>
        <w:spacing w:after="0"/>
        <w:tabs>
          <w:tab w:leader="none" w:pos="68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allowing a significant portion of our workforce to continue to work remotely;</w:t>
      </w:r>
    </w:p>
    <w:p>
      <w:pPr>
        <w:spacing w:after="0" w:line="22" w:lineRule="exact"/>
        <w:rPr>
          <w:rFonts w:ascii="Times New Roman" w:cs="Times New Roman" w:eastAsia="Times New Roman" w:hAnsi="Times New Roman"/>
          <w:sz w:val="17"/>
          <w:szCs w:val="17"/>
          <w:color w:val="auto"/>
        </w:rPr>
      </w:pPr>
    </w:p>
    <w:p>
      <w:pPr>
        <w:ind w:left="680" w:right="299" w:hanging="307"/>
        <w:spacing w:after="0" w:line="248" w:lineRule="auto"/>
        <w:tabs>
          <w:tab w:leader="none" w:pos="68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implementing a Trip Reduction Program, which provides incentives to employees who participate in carpooling or take public transportation to work;</w:t>
      </w:r>
    </w:p>
    <w:p>
      <w:pPr>
        <w:ind w:left="680" w:hanging="307"/>
        <w:spacing w:after="0"/>
        <w:tabs>
          <w:tab w:leader="none" w:pos="68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providing a telecommute option for a significant number of positions; and</w:t>
      </w:r>
    </w:p>
    <w:p>
      <w:pPr>
        <w:spacing w:after="0" w:line="6"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participating in a recycling program aimed at minimizing the volume of waste products generated by the Company.</w:t>
      </w:r>
    </w:p>
    <w:p>
      <w:pPr>
        <w:spacing w:after="0" w:line="92" w:lineRule="exact"/>
        <w:rPr>
          <w:sz w:val="20"/>
          <w:szCs w:val="20"/>
          <w:color w:val="auto"/>
        </w:rPr>
      </w:pPr>
    </w:p>
    <w:p>
      <w:pPr>
        <w:ind w:left="40" w:right="179" w:firstLine="606"/>
        <w:spacing w:after="0" w:line="275" w:lineRule="auto"/>
        <w:rPr>
          <w:sz w:val="20"/>
          <w:szCs w:val="20"/>
          <w:color w:val="auto"/>
        </w:rPr>
      </w:pPr>
      <w:r>
        <w:rPr>
          <w:rFonts w:ascii="Times New Roman" w:cs="Times New Roman" w:eastAsia="Times New Roman" w:hAnsi="Times New Roman"/>
          <w:sz w:val="17"/>
          <w:szCs w:val="17"/>
          <w:color w:val="auto"/>
        </w:rPr>
        <w:t>The above measures, among others, have resulted in savings in the areas of waste, janitorial costs, and travel costs related to business travel and commuting.</w:t>
      </w:r>
    </w:p>
    <w:p>
      <w:pPr>
        <w:spacing w:after="0" w:line="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Other Corporate Policy Matters</w:t>
      </w:r>
    </w:p>
    <w:p>
      <w:pPr>
        <w:spacing w:after="0" w:line="112" w:lineRule="exact"/>
        <w:rPr>
          <w:sz w:val="20"/>
          <w:szCs w:val="20"/>
          <w:color w:val="auto"/>
        </w:rPr>
      </w:pPr>
    </w:p>
    <w:p>
      <w:pPr>
        <w:ind w:left="40" w:right="139" w:firstLine="606"/>
        <w:spacing w:after="0" w:line="257" w:lineRule="auto"/>
        <w:rPr>
          <w:sz w:val="20"/>
          <w:szCs w:val="20"/>
          <w:color w:val="auto"/>
        </w:rPr>
      </w:pPr>
      <w:r>
        <w:rPr>
          <w:rFonts w:ascii="Times New Roman" w:cs="Times New Roman" w:eastAsia="Times New Roman" w:hAnsi="Times New Roman"/>
          <w:sz w:val="17"/>
          <w:szCs w:val="17"/>
          <w:color w:val="auto"/>
        </w:rPr>
        <w:t>We maintain a whistleblower hotline available to both internal and external parties. The whistleblower policy is disclosed on the GCE intranet for employees and disclosed on the GCE investor relations website for external parties. Hotline activity is managed by a third party and all calls are reviewed and monitored by the Chief Risk Officer and General Counsel and discussed at the quarterly Audit Committee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80645</wp:posOffset>
            </wp:positionV>
            <wp:extent cx="56648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64835" cy="8255"/>
                    </a:xfrm>
                    <a:prstGeom prst="rect">
                      <a:avLst/>
                    </a:prstGeom>
                    <a:noFill/>
                  </pic:spPr>
                </pic:pic>
              </a:graphicData>
            </a:graphic>
          </wp:anchor>
        </w:drawing>
      </w:r>
    </w:p>
    <w:p>
      <w:pPr>
        <w:spacing w:after="0" w:line="1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Questions and Answers</w:t>
      </w:r>
    </w:p>
    <w:p>
      <w:pPr>
        <w:spacing w:after="0" w:line="209" w:lineRule="exact"/>
        <w:rPr>
          <w:sz w:val="20"/>
          <w:szCs w:val="20"/>
          <w:color w:val="auto"/>
        </w:rPr>
      </w:pPr>
    </w:p>
    <w:p>
      <w:pPr>
        <w:ind w:left="40" w:right="299" w:firstLine="606"/>
        <w:spacing w:after="0" w:line="259" w:lineRule="auto"/>
        <w:rPr>
          <w:sz w:val="20"/>
          <w:szCs w:val="20"/>
          <w:color w:val="auto"/>
        </w:rPr>
      </w:pPr>
      <w:r>
        <w:rPr>
          <w:rFonts w:ascii="Times New Roman" w:cs="Times New Roman" w:eastAsia="Times New Roman" w:hAnsi="Times New Roman"/>
          <w:sz w:val="17"/>
          <w:szCs w:val="17"/>
          <w:color w:val="auto"/>
        </w:rPr>
        <w:t xml:space="preserve">Please see the </w:t>
      </w:r>
      <w:r>
        <w:rPr>
          <w:rFonts w:ascii="Times New Roman" w:cs="Times New Roman" w:eastAsia="Times New Roman" w:hAnsi="Times New Roman"/>
          <w:sz w:val="17"/>
          <w:szCs w:val="17"/>
          <w:i w:val="1"/>
          <w:iCs w:val="1"/>
          <w:color w:val="auto"/>
        </w:rPr>
        <w:t>General Information</w:t>
      </w:r>
      <w:r>
        <w:rPr>
          <w:rFonts w:ascii="Times New Roman" w:cs="Times New Roman" w:eastAsia="Times New Roman" w:hAnsi="Times New Roman"/>
          <w:sz w:val="17"/>
          <w:szCs w:val="17"/>
          <w:color w:val="auto"/>
        </w:rPr>
        <w:t xml:space="preserve"> section for important information about the proxy materials, voting, the annual meeting, Company documents, communications and the deadlines to submit stockholder proposals and director nominees for the 2025 Annual Meeting of Stockholders. Additional questions may be directed to our General Counsel, Grand Canyon Education, Inc., 2600 W. Camelback Road, Phoenix, Arizona 85017.</w:t>
      </w:r>
    </w:p>
    <w:p>
      <w:pPr>
        <w:spacing w:after="0" w:line="1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Learn More About Our Company</w:t>
      </w:r>
    </w:p>
    <w:p>
      <w:pPr>
        <w:spacing w:after="0" w:line="213" w:lineRule="exact"/>
        <w:rPr>
          <w:sz w:val="20"/>
          <w:szCs w:val="20"/>
          <w:color w:val="auto"/>
        </w:rPr>
      </w:pPr>
    </w:p>
    <w:p>
      <w:pPr>
        <w:ind w:left="40" w:right="839" w:firstLine="606"/>
        <w:spacing w:after="0" w:line="275" w:lineRule="auto"/>
        <w:rPr>
          <w:sz w:val="20"/>
          <w:szCs w:val="20"/>
          <w:color w:val="auto"/>
        </w:rPr>
      </w:pPr>
      <w:r>
        <w:rPr>
          <w:rFonts w:ascii="Times New Roman" w:cs="Times New Roman" w:eastAsia="Times New Roman" w:hAnsi="Times New Roman"/>
          <w:sz w:val="17"/>
          <w:szCs w:val="17"/>
          <w:color w:val="auto"/>
        </w:rPr>
        <w:t xml:space="preserve">You can learn more about the Company, view our governance materials and much more by visiting our website, </w:t>
      </w:r>
      <w:r>
        <w:rPr>
          <w:rFonts w:ascii="Times New Roman" w:cs="Times New Roman" w:eastAsia="Times New Roman" w:hAnsi="Times New Roman"/>
          <w:sz w:val="17"/>
          <w:szCs w:val="17"/>
          <w:i w:val="1"/>
          <w:iCs w:val="1"/>
          <w:color w:val="auto"/>
        </w:rPr>
        <w:t>www.gce.com</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335915</wp:posOffset>
            </wp:positionV>
            <wp:extent cx="5664835" cy="15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64835" cy="1587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type w:val="continuous"/>
        </w:sectPr>
      </w:pPr>
    </w:p>
    <w:bookmarkStart w:id="12" w:name="page13"/>
    <w:bookmarkEnd w:id="1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2600 West Camelback Road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Phoenix, Arizona 85017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2153920</wp:posOffset>
            </wp:positionH>
            <wp:positionV relativeFrom="paragraph">
              <wp:posOffset>132715</wp:posOffset>
            </wp:positionV>
            <wp:extent cx="1412240" cy="15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12240" cy="1587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2153920</wp:posOffset>
            </wp:positionH>
            <wp:positionV relativeFrom="paragraph">
              <wp:posOffset>145415</wp:posOffset>
            </wp:positionV>
            <wp:extent cx="1412240" cy="15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12240" cy="1587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GENERAL INFORMATION</w:t>
      </w:r>
    </w:p>
    <w:p>
      <w:pPr>
        <w:spacing w:after="0" w:line="112" w:lineRule="exact"/>
        <w:rPr>
          <w:sz w:val="20"/>
          <w:szCs w:val="20"/>
          <w:color w:val="auto"/>
        </w:rPr>
      </w:pPr>
    </w:p>
    <w:p>
      <w:pPr>
        <w:jc w:val="both"/>
        <w:ind w:left="40" w:right="179" w:firstLine="606"/>
        <w:spacing w:after="0" w:line="262" w:lineRule="auto"/>
        <w:rPr>
          <w:sz w:val="20"/>
          <w:szCs w:val="20"/>
          <w:color w:val="auto"/>
        </w:rPr>
      </w:pPr>
      <w:r>
        <w:rPr>
          <w:rFonts w:ascii="Times New Roman" w:cs="Times New Roman" w:eastAsia="Times New Roman" w:hAnsi="Times New Roman"/>
          <w:sz w:val="17"/>
          <w:szCs w:val="17"/>
          <w:color w:val="auto"/>
        </w:rPr>
        <w:t>The enclosed proxy is being solicited by our Board of Directors for use in connection with the Annual Meeting to be held on Tuesday, June 10, 2025, at the offices of Grand Canyon Education, Inc. located at 2600 W. Camelback Road, Phoenix, Arizona 85017, commencing at 10:30 a.m., Arizona time, and at any adjournment or postponement thereof.</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Notice of Internet Availability</w:t>
      </w:r>
    </w:p>
    <w:p>
      <w:pPr>
        <w:spacing w:after="0" w:line="112" w:lineRule="exact"/>
        <w:rPr>
          <w:sz w:val="20"/>
          <w:szCs w:val="20"/>
          <w:color w:val="auto"/>
        </w:rPr>
      </w:pPr>
    </w:p>
    <w:p>
      <w:pPr>
        <w:ind w:left="40" w:right="59" w:firstLine="606"/>
        <w:spacing w:after="0" w:line="250" w:lineRule="auto"/>
        <w:rPr>
          <w:sz w:val="20"/>
          <w:szCs w:val="20"/>
          <w:color w:val="auto"/>
        </w:rPr>
      </w:pPr>
      <w:r>
        <w:rPr>
          <w:rFonts w:ascii="Times New Roman" w:cs="Times New Roman" w:eastAsia="Times New Roman" w:hAnsi="Times New Roman"/>
          <w:sz w:val="17"/>
          <w:szCs w:val="17"/>
          <w:color w:val="auto"/>
        </w:rPr>
        <w:t xml:space="preserve">In accordance with the electronic delivery rules adopted by the SEC, the Company is permitted to furnish proxy materials to its stockholders on the Internet, in lieu of mailing a printed copy of proxy materials to each stockholder of record. You will not receive a printed copy of proxy materials unless you request a printed copy. The Notice, which was first mailed to our stockholders on or about April 28, 2025, instructs you as to how you may access and review on the Internet all of the important information contained in the proxy materials. The Notice also instructs you as to how you may vote your proxy. If you received a Notice by mail and would like to receive a printed copy of the Company’s proxy materials and annual report, you must follow the instructions for requesting such materials included in the Notice. Alternatively, you may download or print these materials, or any portion thereof, from any computer with Internet access and a printer. The Company believes this process provides its stockholders the information they need in a more timely manner, while reducing the environmental impact and lowering the costs of printing and delivering the proxy materials. To access the Company’s proxy statement and annual report electronically, please visit </w:t>
      </w:r>
      <w:r>
        <w:rPr>
          <w:rFonts w:ascii="Times New Roman" w:cs="Times New Roman" w:eastAsia="Times New Roman" w:hAnsi="Times New Roman"/>
          <w:sz w:val="17"/>
          <w:szCs w:val="17"/>
          <w:i w:val="1"/>
          <w:iCs w:val="1"/>
          <w:color w:val="auto"/>
        </w:rPr>
        <w:t xml:space="preserve">www.edocumentview.com/LOPE </w:t>
      </w:r>
      <w:r>
        <w:rPr>
          <w:rFonts w:ascii="Times New Roman" w:cs="Times New Roman" w:eastAsia="Times New Roman" w:hAnsi="Times New Roman"/>
          <w:sz w:val="17"/>
          <w:szCs w:val="17"/>
          <w:color w:val="auto"/>
        </w:rPr>
        <w:t>or the Company’s Investor Relations website at</w:t>
      </w:r>
      <w:r>
        <w:rPr>
          <w:rFonts w:ascii="Times New Roman" w:cs="Times New Roman" w:eastAsia="Times New Roman" w:hAnsi="Times New Roman"/>
          <w:sz w:val="17"/>
          <w:szCs w:val="17"/>
          <w:i w:val="1"/>
          <w:iCs w:val="1"/>
          <w:color w:val="auto"/>
        </w:rPr>
        <w:t xml:space="preserve"> www.gce.com</w:t>
      </w:r>
      <w:r>
        <w:rPr>
          <w:rFonts w:ascii="Times New Roman" w:cs="Times New Roman" w:eastAsia="Times New Roman" w:hAnsi="Times New Roman"/>
          <w:sz w:val="17"/>
          <w:szCs w:val="17"/>
          <w:color w:val="auto"/>
        </w:rPr>
        <w:t>.</w:t>
      </w:r>
    </w:p>
    <w:p>
      <w:pPr>
        <w:spacing w:after="0" w:line="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Record Date and Quorum</w:t>
      </w:r>
    </w:p>
    <w:p>
      <w:pPr>
        <w:spacing w:after="0" w:line="112" w:lineRule="exact"/>
        <w:rPr>
          <w:sz w:val="20"/>
          <w:szCs w:val="20"/>
          <w:color w:val="auto"/>
        </w:rPr>
      </w:pPr>
    </w:p>
    <w:p>
      <w:pPr>
        <w:ind w:left="40" w:right="59" w:firstLine="606"/>
        <w:spacing w:after="0" w:line="255" w:lineRule="auto"/>
        <w:rPr>
          <w:sz w:val="20"/>
          <w:szCs w:val="20"/>
          <w:color w:val="auto"/>
        </w:rPr>
      </w:pPr>
      <w:r>
        <w:rPr>
          <w:rFonts w:ascii="Times New Roman" w:cs="Times New Roman" w:eastAsia="Times New Roman" w:hAnsi="Times New Roman"/>
          <w:sz w:val="17"/>
          <w:szCs w:val="17"/>
          <w:color w:val="auto"/>
        </w:rPr>
        <w:t>Only stockholders of record at the close of business on April 16, 2025, the Record Date, will be entitled to notice of and to vote at the Annual Meeting and any adjournment or postponement thereof. At the close of business on the Record Date, we had approximately 28,425,849 shares of our common stock outstanding and entitled to vote, with each such outstanding share entitled to one vote per share on each matter to be voted upon by stockholders. A majority of the shares outstanding on the Record Date, present in person or represented by proxy, will constitute a quorum for the transaction of business at the meeting.</w:t>
      </w:r>
    </w:p>
    <w:p>
      <w:pPr>
        <w:spacing w:after="0" w:line="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Submission of Proxies; Revocation</w:t>
      </w:r>
    </w:p>
    <w:p>
      <w:pPr>
        <w:spacing w:after="0" w:line="112" w:lineRule="exact"/>
        <w:rPr>
          <w:sz w:val="20"/>
          <w:szCs w:val="20"/>
          <w:color w:val="auto"/>
        </w:rPr>
      </w:pPr>
    </w:p>
    <w:p>
      <w:pPr>
        <w:ind w:left="40" w:right="79" w:firstLine="606"/>
        <w:spacing w:after="0" w:line="251" w:lineRule="auto"/>
        <w:rPr>
          <w:sz w:val="20"/>
          <w:szCs w:val="20"/>
          <w:color w:val="auto"/>
        </w:rPr>
      </w:pPr>
      <w:r>
        <w:rPr>
          <w:rFonts w:ascii="Times New Roman" w:cs="Times New Roman" w:eastAsia="Times New Roman" w:hAnsi="Times New Roman"/>
          <w:sz w:val="17"/>
          <w:szCs w:val="17"/>
          <w:color w:val="auto"/>
        </w:rPr>
        <w:t>All valid proxies received prior to the Annual Meeting will be exercised. All shares represented by a proxy will be voted, and where a proxy specifies a stockholder’s choice with respect to any matter to be acted upon, the shares will be voted in accordance with that specification. If no choice is indicated on the proxy, the shares will be voted in favor of the proposal. You may revoke your proxy at any time before it is exercised by submitting to our Secretary a written notice of revocation, submitting a properly executed proxy bearing a later date, voting by telephone or via the Internet at a later time (if initially able to vote in that manner) so long as such vote or voting direction is received by the applicable date and time set forth above for stockholders of record, or by attending the Annual Meeting and voting in person. If you hold your shares through a bank, broker, trustee or nominee and you have instructed the bank, broker, trustee or nominee to vote your shares, you must follow the directions received from your bank, broker, trustee or nominee to change those instructions.</w:t>
      </w:r>
    </w:p>
    <w:p>
      <w:pPr>
        <w:spacing w:after="0" w:line="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Deadlines for Stockholder Proposals</w:t>
      </w:r>
    </w:p>
    <w:p>
      <w:pPr>
        <w:spacing w:after="0" w:line="112" w:lineRule="exact"/>
        <w:rPr>
          <w:sz w:val="20"/>
          <w:szCs w:val="20"/>
          <w:color w:val="auto"/>
        </w:rPr>
      </w:pPr>
    </w:p>
    <w:p>
      <w:pPr>
        <w:jc w:val="both"/>
        <w:ind w:left="40" w:right="159" w:firstLine="606"/>
        <w:spacing w:after="0" w:line="262" w:lineRule="auto"/>
        <w:rPr>
          <w:sz w:val="20"/>
          <w:szCs w:val="20"/>
          <w:color w:val="auto"/>
        </w:rPr>
      </w:pPr>
      <w:r>
        <w:rPr>
          <w:rFonts w:ascii="Times New Roman" w:cs="Times New Roman" w:eastAsia="Times New Roman" w:hAnsi="Times New Roman"/>
          <w:sz w:val="17"/>
          <w:szCs w:val="17"/>
          <w:color w:val="auto"/>
        </w:rPr>
        <w:t>Stockholder proposals may be included in our proxy materials for an annual meeting so long as they are provided to us on a timely basis and satisfy certain other conditions established by the SEC, including specifically under Rule 14a-8 of the Securities Exchange Act of 1934, as amended (the “Exchange Act”). To be timely, a proposal to be</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335915</wp:posOffset>
            </wp:positionV>
            <wp:extent cx="5664835" cy="241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64835" cy="24130"/>
                    </a:xfrm>
                    <a:prstGeom prst="rect">
                      <a:avLst/>
                    </a:prstGeom>
                    <a:noFill/>
                  </pic:spPr>
                </pic:pic>
              </a:graphicData>
            </a:graphic>
          </wp:anchor>
        </w:drawing>
      </w:r>
    </w:p>
    <w:p>
      <w:pPr>
        <w:sectPr>
          <w:pgSz w:w="11900" w:h="16838" w:orient="portrait"/>
          <w:cols w:equalWidth="0" w:num="1">
            <w:col w:w="9019"/>
          </w:cols>
          <w:pgMar w:left="1440" w:top="490" w:right="1440" w:bottom="1440" w:gutter="0" w:footer="0" w:header="0"/>
        </w:sectPr>
      </w:pPr>
    </w:p>
    <w:bookmarkStart w:id="13" w:name="page14"/>
    <w:bookmarkEnd w:id="1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0" w:right="119"/>
        <w:spacing w:after="0" w:line="249" w:lineRule="auto"/>
        <w:rPr>
          <w:sz w:val="20"/>
          <w:szCs w:val="20"/>
          <w:color w:val="auto"/>
        </w:rPr>
      </w:pPr>
      <w:r>
        <w:rPr>
          <w:rFonts w:ascii="Times New Roman" w:cs="Times New Roman" w:eastAsia="Times New Roman" w:hAnsi="Times New Roman"/>
          <w:sz w:val="16"/>
          <w:szCs w:val="16"/>
          <w:color w:val="auto"/>
        </w:rPr>
        <w:t>included in our proxy statement must be received at our principal executive offices, addressed to our Secretary, not less than 120 calendar days before the first anniversary of the date that our proxy statement was released to stockholders in connection with the previous year’s annual meeting. Accordingly, for a stockholder proposal to be included in our proxy materials for our 2026 Annual Meeting of Stockholders, the proposal must be received at our principal executive offices, addressed to our Secretary, not later than the close of business on Monday, December 29, 2025. Subject to certain exceptions, stockholder business that is not intended for inclusion in our proxy materials may be brought before an annual meeting so long as we receive notice of the proposal as specified by, and subject to the conditions set forth in, our bylaws, addressed to our Secretary at our principal executive offices, not earlier than the close of business on the 120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6"/>
          <w:szCs w:val="16"/>
          <w:color w:val="auto"/>
        </w:rPr>
        <w:t xml:space="preserve"> day, nor later than the close of business on the 90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6"/>
          <w:szCs w:val="16"/>
          <w:color w:val="auto"/>
        </w:rPr>
        <w:t xml:space="preserve"> day, prior to the first anniversary of the date of the preceding year’s annual meeting as first specified in the Company’s notice of meeting (without regard to any postponements or adjournments of such meeting after such notice was first sent), except that if no annual meeting was held in the previous year or the date of the annual meeting is more than 30 days earlier or later than such anniversary date, notice by the stockholders to be timely must be received not later than the close of business on the later of 90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6"/>
          <w:szCs w:val="16"/>
          <w:color w:val="auto"/>
        </w:rPr>
        <w:t xml:space="preserve"> day prior to the annual meeting or the 10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6"/>
          <w:szCs w:val="16"/>
          <w:color w:val="auto"/>
        </w:rPr>
        <w:t xml:space="preserve"> day following the date on which public announcement of the date of such meeting is first made. For our 2026 Annual Meeting of Stockholders, proper notice of business that is not intended for inclusion in our proxy statement must be received not earlier than the close of business on Tuesday, February 10, 2026, nor later than the close of business on Thursday, March 12, 2026.</w:t>
      </w:r>
    </w:p>
    <w:p>
      <w:pPr>
        <w:spacing w:after="0" w:line="80" w:lineRule="exact"/>
        <w:rPr>
          <w:sz w:val="20"/>
          <w:szCs w:val="20"/>
          <w:color w:val="auto"/>
        </w:rPr>
      </w:pPr>
    </w:p>
    <w:p>
      <w:pPr>
        <w:ind w:left="40" w:right="59" w:firstLine="606"/>
        <w:spacing w:after="0" w:line="249" w:lineRule="auto"/>
        <w:rPr>
          <w:sz w:val="20"/>
          <w:szCs w:val="20"/>
          <w:color w:val="auto"/>
        </w:rPr>
      </w:pPr>
      <w:r>
        <w:rPr>
          <w:rFonts w:ascii="Times New Roman" w:cs="Times New Roman" w:eastAsia="Times New Roman" w:hAnsi="Times New Roman"/>
          <w:sz w:val="17"/>
          <w:szCs w:val="17"/>
          <w:color w:val="auto"/>
        </w:rPr>
        <w:t>A stockholder’s notice to our Secretary must set forth as to each matter the stockholder proposes to bring before the meeting (i) a brief description of the business desired to be brought before the meeting and the text of the proposal or business, including the text of any resolutions proposed for consideration and, in the event that such business includes a proposal to amend the Company’s bylaws, the language of the proposed amendment, (ii) the name and address, as they appear on the Company’s books, of the stockholder proposing such business and the names and addresses of the beneficial owners, if any, on whose behalf the business is being brought, (iii) a representation that the stockholder is a holder of record of stock of the Company entitled to vote at the meeting on the date of such notice and intends to appear in person or by proxy at the meeting to propose the business specified in the notice, (iv) any material interest of the stockholder and any such other beneficial owner in such business, and (v) the following information regarding the ownership interests of the stockholder or any such other beneficial owner, which shall be supplemented in writing by the stockholder not later than ten (10) days after the record date for voting at the meeting to disclose such interests as of such record date: (A) the class and number of shares of the Company that are owned beneficially and of record by the stockholder and any such other beneficial owner</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(B) any “derivative instrument” (which is defined as any option, warrant, convertible security, stock appreciation right, or similar right with an exercise or conversion privilege or a settlement payment or mechanism at a price related to any class or series of shares of the Company or with a value derived in whole or in part from the value of any class or series of shares of the Company, whether or not such instrument or right shall be subject to settlement in the underlying class or series of capital stock of the Company or otherwise directly or indirectly owned beneficially by such stockholder and any other direct or indirect opportunity to profit or share in any profit derived from any increase or decrease in the value of shares of the Company); (C) any proxy, contract, arrangement, understanding, or relationship pursuant to which such stockholder has a right to vote any shares of any security of the Company; (D) any short interest in any security of the Company (meaning a person shall be deemed to have a short interest in a security if such person, directly or indirectly, through any contract, arrangement, understanding, relationship or otherwise, has the opportunity to profit or share in any profit derived from any decrease in the value of the subject security); (E) any rights to dividends on the shares of the Company owned beneficially by such stockholder that are separated or separable from the underlying shares of the Company; (F) any proportionate interest in shares of the Company or derivative instruments held, directly or indirectly, by a general or limited partnership in which such stockholder is a general partner or, directly or indirectly, beneficially owns an interest in a general partner; and (G) any performance-related fees (other than an asset-based fee) to which such stockholder is entitled based on any increase or decrease in the value of shares of the Company or derivative instruments, if any, as of the date of such notice, including, without limitation, any such interests held by members of such stockholder’s immediate family sharing the same household.</w:t>
      </w:r>
    </w:p>
    <w:p>
      <w:pPr>
        <w:spacing w:after="0" w:line="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Quorum</w:t>
      </w:r>
    </w:p>
    <w:p>
      <w:pPr>
        <w:spacing w:after="0" w:line="112" w:lineRule="exact"/>
        <w:rPr>
          <w:sz w:val="20"/>
          <w:szCs w:val="20"/>
          <w:color w:val="auto"/>
        </w:rPr>
      </w:pPr>
    </w:p>
    <w:p>
      <w:pPr>
        <w:ind w:left="40" w:right="199" w:firstLine="606"/>
        <w:spacing w:after="0" w:line="257" w:lineRule="auto"/>
        <w:rPr>
          <w:sz w:val="20"/>
          <w:szCs w:val="20"/>
          <w:color w:val="auto"/>
        </w:rPr>
      </w:pPr>
      <w:r>
        <w:rPr>
          <w:rFonts w:ascii="Times New Roman" w:cs="Times New Roman" w:eastAsia="Times New Roman" w:hAnsi="Times New Roman"/>
          <w:sz w:val="17"/>
          <w:szCs w:val="17"/>
          <w:color w:val="auto"/>
        </w:rPr>
        <w:t>The presence at the Annual Meeting, in person or by proxy, of the holders of a majority of the shares of common stock outstanding on the record date will constitute a quorum for the transaction of business at the meeting. Abstentions and broker non-votes are included in determining whether a quorum is present. Abstentions include shares present in person but not voting and shares represented by proxy but with respect to which the holder has</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335915</wp:posOffset>
            </wp:positionV>
            <wp:extent cx="5664835" cy="241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64835"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4" w:name="page15"/>
    <w:bookmarkEnd w:id="1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40" w:right="319"/>
        <w:spacing w:after="0" w:line="262" w:lineRule="auto"/>
        <w:rPr>
          <w:sz w:val="20"/>
          <w:szCs w:val="20"/>
          <w:color w:val="auto"/>
        </w:rPr>
      </w:pPr>
      <w:r>
        <w:rPr>
          <w:rFonts w:ascii="Times New Roman" w:cs="Times New Roman" w:eastAsia="Times New Roman" w:hAnsi="Times New Roman"/>
          <w:sz w:val="17"/>
          <w:szCs w:val="17"/>
          <w:color w:val="auto"/>
        </w:rPr>
        <w:t>abstained. Broker non-votes occur when a nominee holding shares for a beneficial owner does not vote on a particular proposal because the nominee does not have discretionary voting power on that item and has not received instructions from the beneficial owner.</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112" w:lineRule="exact"/>
        <w:rPr>
          <w:sz w:val="20"/>
          <w:szCs w:val="20"/>
          <w:color w:val="auto"/>
        </w:rPr>
      </w:pPr>
    </w:p>
    <w:p>
      <w:pPr>
        <w:ind w:left="40" w:right="99" w:firstLine="606"/>
        <w:spacing w:after="0" w:line="250" w:lineRule="auto"/>
        <w:rPr>
          <w:sz w:val="20"/>
          <w:szCs w:val="20"/>
          <w:color w:val="auto"/>
        </w:rPr>
      </w:pPr>
      <w:r>
        <w:rPr>
          <w:rFonts w:ascii="Times New Roman" w:cs="Times New Roman" w:eastAsia="Times New Roman" w:hAnsi="Times New Roman"/>
          <w:sz w:val="17"/>
          <w:szCs w:val="17"/>
          <w:color w:val="auto"/>
        </w:rPr>
        <w:t xml:space="preserve">If you hold your shares in “street name,” and you do not give your bank, broker or other holder of record specific voting instructions for your shares, your record holder can vote your shares on routine matters, which include only the proposal to ratify the appointment of our independent registered public accounting firm (Proposal No. 3). However, your record holder cannot vote your shares without your specific instructions on the election of directors (Proposal No. 1), or on matters related to executive compensation, including the advisory votes described below on the compensation of our named executive officers (Proposal No. 2). If you hold your shares in “street name,” please refer to the information forwarded by your bank, broker or other holder of record for procedures on revoking or changing your proxy. In the absence of instructions, shares subject to such broker non-votes will not be counted as voted or as present or represented on any of the proposals offered at the Annual Meeting other than ratification of our auditors and so will have no effect on the vote. </w:t>
      </w:r>
      <w:r>
        <w:rPr>
          <w:rFonts w:ascii="Times New Roman" w:cs="Times New Roman" w:eastAsia="Times New Roman" w:hAnsi="Times New Roman"/>
          <w:sz w:val="17"/>
          <w:szCs w:val="17"/>
          <w:b w:val="1"/>
          <w:bCs w:val="1"/>
          <w:color w:val="auto"/>
        </w:rPr>
        <w:t>We encourage you to provide instructions to your bank, broker or other holder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of record regarding the voting of your shares. </w:t>
      </w:r>
      <w:r>
        <w:rPr>
          <w:rFonts w:ascii="Times New Roman" w:cs="Times New Roman" w:eastAsia="Times New Roman" w:hAnsi="Times New Roman"/>
          <w:sz w:val="17"/>
          <w:szCs w:val="17"/>
          <w:color w:val="auto"/>
        </w:rPr>
        <w:t>Our stockholders have no dissenter’s or appraisal rights in connection with any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proposals described herein.</w:t>
      </w:r>
    </w:p>
    <w:p>
      <w:pPr>
        <w:spacing w:after="0" w:line="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vote required to approve each of the proposals presented in this Proxy Statement is set forth below:</w:t>
      </w:r>
    </w:p>
    <w:p>
      <w:pPr>
        <w:spacing w:after="0" w:line="104" w:lineRule="exact"/>
        <w:rPr>
          <w:sz w:val="20"/>
          <w:szCs w:val="20"/>
          <w:color w:val="auto"/>
        </w:rPr>
      </w:pPr>
    </w:p>
    <w:p>
      <w:pPr>
        <w:ind w:left="980" w:right="179" w:hanging="303"/>
        <w:spacing w:after="0" w:line="254" w:lineRule="auto"/>
        <w:tabs>
          <w:tab w:leader="none" w:pos="9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Election of Directors (Proposal No. 1)</w:t>
      </w:r>
      <w:r>
        <w:rPr>
          <w:rFonts w:ascii="Times New Roman" w:cs="Times New Roman" w:eastAsia="Times New Roman" w:hAnsi="Times New Roman"/>
          <w:sz w:val="17"/>
          <w:szCs w:val="17"/>
          <w:color w:val="auto"/>
        </w:rPr>
        <w:t>. The affirmative vote of a majority of the votes cast with respect to a nominee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is required for the election to the Board of Directors of each of the nominees for director. For this purpose, “a majority of the votes cast” means that the number of votes cast “for” a nominee exceeds the number of votes cast “against” that nominee. Stockholders do not have the right to cumulate their votes in the election of directors. Abstentions and broker non-votes will have no effect on the outcome of the election because abstentions and broker non-votes are not considered to be votes cast.</w:t>
      </w:r>
    </w:p>
    <w:p>
      <w:pPr>
        <w:spacing w:after="0" w:line="72" w:lineRule="exact"/>
        <w:rPr>
          <w:rFonts w:ascii="Times New Roman" w:cs="Times New Roman" w:eastAsia="Times New Roman" w:hAnsi="Times New Roman"/>
          <w:sz w:val="17"/>
          <w:szCs w:val="17"/>
          <w:color w:val="auto"/>
        </w:rPr>
      </w:pPr>
    </w:p>
    <w:p>
      <w:pPr>
        <w:ind w:left="980" w:right="79" w:hanging="303"/>
        <w:spacing w:after="0" w:line="253" w:lineRule="auto"/>
        <w:tabs>
          <w:tab w:leader="none" w:pos="9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Approval, on an advisory basis, of the compensation of our named executive officers (Proposal No. 2). </w:t>
      </w:r>
      <w:r>
        <w:rPr>
          <w:rFonts w:ascii="Times New Roman" w:cs="Times New Roman" w:eastAsia="Times New Roman" w:hAnsi="Times New Roman"/>
          <w:sz w:val="17"/>
          <w:szCs w:val="17"/>
          <w:color w:val="auto"/>
        </w:rPr>
        <w:t>Approval, 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 advisory basis, of the compensation of our named executive officers requires the affirmative vote of the majority of shares present in person or represented by proxy at the Annual Meeting and entitled to vote. Broker non-votes will have no effect on the outcome of this proposal, while abstentions will have the effect of a vote against this proposal. Although this vote is advisory and is not binding on our Board of Directors or Compensation Committee, the Board of Directors and the Compensation Committee will consider the voting results, along with other relevant factors, in connection with their ongoing evaluation of our compensation program.</w:t>
      </w:r>
    </w:p>
    <w:p>
      <w:pPr>
        <w:spacing w:after="0" w:line="73" w:lineRule="exact"/>
        <w:rPr>
          <w:rFonts w:ascii="Times New Roman" w:cs="Times New Roman" w:eastAsia="Times New Roman" w:hAnsi="Times New Roman"/>
          <w:sz w:val="17"/>
          <w:szCs w:val="17"/>
          <w:color w:val="auto"/>
        </w:rPr>
      </w:pPr>
    </w:p>
    <w:p>
      <w:pPr>
        <w:ind w:left="980" w:right="159" w:hanging="303"/>
        <w:spacing w:after="0" w:line="254" w:lineRule="auto"/>
        <w:tabs>
          <w:tab w:leader="none" w:pos="9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Ratification of the appointment of the Independent Registered Public Accounting Firm (Proposal No. 3). </w:t>
      </w:r>
      <w:r>
        <w:rPr>
          <w:rFonts w:ascii="Times New Roman" w:cs="Times New Roman" w:eastAsia="Times New Roman" w:hAnsi="Times New Roman"/>
          <w:sz w:val="17"/>
          <w:szCs w:val="17"/>
          <w:color w:val="auto"/>
        </w:rPr>
        <w:t>Approval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proposal to ratify the Audit Committee’s appointment of KPMG LLP as our independent registered public accounting firm for the fiscal year ending December 31, 2025 requires the affirmative vote of the majority of shares present in person or represented by proxy at the Annual Meeting and entitled to vote. Brokers have discretion to vote on the ratification of our independent auditors and, as such, no votes on this proposal will be considered broker non-votes. Abstentions will have the effect of a vote against this proposal.</w:t>
      </w:r>
    </w:p>
    <w:p>
      <w:pPr>
        <w:spacing w:after="0" w:line="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Adjournment or Postponement of Meeting</w:t>
      </w:r>
    </w:p>
    <w:p>
      <w:pPr>
        <w:spacing w:after="0" w:line="112" w:lineRule="exact"/>
        <w:rPr>
          <w:sz w:val="20"/>
          <w:szCs w:val="20"/>
          <w:color w:val="auto"/>
        </w:rPr>
      </w:pPr>
    </w:p>
    <w:p>
      <w:pPr>
        <w:ind w:left="40" w:right="159" w:firstLine="606"/>
        <w:spacing w:after="0" w:line="257" w:lineRule="auto"/>
        <w:rPr>
          <w:sz w:val="20"/>
          <w:szCs w:val="20"/>
          <w:color w:val="auto"/>
        </w:rPr>
      </w:pPr>
      <w:r>
        <w:rPr>
          <w:rFonts w:ascii="Times New Roman" w:cs="Times New Roman" w:eastAsia="Times New Roman" w:hAnsi="Times New Roman"/>
          <w:sz w:val="17"/>
          <w:szCs w:val="17"/>
          <w:color w:val="auto"/>
        </w:rPr>
        <w:t>The Annual Meeting may be adjourned or postponed to any other time and to any other place at which a meeting of stockholders may be held by the chairman of the Annual Meeting or, in the absence of such person, by any officer entitled to preside at or to act as Secretary of the Annual Meeting, or by the holders of a majority of the shares of stock present or represented by proxy at the meeting and entitled to vote, although less than a quorum.</w:t>
      </w:r>
    </w:p>
    <w:p>
      <w:pPr>
        <w:spacing w:after="0" w:line="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Expenses of Soliciting Proxies</w:t>
      </w:r>
    </w:p>
    <w:p>
      <w:pPr>
        <w:spacing w:after="0" w:line="112" w:lineRule="exact"/>
        <w:rPr>
          <w:sz w:val="20"/>
          <w:szCs w:val="20"/>
          <w:color w:val="auto"/>
        </w:rPr>
      </w:pPr>
    </w:p>
    <w:p>
      <w:pPr>
        <w:ind w:left="40" w:right="79" w:firstLine="606"/>
        <w:spacing w:after="0" w:line="262" w:lineRule="auto"/>
        <w:rPr>
          <w:sz w:val="20"/>
          <w:szCs w:val="20"/>
          <w:color w:val="auto"/>
        </w:rPr>
      </w:pPr>
      <w:r>
        <w:rPr>
          <w:rFonts w:ascii="Times New Roman" w:cs="Times New Roman" w:eastAsia="Times New Roman" w:hAnsi="Times New Roman"/>
          <w:sz w:val="17"/>
          <w:szCs w:val="17"/>
          <w:color w:val="auto"/>
        </w:rPr>
        <w:t>We will bear the cost of soliciting proxies. In addition to solicitation by the use of mail or via the Internet, certain directors, officers and regular employees may solicit proxies by telephone or personal interview. No such persons will receive any additional compensation for their services.</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335915</wp:posOffset>
            </wp:positionV>
            <wp:extent cx="5664835" cy="241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64835" cy="24130"/>
                    </a:xfrm>
                    <a:prstGeom prst="rect">
                      <a:avLst/>
                    </a:prstGeom>
                    <a:noFill/>
                  </pic:spPr>
                </pic:pic>
              </a:graphicData>
            </a:graphic>
          </wp:anchor>
        </w:drawing>
      </w:r>
    </w:p>
    <w:p>
      <w:pPr>
        <w:sectPr>
          <w:pgSz w:w="11900" w:h="16838" w:orient="portrait"/>
          <w:cols w:equalWidth="0" w:num="1">
            <w:col w:w="9019"/>
          </w:cols>
          <w:pgMar w:left="1440" w:top="490" w:right="1440" w:bottom="1440" w:gutter="0" w:footer="0" w:header="0"/>
        </w:sectPr>
      </w:pPr>
    </w:p>
    <w:bookmarkStart w:id="15" w:name="page16"/>
    <w:bookmarkEnd w:id="1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0" w:right="2399" w:firstLine="2338"/>
        <w:spacing w:after="0" w:line="374" w:lineRule="auto"/>
        <w:rPr>
          <w:sz w:val="20"/>
          <w:szCs w:val="20"/>
          <w:color w:val="auto"/>
        </w:rPr>
      </w:pPr>
      <w:r>
        <w:rPr>
          <w:rFonts w:ascii="Times New Roman" w:cs="Times New Roman" w:eastAsia="Times New Roman" w:hAnsi="Times New Roman"/>
          <w:sz w:val="17"/>
          <w:szCs w:val="17"/>
          <w:b w:val="1"/>
          <w:bCs w:val="1"/>
          <w:color w:val="auto"/>
        </w:rPr>
        <w:t>CORPORATE GOVERNANCE AND BOARD MATTERS Corporate Governance Philosophy</w:t>
      </w:r>
    </w:p>
    <w:p>
      <w:pPr>
        <w:spacing w:after="0" w:line="1" w:lineRule="exact"/>
        <w:rPr>
          <w:sz w:val="20"/>
          <w:szCs w:val="20"/>
          <w:color w:val="auto"/>
        </w:rPr>
      </w:pPr>
    </w:p>
    <w:p>
      <w:pPr>
        <w:ind w:left="40" w:right="259" w:firstLine="606"/>
        <w:spacing w:after="0" w:line="253" w:lineRule="auto"/>
        <w:rPr>
          <w:sz w:val="20"/>
          <w:szCs w:val="20"/>
          <w:color w:val="auto"/>
        </w:rPr>
      </w:pPr>
      <w:r>
        <w:rPr>
          <w:rFonts w:ascii="Times New Roman" w:cs="Times New Roman" w:eastAsia="Times New Roman" w:hAnsi="Times New Roman"/>
          <w:sz w:val="17"/>
          <w:szCs w:val="17"/>
          <w:color w:val="auto"/>
        </w:rPr>
        <w:t>The business affairs of the Company are managed under the direction of the Board of Directors in accordance with the Delaware General Corporation Law, as implemented by the Company’s certificate of incorporation and bylaws. The role of the Board of Directors is to effectively govern the affairs of the Company for the benefit of its stockholders and other constituencies. The Board of Directors strives to ensure the success and continuity of business of the Company through the selection of qualified management. It is also responsible for ensuring that the Company’s activities are conducted in a responsible and ethical manner. The Company is committed to having sound corporate governance principles.</w:t>
      </w:r>
    </w:p>
    <w:p>
      <w:pPr>
        <w:spacing w:after="0" w:line="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Changes to the Board of Directors During 2024</w:t>
      </w:r>
    </w:p>
    <w:p>
      <w:pPr>
        <w:spacing w:after="0" w:line="112" w:lineRule="exact"/>
        <w:rPr>
          <w:sz w:val="20"/>
          <w:szCs w:val="20"/>
          <w:color w:val="auto"/>
        </w:rPr>
      </w:pPr>
    </w:p>
    <w:p>
      <w:pPr>
        <w:ind w:left="40" w:right="239" w:firstLine="606"/>
        <w:spacing w:after="0" w:line="257" w:lineRule="auto"/>
        <w:rPr>
          <w:sz w:val="20"/>
          <w:szCs w:val="20"/>
          <w:color w:val="auto"/>
        </w:rPr>
      </w:pPr>
      <w:r>
        <w:rPr>
          <w:rFonts w:ascii="Times New Roman" w:cs="Times New Roman" w:eastAsia="Times New Roman" w:hAnsi="Times New Roman"/>
          <w:sz w:val="17"/>
          <w:szCs w:val="17"/>
          <w:color w:val="auto"/>
        </w:rPr>
        <w:t>On April 24, 2024, upon the recommendation of the Nominating and Corporate Governance Committee, Mr. Kevin F. Warren, who previously served on the Board of Directors from September 2012 until August 2019, was appointed to the Board of Directors and to serve as a member of the Audit Committee, the Compensation Committee, and the Nominating and Corporate Governance Committee.</w:t>
      </w:r>
    </w:p>
    <w:p>
      <w:pPr>
        <w:spacing w:after="0" w:line="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Board of Directors Meetings and Attendance</w:t>
      </w:r>
    </w:p>
    <w:p>
      <w:pPr>
        <w:spacing w:after="0" w:line="112" w:lineRule="exact"/>
        <w:rPr>
          <w:sz w:val="20"/>
          <w:szCs w:val="20"/>
          <w:color w:val="auto"/>
        </w:rPr>
      </w:pPr>
    </w:p>
    <w:p>
      <w:pPr>
        <w:ind w:left="40" w:right="119" w:firstLine="606"/>
        <w:spacing w:after="0" w:line="257" w:lineRule="auto"/>
        <w:rPr>
          <w:sz w:val="20"/>
          <w:szCs w:val="20"/>
          <w:color w:val="auto"/>
        </w:rPr>
      </w:pPr>
      <w:r>
        <w:rPr>
          <w:rFonts w:ascii="Times New Roman" w:cs="Times New Roman" w:eastAsia="Times New Roman" w:hAnsi="Times New Roman"/>
          <w:sz w:val="17"/>
          <w:szCs w:val="17"/>
          <w:color w:val="auto"/>
        </w:rPr>
        <w:t>During our 2024 fiscal year, our Board of Directors held four meetings. All of our directors attended 100% of such meetings and Mr. Kevin F. Warren attended 100% of such meetings subsequent to his appointment on April 24, 2024. We do not have a formal policy regarding attendance of our directors at annual meetings of our stockholders, but we do encourage each of our directors to attend. All of our directors in 2024 attended our 2024 annual meeting in person or telephonically.</w:t>
      </w:r>
    </w:p>
    <w:p>
      <w:pPr>
        <w:spacing w:after="0" w:line="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Director Independence</w:t>
      </w:r>
    </w:p>
    <w:p>
      <w:pPr>
        <w:spacing w:after="0" w:line="112" w:lineRule="exact"/>
        <w:rPr>
          <w:sz w:val="20"/>
          <w:szCs w:val="20"/>
          <w:color w:val="auto"/>
        </w:rPr>
      </w:pPr>
    </w:p>
    <w:p>
      <w:pPr>
        <w:ind w:left="40" w:right="139" w:firstLine="606"/>
        <w:spacing w:after="0" w:line="251" w:lineRule="auto"/>
        <w:rPr>
          <w:sz w:val="20"/>
          <w:szCs w:val="20"/>
          <w:color w:val="auto"/>
        </w:rPr>
      </w:pPr>
      <w:r>
        <w:rPr>
          <w:rFonts w:ascii="Times New Roman" w:cs="Times New Roman" w:eastAsia="Times New Roman" w:hAnsi="Times New Roman"/>
          <w:sz w:val="17"/>
          <w:szCs w:val="17"/>
          <w:color w:val="auto"/>
        </w:rPr>
        <w:t>Our Board of Directors periodically, and no less frequently than annually, reviews the independence of each director as determined by the Nasdaq Stock Market Rules (the “Nasdaq Rules”). During these reviews, our Board of Directors considers transactions and relationships between each director (and his or her immediate family and affiliates) and the Company and management to determine whether any such transactions or relationships are inconsistent with a determination that the director was independent. Under the Nasdaq Rules, a director can be independent only if the director does not trigger a categorical bar to independence and our Board of Directors affirmatively determines that the director does not have a relationship which, in the opinion of our Board of Directors, would interfere with the exercise of independent judgment by the director in carrying out the responsibilities of a director. Our Board of Directors has affirmatively determined that each director other than Brian E. Mueller, who serves as our Chief Executive Officer, is “independent,” as defined by the Nasdaq Rules.</w:t>
      </w:r>
    </w:p>
    <w:p>
      <w:pPr>
        <w:spacing w:after="0" w:line="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Board Leadership Structure</w:t>
      </w:r>
    </w:p>
    <w:p>
      <w:pPr>
        <w:spacing w:after="0" w:line="112" w:lineRule="exact"/>
        <w:rPr>
          <w:sz w:val="20"/>
          <w:szCs w:val="20"/>
          <w:color w:val="auto"/>
        </w:rPr>
      </w:pPr>
    </w:p>
    <w:p>
      <w:pPr>
        <w:ind w:left="40" w:right="79" w:firstLine="606"/>
        <w:spacing w:after="0" w:line="253" w:lineRule="auto"/>
        <w:rPr>
          <w:sz w:val="20"/>
          <w:szCs w:val="20"/>
          <w:color w:val="auto"/>
        </w:rPr>
      </w:pPr>
      <w:r>
        <w:rPr>
          <w:rFonts w:ascii="Times New Roman" w:cs="Times New Roman" w:eastAsia="Times New Roman" w:hAnsi="Times New Roman"/>
          <w:sz w:val="17"/>
          <w:szCs w:val="17"/>
          <w:color w:val="auto"/>
        </w:rPr>
        <w:t>The Company’s governance framework provides the Board with flexibility to select the appropriate Board leadership structure for the Company. In making leadership structure determinations, the Board considers many factors, including the specific needs of the business and what is in the best interests of the Company’s stockholders. Having the flexibility to select the appropriate structure based on the specific needs of the business is critical, and it is part of the judgment the Board believes it should exercise. The Board understands that Board leadership structure is an important topic for many stockholders, and the Board takes stockholder feedback into account when making determinations around Board leadership structure.</w:t>
      </w:r>
    </w:p>
    <w:p>
      <w:pPr>
        <w:spacing w:after="0" w:line="78" w:lineRule="exact"/>
        <w:rPr>
          <w:sz w:val="20"/>
          <w:szCs w:val="20"/>
          <w:color w:val="auto"/>
        </w:rPr>
      </w:pPr>
    </w:p>
    <w:p>
      <w:pPr>
        <w:ind w:left="40" w:right="139" w:firstLine="606"/>
        <w:spacing w:after="0" w:line="251" w:lineRule="auto"/>
        <w:rPr>
          <w:sz w:val="20"/>
          <w:szCs w:val="20"/>
          <w:color w:val="auto"/>
        </w:rPr>
      </w:pPr>
      <w:r>
        <w:rPr>
          <w:rFonts w:ascii="Times New Roman" w:cs="Times New Roman" w:eastAsia="Times New Roman" w:hAnsi="Times New Roman"/>
          <w:sz w:val="17"/>
          <w:szCs w:val="17"/>
          <w:color w:val="auto"/>
        </w:rPr>
        <w:t>Our Board leadership structure comprises a “combined” Chairman of the Board and Chief Executive Officer, a lead independent director, Board committees led entirely by independent directors and active engagement by all directors. In selecting Mr. Mueller to serve as Chairman, the Board determined that having Mr. Mueller serve in the combined role provides certain synergies and efficiencies that can serve to enhance the functioning of the Board and serve the business and stockholders well over time. The Company operates in a complex business and regulatory environment, which requires a chief executive officer with deep knowledge of the business and the industry within which we operate. Because the Chief Executive Officer is the Board member closest to our complex business, he is best able to identify many of the business issues that need to be on the Board agenda, and, as Chairman of the Board, he can focus directors’ attention on the most critical business matters. Further, the Board believes that, at this time, a combined Chairman of the Board and Chief Executive Officer will facilitate timely and unfiltered communication with the Board</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335915</wp:posOffset>
            </wp:positionV>
            <wp:extent cx="5664835" cy="241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64835"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6" w:name="page17"/>
    <w:bookmarkEnd w:id="1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0" w:right="219"/>
        <w:spacing w:after="0" w:line="275" w:lineRule="auto"/>
        <w:rPr>
          <w:sz w:val="20"/>
          <w:szCs w:val="20"/>
          <w:color w:val="auto"/>
        </w:rPr>
      </w:pPr>
      <w:r>
        <w:rPr>
          <w:rFonts w:ascii="Times New Roman" w:cs="Times New Roman" w:eastAsia="Times New Roman" w:hAnsi="Times New Roman"/>
          <w:sz w:val="17"/>
          <w:szCs w:val="17"/>
          <w:color w:val="auto"/>
        </w:rPr>
        <w:t>on critical business and regulatory issues. The Board also believes that there are benefits in having the same person represent both the Company and the Board with regulators, stockholders and other stakeholders.</w:t>
      </w:r>
    </w:p>
    <w:p>
      <w:pPr>
        <w:spacing w:after="0" w:line="57" w:lineRule="exact"/>
        <w:rPr>
          <w:sz w:val="20"/>
          <w:szCs w:val="20"/>
          <w:color w:val="auto"/>
        </w:rPr>
      </w:pPr>
    </w:p>
    <w:p>
      <w:pPr>
        <w:ind w:left="40" w:right="179" w:firstLine="606"/>
        <w:spacing w:after="0" w:line="255" w:lineRule="auto"/>
        <w:rPr>
          <w:sz w:val="20"/>
          <w:szCs w:val="20"/>
          <w:color w:val="auto"/>
        </w:rPr>
      </w:pPr>
      <w:r>
        <w:rPr>
          <w:rFonts w:ascii="Times New Roman" w:cs="Times New Roman" w:eastAsia="Times New Roman" w:hAnsi="Times New Roman"/>
          <w:sz w:val="17"/>
          <w:szCs w:val="17"/>
          <w:color w:val="auto"/>
        </w:rPr>
        <w:t>In accordance with our Corporate Governance Principles and Practices, in the event the positions of Chairman and Chief Executive Officer are held by the same person, or if the position of Chairman is also held by a non-independent person, a lead independent director is appointed annually by the affirmative vote of a majority of those directors who have been determined to be “independent” under the Nasdaq Rules. The lead independent director, a position currently held by Ms. Sara Ward, has the following duties:</w:t>
      </w:r>
    </w:p>
    <w:p>
      <w:pPr>
        <w:spacing w:after="0" w:line="73" w:lineRule="exact"/>
        <w:rPr>
          <w:sz w:val="20"/>
          <w:szCs w:val="20"/>
          <w:color w:val="auto"/>
        </w:rPr>
      </w:pPr>
    </w:p>
    <w:p>
      <w:pPr>
        <w:ind w:left="980" w:hanging="303"/>
        <w:spacing w:after="0"/>
        <w:tabs>
          <w:tab w:leader="none" w:pos="9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Setting the agenda and serving as chairman for the executive sessions of the independent directors;</w:t>
      </w:r>
    </w:p>
    <w:p>
      <w:pPr>
        <w:spacing w:after="0" w:line="107" w:lineRule="exact"/>
        <w:rPr>
          <w:rFonts w:ascii="Times New Roman" w:cs="Times New Roman" w:eastAsia="Times New Roman" w:hAnsi="Times New Roman"/>
          <w:sz w:val="17"/>
          <w:szCs w:val="17"/>
          <w:color w:val="auto"/>
        </w:rPr>
      </w:pPr>
    </w:p>
    <w:p>
      <w:pPr>
        <w:ind w:left="980" w:right="239" w:hanging="303"/>
        <w:spacing w:after="0" w:line="275" w:lineRule="auto"/>
        <w:tabs>
          <w:tab w:leader="none" w:pos="9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Serving as liaison between the Chairman and the independent directors, including, communicating to the Chairman, as appropriate, the results of executive sessions of the independent directors;</w:t>
      </w:r>
    </w:p>
    <w:p>
      <w:pPr>
        <w:spacing w:after="0" w:line="57" w:lineRule="exact"/>
        <w:rPr>
          <w:rFonts w:ascii="Times New Roman" w:cs="Times New Roman" w:eastAsia="Times New Roman" w:hAnsi="Times New Roman"/>
          <w:sz w:val="17"/>
          <w:szCs w:val="17"/>
          <w:color w:val="auto"/>
        </w:rPr>
      </w:pPr>
    </w:p>
    <w:p>
      <w:pPr>
        <w:ind w:left="980" w:right="459" w:hanging="303"/>
        <w:spacing w:after="0" w:line="275" w:lineRule="auto"/>
        <w:tabs>
          <w:tab w:leader="none" w:pos="9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Ensuring that independent directors have adequate opportunities to meet without management present, including authority to call meetings of the independent directors;</w:t>
      </w:r>
    </w:p>
    <w:p>
      <w:pPr>
        <w:spacing w:after="0" w:line="57" w:lineRule="exact"/>
        <w:rPr>
          <w:rFonts w:ascii="Times New Roman" w:cs="Times New Roman" w:eastAsia="Times New Roman" w:hAnsi="Times New Roman"/>
          <w:sz w:val="17"/>
          <w:szCs w:val="17"/>
          <w:color w:val="auto"/>
        </w:rPr>
      </w:pPr>
    </w:p>
    <w:p>
      <w:pPr>
        <w:jc w:val="both"/>
        <w:ind w:left="980" w:right="499" w:hanging="303"/>
        <w:spacing w:after="0" w:line="308" w:lineRule="auto"/>
        <w:tabs>
          <w:tab w:leader="none" w:pos="9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Serving as designated contact for communication to independent directors as required by the SEC and Nasdaq’s listing standards, including being available for consultation and direct communication with major stockholders;</w:t>
      </w:r>
    </w:p>
    <w:p>
      <w:pPr>
        <w:spacing w:after="0" w:line="33" w:lineRule="exact"/>
        <w:rPr>
          <w:rFonts w:ascii="Times New Roman" w:cs="Times New Roman" w:eastAsia="Times New Roman" w:hAnsi="Times New Roman"/>
          <w:sz w:val="16"/>
          <w:szCs w:val="16"/>
          <w:color w:val="auto"/>
        </w:rPr>
      </w:pPr>
    </w:p>
    <w:p>
      <w:pPr>
        <w:ind w:left="980" w:right="879" w:hanging="303"/>
        <w:spacing w:after="0" w:line="275" w:lineRule="auto"/>
        <w:tabs>
          <w:tab w:leader="none" w:pos="9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Approving the agenda and information sent in connection with Board meetings and ensuring that the other independent directors also have an opportunity to provide input on the agenda;</w:t>
      </w:r>
    </w:p>
    <w:p>
      <w:pPr>
        <w:spacing w:after="0" w:line="57" w:lineRule="exact"/>
        <w:rPr>
          <w:rFonts w:ascii="Times New Roman" w:cs="Times New Roman" w:eastAsia="Times New Roman" w:hAnsi="Times New Roman"/>
          <w:sz w:val="17"/>
          <w:szCs w:val="17"/>
          <w:color w:val="auto"/>
        </w:rPr>
      </w:pPr>
    </w:p>
    <w:p>
      <w:pPr>
        <w:ind w:left="980" w:hanging="303"/>
        <w:spacing w:after="0"/>
        <w:tabs>
          <w:tab w:leader="none" w:pos="9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Approving meeting schedules to assure that there is sufficient time for discussion of all agenda items; and</w:t>
      </w:r>
    </w:p>
    <w:p>
      <w:pPr>
        <w:spacing w:after="0" w:line="107" w:lineRule="exact"/>
        <w:rPr>
          <w:rFonts w:ascii="Times New Roman" w:cs="Times New Roman" w:eastAsia="Times New Roman" w:hAnsi="Times New Roman"/>
          <w:sz w:val="17"/>
          <w:szCs w:val="17"/>
          <w:color w:val="auto"/>
        </w:rPr>
      </w:pPr>
    </w:p>
    <w:p>
      <w:pPr>
        <w:ind w:left="980" w:hanging="303"/>
        <w:spacing w:after="0"/>
        <w:tabs>
          <w:tab w:leader="none" w:pos="9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Chairing Board meetings if the Chairman is unable to attend.</w:t>
      </w:r>
    </w:p>
    <w:p>
      <w:pPr>
        <w:spacing w:after="0" w:line="108" w:lineRule="exact"/>
        <w:rPr>
          <w:sz w:val="20"/>
          <w:szCs w:val="20"/>
          <w:color w:val="auto"/>
        </w:rPr>
      </w:pPr>
    </w:p>
    <w:p>
      <w:pPr>
        <w:ind w:left="40" w:right="99" w:firstLine="606"/>
        <w:spacing w:after="0" w:line="255" w:lineRule="auto"/>
        <w:rPr>
          <w:sz w:val="20"/>
          <w:szCs w:val="20"/>
          <w:color w:val="auto"/>
        </w:rPr>
      </w:pPr>
      <w:r>
        <w:rPr>
          <w:rFonts w:ascii="Times New Roman" w:cs="Times New Roman" w:eastAsia="Times New Roman" w:hAnsi="Times New Roman"/>
          <w:sz w:val="17"/>
          <w:szCs w:val="17"/>
          <w:color w:val="auto"/>
        </w:rPr>
        <w:t>Importantly, all of our directors play an active role in overseeing the Company’s business both at the Board and committee levels. As part of each regularly scheduled Board meeting, the independent directors meet in executive session without the Chief Executive Officer present. These sessions allow our independent directors to discuss issues of importance to the Company, including the business and affairs of the Company as well as matters concerning management, without any member of management present.</w:t>
      </w:r>
    </w:p>
    <w:p>
      <w:pPr>
        <w:spacing w:after="0" w:line="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Committees of Our Board of Directors During 2024</w:t>
      </w:r>
    </w:p>
    <w:p>
      <w:pPr>
        <w:spacing w:after="0" w:line="112" w:lineRule="exact"/>
        <w:rPr>
          <w:sz w:val="20"/>
          <w:szCs w:val="20"/>
          <w:color w:val="auto"/>
        </w:rPr>
      </w:pPr>
    </w:p>
    <w:p>
      <w:pPr>
        <w:ind w:left="40" w:right="99" w:firstLine="606"/>
        <w:spacing w:after="0" w:line="251" w:lineRule="auto"/>
        <w:rPr>
          <w:sz w:val="20"/>
          <w:szCs w:val="20"/>
          <w:color w:val="auto"/>
        </w:rPr>
      </w:pPr>
      <w:r>
        <w:rPr>
          <w:rFonts w:ascii="Times New Roman" w:cs="Times New Roman" w:eastAsia="Times New Roman" w:hAnsi="Times New Roman"/>
          <w:sz w:val="17"/>
          <w:szCs w:val="17"/>
          <w:color w:val="auto"/>
        </w:rPr>
        <w:t xml:space="preserve">Our Board of Directors directs the management of our business affairs, as provided by Delaware law, and conducts its business through meetings of the Board of Directors. Our Board of Directors has established three standing committees: an Audit Committee, a Compensation Committee, and a Nominating and Corporate Governance Committee. During 2024, each director attended 100% of the meetings of the Board committees on which he or she served and Mr. Kevin F. Warren attended 100% of such meetings subsequent to his appointment on April 24, 2024. In addition, from time to time, special committees may be established under the direction of the Board of Directors when necessary to address specific issues. The composition of the Board committees complies with the applicable Nasdaq Rules and applicable law. Our Board of Directors has adopted written charters for each of the standing committees, which are available in the Corporate Governance section of the Investor Relations page on our website at </w:t>
      </w:r>
      <w:r>
        <w:rPr>
          <w:rFonts w:ascii="Times New Roman" w:cs="Times New Roman" w:eastAsia="Times New Roman" w:hAnsi="Times New Roman"/>
          <w:sz w:val="17"/>
          <w:szCs w:val="17"/>
          <w:i w:val="1"/>
          <w:iCs w:val="1"/>
          <w:color w:val="auto"/>
        </w:rPr>
        <w:t>www.investors.gce.com.</w:t>
      </w:r>
    </w:p>
    <w:p>
      <w:pPr>
        <w:spacing w:after="0" w:line="77" w:lineRule="exact"/>
        <w:rPr>
          <w:sz w:val="20"/>
          <w:szCs w:val="20"/>
          <w:color w:val="auto"/>
        </w:rPr>
      </w:pPr>
    </w:p>
    <w:p>
      <w:pPr>
        <w:ind w:left="40" w:right="59" w:firstLine="606"/>
        <w:spacing w:after="0" w:line="251" w:lineRule="auto"/>
        <w:rPr>
          <w:sz w:val="20"/>
          <w:szCs w:val="20"/>
          <w:color w:val="auto"/>
        </w:rPr>
      </w:pPr>
      <w:r>
        <w:rPr>
          <w:rFonts w:ascii="Times New Roman" w:cs="Times New Roman" w:eastAsia="Times New Roman" w:hAnsi="Times New Roman"/>
          <w:sz w:val="17"/>
          <w:szCs w:val="17"/>
          <w:i w:val="1"/>
          <w:iCs w:val="1"/>
          <w:color w:val="auto"/>
        </w:rPr>
        <w:t>Audit Committee (Number of meetings held during 2024: Five</w:t>
      </w:r>
      <w:r>
        <w:rPr>
          <w:rFonts w:ascii="Times New Roman" w:cs="Times New Roman" w:eastAsia="Times New Roman" w:hAnsi="Times New Roman"/>
          <w:sz w:val="17"/>
          <w:szCs w:val="17"/>
          <w:color w:val="auto"/>
        </w:rPr>
        <w:t>). During 2024, our Audit Committee consisted of Mr. Henry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(chair), Ms. Ward, Ms. Keegan, Dr. Humphrey and Mr. Warren, each of whom our Board of Directors determined to be “independent,” as defined under and required by the Nasdaq Rules and the federal securities laws. In addition, our Board has determined that each of Mr. Henry, Dr. Humphrey and Mr. Warren qualify as an “audit committee financial expert,” as defined under applicable federal securities laws. Our Audit Committee is directly responsible for, among other things, the appointment, compensation and related audit fee negotiations, retention, and oversight, including selection of the lead engagement partner, and tenure of our independent registered public accounting firm. The oversight includes reviewing the plans and results of the audit engagement with the firm, approving and negotiating any additional professional services provided by the firm and reviewing the independence of the firm. In addition, the Audit Committee is responsible for discussing the effectiveness of the internal controls over financial reporting, review of significant accounting policies, and discussion of significant judgements or accounting estimates during the audit with the firm and relevant financial management.</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335915</wp:posOffset>
            </wp:positionV>
            <wp:extent cx="5664835" cy="241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64835"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7" w:name="page18"/>
    <w:bookmarkEnd w:id="1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0" w:right="79" w:firstLine="606"/>
        <w:spacing w:after="0" w:line="251" w:lineRule="auto"/>
        <w:rPr>
          <w:sz w:val="20"/>
          <w:szCs w:val="20"/>
          <w:color w:val="auto"/>
        </w:rPr>
      </w:pPr>
      <w:r>
        <w:rPr>
          <w:rFonts w:ascii="Times New Roman" w:cs="Times New Roman" w:eastAsia="Times New Roman" w:hAnsi="Times New Roman"/>
          <w:sz w:val="17"/>
          <w:szCs w:val="17"/>
          <w:color w:val="auto"/>
        </w:rPr>
        <w:t>The Audit Committee is also tasked with oversight of the cybersecurity controls in place at the Company. The Company employs a dedicated Chief Information Security Officer, with an experienced and competent security team, and works closely with the Chief Risk Officer to provide risk reporting and ensure security and compliance. The Company regularly engages third party experts to perform cybersecurity assessments, which are normally performed on an annual basis. The Chief Information Security Officer prepares cybersecurity reports for the Audit Committee on a monthly basis, and Security, Risk and Compliance updates on a quarterly basis, with oversight and input from the Audit Committee and management. The Company has implemented policies and procedures for all employees including; information security/cybersecurity policies (which are internally available for all employees); information security/cybersecurity awareness training; a clear escalation process which employees can follow in the event an employee notices something suspicious; and ensuring that information security/cybersecurity is a part of the employee performance evaluation and/or disciplinary process.</w:t>
      </w:r>
    </w:p>
    <w:p>
      <w:pPr>
        <w:spacing w:after="0" w:line="78" w:lineRule="exact"/>
        <w:rPr>
          <w:sz w:val="20"/>
          <w:szCs w:val="20"/>
          <w:color w:val="auto"/>
        </w:rPr>
      </w:pPr>
    </w:p>
    <w:p>
      <w:pPr>
        <w:ind w:left="40" w:right="59" w:firstLine="606"/>
        <w:spacing w:after="0" w:line="253" w:lineRule="auto"/>
        <w:rPr>
          <w:sz w:val="20"/>
          <w:szCs w:val="20"/>
          <w:color w:val="auto"/>
        </w:rPr>
      </w:pPr>
      <w:r>
        <w:rPr>
          <w:rFonts w:ascii="Times New Roman" w:cs="Times New Roman" w:eastAsia="Times New Roman" w:hAnsi="Times New Roman"/>
          <w:sz w:val="17"/>
          <w:szCs w:val="17"/>
          <w:color w:val="auto"/>
        </w:rPr>
        <w:t>The Audit Committee also provides oversight of the climate related risks at the Company. We do not operate in a high-risk industry for climate risks. We believe that we have low climate risk with respect to our physical environment (e.g. fires, drought, hailstorms, increasing weather pattern changes). A significant portion of our workforce is continuing to work remotely. We have insurance policies in place to cover any damage for our property, plant and equipment. We currently do not have any regulatory emissions reporting obligations. We do not have significant risk from a transition to a low-carbon economy, which could result in changing customer behavior.</w:t>
      </w:r>
    </w:p>
    <w:p>
      <w:pPr>
        <w:spacing w:after="0" w:line="74" w:lineRule="exact"/>
        <w:rPr>
          <w:sz w:val="20"/>
          <w:szCs w:val="20"/>
          <w:color w:val="auto"/>
        </w:rPr>
      </w:pPr>
    </w:p>
    <w:p>
      <w:pPr>
        <w:ind w:left="40" w:right="199" w:firstLine="606"/>
        <w:spacing w:after="0" w:line="253" w:lineRule="auto"/>
        <w:rPr>
          <w:sz w:val="20"/>
          <w:szCs w:val="20"/>
          <w:color w:val="auto"/>
        </w:rPr>
      </w:pPr>
      <w:r>
        <w:rPr>
          <w:rFonts w:ascii="Times New Roman" w:cs="Times New Roman" w:eastAsia="Times New Roman" w:hAnsi="Times New Roman"/>
          <w:sz w:val="17"/>
          <w:szCs w:val="17"/>
          <w:i w:val="1"/>
          <w:iCs w:val="1"/>
          <w:color w:val="auto"/>
        </w:rPr>
        <w:t xml:space="preserve">Compensation Committee (Number of meetings held during 2024: Four). </w:t>
      </w:r>
      <w:r>
        <w:rPr>
          <w:rFonts w:ascii="Times New Roman" w:cs="Times New Roman" w:eastAsia="Times New Roman" w:hAnsi="Times New Roman"/>
          <w:sz w:val="17"/>
          <w:szCs w:val="17"/>
          <w:color w:val="auto"/>
        </w:rPr>
        <w:t>During 2024, our Compensation Committee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consisted of Dr. Humphrey (chair), Mr. Henry, Ms. Ward, Ms. Keegan and Mr. Warren, each of whom the Board of Directors determined to be “independent,” as defined under and required by the Nasdaq Rules. The Compensation Committee is responsible for, among other things, supervising and reviewing our affairs as they relate to the compensation and benefits of our executive officers and directors, as well as overseeing succession planning for executive officers. In carrying out these responsibilities, the Compensation Committee reviews all components of executive compensation for consistency with our compensation philosophy and with the interests of our stockholders</w:t>
      </w:r>
      <w:r>
        <w:rPr>
          <w:rFonts w:ascii="Times New Roman" w:cs="Times New Roman" w:eastAsia="Times New Roman" w:hAnsi="Times New Roman"/>
          <w:sz w:val="17"/>
          <w:szCs w:val="17"/>
          <w:i w:val="1"/>
          <w:iCs w:val="1"/>
          <w:color w:val="auto"/>
        </w:rPr>
        <w:t>.</w:t>
      </w:r>
    </w:p>
    <w:p>
      <w:pPr>
        <w:spacing w:after="0" w:line="78" w:lineRule="exact"/>
        <w:rPr>
          <w:sz w:val="20"/>
          <w:szCs w:val="20"/>
          <w:color w:val="auto"/>
        </w:rPr>
      </w:pPr>
    </w:p>
    <w:p>
      <w:pPr>
        <w:ind w:left="40" w:right="379" w:firstLine="606"/>
        <w:spacing w:after="0" w:line="257" w:lineRule="auto"/>
        <w:rPr>
          <w:sz w:val="20"/>
          <w:szCs w:val="20"/>
          <w:color w:val="auto"/>
        </w:rPr>
      </w:pPr>
      <w:r>
        <w:rPr>
          <w:rFonts w:ascii="Times New Roman" w:cs="Times New Roman" w:eastAsia="Times New Roman" w:hAnsi="Times New Roman"/>
          <w:sz w:val="17"/>
          <w:szCs w:val="17"/>
          <w:color w:val="auto"/>
        </w:rPr>
        <w:t>The Compensation Committee’s charter allows it to delegate any matters within its authority to individuals or subcommittees as it deems appropriate. In addition, the Compensation Committee has the authority under its charter to retain outside advisors to assist it in the performance of its duties. The Compensation Committee periodically engages an independent compensation consultant and advisor to:</w:t>
      </w:r>
    </w:p>
    <w:p>
      <w:pPr>
        <w:spacing w:after="0" w:line="72" w:lineRule="exact"/>
        <w:rPr>
          <w:sz w:val="20"/>
          <w:szCs w:val="20"/>
          <w:color w:val="auto"/>
        </w:rPr>
      </w:pPr>
    </w:p>
    <w:p>
      <w:pPr>
        <w:ind w:left="980" w:right="439" w:hanging="303"/>
        <w:spacing w:after="0" w:line="275" w:lineRule="auto"/>
        <w:tabs>
          <w:tab w:leader="none" w:pos="9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recommendations regarding executive compensation consistent with the Company’s business needs, pay philosophy, market trends and latest legal and regulatory considerations;</w:t>
      </w:r>
    </w:p>
    <w:p>
      <w:pPr>
        <w:spacing w:after="0" w:line="57" w:lineRule="exact"/>
        <w:rPr>
          <w:rFonts w:ascii="Times New Roman" w:cs="Times New Roman" w:eastAsia="Times New Roman" w:hAnsi="Times New Roman"/>
          <w:sz w:val="17"/>
          <w:szCs w:val="17"/>
          <w:color w:val="auto"/>
        </w:rPr>
      </w:pPr>
    </w:p>
    <w:p>
      <w:pPr>
        <w:ind w:left="980" w:hanging="303"/>
        <w:spacing w:after="0"/>
        <w:tabs>
          <w:tab w:leader="none" w:pos="9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market data for base salary, short-term incentive and long-term incentive decisions; and</w:t>
      </w:r>
    </w:p>
    <w:p>
      <w:pPr>
        <w:spacing w:after="0" w:line="107" w:lineRule="exact"/>
        <w:rPr>
          <w:rFonts w:ascii="Times New Roman" w:cs="Times New Roman" w:eastAsia="Times New Roman" w:hAnsi="Times New Roman"/>
          <w:sz w:val="17"/>
          <w:szCs w:val="17"/>
          <w:color w:val="auto"/>
        </w:rPr>
      </w:pPr>
    </w:p>
    <w:p>
      <w:pPr>
        <w:ind w:left="980" w:hanging="303"/>
        <w:spacing w:after="0"/>
        <w:tabs>
          <w:tab w:leader="none" w:pos="9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Advise the Compensation Committee as to best practices.</w:t>
      </w:r>
    </w:p>
    <w:p>
      <w:pPr>
        <w:spacing w:after="0" w:line="104" w:lineRule="exact"/>
        <w:rPr>
          <w:sz w:val="20"/>
          <w:szCs w:val="20"/>
          <w:color w:val="auto"/>
        </w:rPr>
      </w:pPr>
    </w:p>
    <w:p>
      <w:pPr>
        <w:ind w:left="40" w:right="119" w:firstLine="606"/>
        <w:spacing w:after="0" w:line="252" w:lineRule="auto"/>
        <w:rPr>
          <w:sz w:val="20"/>
          <w:szCs w:val="20"/>
          <w:color w:val="auto"/>
        </w:rPr>
      </w:pPr>
      <w:r>
        <w:rPr>
          <w:rFonts w:ascii="Times New Roman" w:cs="Times New Roman" w:eastAsia="Times New Roman" w:hAnsi="Times New Roman"/>
          <w:sz w:val="17"/>
          <w:szCs w:val="17"/>
          <w:i w:val="1"/>
          <w:iCs w:val="1"/>
          <w:color w:val="auto"/>
        </w:rPr>
        <w:t xml:space="preserve">Nominating and Corporate Governance Committee (Number of meetings held during 2024: Four). </w:t>
      </w:r>
      <w:r>
        <w:rPr>
          <w:rFonts w:ascii="Times New Roman" w:cs="Times New Roman" w:eastAsia="Times New Roman" w:hAnsi="Times New Roman"/>
          <w:sz w:val="17"/>
          <w:szCs w:val="17"/>
          <w:color w:val="auto"/>
        </w:rPr>
        <w:t>During 2024,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Nominating and Corporate Governance Committee consisted of Ms. Keegan (chair), Ms. Ward, Dr. Humphrey, Mr. Henry, and Mr. Warren, each of whom our Board of Directors determined to be “independent,” as defined under and required by the Nasdaq Rules. The Nominating and Corporate Governance Committee is responsible for, among other things, identifying individuals qualified to become members of the Board of Directors; recommending to the Board of Directors nominees for each election of directors; developing and recommending to the Board of Directors criteria for selecting qualified director candidates; considering committee member qualifications, appointment and removal; recommending corporate governance principles, codes of conduct and compliance mechanisms; providing oversight in the annual evaluation of the Board of Directors and each committee; and overseeing the Company’s environmental and social sustainability initiatives.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335915</wp:posOffset>
            </wp:positionV>
            <wp:extent cx="5664835" cy="241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64835"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8" w:name="page19"/>
    <w:bookmarkEnd w:id="1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Information About the Board of Directors</w:t>
      </w:r>
    </w:p>
    <w:p>
      <w:pPr>
        <w:spacing w:after="0" w:line="112" w:lineRule="exact"/>
        <w:rPr>
          <w:sz w:val="20"/>
          <w:szCs w:val="20"/>
          <w:color w:val="auto"/>
        </w:rPr>
      </w:pPr>
    </w:p>
    <w:p>
      <w:pPr>
        <w:ind w:left="40" w:right="119" w:firstLine="606"/>
        <w:spacing w:after="0" w:line="252" w:lineRule="auto"/>
        <w:rPr>
          <w:sz w:val="20"/>
          <w:szCs w:val="20"/>
          <w:color w:val="auto"/>
        </w:rPr>
      </w:pPr>
      <w:r>
        <w:rPr>
          <w:rFonts w:ascii="Times New Roman" w:cs="Times New Roman" w:eastAsia="Times New Roman" w:hAnsi="Times New Roman"/>
          <w:sz w:val="17"/>
          <w:szCs w:val="17"/>
          <w:color w:val="auto"/>
        </w:rPr>
        <w:t>The following matrix provides information regarding the members of our Board of Directors, including certain types of knowledge, skills, experiences and attributes possessed by one or more of our directors which our Board of Directors believes are relevant to our business or industry. The matrix does not encompass all of the knowledge, skills, experiences or attributes of our directors, and the fact that a particular knowledge, skill, experience or attribute is not listed does not mean that a director does not possess it. In addition, the absence of a particular knowledge, skill, experience or attribute with respect to any of our directors does not mean the director in question is unable to contribute to the decision-making process in that area. The type and degree of knowledge, skill and experience listed below may vary among the members of the Board of Directors.</w:t>
      </w:r>
    </w:p>
    <w:p>
      <w:pPr>
        <w:spacing w:after="0" w:line="92"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Brian E.</w:t>
            </w: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9"/>
              </w:rPr>
              <w:t>Sara</w:t>
            </w: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w w:val="99"/>
              </w:rPr>
              <w:t>Jack A.</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Lisa Graham</w:t>
            </w: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Chevy</w:t>
            </w:r>
          </w:p>
        </w:tc>
        <w:tc>
          <w:tcPr>
            <w:tcW w:w="740" w:type="dxa"/>
            <w:vAlign w:val="bottom"/>
          </w:tcPr>
          <w:p>
            <w:pPr>
              <w:ind w:left="100"/>
              <w:spacing w:after="0"/>
              <w:rPr>
                <w:sz w:val="20"/>
                <w:szCs w:val="20"/>
                <w:color w:val="auto"/>
              </w:rPr>
            </w:pPr>
            <w:r>
              <w:rPr>
                <w:rFonts w:ascii="Times New Roman" w:cs="Times New Roman" w:eastAsia="Times New Roman" w:hAnsi="Times New Roman"/>
                <w:sz w:val="15"/>
                <w:szCs w:val="15"/>
                <w:b w:val="1"/>
                <w:bCs w:val="1"/>
                <w:color w:val="auto"/>
              </w:rPr>
              <w:t>Kevin F.</w:t>
            </w:r>
          </w:p>
        </w:tc>
      </w:tr>
      <w:tr>
        <w:trPr>
          <w:trHeight w:val="201"/>
        </w:trPr>
        <w:tc>
          <w:tcPr>
            <w:tcW w:w="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Mueller</w:t>
            </w: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w w:val="95"/>
              </w:rPr>
              <w:t>Ward</w:t>
            </w: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w w:val="97"/>
              </w:rPr>
              <w:t>Henry</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Keegan</w:t>
            </w: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9"/>
              </w:rPr>
              <w:t>Humphrey</w:t>
            </w:r>
          </w:p>
        </w:tc>
        <w:tc>
          <w:tcPr>
            <w:tcW w:w="74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Warren</w:t>
            </w:r>
          </w:p>
        </w:tc>
      </w:tr>
      <w:tr>
        <w:trPr>
          <w:trHeight w:val="187"/>
        </w:trPr>
        <w:tc>
          <w:tcPr>
            <w:tcW w:w="20" w:type="dxa"/>
            <w:vAlign w:val="bottom"/>
          </w:tcPr>
          <w:p>
            <w:pPr>
              <w:spacing w:after="0"/>
              <w:rPr>
                <w:sz w:val="16"/>
                <w:szCs w:val="16"/>
                <w:color w:val="auto"/>
              </w:rPr>
            </w:pPr>
          </w:p>
        </w:tc>
        <w:tc>
          <w:tcPr>
            <w:tcW w:w="3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Knowledge, Skills and Experience</w:t>
            </w:r>
          </w:p>
        </w:tc>
        <w:tc>
          <w:tcPr>
            <w:tcW w:w="8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r>
      <w:tr>
        <w:trPr>
          <w:trHeight w:val="258"/>
        </w:trPr>
        <w:tc>
          <w:tcPr>
            <w:tcW w:w="20" w:type="dxa"/>
            <w:vAlign w:val="bottom"/>
          </w:tcPr>
          <w:p>
            <w:pPr>
              <w:spacing w:after="0"/>
              <w:rPr>
                <w:sz w:val="22"/>
                <w:szCs w:val="22"/>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Public Company Board Experience</w:t>
            </w:r>
          </w:p>
        </w:tc>
        <w:tc>
          <w:tcPr>
            <w:tcW w:w="980" w:type="dxa"/>
            <w:vAlign w:val="bottom"/>
            <w:gridSpan w:val="2"/>
          </w:tcPr>
          <w:p>
            <w:pPr>
              <w:spacing w:after="0"/>
              <w:rPr>
                <w:sz w:val="22"/>
                <w:szCs w:val="22"/>
                <w:color w:val="auto"/>
              </w:rPr>
            </w:pPr>
          </w:p>
        </w:tc>
        <w:tc>
          <w:tcPr>
            <w:tcW w:w="820" w:type="dxa"/>
            <w:vAlign w:val="bottom"/>
            <w:gridSpan w:val="2"/>
          </w:tcPr>
          <w:p>
            <w:pPr>
              <w:spacing w:after="0"/>
              <w:rPr>
                <w:sz w:val="22"/>
                <w:szCs w:val="22"/>
                <w:color w:val="auto"/>
              </w:rPr>
            </w:pPr>
          </w:p>
        </w:tc>
        <w:tc>
          <w:tcPr>
            <w:tcW w:w="900" w:type="dxa"/>
            <w:vAlign w:val="bottom"/>
            <w:gridSpan w:val="2"/>
          </w:tcPr>
          <w:p>
            <w:pPr>
              <w:spacing w:after="0"/>
              <w:rPr>
                <w:sz w:val="22"/>
                <w:szCs w:val="22"/>
                <w:color w:val="auto"/>
              </w:rPr>
            </w:pPr>
          </w:p>
        </w:tc>
        <w:tc>
          <w:tcPr>
            <w:tcW w:w="1080" w:type="dxa"/>
            <w:vAlign w:val="bottom"/>
            <w:gridSpan w:val="2"/>
          </w:tcPr>
          <w:p>
            <w:pPr>
              <w:spacing w:after="0"/>
              <w:rPr>
                <w:sz w:val="22"/>
                <w:szCs w:val="22"/>
                <w:color w:val="auto"/>
              </w:rPr>
            </w:pPr>
          </w:p>
        </w:tc>
        <w:tc>
          <w:tcPr>
            <w:tcW w:w="980" w:type="dxa"/>
            <w:vAlign w:val="bottom"/>
            <w:gridSpan w:val="2"/>
          </w:tcPr>
          <w:p>
            <w:pPr>
              <w:spacing w:after="0"/>
              <w:rPr>
                <w:sz w:val="22"/>
                <w:szCs w:val="22"/>
                <w:color w:val="auto"/>
              </w:rPr>
            </w:pPr>
          </w:p>
        </w:tc>
        <w:tc>
          <w:tcPr>
            <w:tcW w:w="740" w:type="dxa"/>
            <w:vAlign w:val="bottom"/>
          </w:tcPr>
          <w:p>
            <w:pPr>
              <w:spacing w:after="0"/>
              <w:rPr>
                <w:sz w:val="22"/>
                <w:szCs w:val="22"/>
                <w:color w:val="auto"/>
              </w:rPr>
            </w:pPr>
          </w:p>
        </w:tc>
      </w:tr>
      <w:tr>
        <w:trPr>
          <w:trHeight w:val="272"/>
        </w:trPr>
        <w:tc>
          <w:tcPr>
            <w:tcW w:w="20" w:type="dxa"/>
            <w:vAlign w:val="bottom"/>
          </w:tcPr>
          <w:p>
            <w:pPr>
              <w:spacing w:after="0"/>
              <w:rPr>
                <w:sz w:val="23"/>
                <w:szCs w:val="23"/>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Financial</w:t>
            </w:r>
          </w:p>
        </w:tc>
        <w:tc>
          <w:tcPr>
            <w:tcW w:w="980" w:type="dxa"/>
            <w:vAlign w:val="bottom"/>
            <w:gridSpan w:val="2"/>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gridSpan w:val="2"/>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gridSpan w:val="2"/>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r>
      <w:tr>
        <w:trPr>
          <w:trHeight w:val="258"/>
        </w:trPr>
        <w:tc>
          <w:tcPr>
            <w:tcW w:w="20" w:type="dxa"/>
            <w:vAlign w:val="bottom"/>
          </w:tcPr>
          <w:p>
            <w:pPr>
              <w:spacing w:after="0"/>
              <w:rPr>
                <w:sz w:val="22"/>
                <w:szCs w:val="22"/>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Risk Management</w:t>
            </w:r>
          </w:p>
        </w:tc>
        <w:tc>
          <w:tcPr>
            <w:tcW w:w="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gridSpan w:val="2"/>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gridSpan w:val="2"/>
          </w:tcPr>
          <w:p>
            <w:pPr>
              <w:spacing w:after="0"/>
              <w:rPr>
                <w:sz w:val="22"/>
                <w:szCs w:val="22"/>
                <w:color w:val="auto"/>
              </w:rPr>
            </w:pPr>
          </w:p>
        </w:tc>
        <w:tc>
          <w:tcPr>
            <w:tcW w:w="740" w:type="dxa"/>
            <w:vAlign w:val="bottom"/>
          </w:tcPr>
          <w:p>
            <w:pPr>
              <w:spacing w:after="0"/>
              <w:rPr>
                <w:sz w:val="22"/>
                <w:szCs w:val="22"/>
                <w:color w:val="auto"/>
              </w:rPr>
            </w:pPr>
          </w:p>
        </w:tc>
      </w:tr>
      <w:tr>
        <w:trPr>
          <w:trHeight w:val="272"/>
        </w:trPr>
        <w:tc>
          <w:tcPr>
            <w:tcW w:w="20" w:type="dxa"/>
            <w:vAlign w:val="bottom"/>
          </w:tcPr>
          <w:p>
            <w:pPr>
              <w:spacing w:after="0"/>
              <w:rPr>
                <w:sz w:val="23"/>
                <w:szCs w:val="23"/>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Accounting</w:t>
            </w:r>
          </w:p>
        </w:tc>
        <w:tc>
          <w:tcPr>
            <w:tcW w:w="8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gridSpan w:val="2"/>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gridSpan w:val="2"/>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r>
      <w:tr>
        <w:trPr>
          <w:trHeight w:val="258"/>
        </w:trPr>
        <w:tc>
          <w:tcPr>
            <w:tcW w:w="20" w:type="dxa"/>
            <w:vAlign w:val="bottom"/>
          </w:tcPr>
          <w:p>
            <w:pPr>
              <w:spacing w:after="0"/>
              <w:rPr>
                <w:sz w:val="22"/>
                <w:szCs w:val="22"/>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Corporate Governance/Ethics</w:t>
            </w:r>
          </w:p>
        </w:tc>
        <w:tc>
          <w:tcPr>
            <w:tcW w:w="980" w:type="dxa"/>
            <w:vAlign w:val="bottom"/>
            <w:gridSpan w:val="2"/>
          </w:tcPr>
          <w:p>
            <w:pPr>
              <w:spacing w:after="0"/>
              <w:rPr>
                <w:sz w:val="22"/>
                <w:szCs w:val="22"/>
                <w:color w:val="auto"/>
              </w:rPr>
            </w:pPr>
          </w:p>
        </w:tc>
        <w:tc>
          <w:tcPr>
            <w:tcW w:w="820" w:type="dxa"/>
            <w:vAlign w:val="bottom"/>
            <w:gridSpan w:val="2"/>
          </w:tcPr>
          <w:p>
            <w:pPr>
              <w:spacing w:after="0"/>
              <w:rPr>
                <w:sz w:val="22"/>
                <w:szCs w:val="22"/>
                <w:color w:val="auto"/>
              </w:rPr>
            </w:pPr>
          </w:p>
        </w:tc>
        <w:tc>
          <w:tcPr>
            <w:tcW w:w="900" w:type="dxa"/>
            <w:vAlign w:val="bottom"/>
            <w:gridSpan w:val="2"/>
          </w:tcPr>
          <w:p>
            <w:pPr>
              <w:spacing w:after="0"/>
              <w:rPr>
                <w:sz w:val="22"/>
                <w:szCs w:val="22"/>
                <w:color w:val="auto"/>
              </w:rPr>
            </w:pPr>
          </w:p>
        </w:tc>
        <w:tc>
          <w:tcPr>
            <w:tcW w:w="1080" w:type="dxa"/>
            <w:vAlign w:val="bottom"/>
            <w:gridSpan w:val="2"/>
          </w:tcPr>
          <w:p>
            <w:pPr>
              <w:spacing w:after="0"/>
              <w:rPr>
                <w:sz w:val="22"/>
                <w:szCs w:val="22"/>
                <w:color w:val="auto"/>
              </w:rPr>
            </w:pPr>
          </w:p>
        </w:tc>
        <w:tc>
          <w:tcPr>
            <w:tcW w:w="980" w:type="dxa"/>
            <w:vAlign w:val="bottom"/>
            <w:gridSpan w:val="2"/>
          </w:tcPr>
          <w:p>
            <w:pPr>
              <w:spacing w:after="0"/>
              <w:rPr>
                <w:sz w:val="22"/>
                <w:szCs w:val="22"/>
                <w:color w:val="auto"/>
              </w:rPr>
            </w:pPr>
          </w:p>
        </w:tc>
        <w:tc>
          <w:tcPr>
            <w:tcW w:w="740" w:type="dxa"/>
            <w:vAlign w:val="bottom"/>
          </w:tcPr>
          <w:p>
            <w:pPr>
              <w:spacing w:after="0"/>
              <w:rPr>
                <w:sz w:val="22"/>
                <w:szCs w:val="22"/>
                <w:color w:val="auto"/>
              </w:rPr>
            </w:pPr>
          </w:p>
        </w:tc>
      </w:tr>
      <w:tr>
        <w:trPr>
          <w:trHeight w:val="272"/>
        </w:trPr>
        <w:tc>
          <w:tcPr>
            <w:tcW w:w="20" w:type="dxa"/>
            <w:vAlign w:val="bottom"/>
          </w:tcPr>
          <w:p>
            <w:pPr>
              <w:spacing w:after="0"/>
              <w:rPr>
                <w:sz w:val="23"/>
                <w:szCs w:val="23"/>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Legal/Regulatory</w:t>
            </w:r>
          </w:p>
        </w:tc>
        <w:tc>
          <w:tcPr>
            <w:tcW w:w="980" w:type="dxa"/>
            <w:vAlign w:val="bottom"/>
            <w:gridSpan w:val="2"/>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gridSpan w:val="2"/>
            <w:shd w:val="clear" w:color="auto" w:fill="CCEEFF"/>
          </w:tcPr>
          <w:p>
            <w:pPr>
              <w:spacing w:after="0"/>
              <w:rPr>
                <w:sz w:val="23"/>
                <w:szCs w:val="23"/>
                <w:color w:val="auto"/>
              </w:rPr>
            </w:pPr>
          </w:p>
        </w:tc>
        <w:tc>
          <w:tcPr>
            <w:tcW w:w="1080" w:type="dxa"/>
            <w:vAlign w:val="bottom"/>
            <w:gridSpan w:val="2"/>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r>
      <w:tr>
        <w:trPr>
          <w:trHeight w:val="258"/>
        </w:trPr>
        <w:tc>
          <w:tcPr>
            <w:tcW w:w="20" w:type="dxa"/>
            <w:vAlign w:val="bottom"/>
          </w:tcPr>
          <w:p>
            <w:pPr>
              <w:spacing w:after="0"/>
              <w:rPr>
                <w:sz w:val="22"/>
                <w:szCs w:val="22"/>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HR/Compensation</w:t>
            </w:r>
          </w:p>
        </w:tc>
        <w:tc>
          <w:tcPr>
            <w:tcW w:w="980" w:type="dxa"/>
            <w:vAlign w:val="bottom"/>
            <w:gridSpan w:val="2"/>
          </w:tcPr>
          <w:p>
            <w:pPr>
              <w:spacing w:after="0"/>
              <w:rPr>
                <w:sz w:val="22"/>
                <w:szCs w:val="22"/>
                <w:color w:val="auto"/>
              </w:rPr>
            </w:pPr>
          </w:p>
        </w:tc>
        <w:tc>
          <w:tcPr>
            <w:tcW w:w="820" w:type="dxa"/>
            <w:vAlign w:val="bottom"/>
            <w:gridSpan w:val="2"/>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tcPr>
          <w:p>
            <w:pPr>
              <w:spacing w:after="0"/>
              <w:rPr>
                <w:sz w:val="22"/>
                <w:szCs w:val="22"/>
                <w:color w:val="auto"/>
              </w:rPr>
            </w:pPr>
          </w:p>
        </w:tc>
        <w:tc>
          <w:tcPr>
            <w:tcW w:w="980" w:type="dxa"/>
            <w:vAlign w:val="bottom"/>
            <w:gridSpan w:val="2"/>
          </w:tcPr>
          <w:p>
            <w:pPr>
              <w:spacing w:after="0"/>
              <w:rPr>
                <w:sz w:val="22"/>
                <w:szCs w:val="22"/>
                <w:color w:val="auto"/>
              </w:rPr>
            </w:pPr>
          </w:p>
        </w:tc>
        <w:tc>
          <w:tcPr>
            <w:tcW w:w="740" w:type="dxa"/>
            <w:vAlign w:val="bottom"/>
          </w:tcPr>
          <w:p>
            <w:pPr>
              <w:spacing w:after="0"/>
              <w:rPr>
                <w:sz w:val="22"/>
                <w:szCs w:val="22"/>
                <w:color w:val="auto"/>
              </w:rPr>
            </w:pPr>
          </w:p>
        </w:tc>
      </w:tr>
      <w:tr>
        <w:trPr>
          <w:trHeight w:val="272"/>
        </w:trPr>
        <w:tc>
          <w:tcPr>
            <w:tcW w:w="20" w:type="dxa"/>
            <w:vAlign w:val="bottom"/>
          </w:tcPr>
          <w:p>
            <w:pPr>
              <w:spacing w:after="0"/>
              <w:rPr>
                <w:sz w:val="23"/>
                <w:szCs w:val="23"/>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Executive Experience</w:t>
            </w:r>
          </w:p>
        </w:tc>
        <w:tc>
          <w:tcPr>
            <w:tcW w:w="980" w:type="dxa"/>
            <w:vAlign w:val="bottom"/>
            <w:gridSpan w:val="2"/>
            <w:shd w:val="clear" w:color="auto" w:fill="CCEEFF"/>
          </w:tcPr>
          <w:p>
            <w:pPr>
              <w:spacing w:after="0"/>
              <w:rPr>
                <w:sz w:val="23"/>
                <w:szCs w:val="23"/>
                <w:color w:val="auto"/>
              </w:rPr>
            </w:pPr>
          </w:p>
        </w:tc>
        <w:tc>
          <w:tcPr>
            <w:tcW w:w="820" w:type="dxa"/>
            <w:vAlign w:val="bottom"/>
            <w:gridSpan w:val="2"/>
            <w:shd w:val="clear" w:color="auto" w:fill="CCEEFF"/>
          </w:tcPr>
          <w:p>
            <w:pPr>
              <w:spacing w:after="0"/>
              <w:rPr>
                <w:sz w:val="23"/>
                <w:szCs w:val="23"/>
                <w:color w:val="auto"/>
              </w:rPr>
            </w:pPr>
          </w:p>
        </w:tc>
        <w:tc>
          <w:tcPr>
            <w:tcW w:w="900" w:type="dxa"/>
            <w:vAlign w:val="bottom"/>
            <w:gridSpan w:val="2"/>
            <w:shd w:val="clear" w:color="auto" w:fill="CCEEFF"/>
          </w:tcPr>
          <w:p>
            <w:pPr>
              <w:spacing w:after="0"/>
              <w:rPr>
                <w:sz w:val="23"/>
                <w:szCs w:val="23"/>
                <w:color w:val="auto"/>
              </w:rPr>
            </w:pPr>
          </w:p>
        </w:tc>
        <w:tc>
          <w:tcPr>
            <w:tcW w:w="1080" w:type="dxa"/>
            <w:vAlign w:val="bottom"/>
            <w:gridSpan w:val="2"/>
            <w:shd w:val="clear" w:color="auto" w:fill="CCEEFF"/>
          </w:tcPr>
          <w:p>
            <w:pPr>
              <w:spacing w:after="0"/>
              <w:rPr>
                <w:sz w:val="23"/>
                <w:szCs w:val="23"/>
                <w:color w:val="auto"/>
              </w:rPr>
            </w:pPr>
          </w:p>
        </w:tc>
        <w:tc>
          <w:tcPr>
            <w:tcW w:w="980" w:type="dxa"/>
            <w:vAlign w:val="bottom"/>
            <w:gridSpan w:val="2"/>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r>
      <w:tr>
        <w:trPr>
          <w:trHeight w:val="258"/>
        </w:trPr>
        <w:tc>
          <w:tcPr>
            <w:tcW w:w="20" w:type="dxa"/>
            <w:vAlign w:val="bottom"/>
          </w:tcPr>
          <w:p>
            <w:pPr>
              <w:spacing w:after="0"/>
              <w:rPr>
                <w:sz w:val="22"/>
                <w:szCs w:val="22"/>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Operations</w:t>
            </w:r>
          </w:p>
        </w:tc>
        <w:tc>
          <w:tcPr>
            <w:tcW w:w="980" w:type="dxa"/>
            <w:vAlign w:val="bottom"/>
            <w:gridSpan w:val="2"/>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tcPr>
          <w:p>
            <w:pPr>
              <w:spacing w:after="0"/>
              <w:rPr>
                <w:sz w:val="22"/>
                <w:szCs w:val="22"/>
                <w:color w:val="auto"/>
              </w:rPr>
            </w:pPr>
          </w:p>
        </w:tc>
        <w:tc>
          <w:tcPr>
            <w:tcW w:w="980" w:type="dxa"/>
            <w:vAlign w:val="bottom"/>
            <w:gridSpan w:val="2"/>
          </w:tcPr>
          <w:p>
            <w:pPr>
              <w:spacing w:after="0"/>
              <w:rPr>
                <w:sz w:val="22"/>
                <w:szCs w:val="22"/>
                <w:color w:val="auto"/>
              </w:rPr>
            </w:pPr>
          </w:p>
        </w:tc>
        <w:tc>
          <w:tcPr>
            <w:tcW w:w="740" w:type="dxa"/>
            <w:vAlign w:val="bottom"/>
          </w:tcPr>
          <w:p>
            <w:pPr>
              <w:spacing w:after="0"/>
              <w:rPr>
                <w:sz w:val="22"/>
                <w:szCs w:val="22"/>
                <w:color w:val="auto"/>
              </w:rPr>
            </w:pPr>
          </w:p>
        </w:tc>
      </w:tr>
      <w:tr>
        <w:trPr>
          <w:trHeight w:val="272"/>
        </w:trPr>
        <w:tc>
          <w:tcPr>
            <w:tcW w:w="20" w:type="dxa"/>
            <w:vAlign w:val="bottom"/>
          </w:tcPr>
          <w:p>
            <w:pPr>
              <w:spacing w:after="0"/>
              <w:rPr>
                <w:sz w:val="23"/>
                <w:szCs w:val="23"/>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Strategic Planning/Oversight</w:t>
            </w:r>
          </w:p>
        </w:tc>
        <w:tc>
          <w:tcPr>
            <w:tcW w:w="980" w:type="dxa"/>
            <w:vAlign w:val="bottom"/>
            <w:gridSpan w:val="2"/>
            <w:shd w:val="clear" w:color="auto" w:fill="CCEEFF"/>
          </w:tcPr>
          <w:p>
            <w:pPr>
              <w:spacing w:after="0"/>
              <w:rPr>
                <w:sz w:val="23"/>
                <w:szCs w:val="23"/>
                <w:color w:val="auto"/>
              </w:rPr>
            </w:pPr>
          </w:p>
        </w:tc>
        <w:tc>
          <w:tcPr>
            <w:tcW w:w="820" w:type="dxa"/>
            <w:vAlign w:val="bottom"/>
            <w:gridSpan w:val="2"/>
            <w:shd w:val="clear" w:color="auto" w:fill="CCEEFF"/>
          </w:tcPr>
          <w:p>
            <w:pPr>
              <w:spacing w:after="0"/>
              <w:rPr>
                <w:sz w:val="23"/>
                <w:szCs w:val="23"/>
                <w:color w:val="auto"/>
              </w:rPr>
            </w:pPr>
          </w:p>
        </w:tc>
        <w:tc>
          <w:tcPr>
            <w:tcW w:w="900" w:type="dxa"/>
            <w:vAlign w:val="bottom"/>
            <w:gridSpan w:val="2"/>
            <w:shd w:val="clear" w:color="auto" w:fill="CCEEFF"/>
          </w:tcPr>
          <w:p>
            <w:pPr>
              <w:spacing w:after="0"/>
              <w:rPr>
                <w:sz w:val="23"/>
                <w:szCs w:val="23"/>
                <w:color w:val="auto"/>
              </w:rPr>
            </w:pPr>
          </w:p>
        </w:tc>
        <w:tc>
          <w:tcPr>
            <w:tcW w:w="1080" w:type="dxa"/>
            <w:vAlign w:val="bottom"/>
            <w:gridSpan w:val="2"/>
            <w:shd w:val="clear" w:color="auto" w:fill="CCEEFF"/>
          </w:tcPr>
          <w:p>
            <w:pPr>
              <w:spacing w:after="0"/>
              <w:rPr>
                <w:sz w:val="23"/>
                <w:szCs w:val="23"/>
                <w:color w:val="auto"/>
              </w:rPr>
            </w:pPr>
          </w:p>
        </w:tc>
        <w:tc>
          <w:tcPr>
            <w:tcW w:w="980" w:type="dxa"/>
            <w:vAlign w:val="bottom"/>
            <w:gridSpan w:val="2"/>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r>
      <w:tr>
        <w:trPr>
          <w:trHeight w:val="258"/>
        </w:trPr>
        <w:tc>
          <w:tcPr>
            <w:tcW w:w="20" w:type="dxa"/>
            <w:vAlign w:val="bottom"/>
          </w:tcPr>
          <w:p>
            <w:pPr>
              <w:spacing w:after="0"/>
              <w:rPr>
                <w:sz w:val="22"/>
                <w:szCs w:val="22"/>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Technology</w:t>
            </w:r>
          </w:p>
        </w:tc>
        <w:tc>
          <w:tcPr>
            <w:tcW w:w="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gridSpan w:val="2"/>
          </w:tcPr>
          <w:p>
            <w:pPr>
              <w:spacing w:after="0"/>
              <w:rPr>
                <w:sz w:val="22"/>
                <w:szCs w:val="22"/>
                <w:color w:val="auto"/>
              </w:rPr>
            </w:pPr>
          </w:p>
        </w:tc>
        <w:tc>
          <w:tcPr>
            <w:tcW w:w="740" w:type="dxa"/>
            <w:vAlign w:val="bottom"/>
          </w:tcPr>
          <w:p>
            <w:pPr>
              <w:spacing w:after="0"/>
              <w:rPr>
                <w:sz w:val="22"/>
                <w:szCs w:val="22"/>
                <w:color w:val="auto"/>
              </w:rPr>
            </w:pPr>
          </w:p>
        </w:tc>
      </w:tr>
      <w:tr>
        <w:trPr>
          <w:trHeight w:val="272"/>
        </w:trPr>
        <w:tc>
          <w:tcPr>
            <w:tcW w:w="20" w:type="dxa"/>
            <w:vAlign w:val="bottom"/>
          </w:tcPr>
          <w:p>
            <w:pPr>
              <w:spacing w:after="0"/>
              <w:rPr>
                <w:sz w:val="23"/>
                <w:szCs w:val="23"/>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Mergers and Acquisitions</w:t>
            </w:r>
          </w:p>
        </w:tc>
        <w:tc>
          <w:tcPr>
            <w:tcW w:w="8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20" w:type="dxa"/>
            <w:vAlign w:val="bottom"/>
            <w:gridSpan w:val="2"/>
            <w:shd w:val="clear" w:color="auto" w:fill="CCEEFF"/>
          </w:tcPr>
          <w:p>
            <w:pPr>
              <w:spacing w:after="0"/>
              <w:rPr>
                <w:sz w:val="23"/>
                <w:szCs w:val="23"/>
                <w:color w:val="auto"/>
              </w:rPr>
            </w:pPr>
          </w:p>
        </w:tc>
        <w:tc>
          <w:tcPr>
            <w:tcW w:w="900" w:type="dxa"/>
            <w:vAlign w:val="bottom"/>
            <w:gridSpan w:val="2"/>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gridSpan w:val="2"/>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r>
      <w:tr>
        <w:trPr>
          <w:trHeight w:val="258"/>
        </w:trPr>
        <w:tc>
          <w:tcPr>
            <w:tcW w:w="20" w:type="dxa"/>
            <w:vAlign w:val="bottom"/>
          </w:tcPr>
          <w:p>
            <w:pPr>
              <w:spacing w:after="0"/>
              <w:rPr>
                <w:sz w:val="22"/>
                <w:szCs w:val="22"/>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Cybersecurity</w:t>
            </w:r>
          </w:p>
        </w:tc>
        <w:tc>
          <w:tcPr>
            <w:tcW w:w="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gridSpan w:val="2"/>
          </w:tcPr>
          <w:p>
            <w:pPr>
              <w:spacing w:after="0"/>
              <w:rPr>
                <w:sz w:val="22"/>
                <w:szCs w:val="22"/>
                <w:color w:val="auto"/>
              </w:rPr>
            </w:pPr>
          </w:p>
        </w:tc>
        <w:tc>
          <w:tcPr>
            <w:tcW w:w="740" w:type="dxa"/>
            <w:vAlign w:val="bottom"/>
          </w:tcPr>
          <w:p>
            <w:pPr>
              <w:spacing w:after="0"/>
              <w:rPr>
                <w:sz w:val="22"/>
                <w:szCs w:val="22"/>
                <w:color w:val="auto"/>
              </w:rPr>
            </w:pPr>
          </w:p>
        </w:tc>
      </w:tr>
      <w:tr>
        <w:trPr>
          <w:trHeight w:val="272"/>
        </w:trPr>
        <w:tc>
          <w:tcPr>
            <w:tcW w:w="20" w:type="dxa"/>
            <w:vAlign w:val="bottom"/>
          </w:tcPr>
          <w:p>
            <w:pPr>
              <w:spacing w:after="0"/>
              <w:rPr>
                <w:sz w:val="23"/>
                <w:szCs w:val="23"/>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Academia/Education</w:t>
            </w:r>
          </w:p>
        </w:tc>
        <w:tc>
          <w:tcPr>
            <w:tcW w:w="980" w:type="dxa"/>
            <w:vAlign w:val="bottom"/>
            <w:gridSpan w:val="2"/>
            <w:shd w:val="clear" w:color="auto" w:fill="CCEEFF"/>
          </w:tcPr>
          <w:p>
            <w:pPr>
              <w:spacing w:after="0"/>
              <w:rPr>
                <w:sz w:val="23"/>
                <w:szCs w:val="23"/>
                <w:color w:val="auto"/>
              </w:rPr>
            </w:pPr>
          </w:p>
        </w:tc>
        <w:tc>
          <w:tcPr>
            <w:tcW w:w="820" w:type="dxa"/>
            <w:vAlign w:val="bottom"/>
            <w:gridSpan w:val="2"/>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spacing w:after="0"/>
              <w:rPr>
                <w:sz w:val="23"/>
                <w:szCs w:val="23"/>
                <w:color w:val="auto"/>
              </w:rPr>
            </w:pPr>
          </w:p>
        </w:tc>
        <w:tc>
          <w:tcPr>
            <w:tcW w:w="980" w:type="dxa"/>
            <w:vAlign w:val="bottom"/>
            <w:gridSpan w:val="2"/>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r>
      <w:tr>
        <w:trPr>
          <w:trHeight w:val="190"/>
        </w:trPr>
        <w:tc>
          <w:tcPr>
            <w:tcW w:w="20" w:type="dxa"/>
            <w:vAlign w:val="bottom"/>
          </w:tcPr>
          <w:p>
            <w:pPr>
              <w:spacing w:after="0"/>
              <w:rPr>
                <w:sz w:val="16"/>
                <w:szCs w:val="16"/>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Board Tenure</w:t>
            </w: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Years</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15</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11</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16</w:t>
            </w: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79"/>
              </w:rPr>
              <w:t>5</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5</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w:t>
            </w:r>
          </w:p>
        </w:tc>
      </w:tr>
    </w:tbl>
    <w:p>
      <w:pPr>
        <w:spacing w:after="0" w:line="1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Code of Conduct</w:t>
      </w:r>
    </w:p>
    <w:p>
      <w:pPr>
        <w:spacing w:after="0" w:line="112" w:lineRule="exact"/>
        <w:rPr>
          <w:sz w:val="20"/>
          <w:szCs w:val="20"/>
          <w:color w:val="auto"/>
        </w:rPr>
      </w:pPr>
    </w:p>
    <w:p>
      <w:pPr>
        <w:ind w:left="40" w:right="59" w:firstLine="606"/>
        <w:spacing w:after="0" w:line="252" w:lineRule="auto"/>
        <w:rPr>
          <w:sz w:val="20"/>
          <w:szCs w:val="20"/>
          <w:color w:val="auto"/>
        </w:rPr>
      </w:pPr>
      <w:r>
        <w:rPr>
          <w:rFonts w:ascii="Times New Roman" w:cs="Times New Roman" w:eastAsia="Times New Roman" w:hAnsi="Times New Roman"/>
          <w:sz w:val="17"/>
          <w:szCs w:val="17"/>
          <w:color w:val="auto"/>
        </w:rPr>
        <w:t xml:space="preserve">We have adopted a business code of conduct, which applies to all of our employees, directors, and consultants. The code of conduct includes particular provisions applicable to our senior financial management, which includes our Chief Executive Officer, Chief Financial Officer, and other employees including our principal accounting officer, performing similar functions. A copy of our code of conduct is available on the Corporate Governance section of the Investor Relations page on our website at </w:t>
      </w:r>
      <w:r>
        <w:rPr>
          <w:rFonts w:ascii="Times New Roman" w:cs="Times New Roman" w:eastAsia="Times New Roman" w:hAnsi="Times New Roman"/>
          <w:sz w:val="17"/>
          <w:szCs w:val="17"/>
          <w:i w:val="1"/>
          <w:iCs w:val="1"/>
          <w:color w:val="auto"/>
        </w:rPr>
        <w:t xml:space="preserve">www.investors.gce.com. </w:t>
      </w:r>
      <w:r>
        <w:rPr>
          <w:rFonts w:ascii="Times New Roman" w:cs="Times New Roman" w:eastAsia="Times New Roman" w:hAnsi="Times New Roman"/>
          <w:sz w:val="17"/>
          <w:szCs w:val="17"/>
          <w:color w:val="auto"/>
        </w:rPr>
        <w:t>We intend to post on our website any amendment to, or waiver from, a provision of our code of conduct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that applies to any director or officer, including our Chief Executive Officer, Chief Financial Officer, and other persons including our principal accounting officer performing similar functions, promptly following the date of such amendment or waiver.</w:t>
      </w:r>
    </w:p>
    <w:p>
      <w:pPr>
        <w:spacing w:after="0" w:line="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Risk Oversight</w:t>
      </w:r>
    </w:p>
    <w:p>
      <w:pPr>
        <w:spacing w:after="0" w:line="112" w:lineRule="exact"/>
        <w:rPr>
          <w:sz w:val="20"/>
          <w:szCs w:val="20"/>
          <w:color w:val="auto"/>
        </w:rPr>
      </w:pPr>
    </w:p>
    <w:p>
      <w:pPr>
        <w:ind w:left="40" w:right="99" w:firstLine="606"/>
        <w:spacing w:after="0" w:line="268" w:lineRule="auto"/>
        <w:rPr>
          <w:sz w:val="20"/>
          <w:szCs w:val="20"/>
          <w:color w:val="auto"/>
        </w:rPr>
      </w:pPr>
      <w:r>
        <w:rPr>
          <w:rFonts w:ascii="Times New Roman" w:cs="Times New Roman" w:eastAsia="Times New Roman" w:hAnsi="Times New Roman"/>
          <w:sz w:val="16"/>
          <w:szCs w:val="16"/>
          <w:color w:val="auto"/>
        </w:rPr>
        <w:t>Our Board of Directors is responsible for oversight of our risk assessment and management processes. The Board of Directors has delegated to the Compensation Committee basic responsibility for oversight of management’s compensation risk assessment and has delegated to the Audit Committee tasks related to risk process oversight. In exercising its oversight duties, the Board of Directors receives reports from each committee regarding the committee’s considerations and actions. The Audit Committee’s process includes working with the Company’s Chief Risk Officer and other members of the Company’s enterprise risk management team, meeting periodically with the Chief Risk Officer and other members of management and receiving reports on enterprise risk management, including management’s assessment of risk exposures (including risks related to liquidity, credit, operations, cyber security, climate, and regulatory compliance, among others), and the processes in place to monitor and control such exposures. The Audit Committee may also, from time to time, receive updates between meetings from the Chief Risk Officer, the Chief Executive Officer, the Chief Financial Officer and other members of management relating to risk oversight matters.</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335915</wp:posOffset>
            </wp:positionV>
            <wp:extent cx="5664835" cy="241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64835" cy="24130"/>
                    </a:xfrm>
                    <a:prstGeom prst="rect">
                      <a:avLst/>
                    </a:prstGeom>
                    <a:noFill/>
                  </pic:spPr>
                </pic:pic>
              </a:graphicData>
            </a:graphic>
          </wp:anchor>
        </w:drawing>
      </w:r>
    </w:p>
    <w:p>
      <w:pPr>
        <w:sectPr>
          <w:pgSz w:w="11900" w:h="16838" w:orient="portrait"/>
          <w:cols w:equalWidth="0" w:num="1">
            <w:col w:w="9019"/>
          </w:cols>
          <w:pgMar w:left="1440" w:top="490" w:right="1440" w:bottom="1440" w:gutter="0" w:footer="0" w:header="0"/>
        </w:sectPr>
      </w:pPr>
    </w:p>
    <w:bookmarkStart w:id="19" w:name="page20"/>
    <w:bookmarkEnd w:id="1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Director Nomination Process</w:t>
      </w:r>
    </w:p>
    <w:p>
      <w:pPr>
        <w:spacing w:after="0" w:line="112" w:lineRule="exact"/>
        <w:rPr>
          <w:sz w:val="20"/>
          <w:szCs w:val="20"/>
          <w:color w:val="auto"/>
        </w:rPr>
      </w:pPr>
    </w:p>
    <w:p>
      <w:pPr>
        <w:ind w:left="40" w:right="859" w:firstLine="606"/>
        <w:spacing w:after="0" w:line="275" w:lineRule="auto"/>
        <w:rPr>
          <w:sz w:val="20"/>
          <w:szCs w:val="20"/>
          <w:color w:val="auto"/>
        </w:rPr>
      </w:pPr>
      <w:r>
        <w:rPr>
          <w:rFonts w:ascii="Times New Roman" w:cs="Times New Roman" w:eastAsia="Times New Roman" w:hAnsi="Times New Roman"/>
          <w:sz w:val="17"/>
          <w:szCs w:val="17"/>
          <w:color w:val="auto"/>
        </w:rPr>
        <w:t>When selecting nominees for appointment or election to our Board of Directors, our Nominating and Corporate Governance Committee makes such selections pursuant to the following process:</w:t>
      </w:r>
    </w:p>
    <w:p>
      <w:pPr>
        <w:spacing w:after="0" w:line="57" w:lineRule="exact"/>
        <w:rPr>
          <w:sz w:val="20"/>
          <w:szCs w:val="20"/>
          <w:color w:val="auto"/>
        </w:rPr>
      </w:pPr>
    </w:p>
    <w:p>
      <w:pPr>
        <w:ind w:left="980" w:right="99" w:hanging="303"/>
        <w:spacing w:after="0" w:line="262" w:lineRule="auto"/>
        <w:tabs>
          <w:tab w:leader="none" w:pos="98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Identification of director candidates by our Nominating and Corporate Governance Committee based upon suggestions from current directors and senior management, recommendations by stockholders and/or use of a director search firm;</w:t>
      </w:r>
    </w:p>
    <w:p>
      <w:pPr>
        <w:spacing w:after="0" w:line="67" w:lineRule="exact"/>
        <w:rPr>
          <w:rFonts w:ascii="Times New Roman" w:cs="Times New Roman" w:eastAsia="Times New Roman" w:hAnsi="Times New Roman"/>
          <w:sz w:val="17"/>
          <w:szCs w:val="17"/>
          <w:color w:val="auto"/>
        </w:rPr>
      </w:pPr>
    </w:p>
    <w:p>
      <w:pPr>
        <w:ind w:left="980" w:right="459" w:hanging="303"/>
        <w:spacing w:after="0" w:line="275" w:lineRule="auto"/>
        <w:tabs>
          <w:tab w:leader="none" w:pos="98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of the candidates’ qualifications by our Nominating and Corporate Governance Committee to determine which candidates best meet our Board of Directors’ required and desired criteria;</w:t>
      </w:r>
    </w:p>
    <w:p>
      <w:pPr>
        <w:spacing w:after="0" w:line="57" w:lineRule="exact"/>
        <w:rPr>
          <w:rFonts w:ascii="Times New Roman" w:cs="Times New Roman" w:eastAsia="Times New Roman" w:hAnsi="Times New Roman"/>
          <w:sz w:val="17"/>
          <w:szCs w:val="17"/>
          <w:color w:val="auto"/>
        </w:rPr>
      </w:pPr>
    </w:p>
    <w:p>
      <w:pPr>
        <w:jc w:val="both"/>
        <w:ind w:left="980" w:right="659" w:hanging="303"/>
        <w:spacing w:after="0" w:line="308" w:lineRule="auto"/>
        <w:tabs>
          <w:tab w:leader="none" w:pos="9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Interviews of interested candidates who best meet these criteria by the chair of the Nominating and Corporate Governance Committee, the Chair of our Board of Directors, and/or certain other directors and management;</w:t>
      </w:r>
    </w:p>
    <w:p>
      <w:pPr>
        <w:spacing w:after="0" w:line="33" w:lineRule="exact"/>
        <w:rPr>
          <w:rFonts w:ascii="Times New Roman" w:cs="Times New Roman" w:eastAsia="Times New Roman" w:hAnsi="Times New Roman"/>
          <w:sz w:val="16"/>
          <w:szCs w:val="16"/>
          <w:color w:val="auto"/>
        </w:rPr>
      </w:pPr>
    </w:p>
    <w:p>
      <w:pPr>
        <w:ind w:left="980" w:right="159" w:hanging="303"/>
        <w:spacing w:after="0" w:line="262" w:lineRule="auto"/>
        <w:tabs>
          <w:tab w:leader="none" w:pos="98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recommendation by our Nominating and Corporate Governance Committee for inclusion in the slate of directors for the annual meeting of stockholders or for appointment by our Board of Directors to fill a vacancy during the interval between stockholder meetings; and</w:t>
      </w:r>
    </w:p>
    <w:p>
      <w:pPr>
        <w:spacing w:after="0" w:line="67" w:lineRule="exact"/>
        <w:rPr>
          <w:rFonts w:ascii="Times New Roman" w:cs="Times New Roman" w:eastAsia="Times New Roman" w:hAnsi="Times New Roman"/>
          <w:sz w:val="17"/>
          <w:szCs w:val="17"/>
          <w:color w:val="auto"/>
        </w:rPr>
      </w:pPr>
    </w:p>
    <w:p>
      <w:pPr>
        <w:ind w:left="980" w:hanging="303"/>
        <w:spacing w:after="0"/>
        <w:tabs>
          <w:tab w:leader="none" w:pos="98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Formal nomination by our Board of Directors.</w:t>
      </w:r>
    </w:p>
    <w:p>
      <w:pPr>
        <w:spacing w:after="0" w:line="108" w:lineRule="exact"/>
        <w:rPr>
          <w:sz w:val="20"/>
          <w:szCs w:val="20"/>
          <w:color w:val="auto"/>
        </w:rPr>
      </w:pPr>
    </w:p>
    <w:p>
      <w:pPr>
        <w:ind w:left="40" w:right="139" w:firstLine="606"/>
        <w:spacing w:after="0" w:line="253" w:lineRule="auto"/>
        <w:rPr>
          <w:sz w:val="20"/>
          <w:szCs w:val="20"/>
          <w:color w:val="auto"/>
        </w:rPr>
      </w:pPr>
      <w:r>
        <w:rPr>
          <w:rFonts w:ascii="Times New Roman" w:cs="Times New Roman" w:eastAsia="Times New Roman" w:hAnsi="Times New Roman"/>
          <w:sz w:val="17"/>
          <w:szCs w:val="17"/>
          <w:color w:val="auto"/>
        </w:rPr>
        <w:t>Although our Nominating and Corporate Governance Committee will review each candidate’s qualifications to determine whether such candidate is appropriate for our Board of Directors, candidates need not possess any minimum qualifications or specific qualities or skills. In accordance with its charter, the Nominating and Corporate Governance Committee’s review and assessment of incumbent directors and proposed nominees includes the consideration of a candidate’s skills, business experiences, and background, which may include with respect to any particular incumbent or proposed nominee consideration of one or more of the following criteria:</w:t>
      </w:r>
    </w:p>
    <w:p>
      <w:pPr>
        <w:spacing w:after="0" w:line="78" w:lineRule="exact"/>
        <w:rPr>
          <w:sz w:val="20"/>
          <w:szCs w:val="20"/>
          <w:color w:val="auto"/>
        </w:rPr>
      </w:pPr>
    </w:p>
    <w:p>
      <w:pPr>
        <w:ind w:left="980" w:right="679" w:hanging="303"/>
        <w:spacing w:after="0" w:line="275" w:lineRule="auto"/>
        <w:tabs>
          <w:tab w:leader="none" w:pos="9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extent of the director’s/proposed nominee’s educational, business, non-profit or professional acumen and experience;</w:t>
      </w:r>
    </w:p>
    <w:p>
      <w:pPr>
        <w:spacing w:after="0" w:line="57" w:lineRule="exact"/>
        <w:rPr>
          <w:rFonts w:ascii="Times New Roman" w:cs="Times New Roman" w:eastAsia="Times New Roman" w:hAnsi="Times New Roman"/>
          <w:sz w:val="17"/>
          <w:szCs w:val="17"/>
          <w:color w:val="auto"/>
        </w:rPr>
      </w:pPr>
    </w:p>
    <w:p>
      <w:pPr>
        <w:ind w:left="980" w:right="679" w:hanging="303"/>
        <w:spacing w:after="0" w:line="275" w:lineRule="auto"/>
        <w:tabs>
          <w:tab w:leader="none" w:pos="9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director/proposed nominee assists in achieving a mix of members on our Board of Directors that represents a diversity of background, perspective and experience;</w:t>
      </w:r>
    </w:p>
    <w:p>
      <w:pPr>
        <w:spacing w:after="0" w:line="57" w:lineRule="exact"/>
        <w:rPr>
          <w:rFonts w:ascii="Times New Roman" w:cs="Times New Roman" w:eastAsia="Times New Roman" w:hAnsi="Times New Roman"/>
          <w:sz w:val="17"/>
          <w:szCs w:val="17"/>
          <w:color w:val="auto"/>
        </w:rPr>
      </w:pPr>
    </w:p>
    <w:p>
      <w:pPr>
        <w:ind w:left="980" w:hanging="303"/>
        <w:spacing w:after="0"/>
        <w:tabs>
          <w:tab w:leader="none" w:pos="9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director/proposed nominee meets the independence requirements of Nasdaq’s listing standards;</w:t>
      </w:r>
    </w:p>
    <w:p>
      <w:pPr>
        <w:spacing w:after="0" w:line="107" w:lineRule="exact"/>
        <w:rPr>
          <w:rFonts w:ascii="Times New Roman" w:cs="Times New Roman" w:eastAsia="Times New Roman" w:hAnsi="Times New Roman"/>
          <w:sz w:val="17"/>
          <w:szCs w:val="17"/>
          <w:color w:val="auto"/>
        </w:rPr>
      </w:pPr>
    </w:p>
    <w:p>
      <w:pPr>
        <w:ind w:left="980" w:hanging="303"/>
        <w:spacing w:after="0"/>
        <w:tabs>
          <w:tab w:leader="none" w:pos="9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director/proposed nominee has the business experience relevant to an understanding of our business;</w:t>
      </w:r>
    </w:p>
    <w:p>
      <w:pPr>
        <w:spacing w:after="0" w:line="107" w:lineRule="exact"/>
        <w:rPr>
          <w:rFonts w:ascii="Times New Roman" w:cs="Times New Roman" w:eastAsia="Times New Roman" w:hAnsi="Times New Roman"/>
          <w:sz w:val="17"/>
          <w:szCs w:val="17"/>
          <w:color w:val="auto"/>
        </w:rPr>
      </w:pPr>
    </w:p>
    <w:p>
      <w:pPr>
        <w:ind w:left="980" w:right="239" w:hanging="303"/>
        <w:spacing w:after="0" w:line="275" w:lineRule="auto"/>
        <w:tabs>
          <w:tab w:leader="none" w:pos="9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director/proposed nominee would be considered a “financial expert” or “financially literate” as defined in applicable listing standards or applicable law;</w:t>
      </w:r>
    </w:p>
    <w:p>
      <w:pPr>
        <w:spacing w:after="0" w:line="57" w:lineRule="exact"/>
        <w:rPr>
          <w:rFonts w:ascii="Times New Roman" w:cs="Times New Roman" w:eastAsia="Times New Roman" w:hAnsi="Times New Roman"/>
          <w:sz w:val="17"/>
          <w:szCs w:val="17"/>
          <w:color w:val="auto"/>
        </w:rPr>
      </w:pPr>
    </w:p>
    <w:p>
      <w:pPr>
        <w:ind w:left="980" w:right="379" w:hanging="303"/>
        <w:spacing w:after="0" w:line="275" w:lineRule="auto"/>
        <w:tabs>
          <w:tab w:leader="none" w:pos="9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director/proposed nominee, by virtue of particular technical expertise, experience or specialized skill relevant to our current or future business, will add specific value as a Board member; and</w:t>
      </w:r>
    </w:p>
    <w:p>
      <w:pPr>
        <w:spacing w:after="0" w:line="57" w:lineRule="exact"/>
        <w:rPr>
          <w:rFonts w:ascii="Times New Roman" w:cs="Times New Roman" w:eastAsia="Times New Roman" w:hAnsi="Times New Roman"/>
          <w:sz w:val="17"/>
          <w:szCs w:val="17"/>
          <w:color w:val="auto"/>
        </w:rPr>
      </w:pPr>
    </w:p>
    <w:p>
      <w:pPr>
        <w:ind w:left="980" w:right="499" w:hanging="303"/>
        <w:spacing w:after="0" w:line="275" w:lineRule="auto"/>
        <w:tabs>
          <w:tab w:leader="none" w:pos="9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director/proposed nominee possesses a willingness to challenge and stimulate management and the ability to work as part of a team in an environment of trust.</w:t>
      </w:r>
    </w:p>
    <w:p>
      <w:pPr>
        <w:spacing w:after="0" w:line="57" w:lineRule="exact"/>
        <w:rPr>
          <w:sz w:val="20"/>
          <w:szCs w:val="20"/>
          <w:color w:val="auto"/>
        </w:rPr>
      </w:pPr>
    </w:p>
    <w:p>
      <w:pPr>
        <w:ind w:left="40" w:right="119" w:firstLine="606"/>
        <w:spacing w:after="0" w:line="274" w:lineRule="auto"/>
        <w:rPr>
          <w:sz w:val="20"/>
          <w:szCs w:val="20"/>
          <w:color w:val="auto"/>
        </w:rPr>
      </w:pPr>
      <w:r>
        <w:rPr>
          <w:rFonts w:ascii="Times New Roman" w:cs="Times New Roman" w:eastAsia="Times New Roman" w:hAnsi="Times New Roman"/>
          <w:sz w:val="16"/>
          <w:szCs w:val="16"/>
          <w:color w:val="auto"/>
        </w:rPr>
        <w:t>With respect to existing members of the Board of Directors, our Nominating and Corporate Governance Committee will reassess the qualifications of a director, including the director’s performance on our Board of Directors to date, the director’s current employment, the director’s service on other boards of directors and the director’s independence, prior to recommending a director for reelection to another term. All director-nominees were recommended for election at the Annual Meeting by our Nominating and Corporate Governance Committee, and such recommendations were formally approved by our Board of Directors.</w:t>
      </w:r>
    </w:p>
    <w:p>
      <w:pPr>
        <w:spacing w:after="0" w:line="62" w:lineRule="exact"/>
        <w:rPr>
          <w:sz w:val="20"/>
          <w:szCs w:val="20"/>
          <w:color w:val="auto"/>
        </w:rPr>
      </w:pPr>
    </w:p>
    <w:p>
      <w:pPr>
        <w:ind w:left="40" w:right="279" w:firstLine="606"/>
        <w:spacing w:after="0" w:line="257" w:lineRule="auto"/>
        <w:rPr>
          <w:sz w:val="20"/>
          <w:szCs w:val="20"/>
          <w:color w:val="auto"/>
        </w:rPr>
      </w:pPr>
      <w:r>
        <w:rPr>
          <w:rFonts w:ascii="Times New Roman" w:cs="Times New Roman" w:eastAsia="Times New Roman" w:hAnsi="Times New Roman"/>
          <w:sz w:val="17"/>
          <w:szCs w:val="17"/>
          <w:color w:val="auto"/>
        </w:rPr>
        <w:t>Stockholders who wish to recommend individuals for consideration by our Nominating and Corporate Governance Committee to become nominees for election to our Board of Directors may do so by submitting a written recommendation to our Nominating and Corporate Governance Committee, c/o General Counsel, Grand Canyon Education, Inc., 2600 W. Camelback Road, Phoenix, Arizona 85017. Submissions must be received at the Company’s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335915</wp:posOffset>
            </wp:positionV>
            <wp:extent cx="5664835" cy="241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64835" cy="24130"/>
                    </a:xfrm>
                    <a:prstGeom prst="rect">
                      <a:avLst/>
                    </a:prstGeom>
                    <a:noFill/>
                  </pic:spPr>
                </pic:pic>
              </a:graphicData>
            </a:graphic>
          </wp:anchor>
        </w:drawing>
      </w:r>
    </w:p>
    <w:p>
      <w:pPr>
        <w:sectPr>
          <w:pgSz w:w="11900" w:h="16838" w:orient="portrait"/>
          <w:cols w:equalWidth="0" w:num="1">
            <w:col w:w="9019"/>
          </w:cols>
          <w:pgMar w:left="1440" w:top="490" w:right="1440" w:bottom="1440" w:gutter="0" w:footer="0" w:header="0"/>
        </w:sectPr>
      </w:pPr>
    </w:p>
    <w:bookmarkStart w:id="20" w:name="page21"/>
    <w:bookmarkEnd w:id="2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0" w:right="79"/>
        <w:spacing w:after="0" w:line="239" w:lineRule="auto"/>
        <w:rPr>
          <w:sz w:val="20"/>
          <w:szCs w:val="20"/>
          <w:color w:val="auto"/>
        </w:rPr>
      </w:pPr>
      <w:r>
        <w:rPr>
          <w:rFonts w:ascii="Times New Roman" w:cs="Times New Roman" w:eastAsia="Times New Roman" w:hAnsi="Times New Roman"/>
          <w:sz w:val="17"/>
          <w:szCs w:val="17"/>
          <w:color w:val="auto"/>
        </w:rPr>
        <w:t>principal executive offices not earlier than the close of business on the 120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day, nor later than the close of business on the 90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day, prior to the first anniversary of the date of the preceding year’s annual meeting as first specified in the Company’s notice of meeting (without regard to any postponements or adjournments of such meeting after such notice was first sent), except that if no annual meeting was held in the previous year or the date of the annual meeting is more than 30 days earlier or later than such anniversary date, notice by the stockholders to be timely must be received at the Company’s principal executive offices not later than the close of business on the later of the 90th day prior to the annual meeting or the 10th day following the date on which public announcement of the date of such meeting is first made. For our 2026 Annual Meeting of Stockholders, stockholder nominations must be received not earlier than the close of business on Tuesday, February 10, 2026, and not later than the close of business on Thursday, March 12, 2026.</w:t>
      </w:r>
    </w:p>
    <w:p>
      <w:pPr>
        <w:spacing w:after="0" w:line="86" w:lineRule="exact"/>
        <w:rPr>
          <w:sz w:val="20"/>
          <w:szCs w:val="20"/>
          <w:color w:val="auto"/>
        </w:rPr>
      </w:pPr>
    </w:p>
    <w:p>
      <w:pPr>
        <w:ind w:left="40" w:right="59" w:firstLine="606"/>
        <w:spacing w:after="0" w:line="249" w:lineRule="auto"/>
        <w:rPr>
          <w:sz w:val="20"/>
          <w:szCs w:val="20"/>
          <w:color w:val="auto"/>
        </w:rPr>
      </w:pPr>
      <w:r>
        <w:rPr>
          <w:rFonts w:ascii="Times New Roman" w:cs="Times New Roman" w:eastAsia="Times New Roman" w:hAnsi="Times New Roman"/>
          <w:sz w:val="17"/>
          <w:szCs w:val="17"/>
          <w:color w:val="auto"/>
        </w:rPr>
        <w:t>Each submission must set forth: (i) the name and address of the stockholder who intends to make the nomination, or the beneficial owner, if any, on whose behalf the nomination is being made and of the person or persons to be nominated; (ii) a representation that the stockholder is a holder of record of stock of the Company entitled to vote for the election of directors on the date of such notice and intends to appear in person or by proxy at the meeting to nominate the person or persons specified in the notice; (iii) the following information regarding the ownership interests of the stockholder and such other beneficial owners, which shall be supplemented in writing by the stockholder not later than ten (10) days after the record date for notice of the meeting to disclose such interests as of such record date: (A) the class and number of shares of the Company that are owned beneficially and of record by the stockholder or any such beneficial owner; (B) any derivative instrument directly or indirectly owned beneficially by such stockholder or any such beneficial owner and any other direct or indirect opportunity to profit or share in any profit derived from any increase or decrease in the value of shares of the Company; (C) any proxy, contract, arrangement, understanding, or relationship pursuant to which such stockholder or any such beneficial owner has a right to vote any shares of any security of the Company; (D) any short interest in any security of the Company; (E) any rights to dividends on the shares of the Company owned beneficially by such stockholder or any such beneficial owner that are separated or separable from the underlying shares of the Company; (F) any proportionate interest in shares of the Company or derivative instruments held, directly or indirectly, by a general or limited partnership in which such stockholder or any such beneficial owner is a general partner or, directly or indirectly, beneficially owns an interest in a general partner; and (G) any performance-related fees (other than an asset-based fee) to which such stockholder or any such beneficial owner is entitled based on any increase or decrease in the value of shares of the Company or derivative instruments, if any, as of the date of such notice, including, without limitation, any such interests held by members of such stockholder’s or beneficial owner’s immediate family sharing the same household, (iv) a description of all arrangements or understandings between the stockholder or such beneficial owner and each nominee and any other person or persons (naming such person or persons) pursuant to which the nomination or nominations are to be made by the stockholder; (v) a description of all direct and indirect compensation and other material monetary agreements, arrangements and understandings during the past three</w:t>
      </w:r>
    </w:p>
    <w:p>
      <w:pPr>
        <w:spacing w:after="0" w:line="2" w:lineRule="exact"/>
        <w:rPr>
          <w:sz w:val="20"/>
          <w:szCs w:val="20"/>
          <w:color w:val="auto"/>
        </w:rPr>
      </w:pPr>
    </w:p>
    <w:p>
      <w:pPr>
        <w:ind w:left="40" w:right="119" w:firstLine="5"/>
        <w:spacing w:after="0" w:line="249" w:lineRule="auto"/>
        <w:tabs>
          <w:tab w:leader="none" w:pos="278"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years, and any other material relationships, between or among such stockholder and such other beneficial owner, if any, and their respective affiliates and associates, or others acting in concert therewith, on the one hand, and each proposed nominee, and his respective affiliates and associates, or others acting in concert therewith, on the other hand, including, without limitation all information that would be required to be disclosed pursuant to Rule 404 promulgated under Regulation S-K if the stockholder making the nomination and any beneficial owner on whose behalf the nomination is made, if any, or any affiliate or associate thereof or person acting in concert therewith, were the “registrant” for purposes of such rule and the nominee was a director or executive officer of such registrant, (vi) such other information regarding each nominee proposed by such stockholder as would be required to be included in a proxy statement filed pursuant to the proxy rules of the SEC, had the nominee been nominated, or intended to be nominated, by the Board of Directors; and (vii) the consent of each nominee to serve as a director of the Company if so elected.</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We did not receive any director nominations from stockholders for the Annual Meeting.</w:t>
      </w:r>
    </w:p>
    <w:p>
      <w:pPr>
        <w:spacing w:after="0" w:line="1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Annual Elections of Directors</w:t>
      </w:r>
    </w:p>
    <w:p>
      <w:pPr>
        <w:spacing w:after="0" w:line="112" w:lineRule="exact"/>
        <w:rPr>
          <w:sz w:val="20"/>
          <w:szCs w:val="20"/>
          <w:color w:val="auto"/>
        </w:rPr>
      </w:pPr>
    </w:p>
    <w:p>
      <w:pPr>
        <w:ind w:left="40" w:right="319" w:firstLine="606"/>
        <w:spacing w:after="0" w:line="255" w:lineRule="auto"/>
        <w:rPr>
          <w:sz w:val="20"/>
          <w:szCs w:val="20"/>
          <w:color w:val="auto"/>
        </w:rPr>
      </w:pPr>
      <w:r>
        <w:rPr>
          <w:rFonts w:ascii="Times New Roman" w:cs="Times New Roman" w:eastAsia="Times New Roman" w:hAnsi="Times New Roman"/>
          <w:sz w:val="17"/>
          <w:szCs w:val="17"/>
          <w:color w:val="auto"/>
        </w:rPr>
        <w:t>Our directors are elected each year at the annual meeting of stockholders to hold office until the next annual meeting of stockholders or the director’s earlier resignation or removal. Because term limits may cause the loss of experience and expertise important to the optimal operation of the Board, we currently do not impose limits on the number of terms a director may serve. The Nominating and Corporate Governance Committee, however, does evaluate the qualifications and performance of each incumbent director before recommending the nomination of that director for an additional term.</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335915</wp:posOffset>
            </wp:positionV>
            <wp:extent cx="5664835" cy="241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64835"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21" w:name="page22"/>
    <w:bookmarkEnd w:id="2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Policy on Majority Voting</w:t>
      </w:r>
    </w:p>
    <w:p>
      <w:pPr>
        <w:spacing w:after="0" w:line="112" w:lineRule="exact"/>
        <w:rPr>
          <w:sz w:val="20"/>
          <w:szCs w:val="20"/>
          <w:color w:val="auto"/>
        </w:rPr>
      </w:pPr>
    </w:p>
    <w:p>
      <w:pPr>
        <w:ind w:left="40" w:right="79" w:firstLine="606"/>
        <w:spacing w:after="0" w:line="250" w:lineRule="auto"/>
        <w:rPr>
          <w:sz w:val="20"/>
          <w:szCs w:val="20"/>
          <w:color w:val="auto"/>
        </w:rPr>
      </w:pPr>
      <w:r>
        <w:rPr>
          <w:rFonts w:ascii="Times New Roman" w:cs="Times New Roman" w:eastAsia="Times New Roman" w:hAnsi="Times New Roman"/>
          <w:sz w:val="17"/>
          <w:szCs w:val="17"/>
          <w:color w:val="auto"/>
        </w:rPr>
        <w:t>Pursuant to our bylaws, at any meeting of stockholders for the election of one or more directors at which a quorum is present, each director must be elected by the vote of a majority of the votes cast with respect to the director, provided that if the number of nominees exceeds the number of directors to be elected, the directors will be elected by the vote of a plurality of the votes cast by the stockholders entitled to vote at the election. For purposes of the foregoing, a majority of the votes cast means that the number of votes cast “for” a director exceeds the number of votes cast “against” that director. Under our Corporate Governance Principles and Practices, the Board may nominate for election or re-election as director only candidates who agree to execute, in connection with their nomination, irrevocable resignations that will be effective upon (1) the failure to receive a majority vote in an uncontested election at an annual meeting and (2) the Board’s acceptance of such resignation within ninety (90) days following certification of the stockholder vote. If a director then serving on the Board of Directors does not receive the required majority vote, the director must tender his or her resignation to the Board. Within ninety (90) days after the date of the certification of the election results, the Nominating and Corporate Governance Committee or other committee that may be designated by the Board will make a recommendation to the Board on whether to accept or reject the resignation, or whether other action should be taken, taking into account such factors as it deems relevant. Such factors may include the stated reasons why stockholders voted against such director’s reelection, the qualifications of the director and whether accepting the resignation would cause us to fail to meet any applicable listing standards or would violate state law. Within such ninety (90) day period, the Board will act on the committee’s recommendation and publicly disclose its decision and the rationale behind it.</w:t>
      </w:r>
    </w:p>
    <w:p>
      <w:pPr>
        <w:spacing w:after="0" w:line="78" w:lineRule="exact"/>
        <w:rPr>
          <w:sz w:val="20"/>
          <w:szCs w:val="20"/>
          <w:color w:val="auto"/>
        </w:rPr>
      </w:pPr>
    </w:p>
    <w:p>
      <w:pPr>
        <w:ind w:left="40" w:right="199" w:firstLine="606"/>
        <w:spacing w:after="0" w:line="255" w:lineRule="auto"/>
        <w:rPr>
          <w:sz w:val="20"/>
          <w:szCs w:val="20"/>
          <w:color w:val="auto"/>
        </w:rPr>
      </w:pPr>
      <w:r>
        <w:rPr>
          <w:rFonts w:ascii="Times New Roman" w:cs="Times New Roman" w:eastAsia="Times New Roman" w:hAnsi="Times New Roman"/>
          <w:sz w:val="17"/>
          <w:szCs w:val="17"/>
          <w:color w:val="auto"/>
        </w:rPr>
        <w:t>In addition, pursuant to our Corporate Governance Principles and Practices, a Board member, including the Chief Executive Officer, who ceases to be actively employed in his or her principal business or profession, or experiences other changed circumstances that could pose a conflict of interest, diminish his or her effectiveness as a Board member, or otherwise be detrimental to the Company, is expected to offer his or her resignation to the Board. The Board in its discretion will determine whether such member should continue to serve as a director for an unexpired term or any future terms.</w:t>
      </w:r>
    </w:p>
    <w:p>
      <w:pPr>
        <w:spacing w:after="0" w:line="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Compensation Committee Interlocks and Insider Participation</w:t>
      </w:r>
    </w:p>
    <w:p>
      <w:pPr>
        <w:spacing w:after="0" w:line="112" w:lineRule="exact"/>
        <w:rPr>
          <w:sz w:val="20"/>
          <w:szCs w:val="20"/>
          <w:color w:val="auto"/>
        </w:rPr>
      </w:pPr>
    </w:p>
    <w:p>
      <w:pPr>
        <w:ind w:left="40" w:right="479" w:firstLine="606"/>
        <w:spacing w:after="0" w:line="257" w:lineRule="auto"/>
        <w:rPr>
          <w:sz w:val="20"/>
          <w:szCs w:val="20"/>
          <w:color w:val="auto"/>
        </w:rPr>
      </w:pPr>
      <w:r>
        <w:rPr>
          <w:rFonts w:ascii="Times New Roman" w:cs="Times New Roman" w:eastAsia="Times New Roman" w:hAnsi="Times New Roman"/>
          <w:sz w:val="17"/>
          <w:szCs w:val="17"/>
          <w:color w:val="auto"/>
        </w:rPr>
        <w:t>During 2024, Mr. Henry, Ms. Ward, Ms. Keegan, Dr. Humphrey and Mr. Warren served as the members of our Compensation Committee. No executive officer serves, or in the past has served, as a member of the Board of Directors or Compensation Committee of any entity that has any of its executive officers serving as a member of our Board of Directors or Compensation Committee.</w:t>
      </w:r>
    </w:p>
    <w:p>
      <w:pPr>
        <w:spacing w:after="0" w:line="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Stockholder Communications with the Board of Directors</w:t>
      </w:r>
    </w:p>
    <w:p>
      <w:pPr>
        <w:spacing w:after="0" w:line="112" w:lineRule="exact"/>
        <w:rPr>
          <w:sz w:val="20"/>
          <w:szCs w:val="20"/>
          <w:color w:val="auto"/>
        </w:rPr>
      </w:pPr>
    </w:p>
    <w:p>
      <w:pPr>
        <w:ind w:left="40" w:right="99" w:firstLine="606"/>
        <w:spacing w:after="0" w:line="252" w:lineRule="auto"/>
        <w:rPr>
          <w:sz w:val="20"/>
          <w:szCs w:val="20"/>
          <w:color w:val="auto"/>
        </w:rPr>
      </w:pPr>
      <w:r>
        <w:rPr>
          <w:rFonts w:ascii="Times New Roman" w:cs="Times New Roman" w:eastAsia="Times New Roman" w:hAnsi="Times New Roman"/>
          <w:sz w:val="17"/>
          <w:szCs w:val="17"/>
          <w:color w:val="auto"/>
        </w:rPr>
        <w:t>Stockholders may communicate with any of our directors, including our lead independent director, the chair of any of the committees of the Board of Directors, or the non-management directors as a group by writing to them c/o Secretary, Grand Canyon Education, Inc., 2600 West Camelback Road, Phoenix, Arizona 85017. Please specify to whom your correspondence should be directed. The Secretary will promptly forward all correspondence to the Board of Directors or any specific director, as indicated in the correspondence, except for junk mail, mass mailings, job inquiries, surveys, business solicitations or advertisements, or patently offensive or otherwise inappropriate material. The Secretary may forward certain correspondence, such as product-related or service-related inquiries, elsewhere within the Company for review and possible response.</w:t>
      </w:r>
    </w:p>
    <w:p>
      <w:pPr>
        <w:spacing w:after="0" w:line="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Stock Ownership Policy</w:t>
      </w:r>
    </w:p>
    <w:p>
      <w:pPr>
        <w:spacing w:after="0" w:line="112" w:lineRule="exact"/>
        <w:rPr>
          <w:sz w:val="20"/>
          <w:szCs w:val="20"/>
          <w:color w:val="auto"/>
        </w:rPr>
      </w:pPr>
    </w:p>
    <w:p>
      <w:pPr>
        <w:ind w:left="40" w:right="239" w:firstLine="606"/>
        <w:spacing w:after="0" w:line="253" w:lineRule="auto"/>
        <w:rPr>
          <w:sz w:val="20"/>
          <w:szCs w:val="20"/>
          <w:color w:val="auto"/>
        </w:rPr>
      </w:pPr>
      <w:r>
        <w:rPr>
          <w:rFonts w:ascii="Times New Roman" w:cs="Times New Roman" w:eastAsia="Times New Roman" w:hAnsi="Times New Roman"/>
          <w:sz w:val="17"/>
          <w:szCs w:val="17"/>
          <w:color w:val="auto"/>
        </w:rPr>
        <w:t xml:space="preserve">The Board of Directors believes that each outside director and executive officer should develop a meaningful ownership position in the Company. Effective January 26, 2017, the Board of Directors adopted a stock ownership policy which included a stock ownership policy for our executive officers and an updated stock ownership policy for our outside directors. This policy, which is set forth in our Corporate Governance Principles and Practices and available on the Corporate Governance section of the Investor Relations page on our website at </w:t>
      </w:r>
      <w:r>
        <w:rPr>
          <w:rFonts w:ascii="Times New Roman" w:cs="Times New Roman" w:eastAsia="Times New Roman" w:hAnsi="Times New Roman"/>
          <w:sz w:val="17"/>
          <w:szCs w:val="17"/>
          <w:i w:val="1"/>
          <w:iCs w:val="1"/>
          <w:color w:val="auto"/>
        </w:rPr>
        <w:t>www.investors.gce.com</w:t>
      </w:r>
      <w:r>
        <w:rPr>
          <w:rFonts w:ascii="Times New Roman" w:cs="Times New Roman" w:eastAsia="Times New Roman" w:hAnsi="Times New Roman"/>
          <w:sz w:val="17"/>
          <w:szCs w:val="17"/>
          <w:color w:val="auto"/>
        </w:rPr>
        <w:t>, establishes the following ownership levels for each category of person covered by the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335915</wp:posOffset>
            </wp:positionV>
            <wp:extent cx="5664835" cy="241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64835"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22" w:name="page23"/>
    <w:bookmarkEnd w:id="2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950" w:type="dxa"/>
        <w:tblCellMar>
          <w:top w:w="0" w:type="dxa"/>
          <w:left w:w="0" w:type="dxa"/>
          <w:bottom w:w="0" w:type="dxa"/>
          <w:right w:w="0" w:type="dxa"/>
        </w:tblCellMar>
      </w:tblPr>
      <w:tr>
        <w:trPr>
          <w:trHeight w:val="215"/>
        </w:trPr>
        <w:tc>
          <w:tcPr>
            <w:tcW w:w="360" w:type="dxa"/>
            <w:vAlign w:val="bottom"/>
            <w:tcBorders>
              <w:top w:val="single" w:sz="8" w:color="auto"/>
              <w:left w:val="single" w:sz="8" w:color="auto"/>
            </w:tcBorders>
          </w:tcPr>
          <w:p>
            <w:pPr>
              <w:spacing w:after="0"/>
              <w:rPr>
                <w:sz w:val="18"/>
                <w:szCs w:val="18"/>
                <w:color w:val="auto"/>
              </w:rPr>
            </w:pPr>
          </w:p>
        </w:tc>
        <w:tc>
          <w:tcPr>
            <w:tcW w:w="32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Covered Person</w:t>
            </w:r>
          </w:p>
        </w:tc>
        <w:tc>
          <w:tcPr>
            <w:tcW w:w="180" w:type="dxa"/>
            <w:vAlign w:val="bottom"/>
            <w:tcBorders>
              <w:top w:val="single" w:sz="8" w:color="auto"/>
            </w:tcBorders>
          </w:tcPr>
          <w:p>
            <w:pPr>
              <w:spacing w:after="0"/>
              <w:rPr>
                <w:sz w:val="18"/>
                <w:szCs w:val="18"/>
                <w:color w:val="auto"/>
              </w:rPr>
            </w:pPr>
          </w:p>
        </w:tc>
        <w:tc>
          <w:tcPr>
            <w:tcW w:w="32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Required Salary Multiple</w:t>
            </w:r>
          </w:p>
        </w:tc>
        <w:tc>
          <w:tcPr>
            <w:tcW w:w="180" w:type="dxa"/>
            <w:vAlign w:val="bottom"/>
            <w:tcBorders>
              <w:top w:val="single" w:sz="8" w:color="auto"/>
              <w:right w:val="single" w:sz="8" w:color="auto"/>
            </w:tcBorders>
          </w:tcPr>
          <w:p>
            <w:pPr>
              <w:spacing w:after="0"/>
              <w:rPr>
                <w:sz w:val="18"/>
                <w:szCs w:val="18"/>
                <w:color w:val="auto"/>
              </w:rPr>
            </w:pPr>
          </w:p>
        </w:tc>
      </w:tr>
      <w:tr>
        <w:trPr>
          <w:trHeight w:val="321"/>
        </w:trPr>
        <w:tc>
          <w:tcPr>
            <w:tcW w:w="360" w:type="dxa"/>
            <w:vAlign w:val="bottom"/>
            <w:tcBorders>
              <w:left w:val="single" w:sz="8" w:color="auto"/>
            </w:tcBorders>
          </w:tcPr>
          <w:p>
            <w:pPr>
              <w:spacing w:after="0"/>
              <w:rPr>
                <w:sz w:val="24"/>
                <w:szCs w:val="24"/>
                <w:color w:val="auto"/>
              </w:rPr>
            </w:pPr>
          </w:p>
        </w:tc>
        <w:tc>
          <w:tcPr>
            <w:tcW w:w="33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w w:val="98"/>
              </w:rPr>
              <w:t>Chairman and Chief Executive Officer</w:t>
            </w:r>
          </w:p>
        </w:tc>
        <w:tc>
          <w:tcPr>
            <w:tcW w:w="3400" w:type="dxa"/>
            <w:vAlign w:val="bottom"/>
            <w:tcBorders>
              <w:right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7"/>
                <w:szCs w:val="17"/>
                <w:color w:val="auto"/>
                <w:w w:val="99"/>
              </w:rPr>
              <w:t>5x base salary</w:t>
            </w:r>
          </w:p>
        </w:tc>
      </w:tr>
      <w:tr>
        <w:trPr>
          <w:trHeight w:val="329"/>
        </w:trPr>
        <w:tc>
          <w:tcPr>
            <w:tcW w:w="360" w:type="dxa"/>
            <w:vAlign w:val="bottom"/>
            <w:tcBorders>
              <w:left w:val="single" w:sz="8" w:color="auto"/>
            </w:tcBorders>
          </w:tcPr>
          <w:p>
            <w:pPr>
              <w:spacing w:after="0"/>
              <w:rPr>
                <w:sz w:val="24"/>
                <w:szCs w:val="24"/>
                <w:color w:val="auto"/>
              </w:rPr>
            </w:pPr>
          </w:p>
        </w:tc>
        <w:tc>
          <w:tcPr>
            <w:tcW w:w="33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w w:val="98"/>
              </w:rPr>
              <w:t>All other Named Executive Officers</w:t>
            </w:r>
          </w:p>
        </w:tc>
        <w:tc>
          <w:tcPr>
            <w:tcW w:w="3400" w:type="dxa"/>
            <w:vAlign w:val="bottom"/>
            <w:tcBorders>
              <w:right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7"/>
                <w:szCs w:val="17"/>
                <w:color w:val="auto"/>
                <w:w w:val="99"/>
              </w:rPr>
              <w:t>3x base salary</w:t>
            </w:r>
          </w:p>
        </w:tc>
      </w:tr>
      <w:tr>
        <w:trPr>
          <w:trHeight w:val="313"/>
        </w:trPr>
        <w:tc>
          <w:tcPr>
            <w:tcW w:w="360" w:type="dxa"/>
            <w:vAlign w:val="bottom"/>
            <w:tcBorders>
              <w:left w:val="single" w:sz="8" w:color="auto"/>
            </w:tcBorders>
          </w:tcPr>
          <w:p>
            <w:pPr>
              <w:spacing w:after="0"/>
              <w:rPr>
                <w:sz w:val="24"/>
                <w:szCs w:val="24"/>
                <w:color w:val="auto"/>
              </w:rPr>
            </w:pPr>
          </w:p>
        </w:tc>
        <w:tc>
          <w:tcPr>
            <w:tcW w:w="3380" w:type="dxa"/>
            <w:vAlign w:val="bottom"/>
            <w:gridSpan w:val="2"/>
          </w:tcPr>
          <w:p>
            <w:pPr>
              <w:ind w:left="1180"/>
              <w:spacing w:after="0"/>
              <w:rPr>
                <w:sz w:val="20"/>
                <w:szCs w:val="20"/>
                <w:color w:val="auto"/>
              </w:rPr>
            </w:pPr>
            <w:r>
              <w:rPr>
                <w:rFonts w:ascii="Times New Roman" w:cs="Times New Roman" w:eastAsia="Times New Roman" w:hAnsi="Times New Roman"/>
                <w:sz w:val="17"/>
                <w:szCs w:val="17"/>
                <w:color w:val="auto"/>
              </w:rPr>
              <w:t>Outside Directors</w:t>
            </w:r>
          </w:p>
        </w:tc>
        <w:tc>
          <w:tcPr>
            <w:tcW w:w="3400" w:type="dxa"/>
            <w:vAlign w:val="bottom"/>
            <w:tcBorders>
              <w:right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7"/>
                <w:szCs w:val="17"/>
                <w:color w:val="auto"/>
                <w:w w:val="99"/>
              </w:rPr>
              <w:t>3x annual cash retainer (exclusive of any cash</w:t>
            </w:r>
          </w:p>
        </w:tc>
      </w:tr>
      <w:tr>
        <w:trPr>
          <w:trHeight w:val="202"/>
        </w:trPr>
        <w:tc>
          <w:tcPr>
            <w:tcW w:w="360" w:type="dxa"/>
            <w:vAlign w:val="bottom"/>
            <w:tcBorders>
              <w:left w:val="single" w:sz="8" w:color="auto"/>
            </w:tcBorders>
          </w:tcPr>
          <w:p>
            <w:pPr>
              <w:spacing w:after="0"/>
              <w:rPr>
                <w:sz w:val="17"/>
                <w:szCs w:val="17"/>
                <w:color w:val="auto"/>
              </w:rPr>
            </w:pPr>
          </w:p>
        </w:tc>
        <w:tc>
          <w:tcPr>
            <w:tcW w:w="3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0" w:type="dxa"/>
            <w:vAlign w:val="bottom"/>
            <w:tcBorders>
              <w:right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7"/>
                <w:szCs w:val="17"/>
                <w:color w:val="auto"/>
                <w:w w:val="98"/>
              </w:rPr>
              <w:t>retainer payable for service as lead director,</w:t>
            </w:r>
          </w:p>
        </w:tc>
      </w:tr>
      <w:tr>
        <w:trPr>
          <w:trHeight w:val="202"/>
        </w:trPr>
        <w:tc>
          <w:tcPr>
            <w:tcW w:w="360" w:type="dxa"/>
            <w:vAlign w:val="bottom"/>
            <w:tcBorders>
              <w:left w:val="single" w:sz="8" w:color="auto"/>
            </w:tcBorders>
          </w:tcPr>
          <w:p>
            <w:pPr>
              <w:spacing w:after="0"/>
              <w:rPr>
                <w:sz w:val="17"/>
                <w:szCs w:val="17"/>
                <w:color w:val="auto"/>
              </w:rPr>
            </w:pPr>
          </w:p>
        </w:tc>
        <w:tc>
          <w:tcPr>
            <w:tcW w:w="3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0" w:type="dxa"/>
            <w:vAlign w:val="bottom"/>
            <w:tcBorders>
              <w:right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7"/>
                <w:szCs w:val="17"/>
                <w:color w:val="auto"/>
                <w:w w:val="99"/>
              </w:rPr>
              <w:t>chairperson of the Board or any committee</w:t>
            </w:r>
          </w:p>
        </w:tc>
      </w:tr>
      <w:tr>
        <w:trPr>
          <w:trHeight w:val="218"/>
        </w:trPr>
        <w:tc>
          <w:tcPr>
            <w:tcW w:w="360" w:type="dxa"/>
            <w:vAlign w:val="bottom"/>
            <w:tcBorders>
              <w:left w:val="single" w:sz="8" w:color="auto"/>
              <w:bottom w:val="single" w:sz="8" w:color="auto"/>
            </w:tcBorders>
          </w:tcPr>
          <w:p>
            <w:pPr>
              <w:spacing w:after="0"/>
              <w:rPr>
                <w:sz w:val="18"/>
                <w:szCs w:val="18"/>
                <w:color w:val="auto"/>
              </w:rPr>
            </w:pPr>
          </w:p>
        </w:tc>
        <w:tc>
          <w:tcPr>
            <w:tcW w:w="3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400" w:type="dxa"/>
            <w:vAlign w:val="bottom"/>
            <w:tcBorders>
              <w:bottom w:val="single" w:sz="8" w:color="auto"/>
              <w:right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7"/>
                <w:szCs w:val="17"/>
                <w:color w:val="auto"/>
              </w:rPr>
              <w:t>thereof)</w:t>
            </w:r>
          </w:p>
        </w:tc>
      </w:tr>
    </w:tbl>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Under the policy, the following may be used in determining share ownership for purposes of the ownership requirement:</w:t>
      </w:r>
    </w:p>
    <w:p>
      <w:pPr>
        <w:spacing w:after="0" w:line="108" w:lineRule="exact"/>
        <w:rPr>
          <w:sz w:val="20"/>
          <w:szCs w:val="20"/>
          <w:color w:val="auto"/>
        </w:rPr>
      </w:pPr>
    </w:p>
    <w:p>
      <w:pPr>
        <w:ind w:left="980" w:right="379" w:hanging="303"/>
        <w:spacing w:after="0" w:line="262" w:lineRule="auto"/>
        <w:tabs>
          <w:tab w:leader="none" w:pos="98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owned directly (including shares acquired through open market purchases or acquired and held upon, or subject to, vesting of restricted stock, restricted stock units or performance-based awards, and shares received and held upon exercise of stock option awards);</w:t>
      </w:r>
    </w:p>
    <w:p>
      <w:pPr>
        <w:spacing w:after="0" w:line="67" w:lineRule="exact"/>
        <w:rPr>
          <w:rFonts w:ascii="Times New Roman" w:cs="Times New Roman" w:eastAsia="Times New Roman" w:hAnsi="Times New Roman"/>
          <w:sz w:val="17"/>
          <w:szCs w:val="17"/>
          <w:color w:val="auto"/>
        </w:rPr>
      </w:pPr>
    </w:p>
    <w:p>
      <w:pPr>
        <w:ind w:left="980" w:hanging="303"/>
        <w:spacing w:after="0"/>
        <w:tabs>
          <w:tab w:leader="none" w:pos="98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owned jointly with or separately by the director’s spouse;</w:t>
      </w:r>
    </w:p>
    <w:p>
      <w:pPr>
        <w:spacing w:after="0" w:line="107" w:lineRule="exact"/>
        <w:rPr>
          <w:rFonts w:ascii="Times New Roman" w:cs="Times New Roman" w:eastAsia="Times New Roman" w:hAnsi="Times New Roman"/>
          <w:sz w:val="17"/>
          <w:szCs w:val="17"/>
          <w:color w:val="auto"/>
        </w:rPr>
      </w:pPr>
    </w:p>
    <w:p>
      <w:pPr>
        <w:ind w:left="980" w:hanging="303"/>
        <w:spacing w:after="0"/>
        <w:tabs>
          <w:tab w:leader="none" w:pos="98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held in trust for the benefit of the Covered Person, or one or more family members of the Covered Person;</w:t>
      </w:r>
    </w:p>
    <w:p>
      <w:pPr>
        <w:spacing w:after="0" w:line="107" w:lineRule="exact"/>
        <w:rPr>
          <w:rFonts w:ascii="Times New Roman" w:cs="Times New Roman" w:eastAsia="Times New Roman" w:hAnsi="Times New Roman"/>
          <w:sz w:val="17"/>
          <w:szCs w:val="17"/>
          <w:color w:val="auto"/>
        </w:rPr>
      </w:pPr>
    </w:p>
    <w:p>
      <w:pPr>
        <w:ind w:left="980" w:hanging="303"/>
        <w:spacing w:after="0"/>
        <w:tabs>
          <w:tab w:leader="none" w:pos="98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held in qualified or nonqualified savings, profit-sharing, or deferred compensation accounts;</w:t>
      </w:r>
    </w:p>
    <w:p>
      <w:pPr>
        <w:spacing w:after="0" w:line="107" w:lineRule="exact"/>
        <w:rPr>
          <w:rFonts w:ascii="Times New Roman" w:cs="Times New Roman" w:eastAsia="Times New Roman" w:hAnsi="Times New Roman"/>
          <w:sz w:val="17"/>
          <w:szCs w:val="17"/>
          <w:color w:val="auto"/>
        </w:rPr>
      </w:pPr>
    </w:p>
    <w:p>
      <w:pPr>
        <w:ind w:left="980" w:right="159" w:hanging="303"/>
        <w:spacing w:after="0" w:line="275" w:lineRule="auto"/>
        <w:tabs>
          <w:tab w:leader="none" w:pos="98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underlying vested but unexercised stock options (based on the excess of the market price of the stock over the exercise price and after deducting any tax withholding obligations); and</w:t>
      </w:r>
    </w:p>
    <w:p>
      <w:pPr>
        <w:spacing w:after="0" w:line="57" w:lineRule="exact"/>
        <w:rPr>
          <w:rFonts w:ascii="Times New Roman" w:cs="Times New Roman" w:eastAsia="Times New Roman" w:hAnsi="Times New Roman"/>
          <w:sz w:val="17"/>
          <w:szCs w:val="17"/>
          <w:color w:val="auto"/>
        </w:rPr>
      </w:pPr>
    </w:p>
    <w:p>
      <w:pPr>
        <w:ind w:left="980" w:hanging="303"/>
        <w:spacing w:after="0"/>
        <w:tabs>
          <w:tab w:leader="none" w:pos="98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underlying vested but unexercised warrants.</w:t>
      </w:r>
    </w:p>
    <w:p>
      <w:pPr>
        <w:spacing w:after="0" w:line="108" w:lineRule="exact"/>
        <w:rPr>
          <w:sz w:val="20"/>
          <w:szCs w:val="20"/>
          <w:color w:val="auto"/>
        </w:rPr>
      </w:pPr>
    </w:p>
    <w:p>
      <w:pPr>
        <w:ind w:left="40" w:right="79" w:firstLine="606"/>
        <w:spacing w:after="0" w:line="252" w:lineRule="auto"/>
        <w:rPr>
          <w:sz w:val="20"/>
          <w:szCs w:val="20"/>
          <w:color w:val="auto"/>
        </w:rPr>
      </w:pPr>
      <w:r>
        <w:rPr>
          <w:rFonts w:ascii="Times New Roman" w:cs="Times New Roman" w:eastAsia="Times New Roman" w:hAnsi="Times New Roman"/>
          <w:sz w:val="17"/>
          <w:szCs w:val="17"/>
          <w:color w:val="auto"/>
        </w:rPr>
        <w:t>Each person covered by the policy is expected to achieve the target ownership threshold within five years of the date such person first becomes subject to the policy. The Compensation Committee will receive periodic reports of the ownership achieved by each covered person. Until such time as the covered person satisfies the share ownership requirement, the achievement level of share ownership will be determined by reference to the average closing stock price of the shares during the fiscal year ended immediately prior to the determination date. Once the share ownership requirement has been satisfied, future declines in share price will not impact the covered person’s compliance with this guideline, as long as the covered person holds the number of shares he or she had at the time he or she achieved the required ownership level. As of December 31, 2024, all persons covered by the policy were in compliance with the stock ownership requirements.</w:t>
      </w:r>
    </w:p>
    <w:p>
      <w:pPr>
        <w:spacing w:after="0" w:line="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Anti-Hedging and Anti-Pledging Policy</w:t>
      </w:r>
    </w:p>
    <w:p>
      <w:pPr>
        <w:spacing w:after="0" w:line="112" w:lineRule="exact"/>
        <w:rPr>
          <w:sz w:val="20"/>
          <w:szCs w:val="20"/>
          <w:color w:val="auto"/>
        </w:rPr>
      </w:pPr>
    </w:p>
    <w:p>
      <w:pPr>
        <w:ind w:left="40" w:right="79" w:firstLine="606"/>
        <w:spacing w:after="0" w:line="250" w:lineRule="auto"/>
        <w:rPr>
          <w:sz w:val="20"/>
          <w:szCs w:val="20"/>
          <w:color w:val="auto"/>
        </w:rPr>
      </w:pPr>
      <w:r>
        <w:rPr>
          <w:rFonts w:ascii="Times New Roman" w:cs="Times New Roman" w:eastAsia="Times New Roman" w:hAnsi="Times New Roman"/>
          <w:sz w:val="17"/>
          <w:szCs w:val="17"/>
          <w:color w:val="auto"/>
        </w:rPr>
        <w:t>We have an insider trading policy that includes restrictions and limitations on the ability of the Company’s directors, officers and employees to engage in transactions involving the hedging and pledging of Company stock. Under the policy, hedging or monetization transactions, such as zero-cost collars and forward sale contracts, which allow any person subject to such policy to lock in much of the value of his or her stock holdings, often in exchange for all or part of the potential for upside appreciation in the stock, and thus to continue to own Company stock without the full risks and rewards of ownership, are prohibited. In addition, the policy addresses the practices of holding Company stock in a margin account, under which the securities may be sold by the broker without the customer’s consent if the customer fails to meet a margin call, and of pledging Company stock as collateral for a loan, in which event the securities may be sold in foreclosure if the borrower defaults on the loan. Because a margin sale or foreclosure sale may occur at a time when the pledgor is aware of material nonpublic information or otherwise is not permitted to trade in Company securities, directors, officers and other employees of the Company are prohibited from holding Company securities in a margin account or pledging Company securities as collateral for a loan. An exception to this prohibition may be granted where a person wishes to pledge Company securities as collateral for a loan (not including margin debt) and clearly demonstrates the financial capacity to repay the loan without resort to the pledged securities. Any person wishing to enter into such an arrangement must first receive pre-approval for the proposed transaction from the Company’s compliance officer in accordance with the pre-approval procedures set forth in the policy.</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335915</wp:posOffset>
            </wp:positionV>
            <wp:extent cx="5664835" cy="241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64835"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23" w:name="page24"/>
    <w:bookmarkEnd w:id="2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Compensation of Directors</w:t>
      </w:r>
    </w:p>
    <w:p>
      <w:pPr>
        <w:spacing w:after="0" w:line="112" w:lineRule="exact"/>
        <w:rPr>
          <w:sz w:val="20"/>
          <w:szCs w:val="20"/>
          <w:color w:val="auto"/>
        </w:rPr>
      </w:pPr>
    </w:p>
    <w:p>
      <w:pPr>
        <w:ind w:left="40" w:right="59" w:firstLine="606"/>
        <w:spacing w:after="0" w:line="250" w:lineRule="auto"/>
        <w:rPr>
          <w:sz w:val="20"/>
          <w:szCs w:val="20"/>
          <w:color w:val="auto"/>
        </w:rPr>
      </w:pPr>
      <w:r>
        <w:rPr>
          <w:rFonts w:ascii="Times New Roman" w:cs="Times New Roman" w:eastAsia="Times New Roman" w:hAnsi="Times New Roman"/>
          <w:sz w:val="17"/>
          <w:szCs w:val="17"/>
          <w:color w:val="auto"/>
        </w:rPr>
        <w:t>We have a compensation program in place for our non-employee directors that utilizes annual retainers and restricted stock grants. New non-employee directors, upon appointment or election to the Board of Directors, receive an award of restricted stock under our equity incentive plan valued at $20,000 on the date of grant, which vests on the one-year anniversary of the date of grant, subject to accelerated vesting in the event of a change in control. For serving on the Board of Directors, our non-employee directors also receive an annual retainer of $50,000 in cash and an award of restricted stock under our equity incentive plan valued at $75,000 on the date of grant. The cash portion of the annual retainer is paid quarterly while the restricted stock grants to our non-employee directors are made after our annual meeting of stockholders each year and vest on the earlier of the one-year anniversary of the date of grant or immediately prior to the following year’s annual meeting of stockholders, subject to acceleration in the event of a change in control. In addition, our lead independent director receives an additional annual cash retainer of $33,333, each non-employee director receives an additional annual cash retainer for service on a Board committee of $5,000, and each committee chair receives an additional annual cash retainer of $10,000, except for the chair of the Audit Committee, whose additional annual cash retainer for service as chair is $15,000. We reimburse all of our directors for reasonable expenses incurred to attend our Board of Directors and committee meetings.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335915</wp:posOffset>
            </wp:positionV>
            <wp:extent cx="5664835" cy="241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64835"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24" w:name="page25"/>
    <w:bookmarkEnd w:id="2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2024 Director Compensation</w:t>
      </w:r>
    </w:p>
    <w:p>
      <w:pPr>
        <w:spacing w:after="0" w:line="112" w:lineRule="exact"/>
        <w:rPr>
          <w:sz w:val="20"/>
          <w:szCs w:val="20"/>
          <w:color w:val="auto"/>
        </w:rPr>
      </w:pPr>
    </w:p>
    <w:p>
      <w:pPr>
        <w:ind w:left="40" w:right="359" w:firstLine="606"/>
        <w:spacing w:after="0" w:line="275" w:lineRule="auto"/>
        <w:rPr>
          <w:sz w:val="20"/>
          <w:szCs w:val="20"/>
          <w:color w:val="auto"/>
        </w:rPr>
      </w:pPr>
      <w:r>
        <w:rPr>
          <w:rFonts w:ascii="Times New Roman" w:cs="Times New Roman" w:eastAsia="Times New Roman" w:hAnsi="Times New Roman"/>
          <w:sz w:val="17"/>
          <w:szCs w:val="17"/>
          <w:color w:val="auto"/>
        </w:rPr>
        <w:t>The following table provides information regarding the compensation paid to the persons who served as non-employee directors in 2024:</w:t>
      </w:r>
    </w:p>
    <w:p>
      <w:pPr>
        <w:spacing w:after="0" w:line="51"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900" w:type="dxa"/>
            <w:vAlign w:val="bottom"/>
          </w:tcPr>
          <w:p>
            <w:pPr>
              <w:spacing w:after="0"/>
              <w:rPr>
                <w:sz w:val="12"/>
                <w:szCs w:val="12"/>
                <w:color w:val="auto"/>
              </w:rPr>
            </w:pPr>
          </w:p>
        </w:tc>
        <w:tc>
          <w:tcPr>
            <w:tcW w:w="33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3"/>
                <w:szCs w:val="13"/>
                <w:b w:val="1"/>
                <w:bCs w:val="1"/>
                <w:color w:val="auto"/>
              </w:rPr>
              <w:t>Fees Earned or</w:t>
            </w:r>
          </w:p>
        </w:tc>
        <w:tc>
          <w:tcPr>
            <w:tcW w:w="140" w:type="dxa"/>
            <w:vAlign w:val="bottom"/>
          </w:tcPr>
          <w:p>
            <w:pPr>
              <w:spacing w:after="0"/>
              <w:rPr>
                <w:sz w:val="12"/>
                <w:szCs w:val="12"/>
                <w:color w:val="auto"/>
              </w:rPr>
            </w:pP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Stock Awards ($)</w:t>
            </w:r>
            <w:r>
              <w:rPr>
                <w:rFonts w:ascii="Times New Roman" w:cs="Times New Roman" w:eastAsia="Times New Roman" w:hAnsi="Times New Roman"/>
                <w:sz w:val="20"/>
                <w:szCs w:val="20"/>
                <w:b w:val="1"/>
                <w:bCs w:val="1"/>
                <w:color w:val="auto"/>
                <w:vertAlign w:val="superscript"/>
              </w:rPr>
              <w:t>(2)</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Total ($)</w:t>
            </w:r>
          </w:p>
        </w:tc>
        <w:tc>
          <w:tcPr>
            <w:tcW w:w="0" w:type="dxa"/>
            <w:vAlign w:val="bottom"/>
          </w:tcPr>
          <w:p>
            <w:pPr>
              <w:spacing w:after="0"/>
              <w:rPr>
                <w:sz w:val="1"/>
                <w:szCs w:val="1"/>
                <w:color w:val="auto"/>
              </w:rPr>
            </w:pPr>
          </w:p>
        </w:tc>
      </w:tr>
      <w:tr>
        <w:trPr>
          <w:trHeight w:val="164"/>
        </w:trPr>
        <w:tc>
          <w:tcPr>
            <w:tcW w:w="900" w:type="dxa"/>
            <w:vAlign w:val="bottom"/>
          </w:tcPr>
          <w:p>
            <w:pPr>
              <w:spacing w:after="0"/>
              <w:rPr>
                <w:sz w:val="14"/>
                <w:szCs w:val="14"/>
                <w:color w:val="auto"/>
              </w:rPr>
            </w:pPr>
          </w:p>
        </w:tc>
        <w:tc>
          <w:tcPr>
            <w:tcW w:w="33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spacing w:after="0" w:line="164" w:lineRule="exact"/>
              <w:rPr>
                <w:sz w:val="20"/>
                <w:szCs w:val="20"/>
                <w:color w:val="auto"/>
              </w:rPr>
            </w:pPr>
            <w:r>
              <w:rPr>
                <w:rFonts w:ascii="Times New Roman" w:cs="Times New Roman" w:eastAsia="Times New Roman" w:hAnsi="Times New Roman"/>
                <w:sz w:val="13"/>
                <w:szCs w:val="13"/>
                <w:b w:val="1"/>
                <w:bCs w:val="1"/>
                <w:color w:val="auto"/>
                <w:w w:val="99"/>
              </w:rPr>
              <w:t xml:space="preserve">Paid in Cash </w:t>
            </w:r>
            <w:r>
              <w:rPr>
                <w:rFonts w:ascii="Times New Roman" w:cs="Times New Roman" w:eastAsia="Times New Roman" w:hAnsi="Times New Roman"/>
                <w:sz w:val="13"/>
                <w:szCs w:val="13"/>
                <w:b w:val="1"/>
                <w:bCs w:val="1"/>
                <w:u w:val="single" w:color="auto"/>
                <w:color w:val="auto"/>
                <w:w w:val="99"/>
              </w:rPr>
              <w:t>($</w:t>
            </w:r>
            <w:r>
              <w:rPr>
                <w:rFonts w:ascii="Times New Roman" w:cs="Times New Roman" w:eastAsia="Times New Roman" w:hAnsi="Times New Roman"/>
                <w:sz w:val="13"/>
                <w:szCs w:val="13"/>
                <w:b w:val="1"/>
                <w:bCs w:val="1"/>
                <w:color w:val="auto"/>
                <w:w w:val="99"/>
              </w:rPr>
              <w:t>)</w:t>
            </w:r>
            <w:r>
              <w:rPr>
                <w:rFonts w:ascii="Times New Roman" w:cs="Times New Roman" w:eastAsia="Times New Roman" w:hAnsi="Times New Roman"/>
                <w:sz w:val="19"/>
                <w:szCs w:val="19"/>
                <w:b w:val="1"/>
                <w:bCs w:val="1"/>
                <w:color w:val="auto"/>
                <w:w w:val="99"/>
                <w:vertAlign w:val="superscript"/>
              </w:rPr>
              <w:t>(1)</w:t>
            </w: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900" w:type="dxa"/>
            <w:vAlign w:val="bottom"/>
          </w:tcPr>
          <w:p>
            <w:pPr>
              <w:spacing w:after="0"/>
              <w:rPr>
                <w:sz w:val="16"/>
                <w:szCs w:val="16"/>
                <w:color w:val="auto"/>
              </w:rPr>
            </w:pPr>
          </w:p>
        </w:tc>
        <w:tc>
          <w:tcPr>
            <w:tcW w:w="33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Sara Ward</w:t>
            </w: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98,333</w:t>
            </w:r>
          </w:p>
        </w:tc>
        <w:tc>
          <w:tcPr>
            <w:tcW w:w="1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jc w:val="right"/>
              <w:ind w:right="24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75,000</w:t>
            </w:r>
          </w:p>
        </w:tc>
        <w:tc>
          <w:tcPr>
            <w:tcW w:w="1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173,333</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900" w:type="dxa"/>
            <w:vAlign w:val="bottom"/>
          </w:tcPr>
          <w:p>
            <w:pPr>
              <w:spacing w:after="0"/>
              <w:rPr>
                <w:sz w:val="17"/>
                <w:szCs w:val="17"/>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Jack A. Henry</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80,000</w:t>
            </w:r>
          </w:p>
        </w:tc>
        <w:tc>
          <w:tcPr>
            <w:tcW w:w="540" w:type="dxa"/>
            <w:vAlign w:val="bottom"/>
            <w:gridSpan w:val="2"/>
          </w:tcPr>
          <w:p>
            <w:pPr>
              <w:jc w:val="right"/>
              <w:ind w:right="24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75,000</w:t>
            </w:r>
          </w:p>
        </w:tc>
        <w:tc>
          <w:tcPr>
            <w:tcW w:w="320" w:type="dxa"/>
            <w:vAlign w:val="bottom"/>
            <w:gridSpan w:val="2"/>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900" w:type="dxa"/>
            <w:vAlign w:val="bottom"/>
          </w:tcPr>
          <w:p>
            <w:pPr>
              <w:spacing w:after="0"/>
              <w:rPr>
                <w:sz w:val="17"/>
                <w:szCs w:val="17"/>
                <w:color w:val="auto"/>
              </w:rPr>
            </w:pPr>
          </w:p>
        </w:tc>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Lisa Graham Keegan</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75,000</w:t>
            </w:r>
          </w:p>
        </w:tc>
        <w:tc>
          <w:tcPr>
            <w:tcW w:w="540" w:type="dxa"/>
            <w:vAlign w:val="bottom"/>
            <w:gridSpan w:val="2"/>
            <w:shd w:val="clear" w:color="auto" w:fill="CCEEFF"/>
          </w:tcPr>
          <w:p>
            <w:pPr>
              <w:jc w:val="right"/>
              <w:ind w:right="24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75,000</w:t>
            </w:r>
          </w:p>
        </w:tc>
        <w:tc>
          <w:tcPr>
            <w:tcW w:w="32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900" w:type="dxa"/>
            <w:vAlign w:val="bottom"/>
          </w:tcPr>
          <w:p>
            <w:pPr>
              <w:spacing w:after="0"/>
              <w:rPr>
                <w:sz w:val="17"/>
                <w:szCs w:val="17"/>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Chevy Humphrey</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75,000</w:t>
            </w:r>
          </w:p>
        </w:tc>
        <w:tc>
          <w:tcPr>
            <w:tcW w:w="540" w:type="dxa"/>
            <w:vAlign w:val="bottom"/>
            <w:gridSpan w:val="2"/>
          </w:tcPr>
          <w:p>
            <w:pPr>
              <w:jc w:val="right"/>
              <w:ind w:right="24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75,000</w:t>
            </w:r>
          </w:p>
        </w:tc>
        <w:tc>
          <w:tcPr>
            <w:tcW w:w="320" w:type="dxa"/>
            <w:vAlign w:val="bottom"/>
            <w:gridSpan w:val="2"/>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900" w:type="dxa"/>
            <w:vAlign w:val="bottom"/>
          </w:tcPr>
          <w:p>
            <w:pPr>
              <w:spacing w:after="0"/>
              <w:rPr>
                <w:sz w:val="17"/>
                <w:szCs w:val="17"/>
                <w:color w:val="auto"/>
              </w:rPr>
            </w:pPr>
          </w:p>
        </w:tc>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Kevin F. Warren</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32,500</w:t>
            </w:r>
          </w:p>
        </w:tc>
        <w:tc>
          <w:tcPr>
            <w:tcW w:w="540" w:type="dxa"/>
            <w:vAlign w:val="bottom"/>
            <w:gridSpan w:val="2"/>
            <w:shd w:val="clear" w:color="auto" w:fill="CCEEFF"/>
          </w:tcPr>
          <w:p>
            <w:pPr>
              <w:jc w:val="right"/>
              <w:ind w:right="24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95,000</w:t>
            </w:r>
          </w:p>
        </w:tc>
        <w:tc>
          <w:tcPr>
            <w:tcW w:w="32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127,500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6"/>
        </w:trPr>
        <w:tc>
          <w:tcPr>
            <w:tcW w:w="90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1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40" w:right="99" w:firstLine="606"/>
        <w:spacing w:after="0" w:line="262" w:lineRule="auto"/>
        <w:rPr>
          <w:sz w:val="20"/>
          <w:szCs w:val="20"/>
          <w:color w:val="auto"/>
        </w:rPr>
      </w:pPr>
      <w:r>
        <w:rPr>
          <w:rFonts w:ascii="Times New Roman" w:cs="Times New Roman" w:eastAsia="Times New Roman" w:hAnsi="Times New Roman"/>
          <w:sz w:val="17"/>
          <w:szCs w:val="17"/>
          <w:color w:val="auto"/>
        </w:rPr>
        <w:t>The following table provides a breakdown of the cash compensation paid to our non-employee directors in 2024 in respect of their annual retainers for service on the Board of Directors, for service on Board committees, and for services as a Board committee chair or as lead independent director:</w:t>
      </w:r>
    </w:p>
    <w:p>
      <w:pPr>
        <w:spacing w:after="0" w:line="62" w:lineRule="exact"/>
        <w:rPr>
          <w:sz w:val="20"/>
          <w:szCs w:val="20"/>
          <w:color w:val="auto"/>
        </w:rPr>
      </w:pPr>
    </w:p>
    <w:tbl>
      <w:tblPr>
        <w:tblLayout w:type="fixed"/>
        <w:tblInd w:w="940" w:type="dxa"/>
        <w:tblCellMar>
          <w:top w:w="0" w:type="dxa"/>
          <w:left w:w="0" w:type="dxa"/>
          <w:bottom w:w="0" w:type="dxa"/>
          <w:right w:w="0" w:type="dxa"/>
        </w:tblCellMar>
      </w:tblPr>
      <w:tr>
        <w:trPr>
          <w:trHeight w:val="149"/>
        </w:trPr>
        <w:tc>
          <w:tcPr>
            <w:tcW w:w="2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restart"/>
          </w:tcPr>
          <w:p>
            <w:pPr>
              <w:jc w:val="right"/>
              <w:ind w:right="201"/>
              <w:spacing w:after="0"/>
              <w:rPr>
                <w:sz w:val="20"/>
                <w:szCs w:val="20"/>
                <w:color w:val="auto"/>
              </w:rPr>
            </w:pPr>
            <w:r>
              <w:rPr>
                <w:rFonts w:ascii="Times New Roman" w:cs="Times New Roman" w:eastAsia="Times New Roman" w:hAnsi="Times New Roman"/>
                <w:sz w:val="13"/>
                <w:szCs w:val="13"/>
                <w:b w:val="1"/>
                <w:bCs w:val="1"/>
                <w:color w:val="auto"/>
              </w:rPr>
              <w:t>Board of</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restart"/>
          </w:tcPr>
          <w:p>
            <w:pPr>
              <w:jc w:val="center"/>
              <w:ind w:right="81"/>
              <w:spacing w:after="0"/>
              <w:rPr>
                <w:sz w:val="20"/>
                <w:szCs w:val="20"/>
                <w:color w:val="auto"/>
              </w:rPr>
            </w:pPr>
            <w:r>
              <w:rPr>
                <w:rFonts w:ascii="Times New Roman" w:cs="Times New Roman" w:eastAsia="Times New Roman" w:hAnsi="Times New Roman"/>
                <w:sz w:val="13"/>
                <w:szCs w:val="13"/>
                <w:b w:val="1"/>
                <w:bCs w:val="1"/>
                <w:color w:val="auto"/>
                <w:w w:val="97"/>
              </w:rPr>
              <w:t>Board</w:t>
            </w:r>
          </w:p>
        </w:tc>
        <w:tc>
          <w:tcPr>
            <w:tcW w:w="14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Committee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3"/>
              <w:spacing w:after="0" w:line="139" w:lineRule="exact"/>
              <w:rPr>
                <w:sz w:val="20"/>
                <w:szCs w:val="20"/>
                <w:color w:val="auto"/>
              </w:rPr>
            </w:pPr>
            <w:r>
              <w:rPr>
                <w:rFonts w:ascii="Times New Roman" w:cs="Times New Roman" w:eastAsia="Times New Roman" w:hAnsi="Times New Roman"/>
                <w:sz w:val="13"/>
                <w:szCs w:val="13"/>
                <w:b w:val="1"/>
                <w:bCs w:val="1"/>
                <w:color w:val="auto"/>
              </w:rPr>
              <w:t>Chair</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0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80" w:type="dxa"/>
            <w:vAlign w:val="bottom"/>
          </w:tcPr>
          <w:p>
            <w:pPr>
              <w:spacing w:after="0"/>
              <w:rPr>
                <w:sz w:val="12"/>
                <w:szCs w:val="12"/>
                <w:color w:val="auto"/>
              </w:rPr>
            </w:pPr>
          </w:p>
        </w:tc>
        <w:tc>
          <w:tcPr>
            <w:tcW w:w="880" w:type="dxa"/>
            <w:vAlign w:val="bottom"/>
          </w:tcPr>
          <w:p>
            <w:pPr>
              <w:jc w:val="right"/>
              <w:ind w:right="181"/>
              <w:spacing w:after="0" w:line="139" w:lineRule="exact"/>
              <w:rPr>
                <w:sz w:val="20"/>
                <w:szCs w:val="20"/>
                <w:color w:val="auto"/>
              </w:rPr>
            </w:pPr>
            <w:r>
              <w:rPr>
                <w:rFonts w:ascii="Times New Roman" w:cs="Times New Roman" w:eastAsia="Times New Roman" w:hAnsi="Times New Roman"/>
                <w:sz w:val="13"/>
                <w:szCs w:val="13"/>
                <w:b w:val="1"/>
                <w:bCs w:val="1"/>
                <w:color w:val="auto"/>
              </w:rPr>
              <w:t>Directors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81"/>
              <w:spacing w:after="0" w:line="139" w:lineRule="exact"/>
              <w:rPr>
                <w:sz w:val="20"/>
                <w:szCs w:val="20"/>
                <w:color w:val="auto"/>
              </w:rPr>
            </w:pPr>
            <w:r>
              <w:rPr>
                <w:rFonts w:ascii="Times New Roman" w:cs="Times New Roman" w:eastAsia="Times New Roman" w:hAnsi="Times New Roman"/>
                <w:sz w:val="13"/>
                <w:szCs w:val="13"/>
                <w:b w:val="1"/>
                <w:bCs w:val="1"/>
                <w:color w:val="auto"/>
              </w:rPr>
              <w:t>Committee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3"/>
              <w:spacing w:after="0" w:line="139" w:lineRule="exact"/>
              <w:rPr>
                <w:sz w:val="20"/>
                <w:szCs w:val="20"/>
                <w:color w:val="auto"/>
              </w:rPr>
            </w:pPr>
            <w:r>
              <w:rPr>
                <w:rFonts w:ascii="Times New Roman" w:cs="Times New Roman" w:eastAsia="Times New Roman" w:hAnsi="Times New Roman"/>
                <w:sz w:val="13"/>
                <w:szCs w:val="13"/>
                <w:b w:val="1"/>
                <w:bCs w:val="1"/>
                <w:color w:val="auto"/>
              </w:rPr>
              <w:t>Annual</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3"/>
        </w:trPr>
        <w:tc>
          <w:tcPr>
            <w:tcW w:w="3040" w:type="dxa"/>
            <w:vAlign w:val="bottom"/>
            <w:gridSpan w:val="2"/>
            <w:vMerge w:val="continue"/>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Annual Retainer</w:t>
            </w:r>
          </w:p>
        </w:tc>
        <w:tc>
          <w:tcPr>
            <w:tcW w:w="14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Annual Retainers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ind w:right="3"/>
              <w:spacing w:after="0"/>
              <w:rPr>
                <w:sz w:val="20"/>
                <w:szCs w:val="20"/>
                <w:color w:val="auto"/>
              </w:rPr>
            </w:pPr>
            <w:r>
              <w:rPr>
                <w:rFonts w:ascii="Times New Roman" w:cs="Times New Roman" w:eastAsia="Times New Roman" w:hAnsi="Times New Roman"/>
                <w:sz w:val="13"/>
                <w:szCs w:val="13"/>
                <w:b w:val="1"/>
                <w:bCs w:val="1"/>
                <w:color w:val="auto"/>
              </w:rPr>
              <w:t>Retainer</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900" w:type="dxa"/>
            <w:vAlign w:val="bottom"/>
            <w:tcBorders>
              <w:top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5"/>
                <w:szCs w:val="15"/>
                <w:color w:val="auto"/>
              </w:rPr>
              <w:t>Sara Ward</w:t>
            </w:r>
            <w:r>
              <w:rPr>
                <w:rFonts w:ascii="Times New Roman" w:cs="Times New Roman" w:eastAsia="Times New Roman" w:hAnsi="Times New Roman"/>
                <w:sz w:val="22"/>
                <w:szCs w:val="22"/>
                <w:color w:val="auto"/>
                <w:vertAlign w:val="superscript"/>
              </w:rPr>
              <w:t>(1)</w:t>
            </w:r>
          </w:p>
        </w:tc>
        <w:tc>
          <w:tcPr>
            <w:tcW w:w="1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50,000</w:t>
            </w: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15,000</w:t>
            </w: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33,333</w:t>
            </w: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98,333</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Jack A. Henry</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50,000</w:t>
            </w:r>
          </w:p>
        </w:tc>
        <w:tc>
          <w:tcPr>
            <w:tcW w:w="300" w:type="dxa"/>
            <w:vAlign w:val="bottom"/>
            <w:gridSpan w:val="2"/>
          </w:tcPr>
          <w:p>
            <w:pPr>
              <w:jc w:val="right"/>
              <w:ind w:right="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80,000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Lisa Graham Keegan</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50,000</w:t>
            </w:r>
          </w:p>
        </w:tc>
        <w:tc>
          <w:tcPr>
            <w:tcW w:w="30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75,000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Chevy Humphrey</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50,000</w:t>
            </w:r>
          </w:p>
        </w:tc>
        <w:tc>
          <w:tcPr>
            <w:tcW w:w="300" w:type="dxa"/>
            <w:vAlign w:val="bottom"/>
            <w:gridSpan w:val="2"/>
          </w:tcPr>
          <w:p>
            <w:pPr>
              <w:jc w:val="right"/>
              <w:ind w:right="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75,000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04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6"/>
                <w:szCs w:val="16"/>
                <w:color w:val="auto"/>
              </w:rPr>
              <w:t>Kevin F. Warren</w:t>
            </w:r>
            <w:r>
              <w:rPr>
                <w:rFonts w:ascii="Times New Roman" w:cs="Times New Roman" w:eastAsia="Times New Roman" w:hAnsi="Times New Roman"/>
                <w:sz w:val="23"/>
                <w:szCs w:val="23"/>
                <w:color w:val="auto"/>
                <w:vertAlign w:val="superscript"/>
              </w:rPr>
              <w:t>(3)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25,000</w:t>
            </w:r>
          </w:p>
        </w:tc>
        <w:tc>
          <w:tcPr>
            <w:tcW w:w="30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32,500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ind w:left="680" w:right="499" w:hanging="307"/>
        <w:spacing w:after="0" w:line="255" w:lineRule="auto"/>
        <w:tabs>
          <w:tab w:leader="none" w:pos="68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The amount for Ms. Ward includes the additional annual retainer of $33,333 that she received in her capacity as lead independent director.</w:t>
      </w:r>
    </w:p>
    <w:p>
      <w:pPr>
        <w:spacing w:after="0" w:line="73" w:lineRule="exact"/>
        <w:rPr>
          <w:rFonts w:ascii="Times New Roman" w:cs="Times New Roman" w:eastAsia="Times New Roman" w:hAnsi="Times New Roman"/>
          <w:sz w:val="15"/>
          <w:szCs w:val="15"/>
          <w:color w:val="auto"/>
        </w:rPr>
      </w:pPr>
    </w:p>
    <w:p>
      <w:pPr>
        <w:ind w:left="680" w:right="79" w:hanging="307"/>
        <w:spacing w:after="0" w:line="268" w:lineRule="auto"/>
        <w:tabs>
          <w:tab w:leader="none" w:pos="6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Represents the aggregate grant date fair value of the shares of restricted stock granted during the fiscal year as computed in accordance with ASC 718. Mr. Warren upon his appointment to the Board of Directors received an initial grant of restricted stock with the number of shares granted determined by dividing the grant date value of the award, $20,000, by $128.88, the closing price of the Company’s common stock on April 24, 2024, the date of grant, rounded up to the nearest whole share. These shares vested on the one-year anniversary from the date of grant. Each director, including Mr. Warren, received an annual grant of restricted stock with the number of shares granted determined by dividing the grant date value of the award, $75,000, by $139.72, the closing price of the Company’s common stock on June 12, 2024, the date of grant, rounded up to the nearest whole share. Each director held 537 unvested shares at December 31, 2024, except for Mr. Warren who held 693 unvested shares. All unvested shares will vest on the earlier of the one-year anniversary of the date of grant or immediately prior to the Annual Meeting, subject to accelerated vesting upon a change in control.</w:t>
      </w:r>
    </w:p>
    <w:p>
      <w:pPr>
        <w:spacing w:after="0" w:line="68" w:lineRule="exact"/>
        <w:rPr>
          <w:rFonts w:ascii="Times New Roman" w:cs="Times New Roman" w:eastAsia="Times New Roman" w:hAnsi="Times New Roman"/>
          <w:sz w:val="14"/>
          <w:szCs w:val="14"/>
          <w:color w:val="auto"/>
        </w:rPr>
      </w:pPr>
    </w:p>
    <w:p>
      <w:pPr>
        <w:ind w:left="680" w:right="499" w:hanging="307"/>
        <w:spacing w:after="0" w:line="275" w:lineRule="auto"/>
        <w:tabs>
          <w:tab w:leader="none" w:pos="68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Mr. Kevin F. Warren was appointed to the Board of Directors on April 24, 2024 and thus his cash compensation was prorated based on his appointment date.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335915</wp:posOffset>
            </wp:positionV>
            <wp:extent cx="5664835" cy="241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64835"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25" w:name="page26"/>
    <w:bookmarkEnd w:id="2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70" w:type="dxa"/>
        <w:tblCellMar>
          <w:top w:w="0" w:type="dxa"/>
          <w:left w:w="0" w:type="dxa"/>
          <w:bottom w:w="0" w:type="dxa"/>
          <w:right w:w="0" w:type="dxa"/>
        </w:tblCellMar>
      </w:tblPr>
      <w:tr>
        <w:trPr>
          <w:trHeight w:val="202"/>
        </w:trPr>
        <w:tc>
          <w:tcPr>
            <w:tcW w:w="4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6460" w:type="dxa"/>
            <w:vAlign w:val="bottom"/>
          </w:tcPr>
          <w:p>
            <w:pPr>
              <w:ind w:left="1300"/>
              <w:spacing w:after="0"/>
              <w:rPr>
                <w:sz w:val="20"/>
                <w:szCs w:val="20"/>
                <w:color w:val="auto"/>
              </w:rPr>
            </w:pPr>
            <w:r>
              <w:rPr>
                <w:rFonts w:ascii="Times New Roman" w:cs="Times New Roman" w:eastAsia="Times New Roman" w:hAnsi="Times New Roman"/>
                <w:sz w:val="17"/>
                <w:szCs w:val="17"/>
                <w:b w:val="1"/>
                <w:bCs w:val="1"/>
                <w:color w:val="auto"/>
              </w:rPr>
              <w:t>PROPOSAL NO. 1</w:t>
            </w:r>
          </w:p>
        </w:tc>
      </w:tr>
      <w:tr>
        <w:trPr>
          <w:trHeight w:val="222"/>
        </w:trPr>
        <w:tc>
          <w:tcPr>
            <w:tcW w:w="4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6460" w:type="dxa"/>
            <w:vAlign w:val="bottom"/>
          </w:tcPr>
          <w:p>
            <w:pPr>
              <w:ind w:left="880"/>
              <w:spacing w:after="0"/>
              <w:rPr>
                <w:sz w:val="20"/>
                <w:szCs w:val="20"/>
                <w:color w:val="auto"/>
              </w:rPr>
            </w:pPr>
            <w:r>
              <w:rPr>
                <w:rFonts w:ascii="Times New Roman" w:cs="Times New Roman" w:eastAsia="Times New Roman" w:hAnsi="Times New Roman"/>
                <w:sz w:val="17"/>
                <w:szCs w:val="17"/>
                <w:b w:val="1"/>
                <w:bCs w:val="1"/>
                <w:color w:val="auto"/>
              </w:rPr>
              <w:t>ELECTION OF DIRECTORS</w:t>
            </w:r>
          </w:p>
        </w:tc>
      </w:tr>
      <w:tr>
        <w:trPr>
          <w:trHeight w:val="203"/>
        </w:trPr>
        <w:tc>
          <w:tcPr>
            <w:tcW w:w="2460" w:type="dxa"/>
            <w:vAlign w:val="bottom"/>
            <w:tcBorders>
              <w:bottom w:val="single" w:sz="8" w:color="auto"/>
            </w:tcBorders>
            <w:gridSpan w:val="2"/>
          </w:tcPr>
          <w:p>
            <w:pPr>
              <w:spacing w:after="0"/>
              <w:rPr>
                <w:sz w:val="17"/>
                <w:szCs w:val="17"/>
                <w:color w:val="auto"/>
              </w:rPr>
            </w:pPr>
          </w:p>
        </w:tc>
        <w:tc>
          <w:tcPr>
            <w:tcW w:w="6460" w:type="dxa"/>
            <w:vAlign w:val="bottom"/>
            <w:tcBorders>
              <w:bottom w:val="single" w:sz="8" w:color="auto"/>
            </w:tcBorders>
          </w:tcPr>
          <w:p>
            <w:pPr>
              <w:spacing w:after="0"/>
              <w:rPr>
                <w:sz w:val="17"/>
                <w:szCs w:val="17"/>
                <w:color w:val="auto"/>
              </w:rPr>
            </w:pPr>
          </w:p>
        </w:tc>
      </w:tr>
      <w:tr>
        <w:trPr>
          <w:trHeight w:val="249"/>
        </w:trPr>
        <w:tc>
          <w:tcPr>
            <w:tcW w:w="2460" w:type="dxa"/>
            <w:vAlign w:val="bottom"/>
            <w:tcBorders>
              <w:left w:val="single" w:sz="8" w:color="auto"/>
            </w:tcBorders>
            <w:gridSpan w:val="2"/>
          </w:tcPr>
          <w:p>
            <w:pPr>
              <w:ind w:left="180"/>
              <w:spacing w:after="0" w:line="196" w:lineRule="exact"/>
              <w:rPr>
                <w:sz w:val="20"/>
                <w:szCs w:val="20"/>
                <w:color w:val="auto"/>
              </w:rPr>
            </w:pPr>
            <w:r>
              <w:rPr>
                <w:rFonts w:ascii="MS PGothic" w:cs="MS PGothic" w:eastAsia="MS PGothic" w:hAnsi="MS PGothic"/>
                <w:sz w:val="15"/>
                <w:szCs w:val="15"/>
                <w:color w:val="auto"/>
              </w:rPr>
              <w:t>☐</w:t>
            </w:r>
            <w:r>
              <w:rPr>
                <w:rFonts w:ascii="Times New Roman" w:cs="Times New Roman" w:eastAsia="Times New Roman" w:hAnsi="Times New Roman"/>
                <w:sz w:val="17"/>
                <w:szCs w:val="17"/>
                <w:b w:val="1"/>
                <w:bCs w:val="1"/>
                <w:i w:val="1"/>
                <w:iCs w:val="1"/>
                <w:color w:val="auto"/>
              </w:rPr>
              <w:t xml:space="preserve">  What am I voting on?</w:t>
            </w:r>
          </w:p>
        </w:tc>
        <w:tc>
          <w:tcPr>
            <w:tcW w:w="64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7"/>
                <w:szCs w:val="17"/>
                <w:color w:val="auto"/>
              </w:rPr>
              <w:t>Stockholders are being asked to elect six directors to serve for a one-year term.</w:t>
            </w:r>
          </w:p>
        </w:tc>
      </w:tr>
      <w:tr>
        <w:trPr>
          <w:trHeight w:val="333"/>
        </w:trPr>
        <w:tc>
          <w:tcPr>
            <w:tcW w:w="420" w:type="dxa"/>
            <w:vAlign w:val="bottom"/>
            <w:tcBorders>
              <w:left w:val="single" w:sz="8" w:color="auto"/>
            </w:tcBorders>
          </w:tcPr>
          <w:p>
            <w:pPr>
              <w:ind w:left="180"/>
              <w:spacing w:after="0" w:line="151" w:lineRule="exact"/>
              <w:rPr>
                <w:sz w:val="20"/>
                <w:szCs w:val="20"/>
                <w:color w:val="auto"/>
              </w:rPr>
            </w:pPr>
            <w:r>
              <w:rPr>
                <w:rFonts w:ascii="MS PGothic" w:cs="MS PGothic" w:eastAsia="MS PGothic" w:hAnsi="MS PGothic"/>
                <w:sz w:val="15"/>
                <w:szCs w:val="15"/>
                <w:color w:val="auto"/>
              </w:rPr>
              <w:t>☐</w:t>
            </w:r>
          </w:p>
        </w:tc>
        <w:tc>
          <w:tcPr>
            <w:tcW w:w="2040" w:type="dxa"/>
            <w:vAlign w:val="bottom"/>
          </w:tcPr>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Voting recommendation:</w:t>
            </w:r>
          </w:p>
        </w:tc>
        <w:tc>
          <w:tcPr>
            <w:tcW w:w="64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7"/>
                <w:szCs w:val="17"/>
                <w:color w:val="auto"/>
                <w:w w:val="99"/>
              </w:rPr>
              <w:t>Our Board of Directors unanimously recommends that you vote “</w:t>
            </w:r>
            <w:r>
              <w:rPr>
                <w:rFonts w:ascii="Times New Roman" w:cs="Times New Roman" w:eastAsia="Times New Roman" w:hAnsi="Times New Roman"/>
                <w:sz w:val="17"/>
                <w:szCs w:val="17"/>
                <w:b w:val="1"/>
                <w:bCs w:val="1"/>
                <w:color w:val="auto"/>
                <w:w w:val="99"/>
              </w:rPr>
              <w:t>FOR</w:t>
            </w:r>
            <w:r>
              <w:rPr>
                <w:rFonts w:ascii="Times New Roman" w:cs="Times New Roman" w:eastAsia="Times New Roman" w:hAnsi="Times New Roman"/>
                <w:sz w:val="17"/>
                <w:szCs w:val="17"/>
                <w:color w:val="auto"/>
                <w:w w:val="99"/>
              </w:rPr>
              <w:t>” the election of each</w:t>
            </w:r>
          </w:p>
        </w:tc>
      </w:tr>
      <w:tr>
        <w:trPr>
          <w:trHeight w:val="202"/>
        </w:trPr>
        <w:tc>
          <w:tcPr>
            <w:tcW w:w="420" w:type="dxa"/>
            <w:vAlign w:val="bottom"/>
            <w:tcBorders>
              <w:left w:val="single" w:sz="8" w:color="auto"/>
            </w:tcBorders>
          </w:tcPr>
          <w:p>
            <w:pPr>
              <w:spacing w:after="0"/>
              <w:rPr>
                <w:sz w:val="17"/>
                <w:szCs w:val="17"/>
                <w:color w:val="auto"/>
              </w:rPr>
            </w:pPr>
          </w:p>
        </w:tc>
        <w:tc>
          <w:tcPr>
            <w:tcW w:w="2040" w:type="dxa"/>
            <w:vAlign w:val="bottom"/>
          </w:tcPr>
          <w:p>
            <w:pPr>
              <w:spacing w:after="0"/>
              <w:rPr>
                <w:sz w:val="17"/>
                <w:szCs w:val="17"/>
                <w:color w:val="auto"/>
              </w:rPr>
            </w:pPr>
          </w:p>
        </w:tc>
        <w:tc>
          <w:tcPr>
            <w:tcW w:w="64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7"/>
                <w:szCs w:val="17"/>
                <w:color w:val="auto"/>
              </w:rPr>
              <w:t>director nominee. The Board and the Nominating and Corporate Governance Committee</w:t>
            </w:r>
          </w:p>
        </w:tc>
      </w:tr>
      <w:tr>
        <w:trPr>
          <w:trHeight w:val="202"/>
        </w:trPr>
        <w:tc>
          <w:tcPr>
            <w:tcW w:w="420" w:type="dxa"/>
            <w:vAlign w:val="bottom"/>
            <w:tcBorders>
              <w:left w:val="single" w:sz="8" w:color="auto"/>
            </w:tcBorders>
          </w:tcPr>
          <w:p>
            <w:pPr>
              <w:spacing w:after="0"/>
              <w:rPr>
                <w:sz w:val="17"/>
                <w:szCs w:val="17"/>
                <w:color w:val="auto"/>
              </w:rPr>
            </w:pPr>
          </w:p>
        </w:tc>
        <w:tc>
          <w:tcPr>
            <w:tcW w:w="2040" w:type="dxa"/>
            <w:vAlign w:val="bottom"/>
          </w:tcPr>
          <w:p>
            <w:pPr>
              <w:spacing w:after="0"/>
              <w:rPr>
                <w:sz w:val="17"/>
                <w:szCs w:val="17"/>
                <w:color w:val="auto"/>
              </w:rPr>
            </w:pPr>
          </w:p>
        </w:tc>
        <w:tc>
          <w:tcPr>
            <w:tcW w:w="64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7"/>
                <w:szCs w:val="17"/>
                <w:color w:val="auto"/>
              </w:rPr>
              <w:t>believe that the six director nominees each possess the necessary qualifications, attributes,</w:t>
            </w:r>
          </w:p>
        </w:tc>
      </w:tr>
      <w:tr>
        <w:trPr>
          <w:trHeight w:val="202"/>
        </w:trPr>
        <w:tc>
          <w:tcPr>
            <w:tcW w:w="420" w:type="dxa"/>
            <w:vAlign w:val="bottom"/>
            <w:tcBorders>
              <w:left w:val="single" w:sz="8" w:color="auto"/>
            </w:tcBorders>
          </w:tcPr>
          <w:p>
            <w:pPr>
              <w:spacing w:after="0"/>
              <w:rPr>
                <w:sz w:val="17"/>
                <w:szCs w:val="17"/>
                <w:color w:val="auto"/>
              </w:rPr>
            </w:pPr>
          </w:p>
        </w:tc>
        <w:tc>
          <w:tcPr>
            <w:tcW w:w="2040" w:type="dxa"/>
            <w:vAlign w:val="bottom"/>
          </w:tcPr>
          <w:p>
            <w:pPr>
              <w:spacing w:after="0"/>
              <w:rPr>
                <w:sz w:val="17"/>
                <w:szCs w:val="17"/>
                <w:color w:val="auto"/>
              </w:rPr>
            </w:pPr>
          </w:p>
        </w:tc>
        <w:tc>
          <w:tcPr>
            <w:tcW w:w="64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7"/>
                <w:szCs w:val="17"/>
                <w:color w:val="auto"/>
                <w:w w:val="99"/>
              </w:rPr>
              <w:t>skills and experiences to provide quality advice and counsel to the Company’s management</w:t>
            </w:r>
          </w:p>
        </w:tc>
      </w:tr>
      <w:tr>
        <w:trPr>
          <w:trHeight w:val="218"/>
        </w:trPr>
        <w:tc>
          <w:tcPr>
            <w:tcW w:w="420" w:type="dxa"/>
            <w:vAlign w:val="bottom"/>
            <w:tcBorders>
              <w:left w:val="single" w:sz="8" w:color="auto"/>
            </w:tcBorders>
          </w:tcPr>
          <w:p>
            <w:pPr>
              <w:spacing w:after="0"/>
              <w:rPr>
                <w:sz w:val="18"/>
                <w:szCs w:val="18"/>
                <w:color w:val="auto"/>
              </w:rPr>
            </w:pPr>
          </w:p>
        </w:tc>
        <w:tc>
          <w:tcPr>
            <w:tcW w:w="2040" w:type="dxa"/>
            <w:vAlign w:val="bottom"/>
          </w:tcPr>
          <w:p>
            <w:pPr>
              <w:spacing w:after="0"/>
              <w:rPr>
                <w:sz w:val="18"/>
                <w:szCs w:val="18"/>
                <w:color w:val="auto"/>
              </w:rPr>
            </w:pPr>
          </w:p>
        </w:tc>
        <w:tc>
          <w:tcPr>
            <w:tcW w:w="64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7"/>
                <w:szCs w:val="17"/>
                <w:color w:val="auto"/>
              </w:rPr>
              <w:t>and effectively oversee the business and the long-term interests of our stockholders.</w:t>
            </w:r>
          </w:p>
        </w:tc>
      </w:tr>
      <w:tr>
        <w:trPr>
          <w:trHeight w:val="388"/>
        </w:trPr>
        <w:tc>
          <w:tcPr>
            <w:tcW w:w="420" w:type="dxa"/>
            <w:vAlign w:val="bottom"/>
            <w:tcBorders>
              <w:left w:val="single" w:sz="8" w:color="auto"/>
            </w:tcBorders>
          </w:tcPr>
          <w:p>
            <w:pPr>
              <w:ind w:left="180"/>
              <w:spacing w:after="0" w:line="151" w:lineRule="exact"/>
              <w:rPr>
                <w:sz w:val="20"/>
                <w:szCs w:val="20"/>
                <w:color w:val="auto"/>
              </w:rPr>
            </w:pPr>
            <w:r>
              <w:rPr>
                <w:rFonts w:ascii="MS PGothic" w:cs="MS PGothic" w:eastAsia="MS PGothic" w:hAnsi="MS PGothic"/>
                <w:sz w:val="15"/>
                <w:szCs w:val="15"/>
                <w:color w:val="auto"/>
              </w:rPr>
              <w:t>☐</w:t>
            </w:r>
          </w:p>
        </w:tc>
        <w:tc>
          <w:tcPr>
            <w:tcW w:w="2040" w:type="dxa"/>
            <w:vAlign w:val="bottom"/>
          </w:tcPr>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Vote required:</w:t>
            </w:r>
          </w:p>
        </w:tc>
        <w:tc>
          <w:tcPr>
            <w:tcW w:w="64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7"/>
                <w:szCs w:val="17"/>
                <w:color w:val="auto"/>
                <w:w w:val="98"/>
              </w:rPr>
              <w:t>The affirmative vote of a majority of the votes cast at the Annual Meeting is required for the</w:t>
            </w:r>
          </w:p>
        </w:tc>
      </w:tr>
      <w:tr>
        <w:trPr>
          <w:trHeight w:val="202"/>
        </w:trPr>
        <w:tc>
          <w:tcPr>
            <w:tcW w:w="420" w:type="dxa"/>
            <w:vAlign w:val="bottom"/>
            <w:tcBorders>
              <w:left w:val="single" w:sz="8" w:color="auto"/>
            </w:tcBorders>
          </w:tcPr>
          <w:p>
            <w:pPr>
              <w:spacing w:after="0"/>
              <w:rPr>
                <w:sz w:val="17"/>
                <w:szCs w:val="17"/>
                <w:color w:val="auto"/>
              </w:rPr>
            </w:pPr>
          </w:p>
        </w:tc>
        <w:tc>
          <w:tcPr>
            <w:tcW w:w="2040" w:type="dxa"/>
            <w:vAlign w:val="bottom"/>
          </w:tcPr>
          <w:p>
            <w:pPr>
              <w:spacing w:after="0"/>
              <w:rPr>
                <w:sz w:val="17"/>
                <w:szCs w:val="17"/>
                <w:color w:val="auto"/>
              </w:rPr>
            </w:pPr>
          </w:p>
        </w:tc>
        <w:tc>
          <w:tcPr>
            <w:tcW w:w="64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7"/>
                <w:szCs w:val="17"/>
                <w:color w:val="auto"/>
              </w:rPr>
              <w:t>election of each director. Stockholders of the Company are not permitted to cumulate their</w:t>
            </w:r>
          </w:p>
        </w:tc>
      </w:tr>
      <w:tr>
        <w:trPr>
          <w:trHeight w:val="202"/>
        </w:trPr>
        <w:tc>
          <w:tcPr>
            <w:tcW w:w="420" w:type="dxa"/>
            <w:vAlign w:val="bottom"/>
            <w:tcBorders>
              <w:left w:val="single" w:sz="8" w:color="auto"/>
            </w:tcBorders>
          </w:tcPr>
          <w:p>
            <w:pPr>
              <w:spacing w:after="0"/>
              <w:rPr>
                <w:sz w:val="17"/>
                <w:szCs w:val="17"/>
                <w:color w:val="auto"/>
              </w:rPr>
            </w:pPr>
          </w:p>
        </w:tc>
        <w:tc>
          <w:tcPr>
            <w:tcW w:w="2040" w:type="dxa"/>
            <w:vAlign w:val="bottom"/>
          </w:tcPr>
          <w:p>
            <w:pPr>
              <w:spacing w:after="0"/>
              <w:rPr>
                <w:sz w:val="17"/>
                <w:szCs w:val="17"/>
                <w:color w:val="auto"/>
              </w:rPr>
            </w:pPr>
          </w:p>
        </w:tc>
        <w:tc>
          <w:tcPr>
            <w:tcW w:w="64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7"/>
                <w:szCs w:val="17"/>
                <w:color w:val="auto"/>
              </w:rPr>
              <w:t>votes for the election of directors. Abstentions and broker non-votes will have no effect on</w:t>
            </w:r>
          </w:p>
        </w:tc>
      </w:tr>
      <w:tr>
        <w:trPr>
          <w:trHeight w:val="202"/>
        </w:trPr>
        <w:tc>
          <w:tcPr>
            <w:tcW w:w="420" w:type="dxa"/>
            <w:vAlign w:val="bottom"/>
            <w:tcBorders>
              <w:left w:val="single" w:sz="8" w:color="auto"/>
            </w:tcBorders>
          </w:tcPr>
          <w:p>
            <w:pPr>
              <w:spacing w:after="0"/>
              <w:rPr>
                <w:sz w:val="17"/>
                <w:szCs w:val="17"/>
                <w:color w:val="auto"/>
              </w:rPr>
            </w:pPr>
          </w:p>
        </w:tc>
        <w:tc>
          <w:tcPr>
            <w:tcW w:w="2040" w:type="dxa"/>
            <w:vAlign w:val="bottom"/>
          </w:tcPr>
          <w:p>
            <w:pPr>
              <w:spacing w:after="0"/>
              <w:rPr>
                <w:sz w:val="17"/>
                <w:szCs w:val="17"/>
                <w:color w:val="auto"/>
              </w:rPr>
            </w:pPr>
          </w:p>
        </w:tc>
        <w:tc>
          <w:tcPr>
            <w:tcW w:w="64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7"/>
                <w:szCs w:val="17"/>
                <w:color w:val="auto"/>
              </w:rPr>
              <w:t>the results of the election of directors. Unless contrary instructions are given, shares</w:t>
            </w:r>
          </w:p>
        </w:tc>
      </w:tr>
      <w:tr>
        <w:trPr>
          <w:trHeight w:val="202"/>
        </w:trPr>
        <w:tc>
          <w:tcPr>
            <w:tcW w:w="420" w:type="dxa"/>
            <w:vAlign w:val="bottom"/>
            <w:tcBorders>
              <w:left w:val="single" w:sz="8" w:color="auto"/>
            </w:tcBorders>
          </w:tcPr>
          <w:p>
            <w:pPr>
              <w:spacing w:after="0"/>
              <w:rPr>
                <w:sz w:val="17"/>
                <w:szCs w:val="17"/>
                <w:color w:val="auto"/>
              </w:rPr>
            </w:pPr>
          </w:p>
        </w:tc>
        <w:tc>
          <w:tcPr>
            <w:tcW w:w="2040" w:type="dxa"/>
            <w:vAlign w:val="bottom"/>
          </w:tcPr>
          <w:p>
            <w:pPr>
              <w:spacing w:after="0"/>
              <w:rPr>
                <w:sz w:val="17"/>
                <w:szCs w:val="17"/>
                <w:color w:val="auto"/>
              </w:rPr>
            </w:pPr>
          </w:p>
        </w:tc>
        <w:tc>
          <w:tcPr>
            <w:tcW w:w="64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7"/>
                <w:szCs w:val="17"/>
                <w:color w:val="auto"/>
              </w:rPr>
              <w:t>represented by proxies solicited by the Board of Directors will be voted for the election of</w:t>
            </w:r>
          </w:p>
        </w:tc>
      </w:tr>
      <w:tr>
        <w:trPr>
          <w:trHeight w:val="218"/>
        </w:trPr>
        <w:tc>
          <w:tcPr>
            <w:tcW w:w="420" w:type="dxa"/>
            <w:vAlign w:val="bottom"/>
            <w:tcBorders>
              <w:left w:val="single" w:sz="8" w:color="auto"/>
              <w:bottom w:val="single" w:sz="8" w:color="auto"/>
            </w:tcBorders>
          </w:tcPr>
          <w:p>
            <w:pPr>
              <w:spacing w:after="0"/>
              <w:rPr>
                <w:sz w:val="18"/>
                <w:szCs w:val="18"/>
                <w:color w:val="auto"/>
              </w:rPr>
            </w:pPr>
          </w:p>
        </w:tc>
        <w:tc>
          <w:tcPr>
            <w:tcW w:w="2040" w:type="dxa"/>
            <w:vAlign w:val="bottom"/>
            <w:tcBorders>
              <w:bottom w:val="single" w:sz="8" w:color="auto"/>
            </w:tcBorders>
          </w:tcPr>
          <w:p>
            <w:pPr>
              <w:spacing w:after="0"/>
              <w:rPr>
                <w:sz w:val="18"/>
                <w:szCs w:val="18"/>
                <w:color w:val="auto"/>
              </w:rPr>
            </w:pPr>
          </w:p>
        </w:tc>
        <w:tc>
          <w:tcPr>
            <w:tcW w:w="646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7"/>
                <w:szCs w:val="17"/>
                <w:color w:val="auto"/>
              </w:rPr>
              <w:t>each of the director nominees identified below.</w:t>
            </w:r>
          </w:p>
        </w:tc>
      </w:tr>
    </w:tbl>
    <w:p>
      <w:pPr>
        <w:spacing w:after="0" w:line="1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Composition of our Board of Directors</w:t>
      </w:r>
    </w:p>
    <w:p>
      <w:pPr>
        <w:spacing w:after="0" w:line="112" w:lineRule="exact"/>
        <w:rPr>
          <w:sz w:val="20"/>
          <w:szCs w:val="20"/>
          <w:color w:val="auto"/>
        </w:rPr>
      </w:pPr>
    </w:p>
    <w:p>
      <w:pPr>
        <w:ind w:left="40" w:right="119" w:firstLine="606"/>
        <w:spacing w:after="0" w:line="252" w:lineRule="auto"/>
        <w:rPr>
          <w:sz w:val="20"/>
          <w:szCs w:val="20"/>
          <w:color w:val="auto"/>
        </w:rPr>
      </w:pPr>
      <w:r>
        <w:rPr>
          <w:rFonts w:ascii="Times New Roman" w:cs="Times New Roman" w:eastAsia="Times New Roman" w:hAnsi="Times New Roman"/>
          <w:sz w:val="17"/>
          <w:szCs w:val="17"/>
          <w:color w:val="auto"/>
        </w:rPr>
        <w:t>Our bylaws provide that our business will be managed by or under the direction of the Board of Directors. The number of directors constituting our Board of Directors is determined from time to time by our Board of Directors. Currently, our Board of Directors consists of six members. Each of our six nominees for the position of director will be elected at the Annual Meeting to hold office until the next annual meeting of stockholders or the director’s earlier resignation or removal. Upon the recommendation of the Nominating and Corporate Governance Committee of the Board of Directors, the Board of Directors has nominated the six persons named below for election as directors. Proxies solicited by our Board of Directors will, unless otherwise directed, be voted to elect the six nominees named below to constitute the entire Board of Directors.</w:t>
      </w:r>
    </w:p>
    <w:p>
      <w:pPr>
        <w:spacing w:after="0" w:line="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Directors and Director Nominees</w:t>
      </w:r>
    </w:p>
    <w:p>
      <w:pPr>
        <w:spacing w:after="0" w:line="112" w:lineRule="exact"/>
        <w:rPr>
          <w:sz w:val="20"/>
          <w:szCs w:val="20"/>
          <w:color w:val="auto"/>
        </w:rPr>
      </w:pPr>
    </w:p>
    <w:p>
      <w:pPr>
        <w:ind w:left="40" w:right="399" w:firstLine="606"/>
        <w:spacing w:after="0" w:line="257" w:lineRule="auto"/>
        <w:rPr>
          <w:sz w:val="20"/>
          <w:szCs w:val="20"/>
          <w:color w:val="auto"/>
        </w:rPr>
      </w:pPr>
      <w:r>
        <w:rPr>
          <w:rFonts w:ascii="Times New Roman" w:cs="Times New Roman" w:eastAsia="Times New Roman" w:hAnsi="Times New Roman"/>
          <w:sz w:val="17"/>
          <w:szCs w:val="17"/>
          <w:color w:val="auto"/>
        </w:rPr>
        <w:t>All of the nominees named below served as directors during 2024 and each is currently serving on the Board of Directors. Each nominee has indicated a willingness to serve as a director for the ensuing year, but in case any nominee is not a candidate at the meeting for any reason, the proxies named in the enclosed proxy form may vote for a substitute nominee recommended by the Nominating and Corporate Governance Committee and approved by the Board of Directors.</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following table sets forth certain information regarding each director nominee:</w:t>
      </w:r>
    </w:p>
    <w:p>
      <w:pPr>
        <w:spacing w:after="0" w:line="125" w:lineRule="exact"/>
        <w:rPr>
          <w:sz w:val="20"/>
          <w:szCs w:val="20"/>
          <w:color w:val="auto"/>
        </w:rPr>
      </w:pPr>
    </w:p>
    <w:tbl>
      <w:tblPr>
        <w:tblLayout w:type="fixed"/>
        <w:tblInd w:w="40" w:type="dxa"/>
        <w:tblCellMar>
          <w:top w:w="0" w:type="dxa"/>
          <w:left w:w="0" w:type="dxa"/>
          <w:bottom w:w="0" w:type="dxa"/>
          <w:right w:w="0" w:type="dxa"/>
        </w:tblCellMar>
      </w:tblPr>
      <w:tr>
        <w:trPr>
          <w:trHeight w:val="163"/>
        </w:trPr>
        <w:tc>
          <w:tcPr>
            <w:tcW w:w="15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Age</w:t>
            </w:r>
          </w:p>
        </w:tc>
        <w:tc>
          <w:tcPr>
            <w:tcW w:w="160" w:type="dxa"/>
            <w:vAlign w:val="bottom"/>
          </w:tcPr>
          <w:p>
            <w:pPr>
              <w:spacing w:after="0"/>
              <w:rPr>
                <w:sz w:val="14"/>
                <w:szCs w:val="14"/>
                <w:color w:val="auto"/>
              </w:rPr>
            </w:pPr>
          </w:p>
        </w:tc>
        <w:tc>
          <w:tcPr>
            <w:tcW w:w="2140" w:type="dxa"/>
            <w:vAlign w:val="bottom"/>
          </w:tcPr>
          <w:p>
            <w:pPr>
              <w:ind w:left="840"/>
              <w:spacing w:after="0"/>
              <w:rPr>
                <w:sz w:val="20"/>
                <w:szCs w:val="20"/>
                <w:color w:val="auto"/>
              </w:rPr>
            </w:pPr>
            <w:r>
              <w:rPr>
                <w:rFonts w:ascii="Times New Roman" w:cs="Times New Roman" w:eastAsia="Times New Roman" w:hAnsi="Times New Roman"/>
                <w:sz w:val="13"/>
                <w:szCs w:val="13"/>
                <w:b w:val="1"/>
                <w:bCs w:val="1"/>
                <w:color w:val="auto"/>
              </w:rPr>
              <w:t>Position</w:t>
            </w:r>
          </w:p>
        </w:tc>
        <w:tc>
          <w:tcPr>
            <w:tcW w:w="180" w:type="dxa"/>
            <w:vAlign w:val="bottom"/>
          </w:tcPr>
          <w:p>
            <w:pPr>
              <w:spacing w:after="0"/>
              <w:rPr>
                <w:sz w:val="14"/>
                <w:szCs w:val="14"/>
                <w:color w:val="auto"/>
              </w:rPr>
            </w:pPr>
          </w:p>
        </w:tc>
        <w:tc>
          <w:tcPr>
            <w:tcW w:w="3780" w:type="dxa"/>
            <w:vAlign w:val="bottom"/>
          </w:tcPr>
          <w:p>
            <w:pPr>
              <w:ind w:left="1180"/>
              <w:spacing w:after="0"/>
              <w:rPr>
                <w:sz w:val="20"/>
                <w:szCs w:val="20"/>
                <w:color w:val="auto"/>
              </w:rPr>
            </w:pPr>
            <w:r>
              <w:rPr>
                <w:rFonts w:ascii="Times New Roman" w:cs="Times New Roman" w:eastAsia="Times New Roman" w:hAnsi="Times New Roman"/>
                <w:sz w:val="13"/>
                <w:szCs w:val="13"/>
                <w:b w:val="1"/>
                <w:bCs w:val="1"/>
                <w:color w:val="auto"/>
              </w:rPr>
              <w:t>Committee Membership</w:t>
            </w:r>
          </w:p>
        </w:tc>
      </w:tr>
      <w:tr>
        <w:trPr>
          <w:trHeight w:val="178"/>
        </w:trPr>
        <w:tc>
          <w:tcPr>
            <w:tcW w:w="20" w:type="dxa"/>
            <w:vAlign w:val="bottom"/>
          </w:tcPr>
          <w:p>
            <w:pPr>
              <w:spacing w:after="0"/>
              <w:rPr>
                <w:sz w:val="15"/>
                <w:szCs w:val="15"/>
                <w:color w:val="auto"/>
              </w:rPr>
            </w:pPr>
          </w:p>
        </w:tc>
        <w:tc>
          <w:tcPr>
            <w:tcW w:w="1320" w:type="dxa"/>
            <w:vAlign w:val="bottom"/>
            <w:tcBorders>
              <w:top w:val="single" w:sz="8" w:color="auto"/>
            </w:tcBorders>
            <w:shd w:val="clear" w:color="auto" w:fill="CCEEFF"/>
          </w:tcPr>
          <w:p>
            <w:pPr>
              <w:spacing w:after="0" w:line="178" w:lineRule="exact"/>
              <w:rPr>
                <w:sz w:val="20"/>
                <w:szCs w:val="20"/>
                <w:color w:val="auto"/>
              </w:rPr>
            </w:pPr>
            <w:r>
              <w:rPr>
                <w:rFonts w:ascii="Times New Roman" w:cs="Times New Roman" w:eastAsia="Times New Roman" w:hAnsi="Times New Roman"/>
                <w:sz w:val="17"/>
                <w:szCs w:val="17"/>
                <w:color w:val="auto"/>
              </w:rPr>
              <w:t>Brian E. Mueller</w:t>
            </w:r>
          </w:p>
        </w:tc>
        <w:tc>
          <w:tcPr>
            <w:tcW w:w="16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jc w:val="center"/>
              <w:spacing w:after="0" w:line="178" w:lineRule="exact"/>
              <w:rPr>
                <w:sz w:val="20"/>
                <w:szCs w:val="20"/>
                <w:color w:val="auto"/>
              </w:rPr>
            </w:pPr>
            <w:r>
              <w:rPr>
                <w:rFonts w:ascii="Times New Roman" w:cs="Times New Roman" w:eastAsia="Times New Roman" w:hAnsi="Times New Roman"/>
                <w:sz w:val="17"/>
                <w:szCs w:val="17"/>
                <w:color w:val="auto"/>
                <w:w w:val="93"/>
              </w:rPr>
              <w:t>71</w:t>
            </w:r>
          </w:p>
        </w:tc>
        <w:tc>
          <w:tcPr>
            <w:tcW w:w="160" w:type="dxa"/>
            <w:vAlign w:val="bottom"/>
            <w:tcBorders>
              <w:top w:val="single" w:sz="8" w:color="CCEEFF"/>
            </w:tcBorders>
            <w:shd w:val="clear" w:color="auto" w:fill="CCEEFF"/>
          </w:tcPr>
          <w:p>
            <w:pPr>
              <w:spacing w:after="0"/>
              <w:rPr>
                <w:sz w:val="15"/>
                <w:szCs w:val="15"/>
                <w:color w:val="auto"/>
              </w:rPr>
            </w:pPr>
          </w:p>
        </w:tc>
        <w:tc>
          <w:tcPr>
            <w:tcW w:w="2140" w:type="dxa"/>
            <w:vAlign w:val="bottom"/>
            <w:tcBorders>
              <w:top w:val="single" w:sz="8" w:color="auto"/>
            </w:tcBorders>
            <w:shd w:val="clear" w:color="auto" w:fill="CCEEFF"/>
          </w:tcPr>
          <w:p>
            <w:pPr>
              <w:spacing w:after="0" w:line="178" w:lineRule="exact"/>
              <w:rPr>
                <w:sz w:val="20"/>
                <w:szCs w:val="20"/>
                <w:color w:val="auto"/>
              </w:rPr>
            </w:pPr>
            <w:r>
              <w:rPr>
                <w:rFonts w:ascii="Times New Roman" w:cs="Times New Roman" w:eastAsia="Times New Roman" w:hAnsi="Times New Roman"/>
                <w:sz w:val="17"/>
                <w:szCs w:val="17"/>
                <w:color w:val="auto"/>
              </w:rPr>
              <w:t>Chairman and Chief Executive</w:t>
            </w:r>
          </w:p>
        </w:tc>
        <w:tc>
          <w:tcPr>
            <w:tcW w:w="180" w:type="dxa"/>
            <w:vAlign w:val="bottom"/>
            <w:tcBorders>
              <w:top w:val="single" w:sz="8" w:color="CCEEFF"/>
            </w:tcBorders>
            <w:shd w:val="clear" w:color="auto" w:fill="CCEEFF"/>
          </w:tcPr>
          <w:p>
            <w:pPr>
              <w:spacing w:after="0"/>
              <w:rPr>
                <w:sz w:val="15"/>
                <w:szCs w:val="15"/>
                <w:color w:val="auto"/>
              </w:rPr>
            </w:pPr>
          </w:p>
        </w:tc>
        <w:tc>
          <w:tcPr>
            <w:tcW w:w="3780" w:type="dxa"/>
            <w:vAlign w:val="bottom"/>
            <w:tcBorders>
              <w:top w:val="single" w:sz="8" w:color="auto"/>
            </w:tcBorders>
            <w:shd w:val="clear" w:color="auto" w:fill="CCEEFF"/>
          </w:tcPr>
          <w:p>
            <w:pPr>
              <w:spacing w:after="0" w:line="178" w:lineRule="exact"/>
              <w:rPr>
                <w:sz w:val="20"/>
                <w:szCs w:val="20"/>
                <w:color w:val="auto"/>
              </w:rPr>
            </w:pPr>
            <w:r>
              <w:rPr>
                <w:rFonts w:ascii="Times New Roman" w:cs="Times New Roman" w:eastAsia="Times New Roman" w:hAnsi="Times New Roman"/>
                <w:sz w:val="17"/>
                <w:szCs w:val="17"/>
                <w:color w:val="auto"/>
              </w:rPr>
              <w:t>None</w:t>
            </w:r>
          </w:p>
        </w:tc>
      </w:tr>
      <w:tr>
        <w:trPr>
          <w:trHeight w:val="219"/>
        </w:trPr>
        <w:tc>
          <w:tcPr>
            <w:tcW w:w="20" w:type="dxa"/>
            <w:vAlign w:val="bottom"/>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Officer</w:t>
            </w:r>
          </w:p>
        </w:tc>
        <w:tc>
          <w:tcPr>
            <w:tcW w:w="180" w:type="dxa"/>
            <w:vAlign w:val="bottom"/>
            <w:shd w:val="clear" w:color="auto" w:fill="CCEEFF"/>
          </w:tcPr>
          <w:p>
            <w:pPr>
              <w:spacing w:after="0"/>
              <w:rPr>
                <w:sz w:val="19"/>
                <w:szCs w:val="19"/>
                <w:color w:val="auto"/>
              </w:rPr>
            </w:pPr>
          </w:p>
        </w:tc>
        <w:tc>
          <w:tcPr>
            <w:tcW w:w="3780" w:type="dxa"/>
            <w:vAlign w:val="bottom"/>
            <w:shd w:val="clear" w:color="auto" w:fill="CCEEFF"/>
          </w:tcPr>
          <w:p>
            <w:pPr>
              <w:spacing w:after="0"/>
              <w:rPr>
                <w:sz w:val="19"/>
                <w:szCs w:val="19"/>
                <w:color w:val="auto"/>
              </w:rPr>
            </w:pPr>
          </w:p>
        </w:tc>
      </w:tr>
      <w:tr>
        <w:trPr>
          <w:trHeight w:val="186"/>
        </w:trPr>
        <w:tc>
          <w:tcPr>
            <w:tcW w:w="20" w:type="dxa"/>
            <w:vAlign w:val="bottom"/>
          </w:tcPr>
          <w:p>
            <w:pPr>
              <w:spacing w:after="0"/>
              <w:rPr>
                <w:sz w:val="16"/>
                <w:szCs w:val="16"/>
                <w:color w:val="auto"/>
              </w:rPr>
            </w:pPr>
          </w:p>
        </w:tc>
        <w:tc>
          <w:tcPr>
            <w:tcW w:w="1480" w:type="dxa"/>
            <w:vAlign w:val="bottom"/>
            <w:gridSpan w:val="2"/>
          </w:tcPr>
          <w:p>
            <w:pPr>
              <w:spacing w:after="0" w:line="186" w:lineRule="exact"/>
              <w:rPr>
                <w:sz w:val="20"/>
                <w:szCs w:val="20"/>
                <w:color w:val="auto"/>
              </w:rPr>
            </w:pPr>
            <w:r>
              <w:rPr>
                <w:rFonts w:ascii="Times New Roman" w:cs="Times New Roman" w:eastAsia="Times New Roman" w:hAnsi="Times New Roman"/>
                <w:sz w:val="17"/>
                <w:szCs w:val="17"/>
                <w:color w:val="auto"/>
              </w:rPr>
              <w:t>Sara Ward</w:t>
            </w:r>
          </w:p>
        </w:tc>
        <w:tc>
          <w:tcPr>
            <w:tcW w:w="1160" w:type="dxa"/>
            <w:vAlign w:val="bottom"/>
          </w:tcPr>
          <w:p>
            <w:pPr>
              <w:jc w:val="center"/>
              <w:spacing w:after="0" w:line="186" w:lineRule="exact"/>
              <w:rPr>
                <w:sz w:val="20"/>
                <w:szCs w:val="20"/>
                <w:color w:val="auto"/>
              </w:rPr>
            </w:pPr>
            <w:r>
              <w:rPr>
                <w:rFonts w:ascii="Times New Roman" w:cs="Times New Roman" w:eastAsia="Times New Roman" w:hAnsi="Times New Roman"/>
                <w:sz w:val="17"/>
                <w:szCs w:val="17"/>
                <w:color w:val="auto"/>
                <w:w w:val="93"/>
              </w:rPr>
              <w:t>61</w:t>
            </w:r>
          </w:p>
        </w:tc>
        <w:tc>
          <w:tcPr>
            <w:tcW w:w="2300" w:type="dxa"/>
            <w:vAlign w:val="bottom"/>
            <w:gridSpan w:val="2"/>
          </w:tcPr>
          <w:p>
            <w:pPr>
              <w:ind w:left="160"/>
              <w:spacing w:after="0" w:line="186" w:lineRule="exact"/>
              <w:rPr>
                <w:sz w:val="20"/>
                <w:szCs w:val="20"/>
                <w:color w:val="auto"/>
              </w:rPr>
            </w:pPr>
            <w:r>
              <w:rPr>
                <w:rFonts w:ascii="Times New Roman" w:cs="Times New Roman" w:eastAsia="Times New Roman" w:hAnsi="Times New Roman"/>
                <w:sz w:val="17"/>
                <w:szCs w:val="17"/>
                <w:color w:val="auto"/>
              </w:rPr>
              <w:t>Director</w:t>
            </w:r>
          </w:p>
        </w:tc>
        <w:tc>
          <w:tcPr>
            <w:tcW w:w="3960" w:type="dxa"/>
            <w:vAlign w:val="bottom"/>
            <w:gridSpan w:val="2"/>
          </w:tcPr>
          <w:p>
            <w:pPr>
              <w:ind w:left="180"/>
              <w:spacing w:after="0" w:line="186" w:lineRule="exact"/>
              <w:rPr>
                <w:sz w:val="20"/>
                <w:szCs w:val="20"/>
                <w:color w:val="auto"/>
              </w:rPr>
            </w:pPr>
            <w:r>
              <w:rPr>
                <w:rFonts w:ascii="Times New Roman" w:cs="Times New Roman" w:eastAsia="Times New Roman" w:hAnsi="Times New Roman"/>
                <w:sz w:val="17"/>
                <w:szCs w:val="17"/>
                <w:color w:val="auto"/>
                <w:w w:val="98"/>
              </w:rPr>
              <w:t>Nominating and Corporate Governance; Compensation;</w:t>
            </w:r>
          </w:p>
        </w:tc>
      </w:tr>
      <w:tr>
        <w:trPr>
          <w:trHeight w:val="218"/>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3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(Lead Independent Director)</w:t>
            </w:r>
          </w:p>
        </w:tc>
        <w:tc>
          <w:tcPr>
            <w:tcW w:w="396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and Audit</w:t>
            </w:r>
          </w:p>
        </w:tc>
      </w:tr>
      <w:tr>
        <w:trPr>
          <w:trHeight w:val="186"/>
        </w:trPr>
        <w:tc>
          <w:tcPr>
            <w:tcW w:w="20" w:type="dxa"/>
            <w:vAlign w:val="bottom"/>
          </w:tcPr>
          <w:p>
            <w:pPr>
              <w:spacing w:after="0"/>
              <w:rPr>
                <w:sz w:val="16"/>
                <w:szCs w:val="16"/>
                <w:color w:val="auto"/>
              </w:rPr>
            </w:pPr>
          </w:p>
        </w:tc>
        <w:tc>
          <w:tcPr>
            <w:tcW w:w="1480" w:type="dxa"/>
            <w:vAlign w:val="bottom"/>
            <w:gridSpan w:val="2"/>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auto"/>
              </w:rPr>
              <w:t>Jack A. Henry</w:t>
            </w:r>
          </w:p>
        </w:tc>
        <w:tc>
          <w:tcPr>
            <w:tcW w:w="1160" w:type="dxa"/>
            <w:vAlign w:val="bottom"/>
            <w:shd w:val="clear" w:color="auto" w:fill="CCEEFF"/>
          </w:tcPr>
          <w:p>
            <w:pPr>
              <w:jc w:val="center"/>
              <w:spacing w:after="0" w:line="186" w:lineRule="exact"/>
              <w:rPr>
                <w:sz w:val="20"/>
                <w:szCs w:val="20"/>
                <w:color w:val="auto"/>
              </w:rPr>
            </w:pPr>
            <w:r>
              <w:rPr>
                <w:rFonts w:ascii="Times New Roman" w:cs="Times New Roman" w:eastAsia="Times New Roman" w:hAnsi="Times New Roman"/>
                <w:sz w:val="17"/>
                <w:szCs w:val="17"/>
                <w:color w:val="auto"/>
                <w:w w:val="93"/>
              </w:rPr>
              <w:t>81</w:t>
            </w:r>
          </w:p>
        </w:tc>
        <w:tc>
          <w:tcPr>
            <w:tcW w:w="2300" w:type="dxa"/>
            <w:vAlign w:val="bottom"/>
            <w:gridSpan w:val="2"/>
            <w:shd w:val="clear" w:color="auto" w:fill="CCEEFF"/>
          </w:tcPr>
          <w:p>
            <w:pPr>
              <w:ind w:left="160"/>
              <w:spacing w:after="0" w:line="186" w:lineRule="exact"/>
              <w:rPr>
                <w:sz w:val="20"/>
                <w:szCs w:val="20"/>
                <w:color w:val="auto"/>
              </w:rPr>
            </w:pPr>
            <w:r>
              <w:rPr>
                <w:rFonts w:ascii="Times New Roman" w:cs="Times New Roman" w:eastAsia="Times New Roman" w:hAnsi="Times New Roman"/>
                <w:sz w:val="17"/>
                <w:szCs w:val="17"/>
                <w:color w:val="auto"/>
              </w:rPr>
              <w:t>Director</w:t>
            </w:r>
          </w:p>
        </w:tc>
        <w:tc>
          <w:tcPr>
            <w:tcW w:w="3960" w:type="dxa"/>
            <w:vAlign w:val="bottom"/>
            <w:gridSpan w:val="2"/>
            <w:shd w:val="clear" w:color="auto" w:fill="CCEEFF"/>
          </w:tcPr>
          <w:p>
            <w:pPr>
              <w:ind w:left="180"/>
              <w:spacing w:after="0" w:line="186" w:lineRule="exact"/>
              <w:rPr>
                <w:sz w:val="20"/>
                <w:szCs w:val="20"/>
                <w:color w:val="auto"/>
              </w:rPr>
            </w:pPr>
            <w:r>
              <w:rPr>
                <w:rFonts w:ascii="Times New Roman" w:cs="Times New Roman" w:eastAsia="Times New Roman" w:hAnsi="Times New Roman"/>
                <w:sz w:val="17"/>
                <w:szCs w:val="17"/>
                <w:color w:val="auto"/>
              </w:rPr>
              <w:t>Audit (chair); Nominating and Corporate Governance;</w:t>
            </w:r>
          </w:p>
        </w:tc>
      </w:tr>
      <w:tr>
        <w:trPr>
          <w:trHeight w:val="219"/>
        </w:trPr>
        <w:tc>
          <w:tcPr>
            <w:tcW w:w="20" w:type="dxa"/>
            <w:vAlign w:val="bottom"/>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140" w:type="dxa"/>
            <w:vAlign w:val="bottom"/>
            <w:shd w:val="clear" w:color="auto" w:fill="CCEEFF"/>
          </w:tcPr>
          <w:p>
            <w:pPr>
              <w:spacing w:after="0"/>
              <w:rPr>
                <w:sz w:val="19"/>
                <w:szCs w:val="19"/>
                <w:color w:val="auto"/>
              </w:rPr>
            </w:pPr>
          </w:p>
        </w:tc>
        <w:tc>
          <w:tcPr>
            <w:tcW w:w="3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and Compensation</w:t>
            </w:r>
          </w:p>
        </w:tc>
      </w:tr>
      <w:tr>
        <w:trPr>
          <w:trHeight w:val="186"/>
        </w:trPr>
        <w:tc>
          <w:tcPr>
            <w:tcW w:w="20" w:type="dxa"/>
            <w:vAlign w:val="bottom"/>
          </w:tcPr>
          <w:p>
            <w:pPr>
              <w:spacing w:after="0"/>
              <w:rPr>
                <w:sz w:val="16"/>
                <w:szCs w:val="16"/>
                <w:color w:val="auto"/>
              </w:rPr>
            </w:pPr>
          </w:p>
        </w:tc>
        <w:tc>
          <w:tcPr>
            <w:tcW w:w="1480" w:type="dxa"/>
            <w:vAlign w:val="bottom"/>
            <w:gridSpan w:val="2"/>
          </w:tcPr>
          <w:p>
            <w:pPr>
              <w:spacing w:after="0" w:line="186" w:lineRule="exact"/>
              <w:rPr>
                <w:sz w:val="20"/>
                <w:szCs w:val="20"/>
                <w:color w:val="auto"/>
              </w:rPr>
            </w:pPr>
            <w:r>
              <w:rPr>
                <w:rFonts w:ascii="Times New Roman" w:cs="Times New Roman" w:eastAsia="Times New Roman" w:hAnsi="Times New Roman"/>
                <w:sz w:val="17"/>
                <w:szCs w:val="17"/>
                <w:color w:val="auto"/>
              </w:rPr>
              <w:t>Lisa Graham</w:t>
            </w:r>
          </w:p>
        </w:tc>
        <w:tc>
          <w:tcPr>
            <w:tcW w:w="1160" w:type="dxa"/>
            <w:vAlign w:val="bottom"/>
          </w:tcPr>
          <w:p>
            <w:pPr>
              <w:jc w:val="center"/>
              <w:spacing w:after="0" w:line="186" w:lineRule="exact"/>
              <w:rPr>
                <w:sz w:val="20"/>
                <w:szCs w:val="20"/>
                <w:color w:val="auto"/>
              </w:rPr>
            </w:pPr>
            <w:r>
              <w:rPr>
                <w:rFonts w:ascii="Times New Roman" w:cs="Times New Roman" w:eastAsia="Times New Roman" w:hAnsi="Times New Roman"/>
                <w:sz w:val="17"/>
                <w:szCs w:val="17"/>
                <w:color w:val="auto"/>
                <w:w w:val="93"/>
              </w:rPr>
              <w:t>65</w:t>
            </w:r>
          </w:p>
        </w:tc>
        <w:tc>
          <w:tcPr>
            <w:tcW w:w="2300" w:type="dxa"/>
            <w:vAlign w:val="bottom"/>
            <w:gridSpan w:val="2"/>
          </w:tcPr>
          <w:p>
            <w:pPr>
              <w:ind w:left="160"/>
              <w:spacing w:after="0" w:line="186" w:lineRule="exact"/>
              <w:rPr>
                <w:sz w:val="20"/>
                <w:szCs w:val="20"/>
                <w:color w:val="auto"/>
              </w:rPr>
            </w:pPr>
            <w:r>
              <w:rPr>
                <w:rFonts w:ascii="Times New Roman" w:cs="Times New Roman" w:eastAsia="Times New Roman" w:hAnsi="Times New Roman"/>
                <w:sz w:val="17"/>
                <w:szCs w:val="17"/>
                <w:color w:val="auto"/>
              </w:rPr>
              <w:t>Director</w:t>
            </w:r>
          </w:p>
        </w:tc>
        <w:tc>
          <w:tcPr>
            <w:tcW w:w="3960" w:type="dxa"/>
            <w:vAlign w:val="bottom"/>
            <w:gridSpan w:val="2"/>
          </w:tcPr>
          <w:p>
            <w:pPr>
              <w:ind w:left="180"/>
              <w:spacing w:after="0" w:line="186" w:lineRule="exact"/>
              <w:rPr>
                <w:sz w:val="20"/>
                <w:szCs w:val="20"/>
                <w:color w:val="auto"/>
              </w:rPr>
            </w:pPr>
            <w:r>
              <w:rPr>
                <w:rFonts w:ascii="Times New Roman" w:cs="Times New Roman" w:eastAsia="Times New Roman" w:hAnsi="Times New Roman"/>
                <w:sz w:val="17"/>
                <w:szCs w:val="17"/>
                <w:color w:val="auto"/>
              </w:rPr>
              <w:t>Nominating and Corporate Governance (chair);</w:t>
            </w:r>
          </w:p>
        </w:tc>
      </w:tr>
      <w:tr>
        <w:trPr>
          <w:trHeight w:val="218"/>
        </w:trPr>
        <w:tc>
          <w:tcPr>
            <w:tcW w:w="15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Keegan</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96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Compensation; and Audit</w:t>
            </w:r>
          </w:p>
        </w:tc>
      </w:tr>
      <w:tr>
        <w:trPr>
          <w:trHeight w:val="186"/>
        </w:trPr>
        <w:tc>
          <w:tcPr>
            <w:tcW w:w="20" w:type="dxa"/>
            <w:vAlign w:val="bottom"/>
          </w:tcPr>
          <w:p>
            <w:pPr>
              <w:spacing w:after="0"/>
              <w:rPr>
                <w:sz w:val="16"/>
                <w:szCs w:val="16"/>
                <w:color w:val="auto"/>
              </w:rPr>
            </w:pPr>
          </w:p>
        </w:tc>
        <w:tc>
          <w:tcPr>
            <w:tcW w:w="1480" w:type="dxa"/>
            <w:vAlign w:val="bottom"/>
            <w:gridSpan w:val="2"/>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auto"/>
              </w:rPr>
              <w:t>Chevy Humphrey</w:t>
            </w:r>
          </w:p>
        </w:tc>
        <w:tc>
          <w:tcPr>
            <w:tcW w:w="1160" w:type="dxa"/>
            <w:vAlign w:val="bottom"/>
            <w:shd w:val="clear" w:color="auto" w:fill="CCEEFF"/>
          </w:tcPr>
          <w:p>
            <w:pPr>
              <w:jc w:val="center"/>
              <w:spacing w:after="0" w:line="186" w:lineRule="exact"/>
              <w:rPr>
                <w:sz w:val="20"/>
                <w:szCs w:val="20"/>
                <w:color w:val="auto"/>
              </w:rPr>
            </w:pPr>
            <w:r>
              <w:rPr>
                <w:rFonts w:ascii="Times New Roman" w:cs="Times New Roman" w:eastAsia="Times New Roman" w:hAnsi="Times New Roman"/>
                <w:sz w:val="17"/>
                <w:szCs w:val="17"/>
                <w:color w:val="auto"/>
                <w:w w:val="93"/>
              </w:rPr>
              <w:t>60</w:t>
            </w:r>
          </w:p>
        </w:tc>
        <w:tc>
          <w:tcPr>
            <w:tcW w:w="2300" w:type="dxa"/>
            <w:vAlign w:val="bottom"/>
            <w:gridSpan w:val="2"/>
            <w:shd w:val="clear" w:color="auto" w:fill="CCEEFF"/>
          </w:tcPr>
          <w:p>
            <w:pPr>
              <w:ind w:left="160"/>
              <w:spacing w:after="0" w:line="186" w:lineRule="exact"/>
              <w:rPr>
                <w:sz w:val="20"/>
                <w:szCs w:val="20"/>
                <w:color w:val="auto"/>
              </w:rPr>
            </w:pPr>
            <w:r>
              <w:rPr>
                <w:rFonts w:ascii="Times New Roman" w:cs="Times New Roman" w:eastAsia="Times New Roman" w:hAnsi="Times New Roman"/>
                <w:sz w:val="17"/>
                <w:szCs w:val="17"/>
                <w:color w:val="auto"/>
              </w:rPr>
              <w:t>Director</w:t>
            </w:r>
          </w:p>
        </w:tc>
        <w:tc>
          <w:tcPr>
            <w:tcW w:w="3960" w:type="dxa"/>
            <w:vAlign w:val="bottom"/>
            <w:gridSpan w:val="2"/>
            <w:shd w:val="clear" w:color="auto" w:fill="CCEEFF"/>
          </w:tcPr>
          <w:p>
            <w:pPr>
              <w:ind w:left="180"/>
              <w:spacing w:after="0" w:line="186" w:lineRule="exact"/>
              <w:rPr>
                <w:sz w:val="20"/>
                <w:szCs w:val="20"/>
                <w:color w:val="auto"/>
              </w:rPr>
            </w:pPr>
            <w:r>
              <w:rPr>
                <w:rFonts w:ascii="Times New Roman" w:cs="Times New Roman" w:eastAsia="Times New Roman" w:hAnsi="Times New Roman"/>
                <w:sz w:val="17"/>
                <w:szCs w:val="17"/>
                <w:color w:val="auto"/>
              </w:rPr>
              <w:t>Compensation (chair); Nominating and Corporate</w:t>
            </w:r>
          </w:p>
        </w:tc>
      </w:tr>
      <w:tr>
        <w:trPr>
          <w:trHeight w:val="219"/>
        </w:trPr>
        <w:tc>
          <w:tcPr>
            <w:tcW w:w="20" w:type="dxa"/>
            <w:vAlign w:val="bottom"/>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140" w:type="dxa"/>
            <w:vAlign w:val="bottom"/>
            <w:shd w:val="clear" w:color="auto" w:fill="CCEEFF"/>
          </w:tcPr>
          <w:p>
            <w:pPr>
              <w:spacing w:after="0"/>
              <w:rPr>
                <w:sz w:val="19"/>
                <w:szCs w:val="19"/>
                <w:color w:val="auto"/>
              </w:rPr>
            </w:pPr>
          </w:p>
        </w:tc>
        <w:tc>
          <w:tcPr>
            <w:tcW w:w="3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Governance; and Audit</w:t>
            </w:r>
          </w:p>
        </w:tc>
      </w:tr>
      <w:tr>
        <w:trPr>
          <w:trHeight w:val="186"/>
        </w:trPr>
        <w:tc>
          <w:tcPr>
            <w:tcW w:w="20" w:type="dxa"/>
            <w:vAlign w:val="bottom"/>
          </w:tcPr>
          <w:p>
            <w:pPr>
              <w:spacing w:after="0"/>
              <w:rPr>
                <w:sz w:val="16"/>
                <w:szCs w:val="16"/>
                <w:color w:val="auto"/>
              </w:rPr>
            </w:pPr>
          </w:p>
        </w:tc>
        <w:tc>
          <w:tcPr>
            <w:tcW w:w="1480" w:type="dxa"/>
            <w:vAlign w:val="bottom"/>
            <w:gridSpan w:val="2"/>
          </w:tcPr>
          <w:p>
            <w:pPr>
              <w:spacing w:after="0" w:line="186" w:lineRule="exact"/>
              <w:rPr>
                <w:sz w:val="20"/>
                <w:szCs w:val="20"/>
                <w:color w:val="auto"/>
              </w:rPr>
            </w:pPr>
            <w:r>
              <w:rPr>
                <w:rFonts w:ascii="Times New Roman" w:cs="Times New Roman" w:eastAsia="Times New Roman" w:hAnsi="Times New Roman"/>
                <w:sz w:val="17"/>
                <w:szCs w:val="17"/>
                <w:color w:val="auto"/>
              </w:rPr>
              <w:t>Kevin F. Warren</w:t>
            </w:r>
          </w:p>
        </w:tc>
        <w:tc>
          <w:tcPr>
            <w:tcW w:w="1160" w:type="dxa"/>
            <w:vAlign w:val="bottom"/>
          </w:tcPr>
          <w:p>
            <w:pPr>
              <w:jc w:val="center"/>
              <w:spacing w:after="0" w:line="186" w:lineRule="exact"/>
              <w:rPr>
                <w:sz w:val="20"/>
                <w:szCs w:val="20"/>
                <w:color w:val="auto"/>
              </w:rPr>
            </w:pPr>
            <w:r>
              <w:rPr>
                <w:rFonts w:ascii="Times New Roman" w:cs="Times New Roman" w:eastAsia="Times New Roman" w:hAnsi="Times New Roman"/>
                <w:sz w:val="17"/>
                <w:szCs w:val="17"/>
                <w:color w:val="auto"/>
                <w:w w:val="93"/>
              </w:rPr>
              <w:t>61</w:t>
            </w:r>
          </w:p>
        </w:tc>
        <w:tc>
          <w:tcPr>
            <w:tcW w:w="2300" w:type="dxa"/>
            <w:vAlign w:val="bottom"/>
            <w:gridSpan w:val="2"/>
          </w:tcPr>
          <w:p>
            <w:pPr>
              <w:ind w:left="160"/>
              <w:spacing w:after="0" w:line="186" w:lineRule="exact"/>
              <w:rPr>
                <w:sz w:val="20"/>
                <w:szCs w:val="20"/>
                <w:color w:val="auto"/>
              </w:rPr>
            </w:pPr>
            <w:r>
              <w:rPr>
                <w:rFonts w:ascii="Times New Roman" w:cs="Times New Roman" w:eastAsia="Times New Roman" w:hAnsi="Times New Roman"/>
                <w:sz w:val="17"/>
                <w:szCs w:val="17"/>
                <w:color w:val="auto"/>
              </w:rPr>
              <w:t>Director</w:t>
            </w:r>
          </w:p>
        </w:tc>
        <w:tc>
          <w:tcPr>
            <w:tcW w:w="3960" w:type="dxa"/>
            <w:vAlign w:val="bottom"/>
            <w:gridSpan w:val="2"/>
          </w:tcPr>
          <w:p>
            <w:pPr>
              <w:ind w:left="180"/>
              <w:spacing w:after="0" w:line="186" w:lineRule="exact"/>
              <w:rPr>
                <w:sz w:val="20"/>
                <w:szCs w:val="20"/>
                <w:color w:val="auto"/>
              </w:rPr>
            </w:pPr>
            <w:r>
              <w:rPr>
                <w:rFonts w:ascii="Times New Roman" w:cs="Times New Roman" w:eastAsia="Times New Roman" w:hAnsi="Times New Roman"/>
                <w:sz w:val="17"/>
                <w:szCs w:val="17"/>
                <w:color w:val="auto"/>
                <w:w w:val="98"/>
              </w:rPr>
              <w:t>Nominating and Corporate Governance; Compensation;</w:t>
            </w:r>
          </w:p>
        </w:tc>
      </w:tr>
      <w:tr>
        <w:trPr>
          <w:trHeight w:val="218"/>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96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and Audit</w:t>
            </w:r>
          </w:p>
        </w:tc>
      </w:tr>
      <w:tr>
        <w:trPr>
          <w:trHeight w:val="821"/>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300" w:type="dxa"/>
            <w:vAlign w:val="bottom"/>
            <w:gridSpan w:val="2"/>
          </w:tcPr>
          <w:p>
            <w:pPr>
              <w:ind w:left="1720"/>
              <w:spacing w:after="0"/>
              <w:rPr>
                <w:sz w:val="20"/>
                <w:szCs w:val="20"/>
                <w:color w:val="auto"/>
              </w:rPr>
            </w:pPr>
            <w:r>
              <w:rPr>
                <w:rFonts w:ascii="Times New Roman" w:cs="Times New Roman" w:eastAsia="Times New Roman" w:hAnsi="Times New Roman"/>
                <w:sz w:val="17"/>
                <w:szCs w:val="17"/>
                <w:color w:val="auto"/>
              </w:rPr>
              <w:t>26</w:t>
            </w:r>
          </w:p>
        </w:tc>
        <w:tc>
          <w:tcPr>
            <w:tcW w:w="18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524"/>
        </w:trPr>
        <w:tc>
          <w:tcPr>
            <w:tcW w:w="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9" w:right="1440" w:bottom="1440" w:gutter="0" w:footer="0" w:header="0"/>
        </w:sectPr>
      </w:pPr>
    </w:p>
    <w:bookmarkStart w:id="26" w:name="page27"/>
    <w:bookmarkEnd w:id="2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280" w:right="119" w:firstLine="607"/>
        <w:spacing w:after="0" w:line="265" w:lineRule="auto"/>
        <w:rPr>
          <w:sz w:val="20"/>
          <w:szCs w:val="20"/>
          <w:color w:val="auto"/>
        </w:rPr>
      </w:pPr>
      <w:r>
        <w:rPr>
          <w:rFonts w:ascii="Times New Roman" w:cs="Times New Roman" w:eastAsia="Times New Roman" w:hAnsi="Times New Roman"/>
          <w:sz w:val="16"/>
          <w:szCs w:val="16"/>
          <w:i w:val="1"/>
          <w:iCs w:val="1"/>
          <w:color w:val="auto"/>
        </w:rPr>
        <w:t xml:space="preserve">Brian E. Mueller </w:t>
      </w:r>
      <w:r>
        <w:rPr>
          <w:rFonts w:ascii="Times New Roman" w:cs="Times New Roman" w:eastAsia="Times New Roman" w:hAnsi="Times New Roman"/>
          <w:sz w:val="16"/>
          <w:szCs w:val="16"/>
          <w:color w:val="auto"/>
        </w:rPr>
        <w:t>has been serving as our Chief Executive Officer since July 1, 2008, as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director since March 2009, and as the Chairman of our Board since January 2017. Since July 1, 2018, Mr. Mueller has also served as the President of Grand Canyon University, an independent non-profit Arizona corporation that is our most significant university partner. From 2012 to 2018, Mr. Mueller served as the President of Grand Canyon University when it was owned and operated by the Company. See the section titled “Policies and Procedures for Related Party Transactions” for additional information. From 1987 to 2008, Mr. Mueller was employed by Apollo Education Group, Inc., a for-profit, postsecondary education company and the parent company of the University of Phoenix, serving between January 2006 and June 2008 as its President and a Director. Mr. Mueller previously served as the Chief Operating Officer of Apollo Education Group, Inc. from December 2005 to January 2006, as Chief Executive Officer of the University of Phoenix Online, a unit of the University of Phoenix, from March 2002 to November 2005, and as Chief Operating Officer and Senior Vice President of the University of Phoenix Online from May 1997 to March 2002. From 1987 to May 1997, Mr. Mueller held several positions in operations management for Apollo Education Group, Inc. From 1983 to 1987, Mr. Mueller was a professor at Concordia University. Mr. Mueller received a Bachelor of Arts degree in Education and a Master of Arts in Education degree from Concordia University. We believe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-2179320</wp:posOffset>
            </wp:positionV>
            <wp:extent cx="1147445" cy="15405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47445" cy="1540510"/>
                    </a:xfrm>
                    <a:prstGeom prst="rect">
                      <a:avLst/>
                    </a:prstGeom>
                    <a:noFill/>
                  </pic:spPr>
                </pic:pic>
              </a:graphicData>
            </a:graphic>
          </wp:anchor>
        </w:drawing>
      </w:r>
    </w:p>
    <w:p>
      <w:pPr>
        <w:ind w:left="2280" w:right="239"/>
        <w:spacing w:after="0" w:line="250" w:lineRule="auto"/>
        <w:rPr>
          <w:sz w:val="20"/>
          <w:szCs w:val="20"/>
          <w:color w:val="auto"/>
        </w:rPr>
      </w:pPr>
      <w:r>
        <w:rPr>
          <w:rFonts w:ascii="Times New Roman" w:cs="Times New Roman" w:eastAsia="Times New Roman" w:hAnsi="Times New Roman"/>
          <w:sz w:val="17"/>
          <w:szCs w:val="17"/>
          <w:color w:val="auto"/>
        </w:rPr>
        <w:t>Mr. Mueller’s past experience working for both universities focused on traditional students and working adults, as well as his day-to-day leadership and intimate knowledge of our business and operations, provide the Board of Directors with both industry-wide and Company-specific experience and expertise.</w:t>
      </w:r>
    </w:p>
    <w:p>
      <w:pPr>
        <w:spacing w:after="0" w:line="176" w:lineRule="exact"/>
        <w:rPr>
          <w:sz w:val="20"/>
          <w:szCs w:val="20"/>
          <w:color w:val="auto"/>
        </w:rPr>
      </w:pPr>
    </w:p>
    <w:p>
      <w:pPr>
        <w:ind w:left="2280" w:right="59" w:firstLine="607"/>
        <w:spacing w:after="0" w:line="249" w:lineRule="auto"/>
        <w:rPr>
          <w:sz w:val="20"/>
          <w:szCs w:val="20"/>
          <w:color w:val="auto"/>
        </w:rPr>
      </w:pPr>
      <w:r>
        <w:rPr>
          <w:rFonts w:ascii="Times New Roman" w:cs="Times New Roman" w:eastAsia="Times New Roman" w:hAnsi="Times New Roman"/>
          <w:sz w:val="17"/>
          <w:szCs w:val="17"/>
          <w:i w:val="1"/>
          <w:iCs w:val="1"/>
          <w:color w:val="auto"/>
        </w:rPr>
        <w:t xml:space="preserve">Sara Ward </w:t>
      </w:r>
      <w:r>
        <w:rPr>
          <w:rFonts w:ascii="Times New Roman" w:cs="Times New Roman" w:eastAsia="Times New Roman" w:hAnsi="Times New Roman"/>
          <w:sz w:val="17"/>
          <w:szCs w:val="17"/>
          <w:color w:val="auto"/>
        </w:rPr>
        <w:t>has been serving as a member of our Board of Directors since March 2013,</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as the lead independent director since January 2017. Ms. Ward has served as President and Chief Executive Officer of Sara Ward &amp; Associates, an executive coaching and economic development consulting firm specializing in site selection and government relations since 1996. From 1993 to 1996, Ms. Ward served as the director of the Arizona Department of Commerce, having previously served as the finance director from 1991 to 1993. Prior to her work in the public sector, Ms. Ward worked in the investment banking industry. From 2014 to 2023 Ms. Ward served as a director for WillScot Mobile Mini Holdings Corp., a publicly traded provider of portable storage and mobile office solutions. Since 2023 Ms. Ward has served as a director of Banner Health, a non-profit healthcare system, and is chair of the compensation committee. Ms. Ward was previously a member of the board of trustees at Seattle Pacific University. Ms. Ward is a graduate of Stanford University with a Bachelor of Arts degree in international relations. Ms. Ward is NACD (National Association of Corporate Directors) Directorship Certified. The NACD Directorship Certification program equips directors with the foundation of knowledge sought by boards to effectively contribute in the boardroom. NACD Directorship Certified directors pass a foundational exam developed by experienced directors and, via continuing recertification requirements, commit to continuing education on governance and emerging issues impacting the businesses they service in order to elevate the profession of directorship. We believe Ms. Ward’s extensive experience with government, higher education and economic development provides a tremendous resource to our Board of Directors and management team, particularly in the areas of government relations, finance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-2691130</wp:posOffset>
            </wp:positionV>
            <wp:extent cx="1147445" cy="15405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47445" cy="1540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335915</wp:posOffset>
            </wp:positionV>
            <wp:extent cx="5664835" cy="241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64835"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27" w:name="page28"/>
    <w:bookmarkEnd w:id="2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280" w:right="59" w:firstLine="607"/>
        <w:spacing w:after="0" w:line="249" w:lineRule="auto"/>
        <w:rPr>
          <w:sz w:val="20"/>
          <w:szCs w:val="20"/>
          <w:color w:val="auto"/>
        </w:rPr>
      </w:pPr>
      <w:r>
        <w:rPr>
          <w:rFonts w:ascii="Times New Roman" w:cs="Times New Roman" w:eastAsia="Times New Roman" w:hAnsi="Times New Roman"/>
          <w:sz w:val="17"/>
          <w:szCs w:val="17"/>
          <w:i w:val="1"/>
          <w:iCs w:val="1"/>
          <w:color w:val="auto"/>
        </w:rPr>
        <w:t xml:space="preserve">Jack A. Henry </w:t>
      </w:r>
      <w:r>
        <w:rPr>
          <w:rFonts w:ascii="Times New Roman" w:cs="Times New Roman" w:eastAsia="Times New Roman" w:hAnsi="Times New Roman"/>
          <w:sz w:val="17"/>
          <w:szCs w:val="17"/>
          <w:color w:val="auto"/>
        </w:rPr>
        <w:t>has been serving as a member of our Board of Directors since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November 2008. Since 2000, Mr. Henry has served as the Managing Director of Sierra Blanca Ventures, LLC, a private investment and consulting firm. From 1966 to 2000, Mr. Henry worked as a certified public accountant for Arthur Andersen, a national accounting firm, retiring in 2000 as the Managing Partner of the Phoenix, Arizona office. Mr. Henry has previously served on the boards of directors of nine other publicly traded companies and seven private companies. He is past President and founder of the Arizona Chapter of the National Association of Corporate Directors, having served in that capacity for 16 years. Mr. Henry previously served on numerous community and nonprofit organizations including chairman of the Arizona Chamber of Commerce, Greater Phoenix Leadership, Greater Phoenix Economic Council, and Junior Achievement of Central Arizona. Mr. Henry also was a member of the Super Bowl ’96 Executive Committee, Arizona Business Hall of Fame, Arizona Economic Forum and the Violence Prevention Initiative. Mr. Henry has spoken and consulted on audit committee and corporate governance matters. Mr. Henry received a Bachelor of Business Administration degree and a Master of Business Administration degree from the University of Michigan. We believe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-1918335</wp:posOffset>
            </wp:positionV>
            <wp:extent cx="1147445" cy="15405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147445" cy="1540510"/>
                    </a:xfrm>
                    <a:prstGeom prst="rect">
                      <a:avLst/>
                    </a:prstGeom>
                    <a:noFill/>
                  </pic:spPr>
                </pic:pic>
              </a:graphicData>
            </a:graphic>
          </wp:anchor>
        </w:drawing>
      </w:r>
    </w:p>
    <w:p>
      <w:pPr>
        <w:ind w:left="2280" w:right="439"/>
        <w:spacing w:after="0" w:line="252" w:lineRule="auto"/>
        <w:rPr>
          <w:sz w:val="20"/>
          <w:szCs w:val="20"/>
          <w:color w:val="auto"/>
        </w:rPr>
      </w:pPr>
      <w:r>
        <w:rPr>
          <w:rFonts w:ascii="Times New Roman" w:cs="Times New Roman" w:eastAsia="Times New Roman" w:hAnsi="Times New Roman"/>
          <w:sz w:val="17"/>
          <w:szCs w:val="17"/>
          <w:color w:val="auto"/>
        </w:rPr>
        <w:t>Mr. Henry’s extensive experience with public and financial accounting matters for corporate organizations, as well as experience as a consultant to and director of other public companies, provide significant insight and expertise to our Board of Directors.</w:t>
      </w:r>
    </w:p>
    <w:p>
      <w:pPr>
        <w:spacing w:after="0" w:line="173" w:lineRule="exact"/>
        <w:rPr>
          <w:sz w:val="20"/>
          <w:szCs w:val="20"/>
          <w:color w:val="auto"/>
        </w:rPr>
      </w:pPr>
    </w:p>
    <w:p>
      <w:pPr>
        <w:ind w:left="2280" w:right="159" w:firstLine="607"/>
        <w:spacing w:after="0" w:line="249" w:lineRule="auto"/>
        <w:rPr>
          <w:sz w:val="20"/>
          <w:szCs w:val="20"/>
          <w:color w:val="auto"/>
        </w:rPr>
      </w:pPr>
      <w:r>
        <w:rPr>
          <w:rFonts w:ascii="Times New Roman" w:cs="Times New Roman" w:eastAsia="Times New Roman" w:hAnsi="Times New Roman"/>
          <w:sz w:val="17"/>
          <w:szCs w:val="17"/>
          <w:i w:val="1"/>
          <w:iCs w:val="1"/>
          <w:color w:val="auto"/>
        </w:rPr>
        <w:t xml:space="preserve">Lisa Graham Keegan </w:t>
      </w:r>
      <w:r>
        <w:rPr>
          <w:rFonts w:ascii="Times New Roman" w:cs="Times New Roman" w:eastAsia="Times New Roman" w:hAnsi="Times New Roman"/>
          <w:sz w:val="17"/>
          <w:szCs w:val="17"/>
          <w:color w:val="auto"/>
        </w:rPr>
        <w:t>has been serving as a member of our Board of Directors since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August 2019. Since 2001, Ms. Keegan has served as the Principal Partner at The Keegan Company, an education policy consulting firm, where she leads numerous projects, writes, and speaks on critical issues in American education. From 1991 to 2001, Ms. Keegan served as an Arizona elected official, first in the Arizona House of Representatives from 1991 to 1995, where she chaired the House Education Committee and oversaw the K-12, community college and university education budgets on the Appropriations Committee, and later as the Arizona Superintendent of Public Instruction from 1995 to 2001, where she oversaw Arizona’s public school system and directed the state’s Department of Education. In 2000 and 2008, respectively, Ms. Keegan served as education advisor to the John McCain campaigns for President. Ms. Keegan serves on the boards of the Grand Canyon Council Boy Scouts of America: 50 CAN, The 50-State Campaign for Achievement Now education advocacy organization; the National School Choice Awareness Foundation, an education organization focused on increasing parental awareness of school options; The Foundation For Advancing Alcohol Responsibility (Responsibility.org) National Advisory Board; and The Common Sense Institute of Arizona, a non-partisan research organization dedicated to the protection and promotion of Arizona’s economy. Ms. Keegan received a Bachelor of Arts degree from Stanford University and a Masters’ Degree from Arizona State University. We believe Ms. Keegan’s extensive experience with education and public office experience provides a tremendous resource to our Board of Directors and management team, particularly in the areas of operations and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-2562225</wp:posOffset>
            </wp:positionV>
            <wp:extent cx="1171575" cy="17653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171575" cy="1765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335915</wp:posOffset>
            </wp:positionV>
            <wp:extent cx="5664835" cy="241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64835"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28" w:name="page29"/>
    <w:bookmarkEnd w:id="2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280" w:right="59" w:firstLine="607"/>
        <w:spacing w:after="0" w:line="249" w:lineRule="auto"/>
        <w:rPr>
          <w:sz w:val="20"/>
          <w:szCs w:val="20"/>
          <w:color w:val="auto"/>
        </w:rPr>
      </w:pPr>
      <w:r>
        <w:rPr>
          <w:rFonts w:ascii="Times New Roman" w:cs="Times New Roman" w:eastAsia="Times New Roman" w:hAnsi="Times New Roman"/>
          <w:sz w:val="17"/>
          <w:szCs w:val="17"/>
          <w:i w:val="1"/>
          <w:iCs w:val="1"/>
          <w:color w:val="auto"/>
        </w:rPr>
        <w:t xml:space="preserve">Chevy Humphrey, DBA </w:t>
      </w:r>
      <w:r>
        <w:rPr>
          <w:rFonts w:ascii="Times New Roman" w:cs="Times New Roman" w:eastAsia="Times New Roman" w:hAnsi="Times New Roman"/>
          <w:sz w:val="17"/>
          <w:szCs w:val="17"/>
          <w:color w:val="auto"/>
        </w:rPr>
        <w:t>has been serving as a member of our Board of Directors since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August 2019. Dr. Humphrey has served as the President and CEO of the Kenneth C. Griffin Museum of Science and Industry (“Griffin MSI”) since January 2021. In this role, she oversees all aspects of executing the strategic vision of Griffin MSI, including guest experience, transformational exhibits, education programming, community engagement, and financial sustainability and growth. Dr. Humphrey is an international leader in the field of informal science education. Before joining Griffin MSI, she served for 15 years as CEO of Arizona Science Center. She serves as the Past Chair of the Board of the American Alliance of Museums, the world’s largest museum association, serving 35,000 members. She is Past Chair of the Board of the Association of Science and Technology Centers, which serves more than 500 science centers in more than 50 countries and has also served as the Chair of the Selection and Annual Review Committee for the National Science Foundation’s then-largest informal science initiative, Nanoscale Informal Science Education Network (NISE-Net). Dr. Humphrey has a long history serving on a wide variety of boards. Currently, she is a member of the Board of Governors for Argonne National Laboratory, a science and engineering research national laboratory operated by U-Chicago Argonne LLC for the United States Department of Energy. She also serves on the Economic Club of Chicago, Choose Chicago, the Civic Committee and the Commercial Club of Chicago, the Theodore Roosevelt Presidential Library, the Sandra Day O’Connor Institute, Helios Education Foundation, and Education Forward Arizona. Dr. Humphrey was named to Crain’s Chicago Business’s 2023 Notable Women in STEM list and its 2023 Who’s Who list, she participated in Leadership Greater Chicago’s Daniel Burnham Fellowship, Forbes’ 2024 50 and over 50 list, and she has received numerous awards from Chicago community organizations, including Girls Inc. Chicago’s 2023 Strong Smart Bold award and the Illinois Black Chamber, Cook County Black Chamber and Garfield Park Chamber of Commerce’s 2022 Business Leader of the Year award. Dr. Humphrey is originally from Houston, Texas. She earned a Doctorate in Business Administration from Grand Canyon University and an honorary Doctor of Science and Technology degree from the University of Advancing Technology. She holds a Master of Business Administration—with specializations in innovation entrepreneurship and marketing—from Northeastern University and a Bachelor of Science in Business with a concentration in Marketing from the University of Phoenix. Dr. Humphrey also received Executive Education certifications from The Wharton School at the University of Pennsylvania, Stanford University Graduate School of Business, and Yale School of Management. We believe Dr. Humphrey’s extensive experience, particularly her STEM related experience, provides a tremendous resource to our Board of Directors and management team, particularly in the areas of operations, finance,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-4493895</wp:posOffset>
            </wp:positionV>
            <wp:extent cx="1195705" cy="1797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195705" cy="179705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335915</wp:posOffset>
            </wp:positionV>
            <wp:extent cx="5664835" cy="241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64835"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29" w:name="page30"/>
    <w:bookmarkEnd w:id="2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280" w:right="99" w:firstLine="607"/>
        <w:spacing w:after="0" w:line="249" w:lineRule="auto"/>
        <w:rPr>
          <w:sz w:val="20"/>
          <w:szCs w:val="20"/>
          <w:color w:val="auto"/>
        </w:rPr>
      </w:pPr>
      <w:r>
        <w:rPr>
          <w:rFonts w:ascii="Times New Roman" w:cs="Times New Roman" w:eastAsia="Times New Roman" w:hAnsi="Times New Roman"/>
          <w:sz w:val="17"/>
          <w:szCs w:val="17"/>
          <w:i w:val="1"/>
          <w:iCs w:val="1"/>
          <w:color w:val="auto"/>
        </w:rPr>
        <w:t xml:space="preserve">Kevin F. Warren </w:t>
      </w:r>
      <w:r>
        <w:rPr>
          <w:rFonts w:ascii="Times New Roman" w:cs="Times New Roman" w:eastAsia="Times New Roman" w:hAnsi="Times New Roman"/>
          <w:sz w:val="17"/>
          <w:szCs w:val="17"/>
          <w:color w:val="auto"/>
        </w:rPr>
        <w:t>has been serving as a member of our Board of Directors since his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appointment on April 24, 2024. He served previously as a member of our Board of Directors from September 2012 through August 27, 2019. Mr. Warren has served as President and Chief Executive Officer of the Chicago Bears Football Club, a National Football League (“NFL”) franchise, since April 2023, with responsibility for football and business operations. Mr. Warren is the first black President and CEO of the Chicago Bears and only the fifth President in the history of the Chicago Bears. Mr. Warren served as the Commissioner-Elect of the Big Ten Conference from September 2019 to January 2020. On January 2, 2020, Mr. Warren officially began his tenure as Commissioner of the Big Ten Conference and served in that role until April 2023. From 2005 to 2019, Mr. Warren served as a senior officer of the Minnesota Vikings, an NFL franchise. Prior to joining the Vikings, from 2003 to 2005, Mr. Warren worked for the international law firm of Greenberg Traurig LLP, which included representing the Wilf ownership group during its acquisition of the Vikings. From 2001 to 2003, Mr. Warren served as Senior Vice President of Business Operations &amp; General Counsel of the Detroit Lions, an NFL franchise. Prior to that time, Mr. Warren worked with the St. Louis Rams, an NFL franchise, as Vice President of Football Administration in 2001 and as Vice President of Player Development &amp; Football Legal Counsel from 1997 to 2000. Mr. Warren earned his bachelor’s degree in business administration from Grand Canyon University, his master’s degree in business administration from Arizona State University, and his Juris Doctor degree from the University of Notre Dame School of Law. We believe Mr. Warren’s extensive experience with legal, financial and marketing matters provides an exceptional resource to our Board of Directors and management team, particularly in the areas of operations, finance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-2691130</wp:posOffset>
            </wp:positionV>
            <wp:extent cx="1155700" cy="14922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155700" cy="1492250"/>
                    </a:xfrm>
                    <a:prstGeom prst="rect">
                      <a:avLst/>
                    </a:prstGeom>
                    <a:noFill/>
                  </pic:spPr>
                </pic:pic>
              </a:graphicData>
            </a:graphic>
          </wp:anchor>
        </w:drawing>
      </w:r>
    </w:p>
    <w:p>
      <w:pPr>
        <w:spacing w:after="0" w:line="219" w:lineRule="exact"/>
        <w:rPr>
          <w:sz w:val="20"/>
          <w:szCs w:val="20"/>
          <w:color w:val="auto"/>
        </w:rPr>
      </w:pPr>
    </w:p>
    <w:p>
      <w:pPr>
        <w:ind w:left="40" w:right="199" w:firstLine="606"/>
        <w:spacing w:after="0" w:line="280" w:lineRule="auto"/>
        <w:rPr>
          <w:sz w:val="20"/>
          <w:szCs w:val="20"/>
          <w:color w:val="auto"/>
        </w:rPr>
      </w:pPr>
      <w:r>
        <w:rPr>
          <w:rFonts w:ascii="Times New Roman" w:cs="Times New Roman" w:eastAsia="Times New Roman" w:hAnsi="Times New Roman"/>
          <w:sz w:val="17"/>
          <w:szCs w:val="17"/>
          <w:b w:val="1"/>
          <w:bCs w:val="1"/>
          <w:color w:val="auto"/>
        </w:rPr>
        <w:t>Our Board of Directors unanimously recommends that the stockholders vote “</w:t>
      </w:r>
      <w:r>
        <w:rPr>
          <w:rFonts w:ascii="Times New Roman" w:cs="Times New Roman" w:eastAsia="Times New Roman" w:hAnsi="Times New Roman"/>
          <w:sz w:val="17"/>
          <w:szCs w:val="17"/>
          <w:b w:val="1"/>
          <w:bCs w:val="1"/>
          <w:u w:val="single" w:color="auto"/>
          <w:color w:val="auto"/>
        </w:rPr>
        <w:t>FOR</w:t>
      </w:r>
      <w:r>
        <w:rPr>
          <w:rFonts w:ascii="Times New Roman" w:cs="Times New Roman" w:eastAsia="Times New Roman" w:hAnsi="Times New Roman"/>
          <w:sz w:val="17"/>
          <w:szCs w:val="17"/>
          <w:b w:val="1"/>
          <w:bCs w:val="1"/>
          <w:color w:val="auto"/>
        </w:rPr>
        <w:t>” the election of each of the six nominees listed above to constitute our Board of Directors.</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335915</wp:posOffset>
            </wp:positionV>
            <wp:extent cx="5664835" cy="241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64835"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30" w:name="page31"/>
    <w:bookmarkEnd w:id="3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PROPOSAL NO. 2</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ADVISORY VOTE TO APPROVE NAMED EXECUTIVE OFFICER COMPENSATION</w:t>
      </w:r>
    </w:p>
    <w:p>
      <w:pPr>
        <w:spacing w:after="0" w:line="189" w:lineRule="exact"/>
        <w:rPr>
          <w:sz w:val="20"/>
          <w:szCs w:val="20"/>
          <w:color w:val="auto"/>
        </w:rPr>
      </w:pPr>
    </w:p>
    <w:tbl>
      <w:tblPr>
        <w:tblLayout w:type="fixed"/>
        <w:tblInd w:w="70" w:type="dxa"/>
        <w:tblCellMar>
          <w:top w:w="0" w:type="dxa"/>
          <w:left w:w="0" w:type="dxa"/>
          <w:bottom w:w="0" w:type="dxa"/>
          <w:right w:w="0" w:type="dxa"/>
        </w:tblCellMar>
      </w:tblPr>
      <w:tr>
        <w:trPr>
          <w:trHeight w:val="194"/>
        </w:trPr>
        <w:tc>
          <w:tcPr>
            <w:tcW w:w="2440" w:type="dxa"/>
            <w:vAlign w:val="bottom"/>
            <w:tcBorders>
              <w:top w:val="single" w:sz="8" w:color="auto"/>
              <w:left w:val="single" w:sz="8" w:color="auto"/>
            </w:tcBorders>
            <w:gridSpan w:val="2"/>
          </w:tcPr>
          <w:p>
            <w:pPr>
              <w:ind w:left="180"/>
              <w:spacing w:after="0" w:line="194" w:lineRule="exact"/>
              <w:rPr>
                <w:sz w:val="20"/>
                <w:szCs w:val="20"/>
                <w:color w:val="auto"/>
              </w:rPr>
            </w:pPr>
            <w:r>
              <w:rPr>
                <w:rFonts w:ascii="MS PGothic" w:cs="MS PGothic" w:eastAsia="MS PGothic" w:hAnsi="MS PGothic"/>
                <w:sz w:val="15"/>
                <w:szCs w:val="15"/>
                <w:color w:val="auto"/>
              </w:rPr>
              <w:t>☐</w:t>
            </w:r>
            <w:r>
              <w:rPr>
                <w:rFonts w:ascii="Times New Roman" w:cs="Times New Roman" w:eastAsia="Times New Roman" w:hAnsi="Times New Roman"/>
                <w:sz w:val="17"/>
                <w:szCs w:val="17"/>
                <w:b w:val="1"/>
                <w:bCs w:val="1"/>
                <w:i w:val="1"/>
                <w:iCs w:val="1"/>
                <w:color w:val="auto"/>
              </w:rPr>
              <w:t xml:space="preserve">  What am I voting on?</w:t>
            </w:r>
          </w:p>
        </w:tc>
        <w:tc>
          <w:tcPr>
            <w:tcW w:w="6480" w:type="dxa"/>
            <w:vAlign w:val="bottom"/>
            <w:tcBorders>
              <w:top w:val="single" w:sz="8" w:color="auto"/>
              <w:right w:val="single" w:sz="8" w:color="auto"/>
            </w:tcBorders>
          </w:tcPr>
          <w:p>
            <w:pPr>
              <w:ind w:left="200"/>
              <w:spacing w:after="0" w:line="194" w:lineRule="exact"/>
              <w:rPr>
                <w:sz w:val="20"/>
                <w:szCs w:val="20"/>
                <w:color w:val="auto"/>
              </w:rPr>
            </w:pPr>
            <w:r>
              <w:rPr>
                <w:rFonts w:ascii="Times New Roman" w:cs="Times New Roman" w:eastAsia="Times New Roman" w:hAnsi="Times New Roman"/>
                <w:sz w:val="17"/>
                <w:szCs w:val="17"/>
                <w:color w:val="auto"/>
              </w:rPr>
              <w:t>Stockholders are being asked to approve, on an advisory basis, the compensation of the</w:t>
            </w:r>
          </w:p>
        </w:tc>
      </w:tr>
      <w:tr>
        <w:trPr>
          <w:trHeight w:val="202"/>
        </w:trPr>
        <w:tc>
          <w:tcPr>
            <w:tcW w:w="420" w:type="dxa"/>
            <w:vAlign w:val="bottom"/>
            <w:tcBorders>
              <w:left w:val="single" w:sz="8" w:color="auto"/>
            </w:tcBorders>
          </w:tcPr>
          <w:p>
            <w:pPr>
              <w:spacing w:after="0"/>
              <w:rPr>
                <w:sz w:val="17"/>
                <w:szCs w:val="17"/>
                <w:color w:val="auto"/>
              </w:rPr>
            </w:pPr>
          </w:p>
        </w:tc>
        <w:tc>
          <w:tcPr>
            <w:tcW w:w="2020" w:type="dxa"/>
            <w:vAlign w:val="bottom"/>
          </w:tcPr>
          <w:p>
            <w:pPr>
              <w:spacing w:after="0"/>
              <w:rPr>
                <w:sz w:val="17"/>
                <w:szCs w:val="17"/>
                <w:color w:val="auto"/>
              </w:rPr>
            </w:pPr>
          </w:p>
        </w:tc>
        <w:tc>
          <w:tcPr>
            <w:tcW w:w="64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7"/>
                <w:szCs w:val="17"/>
                <w:color w:val="auto"/>
              </w:rPr>
              <w:t>named executive officers as described in the section titled “</w:t>
            </w:r>
            <w:r>
              <w:rPr>
                <w:rFonts w:ascii="Times New Roman" w:cs="Times New Roman" w:eastAsia="Times New Roman" w:hAnsi="Times New Roman"/>
                <w:sz w:val="17"/>
                <w:szCs w:val="17"/>
                <w:i w:val="1"/>
                <w:iCs w:val="1"/>
                <w:color w:val="auto"/>
              </w:rPr>
              <w:t>Compensation Discussion and</w:t>
            </w:r>
          </w:p>
        </w:tc>
      </w:tr>
      <w:tr>
        <w:trPr>
          <w:trHeight w:val="222"/>
        </w:trPr>
        <w:tc>
          <w:tcPr>
            <w:tcW w:w="420" w:type="dxa"/>
            <w:vAlign w:val="bottom"/>
            <w:tcBorders>
              <w:left w:val="single" w:sz="8" w:color="auto"/>
            </w:tcBorders>
          </w:tcPr>
          <w:p>
            <w:pPr>
              <w:spacing w:after="0"/>
              <w:rPr>
                <w:sz w:val="19"/>
                <w:szCs w:val="19"/>
                <w:color w:val="auto"/>
              </w:rPr>
            </w:pPr>
          </w:p>
        </w:tc>
        <w:tc>
          <w:tcPr>
            <w:tcW w:w="2020" w:type="dxa"/>
            <w:vAlign w:val="bottom"/>
          </w:tcPr>
          <w:p>
            <w:pPr>
              <w:spacing w:after="0"/>
              <w:rPr>
                <w:sz w:val="19"/>
                <w:szCs w:val="19"/>
                <w:color w:val="auto"/>
              </w:rPr>
            </w:pPr>
          </w:p>
        </w:tc>
        <w:tc>
          <w:tcPr>
            <w:tcW w:w="64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7"/>
                <w:szCs w:val="17"/>
                <w:i w:val="1"/>
                <w:iCs w:val="1"/>
                <w:color w:val="auto"/>
              </w:rPr>
              <w:t xml:space="preserve">Analysis” </w:t>
            </w:r>
            <w:r>
              <w:rPr>
                <w:rFonts w:ascii="Times New Roman" w:cs="Times New Roman" w:eastAsia="Times New Roman" w:hAnsi="Times New Roman"/>
                <w:sz w:val="17"/>
                <w:szCs w:val="17"/>
                <w:color w:val="auto"/>
              </w:rPr>
              <w:t>and the related tables.</w:t>
            </w:r>
          </w:p>
        </w:tc>
      </w:tr>
      <w:tr>
        <w:trPr>
          <w:trHeight w:val="388"/>
        </w:trPr>
        <w:tc>
          <w:tcPr>
            <w:tcW w:w="420" w:type="dxa"/>
            <w:vAlign w:val="bottom"/>
            <w:tcBorders>
              <w:left w:val="single" w:sz="8" w:color="auto"/>
            </w:tcBorders>
          </w:tcPr>
          <w:p>
            <w:pPr>
              <w:ind w:left="180"/>
              <w:spacing w:after="0" w:line="151" w:lineRule="exact"/>
              <w:rPr>
                <w:sz w:val="20"/>
                <w:szCs w:val="20"/>
                <w:color w:val="auto"/>
              </w:rPr>
            </w:pPr>
            <w:r>
              <w:rPr>
                <w:rFonts w:ascii="MS PGothic" w:cs="MS PGothic" w:eastAsia="MS PGothic" w:hAnsi="MS PGothic"/>
                <w:sz w:val="15"/>
                <w:szCs w:val="15"/>
                <w:color w:val="auto"/>
              </w:rPr>
              <w:t>☐</w:t>
            </w:r>
          </w:p>
        </w:tc>
        <w:tc>
          <w:tcPr>
            <w:tcW w:w="2020" w:type="dxa"/>
            <w:vAlign w:val="bottom"/>
          </w:tcPr>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Voting recommendation:</w:t>
            </w:r>
          </w:p>
        </w:tc>
        <w:tc>
          <w:tcPr>
            <w:tcW w:w="64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7"/>
                <w:szCs w:val="17"/>
                <w:color w:val="auto"/>
                <w:w w:val="99"/>
              </w:rPr>
              <w:t>Our Board of Directors unanimously recommends that you vote “FOR” the advisory vote to</w:t>
            </w:r>
          </w:p>
        </w:tc>
      </w:tr>
      <w:tr>
        <w:trPr>
          <w:trHeight w:val="202"/>
        </w:trPr>
        <w:tc>
          <w:tcPr>
            <w:tcW w:w="420" w:type="dxa"/>
            <w:vAlign w:val="bottom"/>
            <w:tcBorders>
              <w:left w:val="single" w:sz="8" w:color="auto"/>
            </w:tcBorders>
          </w:tcPr>
          <w:p>
            <w:pPr>
              <w:spacing w:after="0"/>
              <w:rPr>
                <w:sz w:val="17"/>
                <w:szCs w:val="17"/>
                <w:color w:val="auto"/>
              </w:rPr>
            </w:pPr>
          </w:p>
        </w:tc>
        <w:tc>
          <w:tcPr>
            <w:tcW w:w="2020" w:type="dxa"/>
            <w:vAlign w:val="bottom"/>
          </w:tcPr>
          <w:p>
            <w:pPr>
              <w:spacing w:after="0"/>
              <w:rPr>
                <w:sz w:val="17"/>
                <w:szCs w:val="17"/>
                <w:color w:val="auto"/>
              </w:rPr>
            </w:pPr>
          </w:p>
        </w:tc>
        <w:tc>
          <w:tcPr>
            <w:tcW w:w="64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7"/>
                <w:szCs w:val="17"/>
                <w:color w:val="auto"/>
              </w:rPr>
              <w:t>approve the compensation of our named executive officers. The Compensation Committee</w:t>
            </w:r>
          </w:p>
        </w:tc>
      </w:tr>
      <w:tr>
        <w:trPr>
          <w:trHeight w:val="202"/>
        </w:trPr>
        <w:tc>
          <w:tcPr>
            <w:tcW w:w="420" w:type="dxa"/>
            <w:vAlign w:val="bottom"/>
            <w:tcBorders>
              <w:left w:val="single" w:sz="8" w:color="auto"/>
            </w:tcBorders>
          </w:tcPr>
          <w:p>
            <w:pPr>
              <w:spacing w:after="0"/>
              <w:rPr>
                <w:sz w:val="17"/>
                <w:szCs w:val="17"/>
                <w:color w:val="auto"/>
              </w:rPr>
            </w:pPr>
          </w:p>
        </w:tc>
        <w:tc>
          <w:tcPr>
            <w:tcW w:w="2020" w:type="dxa"/>
            <w:vAlign w:val="bottom"/>
          </w:tcPr>
          <w:p>
            <w:pPr>
              <w:spacing w:after="0"/>
              <w:rPr>
                <w:sz w:val="17"/>
                <w:szCs w:val="17"/>
                <w:color w:val="auto"/>
              </w:rPr>
            </w:pPr>
          </w:p>
        </w:tc>
        <w:tc>
          <w:tcPr>
            <w:tcW w:w="64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7"/>
                <w:szCs w:val="17"/>
                <w:color w:val="auto"/>
              </w:rPr>
              <w:t>takes very seriously its role in the governance of the Company’s compensation programs</w:t>
            </w:r>
          </w:p>
        </w:tc>
      </w:tr>
      <w:tr>
        <w:trPr>
          <w:trHeight w:val="202"/>
        </w:trPr>
        <w:tc>
          <w:tcPr>
            <w:tcW w:w="420" w:type="dxa"/>
            <w:vAlign w:val="bottom"/>
            <w:tcBorders>
              <w:left w:val="single" w:sz="8" w:color="auto"/>
            </w:tcBorders>
          </w:tcPr>
          <w:p>
            <w:pPr>
              <w:spacing w:after="0"/>
              <w:rPr>
                <w:sz w:val="17"/>
                <w:szCs w:val="17"/>
                <w:color w:val="auto"/>
              </w:rPr>
            </w:pPr>
          </w:p>
        </w:tc>
        <w:tc>
          <w:tcPr>
            <w:tcW w:w="2020" w:type="dxa"/>
            <w:vAlign w:val="bottom"/>
          </w:tcPr>
          <w:p>
            <w:pPr>
              <w:spacing w:after="0"/>
              <w:rPr>
                <w:sz w:val="17"/>
                <w:szCs w:val="17"/>
                <w:color w:val="auto"/>
              </w:rPr>
            </w:pPr>
          </w:p>
        </w:tc>
        <w:tc>
          <w:tcPr>
            <w:tcW w:w="64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7"/>
                <w:szCs w:val="17"/>
                <w:color w:val="auto"/>
              </w:rPr>
              <w:t>and will take into account the outcome of the advisory vote when considering future</w:t>
            </w:r>
          </w:p>
        </w:tc>
      </w:tr>
      <w:tr>
        <w:trPr>
          <w:trHeight w:val="218"/>
        </w:trPr>
        <w:tc>
          <w:tcPr>
            <w:tcW w:w="420" w:type="dxa"/>
            <w:vAlign w:val="bottom"/>
            <w:tcBorders>
              <w:left w:val="single" w:sz="8" w:color="auto"/>
            </w:tcBorders>
          </w:tcPr>
          <w:p>
            <w:pPr>
              <w:spacing w:after="0"/>
              <w:rPr>
                <w:sz w:val="18"/>
                <w:szCs w:val="18"/>
                <w:color w:val="auto"/>
              </w:rPr>
            </w:pPr>
          </w:p>
        </w:tc>
        <w:tc>
          <w:tcPr>
            <w:tcW w:w="2020" w:type="dxa"/>
            <w:vAlign w:val="bottom"/>
          </w:tcPr>
          <w:p>
            <w:pPr>
              <w:spacing w:after="0"/>
              <w:rPr>
                <w:sz w:val="18"/>
                <w:szCs w:val="18"/>
                <w:color w:val="auto"/>
              </w:rPr>
            </w:pPr>
          </w:p>
        </w:tc>
        <w:tc>
          <w:tcPr>
            <w:tcW w:w="64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7"/>
                <w:szCs w:val="17"/>
                <w:color w:val="auto"/>
              </w:rPr>
              <w:t>executive compensation decisions.</w:t>
            </w:r>
          </w:p>
        </w:tc>
      </w:tr>
      <w:tr>
        <w:trPr>
          <w:trHeight w:val="388"/>
        </w:trPr>
        <w:tc>
          <w:tcPr>
            <w:tcW w:w="420" w:type="dxa"/>
            <w:vAlign w:val="bottom"/>
            <w:tcBorders>
              <w:left w:val="single" w:sz="8" w:color="auto"/>
            </w:tcBorders>
          </w:tcPr>
          <w:p>
            <w:pPr>
              <w:ind w:left="180"/>
              <w:spacing w:after="0" w:line="151" w:lineRule="exact"/>
              <w:rPr>
                <w:sz w:val="20"/>
                <w:szCs w:val="20"/>
                <w:color w:val="auto"/>
              </w:rPr>
            </w:pPr>
            <w:r>
              <w:rPr>
                <w:rFonts w:ascii="MS PGothic" w:cs="MS PGothic" w:eastAsia="MS PGothic" w:hAnsi="MS PGothic"/>
                <w:sz w:val="15"/>
                <w:szCs w:val="15"/>
                <w:color w:val="auto"/>
              </w:rPr>
              <w:t>☐</w:t>
            </w:r>
          </w:p>
        </w:tc>
        <w:tc>
          <w:tcPr>
            <w:tcW w:w="2020" w:type="dxa"/>
            <w:vAlign w:val="bottom"/>
          </w:tcPr>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Vote required:</w:t>
            </w:r>
          </w:p>
        </w:tc>
        <w:tc>
          <w:tcPr>
            <w:tcW w:w="64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7"/>
                <w:szCs w:val="17"/>
                <w:color w:val="auto"/>
              </w:rPr>
              <w:t>The affirmative vote of the majority of shares present in person or represented by proxy at</w:t>
            </w:r>
          </w:p>
        </w:tc>
      </w:tr>
      <w:tr>
        <w:trPr>
          <w:trHeight w:val="202"/>
        </w:trPr>
        <w:tc>
          <w:tcPr>
            <w:tcW w:w="420" w:type="dxa"/>
            <w:vAlign w:val="bottom"/>
            <w:tcBorders>
              <w:left w:val="single" w:sz="8" w:color="auto"/>
            </w:tcBorders>
          </w:tcPr>
          <w:p>
            <w:pPr>
              <w:spacing w:after="0"/>
              <w:rPr>
                <w:sz w:val="17"/>
                <w:szCs w:val="17"/>
                <w:color w:val="auto"/>
              </w:rPr>
            </w:pPr>
          </w:p>
        </w:tc>
        <w:tc>
          <w:tcPr>
            <w:tcW w:w="2020" w:type="dxa"/>
            <w:vAlign w:val="bottom"/>
          </w:tcPr>
          <w:p>
            <w:pPr>
              <w:spacing w:after="0"/>
              <w:rPr>
                <w:sz w:val="17"/>
                <w:szCs w:val="17"/>
                <w:color w:val="auto"/>
              </w:rPr>
            </w:pPr>
          </w:p>
        </w:tc>
        <w:tc>
          <w:tcPr>
            <w:tcW w:w="64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7"/>
                <w:szCs w:val="17"/>
                <w:color w:val="auto"/>
              </w:rPr>
              <w:t>the Annual Meeting and entitled to vote. Broker non-votes will have no effect on the</w:t>
            </w:r>
          </w:p>
        </w:tc>
      </w:tr>
      <w:tr>
        <w:trPr>
          <w:trHeight w:val="202"/>
        </w:trPr>
        <w:tc>
          <w:tcPr>
            <w:tcW w:w="420" w:type="dxa"/>
            <w:vAlign w:val="bottom"/>
            <w:tcBorders>
              <w:left w:val="single" w:sz="8" w:color="auto"/>
            </w:tcBorders>
          </w:tcPr>
          <w:p>
            <w:pPr>
              <w:spacing w:after="0"/>
              <w:rPr>
                <w:sz w:val="17"/>
                <w:szCs w:val="17"/>
                <w:color w:val="auto"/>
              </w:rPr>
            </w:pPr>
          </w:p>
        </w:tc>
        <w:tc>
          <w:tcPr>
            <w:tcW w:w="2020" w:type="dxa"/>
            <w:vAlign w:val="bottom"/>
          </w:tcPr>
          <w:p>
            <w:pPr>
              <w:spacing w:after="0"/>
              <w:rPr>
                <w:sz w:val="17"/>
                <w:szCs w:val="17"/>
                <w:color w:val="auto"/>
              </w:rPr>
            </w:pPr>
          </w:p>
        </w:tc>
        <w:tc>
          <w:tcPr>
            <w:tcW w:w="64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7"/>
                <w:szCs w:val="17"/>
                <w:color w:val="auto"/>
              </w:rPr>
              <w:t>outcome of this proposal, while abstentions will have the effect of a vote against this</w:t>
            </w:r>
          </w:p>
        </w:tc>
      </w:tr>
      <w:tr>
        <w:trPr>
          <w:trHeight w:val="218"/>
        </w:trPr>
        <w:tc>
          <w:tcPr>
            <w:tcW w:w="420" w:type="dxa"/>
            <w:vAlign w:val="bottom"/>
            <w:tcBorders>
              <w:left w:val="single" w:sz="8" w:color="auto"/>
              <w:bottom w:val="single" w:sz="8" w:color="auto"/>
            </w:tcBorders>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648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7"/>
                <w:szCs w:val="17"/>
                <w:color w:val="auto"/>
              </w:rPr>
              <w:t>proposal.</w:t>
            </w:r>
          </w:p>
        </w:tc>
      </w:tr>
    </w:tbl>
    <w:p>
      <w:pPr>
        <w:spacing w:after="0" w:line="186" w:lineRule="exact"/>
        <w:rPr>
          <w:sz w:val="20"/>
          <w:szCs w:val="20"/>
          <w:color w:val="auto"/>
        </w:rPr>
      </w:pPr>
    </w:p>
    <w:p>
      <w:pPr>
        <w:ind w:left="40" w:right="159" w:firstLine="606"/>
        <w:spacing w:after="0" w:line="274" w:lineRule="auto"/>
        <w:rPr>
          <w:sz w:val="20"/>
          <w:szCs w:val="20"/>
          <w:color w:val="auto"/>
        </w:rPr>
      </w:pPr>
      <w:r>
        <w:rPr>
          <w:rFonts w:ascii="Times New Roman" w:cs="Times New Roman" w:eastAsia="Times New Roman" w:hAnsi="Times New Roman"/>
          <w:sz w:val="16"/>
          <w:szCs w:val="16"/>
          <w:color w:val="auto"/>
        </w:rPr>
        <w:t>The Dodd-Frank Wall Street Reform and Consumer Protection Act, or the Dodd-Frank Act, enacted in 2010, requires that companies provide their stockholders with the opportunity to vote, on an advisory basis, whether to approve the compensation of companies’ named executive officers, commonly referred to as a “Say-on-Pay” vote, at least once every three years. In a vote held at our 2017 Annual Meeting, our stockholders voted in favor of holding Say-on-Pay votes annually. In light of this result and other factors considered by the Board, the Board has determined that the Company will hold Say-on-Pay votes on an annual basis.</w:t>
      </w:r>
    </w:p>
    <w:p>
      <w:pPr>
        <w:spacing w:after="0" w:line="62" w:lineRule="exact"/>
        <w:rPr>
          <w:sz w:val="20"/>
          <w:szCs w:val="20"/>
          <w:color w:val="auto"/>
        </w:rPr>
      </w:pPr>
    </w:p>
    <w:p>
      <w:pPr>
        <w:ind w:left="40" w:right="99" w:firstLine="606"/>
        <w:spacing w:after="0" w:line="253" w:lineRule="auto"/>
        <w:rPr>
          <w:sz w:val="20"/>
          <w:szCs w:val="20"/>
          <w:color w:val="auto"/>
        </w:rPr>
      </w:pPr>
      <w:r>
        <w:rPr>
          <w:rFonts w:ascii="Times New Roman" w:cs="Times New Roman" w:eastAsia="Times New Roman" w:hAnsi="Times New Roman"/>
          <w:sz w:val="17"/>
          <w:szCs w:val="17"/>
          <w:color w:val="auto"/>
        </w:rPr>
        <w:t>The Say-on-Pay vote is a non-binding advisory vote on the compensation of our named executive officers as described in the section titled “Compensation Discussion and Analysis”, including the tabular disclosure and accompanying narrative disclosure regarding such compensation, set forth in this Proxy Statement. It is not a vote to approve our general compensation policies, the compensation of our Board of Directors, or our compensation policies as they relate to risk management. Please read the section titled “</w:t>
      </w:r>
      <w:r>
        <w:rPr>
          <w:rFonts w:ascii="Times New Roman" w:cs="Times New Roman" w:eastAsia="Times New Roman" w:hAnsi="Times New Roman"/>
          <w:sz w:val="17"/>
          <w:szCs w:val="17"/>
          <w:i w:val="1"/>
          <w:iCs w:val="1"/>
          <w:color w:val="auto"/>
        </w:rPr>
        <w:t>Compensation Discussion and Analysis”</w:t>
      </w:r>
      <w:r>
        <w:rPr>
          <w:rFonts w:ascii="Times New Roman" w:cs="Times New Roman" w:eastAsia="Times New Roman" w:hAnsi="Times New Roman"/>
          <w:sz w:val="17"/>
          <w:szCs w:val="17"/>
          <w:color w:val="auto"/>
        </w:rPr>
        <w:t xml:space="preserve"> of this Proxy Statement for a detailed discussion about our executive compensation programs, including information about the fiscal year 2024 compensation of our named executive officers.</w:t>
      </w:r>
    </w:p>
    <w:p>
      <w:pPr>
        <w:spacing w:after="0" w:line="78" w:lineRule="exact"/>
        <w:rPr>
          <w:sz w:val="20"/>
          <w:szCs w:val="20"/>
          <w:color w:val="auto"/>
        </w:rPr>
      </w:pPr>
    </w:p>
    <w:p>
      <w:pPr>
        <w:ind w:left="40" w:right="79" w:firstLine="606"/>
        <w:spacing w:after="0" w:line="252" w:lineRule="auto"/>
        <w:rPr>
          <w:sz w:val="20"/>
          <w:szCs w:val="20"/>
          <w:color w:val="auto"/>
        </w:rPr>
      </w:pPr>
      <w:r>
        <w:rPr>
          <w:rFonts w:ascii="Times New Roman" w:cs="Times New Roman" w:eastAsia="Times New Roman" w:hAnsi="Times New Roman"/>
          <w:sz w:val="17"/>
          <w:szCs w:val="17"/>
          <w:color w:val="auto"/>
        </w:rPr>
        <w:t>The objectives of our compensation program are to attract, motivate, retain, and reward our executive officers by relating compensation to performance and making our compensation package competitive and cost-effective. We pay our executive officers based on business performance and individual performance, and, in setting compensation levels, we take into consideration our past practices, our current and anticipated future needs, and the relative skills and experience of each individual executive officer. The section titled “</w:t>
      </w:r>
      <w:r>
        <w:rPr>
          <w:rFonts w:ascii="Times New Roman" w:cs="Times New Roman" w:eastAsia="Times New Roman" w:hAnsi="Times New Roman"/>
          <w:sz w:val="17"/>
          <w:szCs w:val="17"/>
          <w:i w:val="1"/>
          <w:iCs w:val="1"/>
          <w:color w:val="auto"/>
        </w:rPr>
        <w:t>Compensation Discussion and Analysis”</w:t>
      </w:r>
      <w:r>
        <w:rPr>
          <w:rFonts w:ascii="Times New Roman" w:cs="Times New Roman" w:eastAsia="Times New Roman" w:hAnsi="Times New Roman"/>
          <w:sz w:val="17"/>
          <w:szCs w:val="17"/>
          <w:color w:val="auto"/>
        </w:rPr>
        <w:t xml:space="preserve"> of this Proxy Statement provides a more detailed discussion of our executive compensation program. We believe that the compensation program we follow helps us achieve our principal compensation objectives.</w:t>
      </w:r>
    </w:p>
    <w:p>
      <w:pPr>
        <w:spacing w:after="0" w:line="79" w:lineRule="exact"/>
        <w:rPr>
          <w:sz w:val="20"/>
          <w:szCs w:val="20"/>
          <w:color w:val="auto"/>
        </w:rPr>
      </w:pPr>
    </w:p>
    <w:p>
      <w:pPr>
        <w:jc w:val="both"/>
        <w:ind w:left="40" w:right="419" w:firstLine="606"/>
        <w:spacing w:after="0" w:line="270" w:lineRule="auto"/>
        <w:rPr>
          <w:sz w:val="20"/>
          <w:szCs w:val="20"/>
          <w:color w:val="auto"/>
        </w:rPr>
      </w:pPr>
      <w:r>
        <w:rPr>
          <w:rFonts w:ascii="Times New Roman" w:cs="Times New Roman" w:eastAsia="Times New Roman" w:hAnsi="Times New Roman"/>
          <w:sz w:val="16"/>
          <w:szCs w:val="16"/>
          <w:color w:val="auto"/>
        </w:rPr>
        <w:t>The vote solicited by this Proposal No. 2 is advisory, and therefore is not binding on us, our Board of Directors or our Compensation Committee, nor will its outcome require us, our Board of Directors or our Compensation Committee to take any action. Moreover, the outcome of the vote will not be construed as overruling any decision by us or our Board of Directors.</w:t>
      </w:r>
    </w:p>
    <w:p>
      <w:pPr>
        <w:spacing w:after="0" w:line="1" w:lineRule="exact"/>
        <w:rPr>
          <w:sz w:val="20"/>
          <w:szCs w:val="20"/>
          <w:color w:val="auto"/>
        </w:rPr>
      </w:pPr>
    </w:p>
    <w:p>
      <w:pPr>
        <w:ind w:left="40" w:right="79"/>
        <w:spacing w:after="0" w:line="249" w:lineRule="auto"/>
        <w:rPr>
          <w:sz w:val="20"/>
          <w:szCs w:val="20"/>
          <w:color w:val="auto"/>
        </w:rPr>
      </w:pPr>
      <w:r>
        <w:rPr>
          <w:rFonts w:ascii="Times New Roman" w:cs="Times New Roman" w:eastAsia="Times New Roman" w:hAnsi="Times New Roman"/>
          <w:sz w:val="17"/>
          <w:szCs w:val="17"/>
          <w:color w:val="auto"/>
        </w:rPr>
        <w:t>Furthermore, because this non-binding, advisory vote primarily relates to the compensation of our named executive officers that we have already paid or are otherwise contractually committed to pay, there is generally no opportunity for us to revisit these decisions. However, our Board of Directors, including our Compensation Committee, values the opinions of our stockholders and, to the extent there is any significant vote against the named executive officer compensation as disclosed in this Proxy Statement, we will consider our stockholders’ concerns and evaluate what actions, if any, may be appropriate for us to take in the future to address those concerns.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335915</wp:posOffset>
            </wp:positionV>
            <wp:extent cx="5664835" cy="241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64835"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31" w:name="page32"/>
    <w:bookmarkEnd w:id="3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Stockholders will be asked at the Annual Meeting to approve the following resolution pursuant to this Proposal No. 2:</w:t>
      </w:r>
    </w:p>
    <w:p>
      <w:pPr>
        <w:spacing w:after="0" w:line="108" w:lineRule="exact"/>
        <w:rPr>
          <w:sz w:val="20"/>
          <w:szCs w:val="20"/>
          <w:color w:val="auto"/>
        </w:rPr>
      </w:pPr>
    </w:p>
    <w:p>
      <w:pPr>
        <w:ind w:left="40" w:right="179" w:firstLine="606"/>
        <w:spacing w:after="0" w:line="262" w:lineRule="auto"/>
        <w:rPr>
          <w:sz w:val="20"/>
          <w:szCs w:val="20"/>
          <w:color w:val="auto"/>
        </w:rPr>
      </w:pPr>
      <w:r>
        <w:rPr>
          <w:rFonts w:ascii="Times New Roman" w:cs="Times New Roman" w:eastAsia="Times New Roman" w:hAnsi="Times New Roman"/>
          <w:sz w:val="17"/>
          <w:szCs w:val="17"/>
          <w:color w:val="auto"/>
        </w:rPr>
        <w:t>“RESOLVED, that the stockholders of Grand Canyon Education, Inc. approve, on an advisory basis, the compensation of the Company’s named executive officers, disclosed pursuant to Item 402 of Regulation S-K in the Company’s definitive Proxy Statement for the 2025 Annual Meeting of Stockholders.”</w:t>
      </w:r>
    </w:p>
    <w:p>
      <w:pPr>
        <w:spacing w:after="0" w:line="63" w:lineRule="exact"/>
        <w:rPr>
          <w:sz w:val="20"/>
          <w:szCs w:val="20"/>
          <w:color w:val="auto"/>
        </w:rPr>
      </w:pPr>
    </w:p>
    <w:p>
      <w:pPr>
        <w:ind w:left="40" w:right="119" w:firstLine="606"/>
        <w:spacing w:after="0" w:line="280" w:lineRule="auto"/>
        <w:rPr>
          <w:sz w:val="20"/>
          <w:szCs w:val="20"/>
          <w:color w:val="auto"/>
        </w:rPr>
      </w:pPr>
      <w:r>
        <w:rPr>
          <w:rFonts w:ascii="Times New Roman" w:cs="Times New Roman" w:eastAsia="Times New Roman" w:hAnsi="Times New Roman"/>
          <w:sz w:val="17"/>
          <w:szCs w:val="17"/>
          <w:b w:val="1"/>
          <w:bCs w:val="1"/>
          <w:color w:val="auto"/>
        </w:rPr>
        <w:t>Our Board of Directors unanimously recommends that you vote “</w:t>
      </w:r>
      <w:r>
        <w:rPr>
          <w:rFonts w:ascii="Times New Roman" w:cs="Times New Roman" w:eastAsia="Times New Roman" w:hAnsi="Times New Roman"/>
          <w:sz w:val="17"/>
          <w:szCs w:val="17"/>
          <w:b w:val="1"/>
          <w:bCs w:val="1"/>
          <w:u w:val="single" w:color="auto"/>
          <w:color w:val="auto"/>
        </w:rPr>
        <w:t>FOR</w:t>
      </w:r>
      <w:r>
        <w:rPr>
          <w:rFonts w:ascii="Times New Roman" w:cs="Times New Roman" w:eastAsia="Times New Roman" w:hAnsi="Times New Roman"/>
          <w:sz w:val="17"/>
          <w:szCs w:val="17"/>
          <w:b w:val="1"/>
          <w:bCs w:val="1"/>
          <w:color w:val="auto"/>
        </w:rPr>
        <w:t>” the resolution approving the compensation of our named executive officers as disclosed in this Proxy Statement.</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335915</wp:posOffset>
            </wp:positionV>
            <wp:extent cx="5664835" cy="241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64835"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32" w:name="page33"/>
    <w:bookmarkEnd w:id="3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EXECUTIVE OFFICERS</w:t>
      </w:r>
    </w:p>
    <w:p>
      <w:pPr>
        <w:spacing w:after="0" w:line="112" w:lineRule="exact"/>
        <w:rPr>
          <w:sz w:val="20"/>
          <w:szCs w:val="20"/>
          <w:color w:val="auto"/>
        </w:rPr>
      </w:pPr>
    </w:p>
    <w:p>
      <w:pPr>
        <w:jc w:val="both"/>
        <w:ind w:left="40" w:right="439" w:firstLine="606"/>
        <w:spacing w:after="0" w:line="262" w:lineRule="auto"/>
        <w:rPr>
          <w:sz w:val="20"/>
          <w:szCs w:val="20"/>
          <w:color w:val="auto"/>
        </w:rPr>
      </w:pPr>
      <w:r>
        <w:rPr>
          <w:rFonts w:ascii="Times New Roman" w:cs="Times New Roman" w:eastAsia="Times New Roman" w:hAnsi="Times New Roman"/>
          <w:sz w:val="17"/>
          <w:szCs w:val="17"/>
          <w:color w:val="auto"/>
        </w:rPr>
        <w:t xml:space="preserve">The following section sets forth information regarding our non-director executive officers as of the date of this Proxy Statement. For information regarding Brian E. Mueller, our Chairman and our Chief Executive Officer, see “Proposal No. 1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Election of Directors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Directors and Director Nominees.”</w:t>
      </w:r>
    </w:p>
    <w:p>
      <w:pPr>
        <w:spacing w:after="0" w:line="72" w:lineRule="exact"/>
        <w:rPr>
          <w:sz w:val="20"/>
          <w:szCs w:val="20"/>
          <w:color w:val="auto"/>
        </w:rPr>
      </w:pPr>
    </w:p>
    <w:tbl>
      <w:tblPr>
        <w:tblLayout w:type="fixed"/>
        <w:tblInd w:w="40" w:type="dxa"/>
        <w:tblCellMar>
          <w:top w:w="0" w:type="dxa"/>
          <w:left w:w="0" w:type="dxa"/>
          <w:bottom w:w="0" w:type="dxa"/>
          <w:right w:w="0" w:type="dxa"/>
        </w:tblCellMar>
      </w:tblPr>
      <w:tr>
        <w:trPr>
          <w:trHeight w:val="163"/>
        </w:trPr>
        <w:tc>
          <w:tcPr>
            <w:tcW w:w="18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740" w:type="dxa"/>
            <w:vAlign w:val="bottom"/>
          </w:tcPr>
          <w:p>
            <w:pPr>
              <w:ind w:left="260"/>
              <w:spacing w:after="0"/>
              <w:rPr>
                <w:sz w:val="20"/>
                <w:szCs w:val="20"/>
                <w:color w:val="auto"/>
              </w:rPr>
            </w:pPr>
            <w:r>
              <w:rPr>
                <w:rFonts w:ascii="Times New Roman" w:cs="Times New Roman" w:eastAsia="Times New Roman" w:hAnsi="Times New Roman"/>
                <w:sz w:val="13"/>
                <w:szCs w:val="13"/>
                <w:b w:val="1"/>
                <w:bCs w:val="1"/>
                <w:color w:val="auto"/>
              </w:rPr>
              <w:t>Age</w:t>
            </w:r>
          </w:p>
        </w:tc>
        <w:tc>
          <w:tcPr>
            <w:tcW w:w="634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Position</w:t>
            </w:r>
          </w:p>
        </w:tc>
      </w:tr>
      <w:tr>
        <w:trPr>
          <w:trHeight w:val="195"/>
        </w:trPr>
        <w:tc>
          <w:tcPr>
            <w:tcW w:w="20" w:type="dxa"/>
            <w:vAlign w:val="bottom"/>
          </w:tcPr>
          <w:p>
            <w:pPr>
              <w:spacing w:after="0"/>
              <w:rPr>
                <w:sz w:val="16"/>
                <w:szCs w:val="16"/>
                <w:color w:val="auto"/>
              </w:rPr>
            </w:pPr>
          </w:p>
        </w:tc>
        <w:tc>
          <w:tcPr>
            <w:tcW w:w="1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Dr. W. Stan Meyer</w:t>
            </w:r>
          </w:p>
        </w:tc>
        <w:tc>
          <w:tcPr>
            <w:tcW w:w="1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64</w:t>
            </w:r>
          </w:p>
        </w:tc>
        <w:tc>
          <w:tcPr>
            <w:tcW w:w="180" w:type="dxa"/>
            <w:vAlign w:val="bottom"/>
            <w:tcBorders>
              <w:top w:val="single" w:sz="8" w:color="CCEEFF"/>
            </w:tcBorders>
            <w:shd w:val="clear" w:color="auto" w:fill="CCEEFF"/>
          </w:tcPr>
          <w:p>
            <w:pPr>
              <w:spacing w:after="0"/>
              <w:rPr>
                <w:sz w:val="16"/>
                <w:szCs w:val="16"/>
                <w:color w:val="auto"/>
              </w:rPr>
            </w:pPr>
          </w:p>
        </w:tc>
        <w:tc>
          <w:tcPr>
            <w:tcW w:w="6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Chief Operating Officer</w:t>
            </w:r>
          </w:p>
        </w:tc>
      </w:tr>
      <w:tr>
        <w:trPr>
          <w:trHeight w:val="202"/>
        </w:trPr>
        <w:tc>
          <w:tcPr>
            <w:tcW w:w="20" w:type="dxa"/>
            <w:vAlign w:val="bottom"/>
          </w:tcPr>
          <w:p>
            <w:pPr>
              <w:spacing w:after="0"/>
              <w:rPr>
                <w:sz w:val="17"/>
                <w:szCs w:val="17"/>
                <w:color w:val="auto"/>
              </w:rPr>
            </w:pPr>
          </w:p>
        </w:tc>
        <w:tc>
          <w:tcPr>
            <w:tcW w:w="1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Daniel E. Bachus</w:t>
            </w:r>
          </w:p>
        </w:tc>
        <w:tc>
          <w:tcPr>
            <w:tcW w:w="7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54</w:t>
            </w:r>
          </w:p>
        </w:tc>
        <w:tc>
          <w:tcPr>
            <w:tcW w:w="63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202"/>
        </w:trPr>
        <w:tc>
          <w:tcPr>
            <w:tcW w:w="20" w:type="dxa"/>
            <w:vAlign w:val="bottom"/>
          </w:tcPr>
          <w:p>
            <w:pPr>
              <w:spacing w:after="0"/>
              <w:rPr>
                <w:sz w:val="17"/>
                <w:szCs w:val="17"/>
                <w:color w:val="auto"/>
              </w:rPr>
            </w:pPr>
          </w:p>
        </w:tc>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Dilek Marsh</w:t>
            </w:r>
          </w:p>
        </w:tc>
        <w:tc>
          <w:tcPr>
            <w:tcW w:w="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51</w:t>
            </w:r>
          </w:p>
        </w:tc>
        <w:tc>
          <w:tcPr>
            <w:tcW w:w="6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Chief Technology Officer</w:t>
            </w:r>
          </w:p>
        </w:tc>
      </w:tr>
      <w:tr>
        <w:trPr>
          <w:trHeight w:val="218"/>
        </w:trPr>
        <w:tc>
          <w:tcPr>
            <w:tcW w:w="20" w:type="dxa"/>
            <w:vAlign w:val="bottom"/>
          </w:tcPr>
          <w:p>
            <w:pPr>
              <w:spacing w:after="0"/>
              <w:rPr>
                <w:sz w:val="18"/>
                <w:szCs w:val="18"/>
                <w:color w:val="auto"/>
              </w:rPr>
            </w:pPr>
          </w:p>
        </w:tc>
        <w:tc>
          <w:tcPr>
            <w:tcW w:w="1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Kathy J. Claypatch</w:t>
            </w:r>
          </w:p>
        </w:tc>
        <w:tc>
          <w:tcPr>
            <w:tcW w:w="7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63</w:t>
            </w:r>
          </w:p>
        </w:tc>
        <w:tc>
          <w:tcPr>
            <w:tcW w:w="63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Chief Information Officer</w:t>
            </w:r>
          </w:p>
        </w:tc>
      </w:tr>
    </w:tbl>
    <w:p>
      <w:pPr>
        <w:spacing w:after="0" w:line="393" w:lineRule="exact"/>
        <w:rPr>
          <w:sz w:val="20"/>
          <w:szCs w:val="20"/>
          <w:color w:val="auto"/>
        </w:rPr>
      </w:pPr>
    </w:p>
    <w:p>
      <w:pPr>
        <w:ind w:left="2400" w:right="119" w:firstLine="606"/>
        <w:spacing w:after="0" w:line="260" w:lineRule="auto"/>
        <w:rPr>
          <w:sz w:val="20"/>
          <w:szCs w:val="20"/>
          <w:color w:val="auto"/>
        </w:rPr>
      </w:pPr>
      <w:r>
        <w:rPr>
          <w:rFonts w:ascii="Times New Roman" w:cs="Times New Roman" w:eastAsia="Times New Roman" w:hAnsi="Times New Roman"/>
          <w:sz w:val="17"/>
          <w:szCs w:val="17"/>
          <w:i w:val="1"/>
          <w:iCs w:val="1"/>
          <w:color w:val="auto"/>
        </w:rPr>
        <w:t xml:space="preserve">Dr. W. Stan Meyer </w:t>
      </w:r>
      <w:r>
        <w:rPr>
          <w:rFonts w:ascii="Times New Roman" w:cs="Times New Roman" w:eastAsia="Times New Roman" w:hAnsi="Times New Roman"/>
          <w:sz w:val="17"/>
          <w:szCs w:val="17"/>
          <w:color w:val="auto"/>
        </w:rPr>
        <w:t>has been serving as our Chief Operating Officer since July 26, 2012,</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having previously served in the position of Executive Vice President from June 2008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-255270</wp:posOffset>
            </wp:positionV>
            <wp:extent cx="1147445" cy="15405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147445" cy="1540510"/>
                    </a:xfrm>
                    <a:prstGeom prst="rect">
                      <a:avLst/>
                    </a:prstGeom>
                    <a:noFill/>
                  </pic:spPr>
                </pic:pic>
              </a:graphicData>
            </a:graphic>
          </wp:anchor>
        </w:drawing>
      </w:r>
    </w:p>
    <w:p>
      <w:pPr>
        <w:ind w:left="2400" w:right="79"/>
        <w:spacing w:after="0" w:line="249" w:lineRule="auto"/>
        <w:rPr>
          <w:sz w:val="20"/>
          <w:szCs w:val="20"/>
          <w:color w:val="auto"/>
        </w:rPr>
      </w:pPr>
      <w:r>
        <w:rPr>
          <w:rFonts w:ascii="Times New Roman" w:cs="Times New Roman" w:eastAsia="Times New Roman" w:hAnsi="Times New Roman"/>
          <w:sz w:val="17"/>
          <w:szCs w:val="17"/>
          <w:color w:val="auto"/>
        </w:rPr>
        <w:t>July 2012. From August 2002 to June 2008, Dr. Meyer was employed by Apollo Education Group, Inc., a for-profit, postsecondary education company and the parent company of the University of Phoenix, serving between June 2006 to June 2008 as its executive vice president of marketing and enrollment. Dr. Meyer previously served as a regional vice president of the University of Phoenix Online, a unit of the University of Phoenix, and division director of Axia College and of the School of Advanced Studies, also units of the University of Phoenix. From 1983 to 2002, Dr. Meyer held several positions with the Concordia University system, including director of operations for Concordia University’s education network. Dr. Meyer received a Bachelor of Arts in Communications degree from Concordia University and a Master of Business Administration degree and a Doctor of Education in Institutional Management degree from Pepperdine University.</w:t>
      </w:r>
    </w:p>
    <w:p>
      <w:pPr>
        <w:spacing w:after="0" w:line="175" w:lineRule="exact"/>
        <w:rPr>
          <w:sz w:val="20"/>
          <w:szCs w:val="20"/>
          <w:color w:val="auto"/>
        </w:rPr>
      </w:pPr>
    </w:p>
    <w:p>
      <w:pPr>
        <w:ind w:left="2400" w:right="59" w:firstLine="606"/>
        <w:spacing w:after="0" w:line="270" w:lineRule="auto"/>
        <w:rPr>
          <w:sz w:val="20"/>
          <w:szCs w:val="20"/>
          <w:color w:val="auto"/>
        </w:rPr>
      </w:pPr>
      <w:r>
        <w:rPr>
          <w:rFonts w:ascii="Times New Roman" w:cs="Times New Roman" w:eastAsia="Times New Roman" w:hAnsi="Times New Roman"/>
          <w:sz w:val="16"/>
          <w:szCs w:val="16"/>
          <w:i w:val="1"/>
          <w:iCs w:val="1"/>
          <w:color w:val="auto"/>
        </w:rPr>
        <w:t xml:space="preserve">Daniel E. Bachus </w:t>
      </w:r>
      <w:r>
        <w:rPr>
          <w:rFonts w:ascii="Times New Roman" w:cs="Times New Roman" w:eastAsia="Times New Roman" w:hAnsi="Times New Roman"/>
          <w:sz w:val="16"/>
          <w:szCs w:val="16"/>
          <w:color w:val="auto"/>
        </w:rPr>
        <w:t>has been serving as our Chief Financial Officer since July 2008. From</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January 2007 until June 2008, Mr. Bachus served as chief financial officer for Loreto Bay Company, a real estate developer. From 2000 to 2006, Mr. Bachus served as the chief accounting officer and controller of Apollo Education Group, Inc., a for-profit, postsecondary education company and the parent company of the University of Phoenix. From 1992 to 2000, Mr. Bachus was employed by Deloitte &amp; Touche LLP, most recently as an audit senior manager. Mr. Bachus received a Bachelor of Science degree in Accountancy from the University of Arizona and a Master of Business Administration degree from the University of Phoenix.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-1037590</wp:posOffset>
            </wp:positionV>
            <wp:extent cx="1155700" cy="15405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155700" cy="1540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360" w:right="99" w:firstLine="505"/>
        <w:spacing w:after="0" w:line="252" w:lineRule="auto"/>
        <w:rPr>
          <w:sz w:val="20"/>
          <w:szCs w:val="20"/>
          <w:color w:val="auto"/>
        </w:rPr>
      </w:pPr>
      <w:r>
        <w:rPr>
          <w:rFonts w:ascii="Times New Roman" w:cs="Times New Roman" w:eastAsia="Times New Roman" w:hAnsi="Times New Roman"/>
          <w:sz w:val="17"/>
          <w:szCs w:val="17"/>
          <w:i w:val="1"/>
          <w:iCs w:val="1"/>
          <w:color w:val="auto"/>
        </w:rPr>
        <w:t xml:space="preserve">Dilek Marsh </w:t>
      </w:r>
      <w:r>
        <w:rPr>
          <w:rFonts w:ascii="Times New Roman" w:cs="Times New Roman" w:eastAsia="Times New Roman" w:hAnsi="Times New Roman"/>
          <w:sz w:val="17"/>
          <w:szCs w:val="17"/>
          <w:color w:val="auto"/>
        </w:rPr>
        <w:t>has been serving as our Chief Technology Officer since July 2021, having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previously served as Chief Data Officer since July 2018, as Executive Vice President since July 2012 and as Senior Vice President since August 2008. Ms. Marsh has been in higher education for the last 20 years. Ms. Marsh has served in information technology roles since 1999, including software development project management, business process design and business analytics. Ms. Marsh holds a Bachelor of Arts in Sociology from Bogazici University in Turkey, a Master of Arts in Anthropology from Arizona State University and a Master of Business Administration in Technology Management from the University of Phoenix.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-1029335</wp:posOffset>
            </wp:positionV>
            <wp:extent cx="1147445" cy="15405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147445" cy="1540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335915</wp:posOffset>
            </wp:positionV>
            <wp:extent cx="5664835" cy="241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64835"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33" w:name="page34"/>
    <w:bookmarkEnd w:id="3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2320" w:right="59" w:firstLine="644"/>
        <w:spacing w:after="0" w:line="252" w:lineRule="auto"/>
        <w:rPr>
          <w:sz w:val="20"/>
          <w:szCs w:val="20"/>
          <w:color w:val="auto"/>
        </w:rPr>
      </w:pPr>
      <w:r>
        <w:rPr>
          <w:rFonts w:ascii="Times New Roman" w:cs="Times New Roman" w:eastAsia="Times New Roman" w:hAnsi="Times New Roman"/>
          <w:sz w:val="17"/>
          <w:szCs w:val="17"/>
          <w:i w:val="1"/>
          <w:iCs w:val="1"/>
          <w:color w:val="auto"/>
        </w:rPr>
        <w:t xml:space="preserve">Kathy J. Claypatch </w:t>
      </w:r>
      <w:r>
        <w:rPr>
          <w:rFonts w:ascii="Times New Roman" w:cs="Times New Roman" w:eastAsia="Times New Roman" w:hAnsi="Times New Roman"/>
          <w:sz w:val="17"/>
          <w:szCs w:val="17"/>
          <w:color w:val="auto"/>
        </w:rPr>
        <w:t>has been serving as our Chief Information Officer since July 2021,</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having previously served in the position of Chief Technology Officer beginning in October 2012. From 2006 to 2012, Ms. Claypatch spent time in the financial industry and served as the Chief Information Officer for Apriva and the Vice President of information technology for TSYS Acquiring Solutions. She worked in higher education from 2002 to 2006 at Apollo Education Group, Inc., where she was responsible for growing the information technology infrastructure to support the online education environment and its rapid growth. Ms. Claypatch has over 30 years of leadership and entrepreneurial experience spanning from startups to Fortune 500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-1029335</wp:posOffset>
            </wp:positionV>
            <wp:extent cx="1155700" cy="15805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155700" cy="1580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335915</wp:posOffset>
            </wp:positionV>
            <wp:extent cx="5664835" cy="241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64835"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34" w:name="page35"/>
    <w:bookmarkEnd w:id="3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EXECUTIVE COMPENSATION</w:t>
      </w:r>
    </w:p>
    <w:p>
      <w:pPr>
        <w:spacing w:after="0" w:line="1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Compensation Discussion and Analysis</w:t>
      </w:r>
    </w:p>
    <w:p>
      <w:pPr>
        <w:spacing w:after="0" w:line="108" w:lineRule="exact"/>
        <w:rPr>
          <w:sz w:val="20"/>
          <w:szCs w:val="20"/>
          <w:color w:val="auto"/>
        </w:rPr>
      </w:pPr>
    </w:p>
    <w:p>
      <w:pPr>
        <w:ind w:left="40" w:right="459" w:firstLine="606"/>
        <w:spacing w:after="0" w:line="280" w:lineRule="auto"/>
        <w:rPr>
          <w:sz w:val="20"/>
          <w:szCs w:val="20"/>
          <w:color w:val="auto"/>
        </w:rPr>
      </w:pPr>
      <w:r>
        <w:rPr>
          <w:rFonts w:ascii="Times New Roman" w:cs="Times New Roman" w:eastAsia="Times New Roman" w:hAnsi="Times New Roman"/>
          <w:sz w:val="17"/>
          <w:szCs w:val="17"/>
          <w:i w:val="1"/>
          <w:iCs w:val="1"/>
          <w:color w:val="auto"/>
        </w:rPr>
        <w:t>The following discussion and analysis should be read in conjunction with the section titled “Compensation of Named Executive Officers” and the related tables that follow.</w:t>
      </w:r>
    </w:p>
    <w:p>
      <w:pPr>
        <w:spacing w:after="0" w:line="53" w:lineRule="exact"/>
        <w:rPr>
          <w:sz w:val="20"/>
          <w:szCs w:val="20"/>
          <w:color w:val="auto"/>
        </w:rPr>
      </w:pPr>
    </w:p>
    <w:p>
      <w:pPr>
        <w:jc w:val="both"/>
        <w:ind w:left="40" w:right="299" w:firstLine="606"/>
        <w:spacing w:after="0" w:line="255" w:lineRule="auto"/>
        <w:rPr>
          <w:sz w:val="20"/>
          <w:szCs w:val="20"/>
          <w:color w:val="auto"/>
        </w:rPr>
      </w:pPr>
      <w:r>
        <w:rPr>
          <w:rFonts w:ascii="Times New Roman" w:cs="Times New Roman" w:eastAsia="Times New Roman" w:hAnsi="Times New Roman"/>
          <w:sz w:val="17"/>
          <w:szCs w:val="17"/>
          <w:color w:val="auto"/>
        </w:rPr>
        <w:t>In this section, we describe the material components of our executive compensation program for our named executive officers (the “named executive officers”), whose compensation is set forth in the 2024 Summary Compensation Table and other compensation tables contained in this Proxy Statement. We also provide an overview of our executive compensation philosophy and our overall program. In addition, we explain how and why the Compensation Committee of our Board arrived at the specific compensation decisions involving the named executive officers for 2024.</w:t>
      </w:r>
    </w:p>
    <w:p>
      <w:pPr>
        <w:spacing w:after="0" w:line="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For 2024, our named executive officers were:</w:t>
      </w:r>
    </w:p>
    <w:p>
      <w:pPr>
        <w:spacing w:after="0" w:line="90" w:lineRule="exact"/>
        <w:rPr>
          <w:sz w:val="20"/>
          <w:szCs w:val="20"/>
          <w:color w:val="auto"/>
        </w:rPr>
      </w:pPr>
    </w:p>
    <w:p>
      <w:pPr>
        <w:ind w:left="1300" w:right="4439" w:firstLine="13"/>
        <w:spacing w:after="0" w:line="274" w:lineRule="auto"/>
        <w:rPr>
          <w:sz w:val="20"/>
          <w:szCs w:val="20"/>
          <w:color w:val="auto"/>
        </w:rPr>
      </w:pPr>
      <w:r>
        <w:rPr>
          <w:rFonts w:ascii="Times New Roman" w:cs="Times New Roman" w:eastAsia="Times New Roman" w:hAnsi="Times New Roman"/>
          <w:sz w:val="16"/>
          <w:szCs w:val="16"/>
          <w:color w:val="auto"/>
        </w:rPr>
        <w:t>Brian E. Mueller, our Chief Executive Officer; Dr. W. Stan Meyer, our Chief Operating Officer; Daniel E. Bachus, our Chief Financial Officer; Dilek Marsh, our Chief Technology Officer; and Kathy J. Claypatch, Chief Information Officer</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Mr. Daniel J. Briggs, former Chief Executive Officer of Orbis Education, is also a named executive officer for 2024. Mr.</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Briggs resigned from his position with the Company effective June 30, 2024.</w:t>
      </w:r>
    </w:p>
    <w:p>
      <w:pPr>
        <w:spacing w:after="0" w:line="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2024 Business Highlights</w:t>
      </w:r>
    </w:p>
    <w:p>
      <w:pPr>
        <w:spacing w:after="0" w:line="108" w:lineRule="exact"/>
        <w:rPr>
          <w:sz w:val="20"/>
          <w:szCs w:val="20"/>
          <w:color w:val="auto"/>
        </w:rPr>
      </w:pPr>
    </w:p>
    <w:p>
      <w:pPr>
        <w:ind w:left="40" w:right="79" w:firstLine="606"/>
        <w:spacing w:after="0" w:line="253" w:lineRule="auto"/>
        <w:rPr>
          <w:sz w:val="20"/>
          <w:szCs w:val="20"/>
          <w:color w:val="auto"/>
        </w:rPr>
      </w:pPr>
      <w:r>
        <w:rPr>
          <w:rFonts w:ascii="Times New Roman" w:cs="Times New Roman" w:eastAsia="Times New Roman" w:hAnsi="Times New Roman"/>
          <w:sz w:val="17"/>
          <w:szCs w:val="17"/>
          <w:i w:val="1"/>
          <w:iCs w:val="1"/>
          <w:color w:val="auto"/>
        </w:rPr>
        <w:t xml:space="preserve">Our Business. </w:t>
      </w:r>
      <w:r>
        <w:rPr>
          <w:rFonts w:ascii="Times New Roman" w:cs="Times New Roman" w:eastAsia="Times New Roman" w:hAnsi="Times New Roman"/>
          <w:sz w:val="17"/>
          <w:szCs w:val="17"/>
          <w:color w:val="auto"/>
        </w:rPr>
        <w:t>We are an education services company dedicated to serving colleges and universities. We have developed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significant technological solutions, infrastructure and operational processes to provide services to these institutions on a large scale. Our largest university partner is GCU, an Arizona non-profit corporation that operates a comprehensive regionally accredited university that offers graduate and undergraduate degree programs, emphases and certificates across ten colleges both online and on ground at its campus in Phoenix, Arizona and at nine off-site campus classroom and laboratory sites. As of December 31, 2024, we provided education services and support to approximately 127,150 students with more than 123,100 students enrolled in GCU’s programs, emphases and certificates.</w:t>
      </w:r>
    </w:p>
    <w:p>
      <w:pPr>
        <w:spacing w:after="0" w:line="78" w:lineRule="exact"/>
        <w:rPr>
          <w:sz w:val="20"/>
          <w:szCs w:val="20"/>
          <w:color w:val="auto"/>
        </w:rPr>
      </w:pPr>
    </w:p>
    <w:p>
      <w:pPr>
        <w:ind w:left="40" w:right="279" w:firstLine="606"/>
        <w:spacing w:after="0" w:line="253" w:lineRule="auto"/>
        <w:rPr>
          <w:sz w:val="20"/>
          <w:szCs w:val="20"/>
          <w:color w:val="auto"/>
        </w:rPr>
      </w:pPr>
      <w:r>
        <w:rPr>
          <w:rFonts w:ascii="Times New Roman" w:cs="Times New Roman" w:eastAsia="Times New Roman" w:hAnsi="Times New Roman"/>
          <w:sz w:val="17"/>
          <w:szCs w:val="17"/>
          <w:color w:val="auto"/>
        </w:rPr>
        <w:t>We also provide education services to numerous university partners across the United States. In the healthcare field, we work in partnership with a growing number of top universities and healthcare networks across the country, offering healthcare-related academic programs at off-campus classroom and laboratory sites located near healthcare providers and developing high-quality, career-ready graduates to enter the workforce ready to meet the demands of the healthcare industry. In addition, we have provided certain services to a university partner to assist them in expanding their online graduate programs. As of December 31, 2024, GCE provided education services to 22 university partners across the United States.</w:t>
      </w:r>
    </w:p>
    <w:p>
      <w:pPr>
        <w:spacing w:after="0" w:line="78" w:lineRule="exact"/>
        <w:rPr>
          <w:sz w:val="20"/>
          <w:szCs w:val="20"/>
          <w:color w:val="auto"/>
        </w:rPr>
      </w:pPr>
    </w:p>
    <w:p>
      <w:pPr>
        <w:ind w:left="40" w:right="159" w:firstLine="606"/>
        <w:spacing w:after="0" w:line="257" w:lineRule="auto"/>
        <w:rPr>
          <w:sz w:val="20"/>
          <w:szCs w:val="20"/>
          <w:color w:val="auto"/>
        </w:rPr>
      </w:pPr>
      <w:r>
        <w:rPr>
          <w:rFonts w:ascii="Times New Roman" w:cs="Times New Roman" w:eastAsia="Times New Roman" w:hAnsi="Times New Roman"/>
          <w:sz w:val="17"/>
          <w:szCs w:val="17"/>
          <w:color w:val="auto"/>
        </w:rPr>
        <w:t>The decisions made by the Compensation Committee and the Board on the compensation of our named executive officers reflect their role in the organic growth of the Company during 2024, which included increased enrollment growth, revenue growth and margin expansion, all while navigating through the continuing impacts that a declining number of high school graduates attending college and a tight job market have had on our ability to grow and operate our business.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335915</wp:posOffset>
            </wp:positionV>
            <wp:extent cx="5664835" cy="241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64835"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35" w:name="page36"/>
    <w:bookmarkEnd w:id="3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Our Compensation Practices Highlights</w:t>
      </w: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following summarizes key aspects of our compensation policies and programs:</w:t>
      </w:r>
    </w:p>
    <w:p>
      <w:pPr>
        <w:sectPr>
          <w:pgSz w:w="11900" w:h="16838" w:orient="portrait"/>
          <w:cols w:equalWidth="0" w:num="1">
            <w:col w:w="9019"/>
          </w:cols>
          <w:pgMar w:left="1440" w:top="489" w:right="1440" w:bottom="1440" w:gutter="0" w:footer="0" w:header="0"/>
        </w:sectPr>
      </w:pPr>
    </w:p>
    <w:p>
      <w:pPr>
        <w:spacing w:after="0" w:line="145"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5"/>
          <w:szCs w:val="15"/>
          <w:b w:val="1"/>
          <w:bCs w:val="1"/>
          <w:color w:val="auto"/>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20955</wp:posOffset>
            </wp:positionV>
            <wp:extent cx="284035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840355" cy="8255"/>
                    </a:xfrm>
                    <a:prstGeom prst="rect">
                      <a:avLst/>
                    </a:prstGeom>
                    <a:noFill/>
                  </pic:spPr>
                </pic:pic>
              </a:graphicData>
            </a:graphic>
          </wp:anchor>
        </w:drawing>
        <w:drawing>
          <wp:anchor simplePos="0" relativeHeight="251657728" behindDoc="1" locked="0" layoutInCell="0" allowOverlap="1">
            <wp:simplePos x="0" y="0"/>
            <wp:positionH relativeFrom="column">
              <wp:posOffset>35560</wp:posOffset>
            </wp:positionH>
            <wp:positionV relativeFrom="paragraph">
              <wp:posOffset>-106680</wp:posOffset>
            </wp:positionV>
            <wp:extent cx="5656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6580" cy="8255"/>
                    </a:xfrm>
                    <a:prstGeom prst="rect">
                      <a:avLst/>
                    </a:prstGeom>
                    <a:noFill/>
                  </pic:spPr>
                </pic:pic>
              </a:graphicData>
            </a:graphic>
          </wp:anchor>
        </w:drawing>
      </w:r>
    </w:p>
    <w:p>
      <w:pPr>
        <w:spacing w:after="0" w:line="199" w:lineRule="exact"/>
        <w:rPr>
          <w:sz w:val="20"/>
          <w:szCs w:val="20"/>
          <w:color w:val="auto"/>
        </w:rPr>
      </w:pPr>
    </w:p>
    <w:p>
      <w:pPr>
        <w:ind w:left="360" w:right="60" w:hanging="260"/>
        <w:spacing w:after="0" w:line="283" w:lineRule="auto"/>
        <w:tabs>
          <w:tab w:leader="none" w:pos="360" w:val="left"/>
        </w:tabs>
        <w:numPr>
          <w:ilvl w:val="0"/>
          <w:numId w:val="33"/>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i w:val="1"/>
          <w:iCs w:val="1"/>
          <w:color w:val="auto"/>
        </w:rPr>
        <w:t xml:space="preserve">We Pay for Performance. </w:t>
      </w:r>
      <w:r>
        <w:rPr>
          <w:rFonts w:ascii="Times New Roman" w:cs="Times New Roman" w:eastAsia="Times New Roman" w:hAnsi="Times New Roman"/>
          <w:sz w:val="15"/>
          <w:szCs w:val="15"/>
          <w:color w:val="auto"/>
        </w:rPr>
        <w:t>A significant portion of our cash</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compensation is based on achievement of key financial metrics that are disclosed to our stockholders.</w:t>
      </w:r>
    </w:p>
    <w:p>
      <w:pPr>
        <w:spacing w:after="0" w:line="147" w:lineRule="exact"/>
        <w:rPr>
          <w:rFonts w:ascii="MS PGothic" w:cs="MS PGothic" w:eastAsia="MS PGothic" w:hAnsi="MS PGothic"/>
          <w:sz w:val="15"/>
          <w:szCs w:val="15"/>
          <w:color w:val="auto"/>
        </w:rPr>
      </w:pPr>
    </w:p>
    <w:p>
      <w:pPr>
        <w:ind w:left="360" w:hanging="260"/>
        <w:spacing w:after="0" w:line="283" w:lineRule="auto"/>
        <w:tabs>
          <w:tab w:leader="none" w:pos="360" w:val="left"/>
        </w:tabs>
        <w:numPr>
          <w:ilvl w:val="0"/>
          <w:numId w:val="33"/>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i w:val="1"/>
          <w:iCs w:val="1"/>
          <w:color w:val="auto"/>
        </w:rPr>
        <w:t>We Seek Alignment with Our Stockholders</w:t>
      </w:r>
      <w:r>
        <w:rPr>
          <w:rFonts w:ascii="Times New Roman" w:cs="Times New Roman" w:eastAsia="Times New Roman" w:hAnsi="Times New Roman"/>
          <w:sz w:val="15"/>
          <w:szCs w:val="15"/>
          <w:color w:val="auto"/>
        </w:rPr>
        <w:t>. We require both our</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named executive officers and our directors to maintain a meaningful ownership stake at levels specified in our stock ownership policy.</w:t>
      </w:r>
    </w:p>
    <w:p>
      <w:pPr>
        <w:spacing w:after="0" w:line="337" w:lineRule="exact"/>
        <w:rPr>
          <w:rFonts w:ascii="MS PGothic" w:cs="MS PGothic" w:eastAsia="MS PGothic" w:hAnsi="MS PGothic"/>
          <w:sz w:val="15"/>
          <w:szCs w:val="15"/>
          <w:color w:val="auto"/>
        </w:rPr>
      </w:pPr>
    </w:p>
    <w:p>
      <w:pPr>
        <w:ind w:left="360" w:hanging="260"/>
        <w:spacing w:after="0" w:line="273" w:lineRule="auto"/>
        <w:tabs>
          <w:tab w:leader="none" w:pos="360" w:val="left"/>
        </w:tabs>
        <w:numPr>
          <w:ilvl w:val="0"/>
          <w:numId w:val="33"/>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i w:val="1"/>
          <w:iCs w:val="1"/>
          <w:color w:val="auto"/>
        </w:rPr>
        <w:t xml:space="preserve">We Balance Our Incentive Compensation. </w:t>
      </w:r>
      <w:r>
        <w:rPr>
          <w:rFonts w:ascii="Times New Roman" w:cs="Times New Roman" w:eastAsia="Times New Roman" w:hAnsi="Times New Roman"/>
          <w:sz w:val="15"/>
          <w:szCs w:val="15"/>
          <w:color w:val="auto"/>
        </w:rPr>
        <w:t>Our incentive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compensation programs provide a balance of short-term cash incentives that are based on achievement of annual financial metrics and time-based equity incentives that vest over five years and provide value as a long-term retention tool.</w:t>
      </w:r>
    </w:p>
    <w:p>
      <w:pPr>
        <w:spacing w:after="0" w:line="156" w:lineRule="exact"/>
        <w:rPr>
          <w:rFonts w:ascii="MS PGothic" w:cs="MS PGothic" w:eastAsia="MS PGothic" w:hAnsi="MS PGothic"/>
          <w:sz w:val="15"/>
          <w:szCs w:val="15"/>
          <w:color w:val="auto"/>
        </w:rPr>
      </w:pPr>
    </w:p>
    <w:p>
      <w:pPr>
        <w:ind w:left="360" w:right="160" w:hanging="260"/>
        <w:spacing w:after="0" w:line="276" w:lineRule="auto"/>
        <w:tabs>
          <w:tab w:leader="none" w:pos="360" w:val="left"/>
        </w:tabs>
        <w:numPr>
          <w:ilvl w:val="0"/>
          <w:numId w:val="33"/>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i w:val="1"/>
          <w:iCs w:val="1"/>
          <w:color w:val="auto"/>
        </w:rPr>
        <w:t xml:space="preserve">We Can Claw Back Compensation. </w:t>
      </w:r>
      <w:r>
        <w:rPr>
          <w:rFonts w:ascii="Times New Roman" w:cs="Times New Roman" w:eastAsia="Times New Roman" w:hAnsi="Times New Roman"/>
          <w:sz w:val="15"/>
          <w:szCs w:val="15"/>
          <w:color w:val="auto"/>
        </w:rPr>
        <w:t>We have the ability to recoup</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incentive compensation if the Company’s financial results are restated or materially misstated due in whole or in part to misconduct by one or more of our named executive officers.</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ind w:left="1525"/>
        <w:spacing w:after="0"/>
        <w:rPr>
          <w:sz w:val="20"/>
          <w:szCs w:val="20"/>
          <w:color w:val="auto"/>
        </w:rPr>
      </w:pPr>
      <w:r>
        <w:rPr>
          <w:rFonts w:ascii="Times New Roman" w:cs="Times New Roman" w:eastAsia="Times New Roman" w:hAnsi="Times New Roman"/>
          <w:sz w:val="15"/>
          <w:szCs w:val="15"/>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20955</wp:posOffset>
            </wp:positionV>
            <wp:extent cx="26720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672080" cy="8255"/>
                    </a:xfrm>
                    <a:prstGeom prst="rect">
                      <a:avLst/>
                    </a:prstGeom>
                    <a:noFill/>
                  </pic:spPr>
                </pic:pic>
              </a:graphicData>
            </a:graphic>
          </wp:anchor>
        </w:drawing>
      </w:r>
    </w:p>
    <w:p>
      <w:pPr>
        <w:spacing w:after="0" w:line="199" w:lineRule="exact"/>
        <w:rPr>
          <w:sz w:val="20"/>
          <w:szCs w:val="20"/>
          <w:color w:val="auto"/>
        </w:rPr>
      </w:pPr>
    </w:p>
    <w:p>
      <w:pPr>
        <w:ind w:left="245" w:right="139" w:hanging="245"/>
        <w:spacing w:after="0" w:line="303" w:lineRule="auto"/>
        <w:tabs>
          <w:tab w:leader="none" w:pos="245" w:val="left"/>
        </w:tabs>
        <w:numPr>
          <w:ilvl w:val="0"/>
          <w:numId w:val="34"/>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i w:val="1"/>
          <w:iCs w:val="1"/>
          <w:color w:val="auto"/>
        </w:rPr>
        <w:t xml:space="preserve">We Do Not Have Tax Gross-Ups. </w:t>
      </w:r>
      <w:r>
        <w:rPr>
          <w:rFonts w:ascii="Times New Roman" w:cs="Times New Roman" w:eastAsia="Times New Roman" w:hAnsi="Times New Roman"/>
          <w:sz w:val="15"/>
          <w:szCs w:val="15"/>
          <w:color w:val="auto"/>
        </w:rPr>
        <w:t>We do not provide tax gross-ups on any severance or change-in-control type payments.</w:t>
      </w:r>
    </w:p>
    <w:p>
      <w:pPr>
        <w:spacing w:after="0" w:line="322" w:lineRule="exact"/>
        <w:rPr>
          <w:rFonts w:ascii="MS PGothic" w:cs="MS PGothic" w:eastAsia="MS PGothic" w:hAnsi="MS PGothic"/>
          <w:sz w:val="15"/>
          <w:szCs w:val="15"/>
          <w:color w:val="auto"/>
        </w:rPr>
      </w:pPr>
    </w:p>
    <w:p>
      <w:pPr>
        <w:ind w:left="245" w:right="119" w:hanging="245"/>
        <w:spacing w:after="0" w:line="276" w:lineRule="auto"/>
        <w:tabs>
          <w:tab w:leader="none" w:pos="245" w:val="left"/>
        </w:tabs>
        <w:numPr>
          <w:ilvl w:val="0"/>
          <w:numId w:val="34"/>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i w:val="1"/>
          <w:iCs w:val="1"/>
          <w:color w:val="auto"/>
        </w:rPr>
        <w:t>We Do Not Permit Hedging, Short Sales, or Pledging</w:t>
      </w:r>
      <w:r>
        <w:rPr>
          <w:rFonts w:ascii="Times New Roman" w:cs="Times New Roman" w:eastAsia="Times New Roman" w:hAnsi="Times New Roman"/>
          <w:sz w:val="15"/>
          <w:szCs w:val="15"/>
          <w:color w:val="auto"/>
        </w:rPr>
        <w:t>. Under</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our insider trading policy, our officers and directors are prohibited from hedging, effecting short sales of, and (except in extremely limited circumstances) pledging our stock.</w:t>
      </w:r>
    </w:p>
    <w:p>
      <w:pPr>
        <w:spacing w:after="0" w:line="154" w:lineRule="exact"/>
        <w:rPr>
          <w:rFonts w:ascii="MS PGothic" w:cs="MS PGothic" w:eastAsia="MS PGothic" w:hAnsi="MS PGothic"/>
          <w:sz w:val="15"/>
          <w:szCs w:val="15"/>
          <w:color w:val="auto"/>
        </w:rPr>
      </w:pPr>
    </w:p>
    <w:p>
      <w:pPr>
        <w:ind w:left="245" w:right="179" w:hanging="245"/>
        <w:spacing w:after="0" w:line="273" w:lineRule="auto"/>
        <w:tabs>
          <w:tab w:leader="none" w:pos="245" w:val="left"/>
        </w:tabs>
        <w:numPr>
          <w:ilvl w:val="0"/>
          <w:numId w:val="34"/>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i w:val="1"/>
          <w:iCs w:val="1"/>
          <w:color w:val="auto"/>
        </w:rPr>
        <w:t xml:space="preserve">We Do Not Automatically Increase Salaries or Bonuses. </w:t>
      </w:r>
      <w:r>
        <w:rPr>
          <w:rFonts w:ascii="Times New Roman" w:cs="Times New Roman" w:eastAsia="Times New Roman" w:hAnsi="Times New Roman"/>
          <w:sz w:val="15"/>
          <w:szCs w:val="15"/>
          <w:color w:val="auto"/>
        </w:rPr>
        <w:t>Our</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Chief Executive Officer, Chief Operating Officer and Chief Financial Officer have not accepted base salary increases in over nine years, and their bonuses are strictly performance based.</w:t>
      </w:r>
    </w:p>
    <w:p>
      <w:pPr>
        <w:spacing w:after="0" w:line="156" w:lineRule="exact"/>
        <w:rPr>
          <w:rFonts w:ascii="MS PGothic" w:cs="MS PGothic" w:eastAsia="MS PGothic" w:hAnsi="MS PGothic"/>
          <w:sz w:val="15"/>
          <w:szCs w:val="15"/>
          <w:color w:val="auto"/>
        </w:rPr>
      </w:pPr>
    </w:p>
    <w:p>
      <w:pPr>
        <w:ind w:left="245" w:right="459" w:hanging="245"/>
        <w:spacing w:after="0" w:line="303" w:lineRule="auto"/>
        <w:tabs>
          <w:tab w:leader="none" w:pos="245" w:val="left"/>
        </w:tabs>
        <w:numPr>
          <w:ilvl w:val="0"/>
          <w:numId w:val="34"/>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i w:val="1"/>
          <w:iCs w:val="1"/>
          <w:color w:val="auto"/>
        </w:rPr>
        <w:t xml:space="preserve">We Do Not Provide Excessive Perquisites. </w:t>
      </w:r>
      <w:r>
        <w:rPr>
          <w:rFonts w:ascii="Times New Roman" w:cs="Times New Roman" w:eastAsia="Times New Roman" w:hAnsi="Times New Roman"/>
          <w:sz w:val="15"/>
          <w:szCs w:val="15"/>
          <w:color w:val="auto"/>
        </w:rPr>
        <w:t>Our named</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executive officers receive limited perquisites and benefits.</w:t>
      </w:r>
    </w:p>
    <w:p>
      <w:pPr>
        <w:spacing w:after="0" w:line="511" w:lineRule="exact"/>
        <w:rPr>
          <w:sz w:val="20"/>
          <w:szCs w:val="20"/>
          <w:color w:val="auto"/>
        </w:rPr>
      </w:pPr>
    </w:p>
    <w:p>
      <w:pPr>
        <w:sectPr>
          <w:pgSz w:w="11900" w:h="16838" w:orient="portrait"/>
          <w:cols w:equalWidth="0" w:num="2">
            <w:col w:w="4500" w:space="295"/>
            <w:col w:w="4225"/>
          </w:cols>
          <w:pgMar w:left="1440" w:top="489" w:right="1440" w:bottom="1440" w:gutter="0" w:footer="0" w:header="0"/>
          <w:type w:val="continuous"/>
        </w:sectPr>
      </w:pPr>
    </w:p>
    <w:p>
      <w:pPr>
        <w:ind w:left="360" w:hanging="243"/>
        <w:spacing w:after="0" w:line="276" w:lineRule="auto"/>
        <w:tabs>
          <w:tab w:leader="none" w:pos="360" w:val="left"/>
        </w:tabs>
        <w:numPr>
          <w:ilvl w:val="0"/>
          <w:numId w:val="35"/>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i w:val="1"/>
          <w:iCs w:val="1"/>
          <w:color w:val="auto"/>
        </w:rPr>
        <w:t xml:space="preserve">We Retain an Independent Compensation Consultant: </w:t>
      </w:r>
      <w:r>
        <w:rPr>
          <w:rFonts w:ascii="Times New Roman" w:cs="Times New Roman" w:eastAsia="Times New Roman" w:hAnsi="Times New Roman"/>
          <w:sz w:val="15"/>
          <w:szCs w:val="15"/>
          <w:color w:val="auto"/>
        </w:rPr>
        <w:t>Our</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Compensation Committee engages an independent consultant from time to time to provide guidance on peer group composition and compensation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-11430</wp:posOffset>
            </wp:positionV>
            <wp:extent cx="5656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65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45" w:right="219" w:hanging="245"/>
        <w:spacing w:after="0" w:line="283" w:lineRule="auto"/>
        <w:tabs>
          <w:tab w:leader="none" w:pos="245" w:val="left"/>
        </w:tabs>
        <w:numPr>
          <w:ilvl w:val="0"/>
          <w:numId w:val="36"/>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i w:val="1"/>
          <w:iCs w:val="1"/>
          <w:color w:val="auto"/>
        </w:rPr>
        <w:t>We Do Not Provide for Change of Control Acceleration</w:t>
      </w:r>
      <w:r>
        <w:rPr>
          <w:rFonts w:ascii="Times New Roman" w:cs="Times New Roman" w:eastAsia="Times New Roman" w:hAnsi="Times New Roman"/>
          <w:sz w:val="15"/>
          <w:szCs w:val="15"/>
          <w:color w:val="auto"/>
        </w:rPr>
        <w:t>. We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do not provide “single-trigger” accelerated vesting of equity-based awards upon a change in control.</w:t>
      </w:r>
    </w:p>
    <w:p>
      <w:pPr>
        <w:spacing w:after="0" w:line="358" w:lineRule="exact"/>
        <w:rPr>
          <w:sz w:val="20"/>
          <w:szCs w:val="20"/>
          <w:color w:val="auto"/>
        </w:rPr>
      </w:pPr>
    </w:p>
    <w:p>
      <w:pPr>
        <w:sectPr>
          <w:pgSz w:w="11900" w:h="16838" w:orient="portrait"/>
          <w:cols w:equalWidth="0" w:num="2">
            <w:col w:w="4420" w:space="375"/>
            <w:col w:w="4225"/>
          </w:cols>
          <w:pgMar w:left="1440" w:top="489" w:right="1440"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Response to Advisory Vote on Executive Compensation</w:t>
      </w:r>
    </w:p>
    <w:p>
      <w:pPr>
        <w:spacing w:after="0" w:line="112" w:lineRule="exact"/>
        <w:rPr>
          <w:sz w:val="20"/>
          <w:szCs w:val="20"/>
          <w:color w:val="auto"/>
        </w:rPr>
      </w:pPr>
    </w:p>
    <w:p>
      <w:pPr>
        <w:ind w:left="40" w:right="79" w:firstLine="606"/>
        <w:spacing w:after="0" w:line="253" w:lineRule="auto"/>
        <w:rPr>
          <w:sz w:val="20"/>
          <w:szCs w:val="20"/>
          <w:color w:val="auto"/>
        </w:rPr>
      </w:pPr>
      <w:r>
        <w:rPr>
          <w:rFonts w:ascii="Times New Roman" w:cs="Times New Roman" w:eastAsia="Times New Roman" w:hAnsi="Times New Roman"/>
          <w:sz w:val="17"/>
          <w:szCs w:val="17"/>
          <w:color w:val="auto"/>
        </w:rPr>
        <w:t>We have held stockholder advisory votes on the compensation of our named executive officers, commonly referred to as a Say-on-Pay vote, since 2011 and, in each case, our stockholders approved the compensation of our named executive officers by wide margins, including receiving the support of 96.0% of shares voted in 2024. As we evaluate our compensation practices in light of such votes, we give great consideration to the strong support our stockholders continue to express for our overall compensation philosophy and practices. As a result, our Compensation Committee retained our general approach to executive compensation in 2024 and into 2025, as discussed below.</w:t>
      </w:r>
    </w:p>
    <w:p>
      <w:pPr>
        <w:spacing w:after="0" w:line="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Compensation Philosophy and Objectives</w:t>
      </w:r>
    </w:p>
    <w:p>
      <w:pPr>
        <w:spacing w:after="0" w:line="112" w:lineRule="exact"/>
        <w:rPr>
          <w:sz w:val="20"/>
          <w:szCs w:val="20"/>
          <w:color w:val="auto"/>
        </w:rPr>
      </w:pPr>
    </w:p>
    <w:p>
      <w:pPr>
        <w:ind w:left="40" w:right="199" w:firstLine="606"/>
        <w:spacing w:after="0" w:line="255" w:lineRule="auto"/>
        <w:rPr>
          <w:sz w:val="20"/>
          <w:szCs w:val="20"/>
          <w:color w:val="auto"/>
        </w:rPr>
      </w:pPr>
      <w:r>
        <w:rPr>
          <w:rFonts w:ascii="Times New Roman" w:cs="Times New Roman" w:eastAsia="Times New Roman" w:hAnsi="Times New Roman"/>
          <w:sz w:val="17"/>
          <w:szCs w:val="17"/>
          <w:color w:val="auto"/>
        </w:rPr>
        <w:t>We believe our executive pay is reasonable and provides appropriate incentives to our executives to achieve our financial and strategic goals without encouraging them to take excessive risks in their business decisions. We regularly evaluate the major risks to our business, including how risks taken by management could impact the amount and value of the compensation that our executives receive. To this end, we continue practices that are considered standard for good corporate governance and executive compensation, including:</w:t>
      </w:r>
    </w:p>
    <w:p>
      <w:pPr>
        <w:spacing w:after="0" w:line="73" w:lineRule="exact"/>
        <w:rPr>
          <w:sz w:val="20"/>
          <w:szCs w:val="20"/>
          <w:color w:val="auto"/>
        </w:rPr>
      </w:pPr>
    </w:p>
    <w:p>
      <w:pPr>
        <w:ind w:left="980" w:right="299" w:hanging="303"/>
        <w:spacing w:after="0" w:line="275" w:lineRule="auto"/>
        <w:tabs>
          <w:tab w:leader="none" w:pos="98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Strong alignment between company-wide performance and payouts under our annual cash incentive plan (“Annual Cash Incentive Plan”);</w:t>
      </w:r>
    </w:p>
    <w:p>
      <w:pPr>
        <w:spacing w:after="0" w:line="57" w:lineRule="exact"/>
        <w:rPr>
          <w:rFonts w:ascii="Times New Roman" w:cs="Times New Roman" w:eastAsia="Times New Roman" w:hAnsi="Times New Roman"/>
          <w:sz w:val="17"/>
          <w:szCs w:val="17"/>
          <w:color w:val="auto"/>
        </w:rPr>
      </w:pPr>
    </w:p>
    <w:p>
      <w:pPr>
        <w:ind w:left="980" w:hanging="303"/>
        <w:spacing w:after="0"/>
        <w:tabs>
          <w:tab w:leader="none" w:pos="98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absence of any guaranteed cash bonuses;</w:t>
      </w:r>
    </w:p>
    <w:p>
      <w:pPr>
        <w:spacing w:after="0" w:line="107" w:lineRule="exact"/>
        <w:rPr>
          <w:rFonts w:ascii="Times New Roman" w:cs="Times New Roman" w:eastAsia="Times New Roman" w:hAnsi="Times New Roman"/>
          <w:sz w:val="17"/>
          <w:szCs w:val="17"/>
          <w:color w:val="auto"/>
        </w:rPr>
      </w:pPr>
    </w:p>
    <w:p>
      <w:pPr>
        <w:ind w:left="980" w:right="319" w:hanging="303"/>
        <w:spacing w:after="0" w:line="275" w:lineRule="auto"/>
        <w:tabs>
          <w:tab w:leader="none" w:pos="98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 tool to retain key personnel, all stock-based awards are subject to five-year vesting periods, with 20% of each grant vesting annually on each of the first five anniversaries of the date of grant;</w:t>
      </w:r>
    </w:p>
    <w:p>
      <w:pPr>
        <w:spacing w:after="0" w:line="57" w:lineRule="exact"/>
        <w:rPr>
          <w:rFonts w:ascii="Times New Roman" w:cs="Times New Roman" w:eastAsia="Times New Roman" w:hAnsi="Times New Roman"/>
          <w:sz w:val="17"/>
          <w:szCs w:val="17"/>
          <w:color w:val="auto"/>
        </w:rPr>
      </w:pPr>
    </w:p>
    <w:p>
      <w:pPr>
        <w:ind w:left="980" w:right="179" w:hanging="303"/>
        <w:spacing w:after="0" w:line="275" w:lineRule="auto"/>
        <w:tabs>
          <w:tab w:leader="none" w:pos="98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Severance arrangements with our named executive officers that are limited to one year of compensation and benefits and limited acceleration of vesting; and</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335915</wp:posOffset>
            </wp:positionV>
            <wp:extent cx="5664835" cy="241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64835"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type w:val="continuous"/>
        </w:sectPr>
      </w:pPr>
    </w:p>
    <w:bookmarkStart w:id="36" w:name="page37"/>
    <w:bookmarkEnd w:id="3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980" w:hanging="303"/>
        <w:spacing w:after="0"/>
        <w:tabs>
          <w:tab w:leader="none" w:pos="98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Double-trigger change-in-control arrangements with our named executive officers.</w:t>
      </w:r>
    </w:p>
    <w:p>
      <w:pPr>
        <w:spacing w:after="0" w:line="108" w:lineRule="exact"/>
        <w:rPr>
          <w:sz w:val="20"/>
          <w:szCs w:val="20"/>
          <w:color w:val="auto"/>
        </w:rPr>
      </w:pPr>
    </w:p>
    <w:p>
      <w:pPr>
        <w:ind w:left="40" w:right="319" w:firstLine="606"/>
        <w:spacing w:after="0" w:line="257" w:lineRule="auto"/>
        <w:rPr>
          <w:sz w:val="20"/>
          <w:szCs w:val="20"/>
          <w:color w:val="auto"/>
        </w:rPr>
      </w:pPr>
      <w:r>
        <w:rPr>
          <w:rFonts w:ascii="Times New Roman" w:cs="Times New Roman" w:eastAsia="Times New Roman" w:hAnsi="Times New Roman"/>
          <w:sz w:val="17"/>
          <w:szCs w:val="17"/>
          <w:color w:val="auto"/>
        </w:rPr>
        <w:t>In light of the foregoing factors and practices, we believe our executive compensation in fiscal year 2024 appropriately reflected the economic and regulatory environments, the performance of the Company and the relationship with market compensation necessary to retain and motivate our executives, and that the continuation of these practices in 2025 is appropriate given the continued regulatory, economic and competitive challenges that we expect to face.</w:t>
      </w:r>
    </w:p>
    <w:p>
      <w:pPr>
        <w:spacing w:after="0" w:line="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A Note About the Compensation of Our Management Team</w:t>
      </w:r>
    </w:p>
    <w:p>
      <w:pPr>
        <w:spacing w:after="0" w:line="112" w:lineRule="exact"/>
        <w:rPr>
          <w:sz w:val="20"/>
          <w:szCs w:val="20"/>
          <w:color w:val="auto"/>
        </w:rPr>
      </w:pPr>
    </w:p>
    <w:p>
      <w:pPr>
        <w:ind w:left="40" w:right="59" w:firstLine="606"/>
        <w:spacing w:after="0" w:line="255" w:lineRule="auto"/>
        <w:rPr>
          <w:sz w:val="20"/>
          <w:szCs w:val="20"/>
          <w:color w:val="auto"/>
        </w:rPr>
      </w:pPr>
      <w:r>
        <w:rPr>
          <w:rFonts w:ascii="Times New Roman" w:cs="Times New Roman" w:eastAsia="Times New Roman" w:hAnsi="Times New Roman"/>
          <w:sz w:val="17"/>
          <w:szCs w:val="17"/>
          <w:color w:val="auto"/>
        </w:rPr>
        <w:t>Over the years, the Compensation Committee has periodically engaged an independent compensation consultant to provide recommendations regarding executive compensation consistent with the Company’s business needs, pay philosophy, market trends and latest legal and regulatory considerations; provide market data for base salary, short-term incentive and long-term incentive decisions; and advise the Compensation Committee as to best practices. Recent analyses of peer group data show that our named executive officers are compensated well below their peers. The reasons for this are twofold:</w:t>
      </w:r>
    </w:p>
    <w:p>
      <w:pPr>
        <w:spacing w:after="0" w:line="73" w:lineRule="exact"/>
        <w:rPr>
          <w:sz w:val="20"/>
          <w:szCs w:val="20"/>
          <w:color w:val="auto"/>
        </w:rPr>
      </w:pPr>
    </w:p>
    <w:p>
      <w:pPr>
        <w:ind w:left="980" w:right="139" w:hanging="303"/>
        <w:spacing w:after="0" w:line="262" w:lineRule="auto"/>
        <w:tabs>
          <w:tab w:leader="none" w:pos="98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December 31, 2024, each of our executive officers has been with the Company for a decade or more and, overall, our top management ranks have been extremely stable over time. This means that the compensation structure has not been forced to re-set due to the hiring of new management level personnel; and</w:t>
      </w:r>
    </w:p>
    <w:p>
      <w:pPr>
        <w:spacing w:after="0" w:line="67" w:lineRule="exact"/>
        <w:rPr>
          <w:rFonts w:ascii="Times New Roman" w:cs="Times New Roman" w:eastAsia="Times New Roman" w:hAnsi="Times New Roman"/>
          <w:sz w:val="17"/>
          <w:szCs w:val="17"/>
          <w:color w:val="auto"/>
        </w:rPr>
      </w:pPr>
    </w:p>
    <w:p>
      <w:pPr>
        <w:ind w:left="980" w:right="119" w:hanging="303"/>
        <w:spacing w:after="0" w:line="257" w:lineRule="auto"/>
        <w:tabs>
          <w:tab w:leader="none" w:pos="98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area of compensation, our senior executives firmly believe that compensation should be based on performance: thus, base salaries should be relatively stable, cash bonuses should reflect annual performance, and equity incentives should be granted in appropriate amounts and provide upside value only if that value is shared by all of our stockholders.</w:t>
      </w:r>
    </w:p>
    <w:p>
      <w:pPr>
        <w:spacing w:after="0" w:line="72" w:lineRule="exact"/>
        <w:rPr>
          <w:sz w:val="20"/>
          <w:szCs w:val="20"/>
          <w:color w:val="auto"/>
        </w:rPr>
      </w:pPr>
    </w:p>
    <w:p>
      <w:pPr>
        <w:ind w:left="40" w:right="59" w:firstLine="606"/>
        <w:spacing w:after="0" w:line="255" w:lineRule="auto"/>
        <w:rPr>
          <w:sz w:val="20"/>
          <w:szCs w:val="20"/>
          <w:color w:val="auto"/>
        </w:rPr>
      </w:pPr>
      <w:r>
        <w:rPr>
          <w:rFonts w:ascii="Times New Roman" w:cs="Times New Roman" w:eastAsia="Times New Roman" w:hAnsi="Times New Roman"/>
          <w:sz w:val="17"/>
          <w:szCs w:val="17"/>
          <w:color w:val="auto"/>
        </w:rPr>
        <w:t>This belief has been backed up by actions, as our Chief Executive Officer, Chief Operating Officer and Chief Financial Officer have not accepted base salary increases in over nine years, even though their cash compensation substantially lags behind peers. In addition, the grant date value of their annual long-term equity incentive grants substantially lags behind peers. The Compensation Committee applauds the leadership and performance of our executive management team and the example they set for the Company.</w:t>
      </w:r>
    </w:p>
    <w:p>
      <w:pPr>
        <w:spacing w:after="0" w:line="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Overview of 2024 Executive Compensation</w:t>
      </w:r>
    </w:p>
    <w:p>
      <w:pPr>
        <w:spacing w:after="0" w:line="112" w:lineRule="exact"/>
        <w:rPr>
          <w:sz w:val="20"/>
          <w:szCs w:val="20"/>
          <w:color w:val="auto"/>
        </w:rPr>
      </w:pPr>
    </w:p>
    <w:p>
      <w:pPr>
        <w:ind w:left="40" w:right="519" w:firstLine="606"/>
        <w:spacing w:after="0" w:line="275" w:lineRule="auto"/>
        <w:rPr>
          <w:sz w:val="20"/>
          <w:szCs w:val="20"/>
          <w:color w:val="auto"/>
        </w:rPr>
      </w:pPr>
      <w:r>
        <w:rPr>
          <w:rFonts w:ascii="Times New Roman" w:cs="Times New Roman" w:eastAsia="Times New Roman" w:hAnsi="Times New Roman"/>
          <w:sz w:val="17"/>
          <w:szCs w:val="17"/>
          <w:color w:val="auto"/>
        </w:rPr>
        <w:t>The purpose of this Compensation Discussion and Analysis is to provide information about each material element of compensation that we pay or award to, or that is earned by, our named executive officers.</w:t>
      </w:r>
    </w:p>
    <w:p>
      <w:pPr>
        <w:spacing w:after="0" w:line="57" w:lineRule="exact"/>
        <w:rPr>
          <w:sz w:val="20"/>
          <w:szCs w:val="20"/>
          <w:color w:val="auto"/>
        </w:rPr>
      </w:pPr>
    </w:p>
    <w:p>
      <w:pPr>
        <w:ind w:left="40" w:right="119" w:firstLine="606"/>
        <w:spacing w:after="0" w:line="257" w:lineRule="auto"/>
        <w:rPr>
          <w:sz w:val="20"/>
          <w:szCs w:val="20"/>
          <w:color w:val="auto"/>
        </w:rPr>
      </w:pPr>
      <w:r>
        <w:rPr>
          <w:rFonts w:ascii="Times New Roman" w:cs="Times New Roman" w:eastAsia="Times New Roman" w:hAnsi="Times New Roman"/>
          <w:sz w:val="17"/>
          <w:szCs w:val="17"/>
          <w:color w:val="auto"/>
        </w:rPr>
        <w:t>This Compensation Discussion and Analysis addresses and explains the compensation practices we followed in 2024, the numerical and related information contained in the summary compensation and related tables presented below, and actions we have taken regarding executive compensation since the end of our 2024 fiscal year. Specifically, this Compensation Discussion and Analysis addresses:</w:t>
      </w:r>
    </w:p>
    <w:p>
      <w:pPr>
        <w:spacing w:after="0" w:line="68" w:lineRule="exact"/>
        <w:rPr>
          <w:sz w:val="20"/>
          <w:szCs w:val="20"/>
          <w:color w:val="auto"/>
        </w:rPr>
      </w:pPr>
    </w:p>
    <w:p>
      <w:pPr>
        <w:ind w:left="980" w:hanging="303"/>
        <w:spacing w:after="0"/>
        <w:tabs>
          <w:tab w:leader="none" w:pos="98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objectives of our compensation program (found in the section titled </w:t>
      </w:r>
      <w:r>
        <w:rPr>
          <w:rFonts w:ascii="Times New Roman" w:cs="Times New Roman" w:eastAsia="Times New Roman" w:hAnsi="Times New Roman"/>
          <w:sz w:val="17"/>
          <w:szCs w:val="17"/>
          <w:i w:val="1"/>
          <w:iCs w:val="1"/>
          <w:color w:val="auto"/>
        </w:rPr>
        <w:t>“Objectives of Compensation Programs”</w:t>
      </w:r>
      <w:r>
        <w:rPr>
          <w:rFonts w:ascii="Times New Roman" w:cs="Times New Roman" w:eastAsia="Times New Roman" w:hAnsi="Times New Roman"/>
          <w:sz w:val="17"/>
          <w:szCs w:val="17"/>
          <w:color w:val="auto"/>
        </w:rPr>
        <w:t>);</w:t>
      </w:r>
    </w:p>
    <w:p>
      <w:pPr>
        <w:spacing w:after="0" w:line="107" w:lineRule="exact"/>
        <w:rPr>
          <w:rFonts w:ascii="Times New Roman" w:cs="Times New Roman" w:eastAsia="Times New Roman" w:hAnsi="Times New Roman"/>
          <w:sz w:val="17"/>
          <w:szCs w:val="17"/>
          <w:color w:val="auto"/>
        </w:rPr>
      </w:pPr>
    </w:p>
    <w:p>
      <w:pPr>
        <w:ind w:left="980" w:right="939" w:hanging="303"/>
        <w:spacing w:after="0" w:line="280" w:lineRule="auto"/>
        <w:tabs>
          <w:tab w:leader="none" w:pos="98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What our compensation program is designed to reward (also described in the section titled </w:t>
      </w:r>
      <w:r>
        <w:rPr>
          <w:rFonts w:ascii="Times New Roman" w:cs="Times New Roman" w:eastAsia="Times New Roman" w:hAnsi="Times New Roman"/>
          <w:sz w:val="17"/>
          <w:szCs w:val="17"/>
          <w:i w:val="1"/>
          <w:iCs w:val="1"/>
          <w:color w:val="auto"/>
        </w:rPr>
        <w:t>“Objectives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Compensation Programs”</w:t>
      </w:r>
      <w:r>
        <w:rPr>
          <w:rFonts w:ascii="Times New Roman" w:cs="Times New Roman" w:eastAsia="Times New Roman" w:hAnsi="Times New Roman"/>
          <w:sz w:val="17"/>
          <w:szCs w:val="17"/>
          <w:color w:val="auto"/>
        </w:rPr>
        <w:t>);</w:t>
      </w:r>
    </w:p>
    <w:p>
      <w:pPr>
        <w:spacing w:after="0" w:line="49" w:lineRule="exact"/>
        <w:rPr>
          <w:rFonts w:ascii="Times New Roman" w:cs="Times New Roman" w:eastAsia="Times New Roman" w:hAnsi="Times New Roman"/>
          <w:sz w:val="17"/>
          <w:szCs w:val="17"/>
          <w:color w:val="auto"/>
        </w:rPr>
      </w:pPr>
    </w:p>
    <w:p>
      <w:pPr>
        <w:ind w:left="980" w:right="579" w:hanging="303"/>
        <w:spacing w:after="0" w:line="280" w:lineRule="auto"/>
        <w:tabs>
          <w:tab w:leader="none" w:pos="98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element of compensation (set forth in the section titled </w:t>
      </w:r>
      <w:r>
        <w:rPr>
          <w:rFonts w:ascii="Times New Roman" w:cs="Times New Roman" w:eastAsia="Times New Roman" w:hAnsi="Times New Roman"/>
          <w:sz w:val="17"/>
          <w:szCs w:val="17"/>
          <w:i w:val="1"/>
          <w:iCs w:val="1"/>
          <w:color w:val="auto"/>
        </w:rPr>
        <w:t>“Compensation Program Design and Elements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Compensation”</w:t>
      </w:r>
      <w:r>
        <w:rPr>
          <w:rFonts w:ascii="Times New Roman" w:cs="Times New Roman" w:eastAsia="Times New Roman" w:hAnsi="Times New Roman"/>
          <w:sz w:val="17"/>
          <w:szCs w:val="17"/>
          <w:color w:val="auto"/>
        </w:rPr>
        <w:t>);</w:t>
      </w:r>
    </w:p>
    <w:p>
      <w:pPr>
        <w:spacing w:after="0" w:line="53" w:lineRule="exact"/>
        <w:rPr>
          <w:rFonts w:ascii="Times New Roman" w:cs="Times New Roman" w:eastAsia="Times New Roman" w:hAnsi="Times New Roman"/>
          <w:sz w:val="17"/>
          <w:szCs w:val="17"/>
          <w:color w:val="auto"/>
        </w:rPr>
      </w:pPr>
    </w:p>
    <w:p>
      <w:pPr>
        <w:ind w:left="980" w:right="679" w:hanging="303"/>
        <w:spacing w:after="0" w:line="275" w:lineRule="auto"/>
        <w:tabs>
          <w:tab w:leader="none" w:pos="98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Why each element was chosen (described with each element of compensation, including base pay, short-term incentives and long-term incentives);</w:t>
      </w:r>
    </w:p>
    <w:p>
      <w:pPr>
        <w:spacing w:after="0" w:line="57" w:lineRule="exact"/>
        <w:rPr>
          <w:rFonts w:ascii="Times New Roman" w:cs="Times New Roman" w:eastAsia="Times New Roman" w:hAnsi="Times New Roman"/>
          <w:sz w:val="17"/>
          <w:szCs w:val="17"/>
          <w:color w:val="auto"/>
        </w:rPr>
      </w:pPr>
    </w:p>
    <w:p>
      <w:pPr>
        <w:ind w:left="980" w:right="59" w:hanging="303"/>
        <w:spacing w:after="0" w:line="275" w:lineRule="auto"/>
        <w:tabs>
          <w:tab w:leader="none" w:pos="98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How amounts and formulas for pay are calculated and determined (also described with each element of compensation, including base pay, short-term incentives and long-term incentives); and</w:t>
      </w:r>
    </w:p>
    <w:p>
      <w:pPr>
        <w:spacing w:after="0" w:line="57" w:lineRule="exact"/>
        <w:rPr>
          <w:rFonts w:ascii="Times New Roman" w:cs="Times New Roman" w:eastAsia="Times New Roman" w:hAnsi="Times New Roman"/>
          <w:sz w:val="17"/>
          <w:szCs w:val="17"/>
          <w:color w:val="auto"/>
        </w:rPr>
      </w:pPr>
    </w:p>
    <w:p>
      <w:pPr>
        <w:ind w:left="980" w:right="779" w:hanging="303"/>
        <w:spacing w:after="0" w:line="308" w:lineRule="auto"/>
        <w:tabs>
          <w:tab w:leader="none" w:pos="9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How each compensation element and our decisions regarding that element fit into our overall compensation objectives and affect decisions regarding other elements (described with each element of compensation).</w:t>
      </w: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335915</wp:posOffset>
            </wp:positionV>
            <wp:extent cx="5664835" cy="241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64835" cy="24130"/>
                    </a:xfrm>
                    <a:prstGeom prst="rect">
                      <a:avLst/>
                    </a:prstGeom>
                    <a:noFill/>
                  </pic:spPr>
                </pic:pic>
              </a:graphicData>
            </a:graphic>
          </wp:anchor>
        </w:drawing>
      </w:r>
    </w:p>
    <w:p>
      <w:pPr>
        <w:sectPr>
          <w:pgSz w:w="11900" w:h="16838" w:orient="portrait"/>
          <w:cols w:equalWidth="0" w:num="1">
            <w:col w:w="9019"/>
          </w:cols>
          <w:pgMar w:left="1440" w:top="490" w:right="1440" w:bottom="1440" w:gutter="0" w:footer="0" w:header="0"/>
        </w:sectPr>
      </w:pPr>
    </w:p>
    <w:bookmarkStart w:id="37" w:name="page38"/>
    <w:bookmarkEnd w:id="3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Compensation Determinations</w:t>
      </w:r>
    </w:p>
    <w:p>
      <w:pPr>
        <w:spacing w:after="0" w:line="112" w:lineRule="exact"/>
        <w:rPr>
          <w:sz w:val="20"/>
          <w:szCs w:val="20"/>
          <w:color w:val="auto"/>
        </w:rPr>
      </w:pPr>
    </w:p>
    <w:p>
      <w:pPr>
        <w:ind w:left="40" w:right="79" w:firstLine="606"/>
        <w:spacing w:after="0" w:line="257" w:lineRule="auto"/>
        <w:rPr>
          <w:sz w:val="20"/>
          <w:szCs w:val="20"/>
          <w:color w:val="auto"/>
        </w:rPr>
      </w:pPr>
      <w:r>
        <w:rPr>
          <w:rFonts w:ascii="Times New Roman" w:cs="Times New Roman" w:eastAsia="Times New Roman" w:hAnsi="Times New Roman"/>
          <w:sz w:val="17"/>
          <w:szCs w:val="17"/>
          <w:color w:val="auto"/>
        </w:rPr>
        <w:t>All of our named executive officers who appear in the Summary Compensation Table are parties to employment agreements. With respect to each named executive officer, the level of base salary to be paid to those officers over the term of their respective employment agreements and their individual target bonus percentages were initially determined as part of the negotiation process relating to such agreements and are subject to annual review by the Compensation Committee.</w:t>
      </w:r>
    </w:p>
    <w:p>
      <w:pPr>
        <w:spacing w:after="0" w:line="72" w:lineRule="exact"/>
        <w:rPr>
          <w:sz w:val="20"/>
          <w:szCs w:val="20"/>
          <w:color w:val="auto"/>
        </w:rPr>
      </w:pPr>
    </w:p>
    <w:p>
      <w:pPr>
        <w:ind w:left="40" w:right="239" w:firstLine="606"/>
        <w:spacing w:after="0" w:line="253" w:lineRule="auto"/>
        <w:rPr>
          <w:sz w:val="20"/>
          <w:szCs w:val="20"/>
          <w:color w:val="auto"/>
        </w:rPr>
      </w:pPr>
      <w:r>
        <w:rPr>
          <w:rFonts w:ascii="Times New Roman" w:cs="Times New Roman" w:eastAsia="Times New Roman" w:hAnsi="Times New Roman"/>
          <w:sz w:val="17"/>
          <w:szCs w:val="17"/>
          <w:color w:val="auto"/>
        </w:rPr>
        <w:t xml:space="preserve">Our Compensation Committee’s charter empowers it to set all compensation, including, but not limited to, salary, bonus, incentive compensation, equity awards, benefits and perquisites, for our named executive officers. Our Compensation Committee makes such determinations with respect to our Chief Executive Officer and, for all other executive officers, makes such determinations in consultation with our Chief Executive Officer. For additional information regarding the Compensation Committee, please see the section titled </w:t>
      </w:r>
      <w:r>
        <w:rPr>
          <w:rFonts w:ascii="Times New Roman" w:cs="Times New Roman" w:eastAsia="Times New Roman" w:hAnsi="Times New Roman"/>
          <w:sz w:val="17"/>
          <w:szCs w:val="17"/>
          <w:i w:val="1"/>
          <w:iCs w:val="1"/>
          <w:color w:val="auto"/>
        </w:rPr>
        <w:t>“Corporate Governance and Board Matters — Committees of Our Board of Directors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Compensation Committee.”</w:t>
      </w:r>
    </w:p>
    <w:p>
      <w:pPr>
        <w:spacing w:after="0" w:line="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Objectives of Compensation Programs</w:t>
      </w:r>
    </w:p>
    <w:p>
      <w:pPr>
        <w:spacing w:after="0" w:line="112" w:lineRule="exact"/>
        <w:rPr>
          <w:sz w:val="20"/>
          <w:szCs w:val="20"/>
          <w:color w:val="auto"/>
        </w:rPr>
      </w:pPr>
    </w:p>
    <w:p>
      <w:pPr>
        <w:ind w:left="40" w:right="99" w:firstLine="606"/>
        <w:spacing w:after="0" w:line="262" w:lineRule="auto"/>
        <w:rPr>
          <w:sz w:val="20"/>
          <w:szCs w:val="20"/>
          <w:color w:val="auto"/>
        </w:rPr>
      </w:pPr>
      <w:r>
        <w:rPr>
          <w:rFonts w:ascii="Times New Roman" w:cs="Times New Roman" w:eastAsia="Times New Roman" w:hAnsi="Times New Roman"/>
          <w:sz w:val="17"/>
          <w:szCs w:val="17"/>
          <w:color w:val="auto"/>
        </w:rPr>
        <w:t>We pay our executive officers based on company-wide business performance, subject to adjustment based on their achievement of individual performance goals, and, in setting compensation levels, we take into consideration our past practices, our current and anticipated future needs, and the relative skills and experience of each individual executive.</w:t>
      </w:r>
    </w:p>
    <w:p>
      <w:pPr>
        <w:spacing w:after="0" w:line="63" w:lineRule="exact"/>
        <w:rPr>
          <w:sz w:val="20"/>
          <w:szCs w:val="20"/>
          <w:color w:val="auto"/>
        </w:rPr>
      </w:pPr>
    </w:p>
    <w:p>
      <w:pPr>
        <w:ind w:left="40" w:right="179" w:firstLine="606"/>
        <w:spacing w:after="0" w:line="254" w:lineRule="auto"/>
        <w:rPr>
          <w:sz w:val="20"/>
          <w:szCs w:val="20"/>
          <w:color w:val="auto"/>
        </w:rPr>
      </w:pPr>
      <w:r>
        <w:rPr>
          <w:rFonts w:ascii="Times New Roman" w:cs="Times New Roman" w:eastAsia="Times New Roman" w:hAnsi="Times New Roman"/>
          <w:sz w:val="17"/>
          <w:szCs w:val="17"/>
          <w:i w:val="1"/>
          <w:iCs w:val="1"/>
          <w:color w:val="auto"/>
        </w:rPr>
        <w:t xml:space="preserve">Compensation philosophy. </w:t>
      </w:r>
      <w:r>
        <w:rPr>
          <w:rFonts w:ascii="Times New Roman" w:cs="Times New Roman" w:eastAsia="Times New Roman" w:hAnsi="Times New Roman"/>
          <w:sz w:val="17"/>
          <w:szCs w:val="17"/>
          <w:color w:val="auto"/>
        </w:rPr>
        <w:t>Under our compensation philosophy, a named executive officer’s total compensation will vary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based on the Company’s overall performance, as well as the Compensation Committee’s assessment of the particular named executive officer’s personal performance and contribution to our overall results. This philosophy generally applies to all of our employees, although the degree of variability and compensation at risk increases as an employee’s function and level of responsibility increases. Our overall goals in implementing this philosophy are to attract, motivate, and retain highly qualified individuals responsible for guiding us and creating value for our investors.</w:t>
      </w:r>
    </w:p>
    <w:p>
      <w:pPr>
        <w:spacing w:after="0" w:line="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i w:val="1"/>
          <w:iCs w:val="1"/>
          <w:color w:val="auto"/>
        </w:rPr>
        <w:t xml:space="preserve">Compensation objectives. </w:t>
      </w:r>
      <w:r>
        <w:rPr>
          <w:rFonts w:ascii="Times New Roman" w:cs="Times New Roman" w:eastAsia="Times New Roman" w:hAnsi="Times New Roman"/>
          <w:sz w:val="16"/>
          <w:szCs w:val="16"/>
          <w:color w:val="auto"/>
        </w:rPr>
        <w:t>We believe that the compensation program we follow helps us achieve the following objectives:</w:t>
      </w:r>
    </w:p>
    <w:p>
      <w:pPr>
        <w:spacing w:after="0" w:line="119" w:lineRule="exact"/>
        <w:rPr>
          <w:sz w:val="20"/>
          <w:szCs w:val="20"/>
          <w:color w:val="auto"/>
        </w:rPr>
      </w:pPr>
    </w:p>
    <w:p>
      <w:pPr>
        <w:ind w:left="980" w:right="259" w:hanging="303"/>
        <w:spacing w:after="0" w:line="259" w:lineRule="auto"/>
        <w:tabs>
          <w:tab w:leader="none" w:pos="98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Compensation should be related to performance. </w:t>
      </w:r>
      <w:r>
        <w:rPr>
          <w:rFonts w:ascii="Times New Roman" w:cs="Times New Roman" w:eastAsia="Times New Roman" w:hAnsi="Times New Roman"/>
          <w:sz w:val="17"/>
          <w:szCs w:val="17"/>
          <w:color w:val="auto"/>
        </w:rPr>
        <w:t>We believe that the performance-based portion of an individual’s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total compensation should increase as the individual’s business responsibilities increase. Thus, a material portion of executive compensation is linked to our financial performance, which also serves to align the named executive officers’ interests with those of our stockholders.</w:t>
      </w:r>
    </w:p>
    <w:p>
      <w:pPr>
        <w:spacing w:after="0" w:line="65" w:lineRule="exact"/>
        <w:rPr>
          <w:rFonts w:ascii="Times New Roman" w:cs="Times New Roman" w:eastAsia="Times New Roman" w:hAnsi="Times New Roman"/>
          <w:sz w:val="17"/>
          <w:szCs w:val="17"/>
          <w:color w:val="auto"/>
        </w:rPr>
      </w:pPr>
    </w:p>
    <w:p>
      <w:pPr>
        <w:ind w:left="980" w:right="99" w:hanging="303"/>
        <w:spacing w:after="0" w:line="254" w:lineRule="auto"/>
        <w:tabs>
          <w:tab w:leader="none" w:pos="98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Compensation should be competitive and cost effective. </w:t>
      </w:r>
      <w:r>
        <w:rPr>
          <w:rFonts w:ascii="Times New Roman" w:cs="Times New Roman" w:eastAsia="Times New Roman" w:hAnsi="Times New Roman"/>
          <w:sz w:val="17"/>
          <w:szCs w:val="17"/>
          <w:color w:val="auto"/>
        </w:rPr>
        <w:t>We believe that our compensation program should foster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innovative, high integrity, and performance-oriented culture that serves to attract, motivate, and retain executives and other key employees with the appropriate skill sets to lead us through expected future growth in a dynamic, competitive, and highly regulated environment. Accordingly, we seek to provide compensation, in amounts and based on performance targets, necessary to achieve these goals and which is of fair value relative to other positions at the Company.</w:t>
      </w:r>
    </w:p>
    <w:p>
      <w:pPr>
        <w:spacing w:after="0" w:line="73" w:lineRule="exact"/>
        <w:rPr>
          <w:sz w:val="20"/>
          <w:szCs w:val="20"/>
          <w:color w:val="auto"/>
        </w:rPr>
      </w:pPr>
    </w:p>
    <w:p>
      <w:pPr>
        <w:ind w:left="40" w:right="99" w:firstLine="606"/>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Company compensation policies. </w:t>
      </w:r>
      <w:r>
        <w:rPr>
          <w:rFonts w:ascii="Times New Roman" w:cs="Times New Roman" w:eastAsia="Times New Roman" w:hAnsi="Times New Roman"/>
          <w:sz w:val="17"/>
          <w:szCs w:val="17"/>
          <w:color w:val="auto"/>
        </w:rPr>
        <w:t>During 2024, our named executive officers’ total in-service compensation consisted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base salaries, cash bonuses, share-based compensation, and other benefits generally available to all employees. With regard to these components, we adhere to the following compensation policies:</w:t>
      </w:r>
    </w:p>
    <w:p>
      <w:pPr>
        <w:spacing w:after="0" w:line="63" w:lineRule="exact"/>
        <w:rPr>
          <w:sz w:val="20"/>
          <w:szCs w:val="20"/>
          <w:color w:val="auto"/>
        </w:rPr>
      </w:pPr>
    </w:p>
    <w:p>
      <w:pPr>
        <w:jc w:val="both"/>
        <w:ind w:left="980" w:right="139" w:hanging="303"/>
        <w:spacing w:after="0" w:line="264" w:lineRule="auto"/>
        <w:tabs>
          <w:tab w:leader="none" w:pos="98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Cash should be a significant component of compensation. </w:t>
      </w:r>
      <w:r>
        <w:rPr>
          <w:rFonts w:ascii="Times New Roman" w:cs="Times New Roman" w:eastAsia="Times New Roman" w:hAnsi="Times New Roman"/>
          <w:sz w:val="17"/>
          <w:szCs w:val="17"/>
          <w:color w:val="auto"/>
        </w:rPr>
        <w:t>The Company’s compensation policy focuses on providing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opportunity for its named executive officers to earn total cash compensation at levels that enable the Company to achieve the motivation and retention goals described above.</w:t>
      </w:r>
    </w:p>
    <w:p>
      <w:pPr>
        <w:spacing w:after="0" w:line="62" w:lineRule="exact"/>
        <w:rPr>
          <w:rFonts w:ascii="Times New Roman" w:cs="Times New Roman" w:eastAsia="Times New Roman" w:hAnsi="Times New Roman"/>
          <w:sz w:val="17"/>
          <w:szCs w:val="17"/>
          <w:color w:val="auto"/>
        </w:rPr>
      </w:pPr>
    </w:p>
    <w:p>
      <w:pPr>
        <w:ind w:left="980" w:right="199" w:hanging="303"/>
        <w:spacing w:after="0" w:line="256" w:lineRule="auto"/>
        <w:tabs>
          <w:tab w:leader="none" w:pos="98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Base salaries should generally be the largest component of cash compensation</w:t>
      </w:r>
      <w:r>
        <w:rPr>
          <w:rFonts w:ascii="Times New Roman" w:cs="Times New Roman" w:eastAsia="Times New Roman" w:hAnsi="Times New Roman"/>
          <w:sz w:val="17"/>
          <w:szCs w:val="17"/>
          <w:color w:val="auto"/>
        </w:rPr>
        <w:t>. Our compensation programs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generally reflect our view that base salaries reflect compensation for the named executive officers to perform the essential elements of their respective jobs, and that cash bonuses are a reward for superior company performance. In this regard, absent clear outperformance of financial goals, for all of our named executive officers other than our Chief Executive Officer, base salary should generally be the largest component of cash compensation.</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335915</wp:posOffset>
            </wp:positionV>
            <wp:extent cx="5664835" cy="241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64835" cy="24130"/>
                    </a:xfrm>
                    <a:prstGeom prst="rect">
                      <a:avLst/>
                    </a:prstGeom>
                    <a:noFill/>
                  </pic:spPr>
                </pic:pic>
              </a:graphicData>
            </a:graphic>
          </wp:anchor>
        </w:drawing>
      </w:r>
    </w:p>
    <w:p>
      <w:pPr>
        <w:sectPr>
          <w:pgSz w:w="11900" w:h="16838" w:orient="portrait"/>
          <w:cols w:equalWidth="0" w:num="1">
            <w:col w:w="9019"/>
          </w:cols>
          <w:pgMar w:left="1440" w:top="490" w:right="1440" w:bottom="1440" w:gutter="0" w:footer="0" w:header="0"/>
        </w:sectPr>
      </w:pPr>
    </w:p>
    <w:bookmarkStart w:id="38" w:name="page39"/>
    <w:bookmarkEnd w:id="3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980" w:right="159" w:hanging="303"/>
        <w:spacing w:after="0" w:line="259" w:lineRule="auto"/>
        <w:tabs>
          <w:tab w:leader="none" w:pos="98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Cash incentives should be linked to performance. </w:t>
      </w:r>
      <w:r>
        <w:rPr>
          <w:rFonts w:ascii="Times New Roman" w:cs="Times New Roman" w:eastAsia="Times New Roman" w:hAnsi="Times New Roman"/>
          <w:sz w:val="17"/>
          <w:szCs w:val="17"/>
          <w:color w:val="auto"/>
        </w:rPr>
        <w:t>Under our Annual Cash Incentive Plan, bonuses paid to our named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executive officers are based on overall company financial performance, but are subject to reduction based on the Compensation Committee’s assessment of the particular named executive officer’s personal performance and contribution to our overall results.</w:t>
      </w:r>
    </w:p>
    <w:p>
      <w:pPr>
        <w:spacing w:after="0" w:line="65" w:lineRule="exact"/>
        <w:rPr>
          <w:rFonts w:ascii="Times New Roman" w:cs="Times New Roman" w:eastAsia="Times New Roman" w:hAnsi="Times New Roman"/>
          <w:sz w:val="17"/>
          <w:szCs w:val="17"/>
          <w:color w:val="auto"/>
        </w:rPr>
      </w:pPr>
    </w:p>
    <w:p>
      <w:pPr>
        <w:ind w:left="980" w:right="119" w:hanging="303"/>
        <w:spacing w:after="0" w:line="288" w:lineRule="auto"/>
        <w:tabs>
          <w:tab w:leader="none" w:pos="9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Equity awards should be utilized as a means to retain key management and to align their interests with those of our stockholders. </w:t>
      </w:r>
      <w:r>
        <w:rPr>
          <w:rFonts w:ascii="Times New Roman" w:cs="Times New Roman" w:eastAsia="Times New Roman" w:hAnsi="Times New Roman"/>
          <w:sz w:val="16"/>
          <w:szCs w:val="16"/>
          <w:color w:val="auto"/>
        </w:rPr>
        <w:t>We utilize time-based equity awards that vest ratably over five years. We believe a long vesting period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encourages retention and focuses our management team on the long-term interests of our Company and stockholders.</w:t>
      </w:r>
    </w:p>
    <w:p>
      <w:pPr>
        <w:spacing w:after="0" w:line="49" w:lineRule="exact"/>
        <w:rPr>
          <w:sz w:val="20"/>
          <w:szCs w:val="20"/>
          <w:color w:val="auto"/>
        </w:rPr>
      </w:pPr>
    </w:p>
    <w:p>
      <w:pPr>
        <w:ind w:left="40" w:right="539" w:firstLine="606"/>
        <w:spacing w:after="0" w:line="275" w:lineRule="auto"/>
        <w:rPr>
          <w:sz w:val="20"/>
          <w:szCs w:val="20"/>
          <w:color w:val="auto"/>
        </w:rPr>
      </w:pPr>
      <w:r>
        <w:rPr>
          <w:rFonts w:ascii="Times New Roman" w:cs="Times New Roman" w:eastAsia="Times New Roman" w:hAnsi="Times New Roman"/>
          <w:sz w:val="17"/>
          <w:szCs w:val="17"/>
          <w:color w:val="auto"/>
        </w:rPr>
        <w:t>We believe our policies have helped us achieve our compensation objectives of attracting, motivating, retaining, and rewarding our key officers.</w:t>
      </w:r>
    </w:p>
    <w:p>
      <w:pPr>
        <w:spacing w:after="0" w:line="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Compensation Programs Design and Elements of Compensation</w:t>
      </w:r>
    </w:p>
    <w:p>
      <w:pPr>
        <w:spacing w:after="0" w:line="112" w:lineRule="exact"/>
        <w:rPr>
          <w:sz w:val="20"/>
          <w:szCs w:val="20"/>
          <w:color w:val="auto"/>
        </w:rPr>
      </w:pPr>
    </w:p>
    <w:p>
      <w:pPr>
        <w:ind w:left="40" w:right="239" w:firstLine="606"/>
        <w:spacing w:after="0" w:line="262" w:lineRule="auto"/>
        <w:rPr>
          <w:sz w:val="20"/>
          <w:szCs w:val="20"/>
          <w:color w:val="auto"/>
        </w:rPr>
      </w:pPr>
      <w:r>
        <w:rPr>
          <w:rFonts w:ascii="Times New Roman" w:cs="Times New Roman" w:eastAsia="Times New Roman" w:hAnsi="Times New Roman"/>
          <w:sz w:val="17"/>
          <w:szCs w:val="17"/>
          <w:color w:val="auto"/>
        </w:rPr>
        <w:t>We choose to pay each element of compensation to further the objectives of our compensation program, which, as noted, include the need to attract, motivate, retain, and reward key leaders critical to our success by providing competitive total compensation.</w:t>
      </w:r>
    </w:p>
    <w:p>
      <w:pPr>
        <w:spacing w:after="0" w:line="63" w:lineRule="exact"/>
        <w:rPr>
          <w:sz w:val="20"/>
          <w:szCs w:val="20"/>
          <w:color w:val="auto"/>
        </w:rPr>
      </w:pPr>
    </w:p>
    <w:p>
      <w:pPr>
        <w:ind w:left="40" w:right="59" w:firstLine="606"/>
        <w:spacing w:after="0" w:line="256" w:lineRule="auto"/>
        <w:rPr>
          <w:sz w:val="20"/>
          <w:szCs w:val="20"/>
          <w:color w:val="auto"/>
        </w:rPr>
      </w:pPr>
      <w:r>
        <w:rPr>
          <w:rFonts w:ascii="Times New Roman" w:cs="Times New Roman" w:eastAsia="Times New Roman" w:hAnsi="Times New Roman"/>
          <w:sz w:val="17"/>
          <w:szCs w:val="17"/>
          <w:i w:val="1"/>
          <w:iCs w:val="1"/>
          <w:color w:val="auto"/>
        </w:rPr>
        <w:t xml:space="preserve">Elements of In-Service Compensation. </w:t>
      </w:r>
      <w:r>
        <w:rPr>
          <w:rFonts w:ascii="Times New Roman" w:cs="Times New Roman" w:eastAsia="Times New Roman" w:hAnsi="Times New Roman"/>
          <w:sz w:val="17"/>
          <w:szCs w:val="17"/>
          <w:color w:val="auto"/>
        </w:rPr>
        <w:t>For our 2024 fiscal year, our executive compensation mix included base salaries,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performance-based cash bonuses, share-based compensation with vesting periods, and other benefits generally available to all employees. We seek to compensate our named executive officers at levels that eliminate the need for material perquisites and enable each individual officer to provide for his or her own needs, and in 2024, we did not provide any perquisites to our named executive officers. We generally determine the nature and amount of each element of compensation as follows:</w:t>
      </w:r>
    </w:p>
    <w:p>
      <w:pPr>
        <w:spacing w:after="0" w:line="69" w:lineRule="exact"/>
        <w:rPr>
          <w:sz w:val="20"/>
          <w:szCs w:val="20"/>
          <w:color w:val="auto"/>
        </w:rPr>
      </w:pPr>
    </w:p>
    <w:p>
      <w:pPr>
        <w:ind w:left="980" w:right="59" w:hanging="303"/>
        <w:spacing w:after="0" w:line="252" w:lineRule="auto"/>
        <w:tabs>
          <w:tab w:leader="none" w:pos="98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Base salary. </w:t>
      </w:r>
      <w:r>
        <w:rPr>
          <w:rFonts w:ascii="Times New Roman" w:cs="Times New Roman" w:eastAsia="Times New Roman" w:hAnsi="Times New Roman"/>
          <w:sz w:val="17"/>
          <w:szCs w:val="17"/>
          <w:color w:val="auto"/>
        </w:rPr>
        <w:t>We typically agree upon a base salary with a named executive officer at the time of initial employment.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amount of base salary agreed upon, which is not at risk, reflects our views as to the individual executive’s past experience, future potential, knowledge, scope of anticipated responsibilities, skills, expertise, and potential to add value through performance, as well as competitive industry salary practices. Although minimum base salaries for each of our current named executive officers are set by their respective employment agreements, as described below, we review executive officer salaries annually and may increase them based on an evaluation of the Company’s performance for the year and the performance of the functional areas under a named executive officer’s scope of responsibility. We also consider qualitative criteria, such as education and experience requirements, complexity, and scope or impact of the position compared to other executive positions internally.</w:t>
      </w:r>
    </w:p>
    <w:p>
      <w:pPr>
        <w:spacing w:after="0" w:line="73" w:lineRule="exact"/>
        <w:rPr>
          <w:rFonts w:ascii="Times New Roman" w:cs="Times New Roman" w:eastAsia="Times New Roman" w:hAnsi="Times New Roman"/>
          <w:sz w:val="17"/>
          <w:szCs w:val="17"/>
          <w:color w:val="auto"/>
        </w:rPr>
      </w:pPr>
    </w:p>
    <w:p>
      <w:pPr>
        <w:ind w:left="980" w:right="139" w:hanging="303"/>
        <w:spacing w:after="0" w:line="259" w:lineRule="auto"/>
        <w:tabs>
          <w:tab w:leader="none" w:pos="98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Bonuses. </w:t>
      </w:r>
      <w:r>
        <w:rPr>
          <w:rFonts w:ascii="Times New Roman" w:cs="Times New Roman" w:eastAsia="Times New Roman" w:hAnsi="Times New Roman"/>
          <w:sz w:val="17"/>
          <w:szCs w:val="17"/>
          <w:color w:val="auto"/>
        </w:rPr>
        <w:t>We provide cash bonuses, which typically are at-risk, to recognize and reward our named executive officers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based on our success in a given year. For 2024, we awarded performance-related bonuses under our Annual Cash Incentive Plan. The operation of this plan as it relates to our named executive officers is described in more detail below.</w:t>
      </w:r>
    </w:p>
    <w:p>
      <w:pPr>
        <w:spacing w:after="0" w:line="65" w:lineRule="exact"/>
        <w:rPr>
          <w:rFonts w:ascii="Times New Roman" w:cs="Times New Roman" w:eastAsia="Times New Roman" w:hAnsi="Times New Roman"/>
          <w:sz w:val="17"/>
          <w:szCs w:val="17"/>
          <w:color w:val="auto"/>
        </w:rPr>
      </w:pPr>
    </w:p>
    <w:p>
      <w:pPr>
        <w:ind w:left="980" w:right="139" w:hanging="303"/>
        <w:spacing w:after="0" w:line="259" w:lineRule="auto"/>
        <w:tabs>
          <w:tab w:leader="none" w:pos="98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Share-based compensation</w:t>
      </w:r>
      <w:r>
        <w:rPr>
          <w:rFonts w:ascii="Times New Roman" w:cs="Times New Roman" w:eastAsia="Times New Roman" w:hAnsi="Times New Roman"/>
          <w:sz w:val="17"/>
          <w:szCs w:val="17"/>
          <w:color w:val="auto"/>
        </w:rPr>
        <w:t>. We make equity incentive grants pursuant to our 2017 Equity Incentive Plan (the “2017</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Plan”), under which a maximum of 3,000,000 shares may be granted. In 2024, our named executive officers received grants of restricted stock under the 2017 plan, as part of an overall, annual equity incentive grant made to Company employees.</w:t>
      </w:r>
    </w:p>
    <w:p>
      <w:pPr>
        <w:spacing w:after="0" w:line="65" w:lineRule="exact"/>
        <w:rPr>
          <w:rFonts w:ascii="Times New Roman" w:cs="Times New Roman" w:eastAsia="Times New Roman" w:hAnsi="Times New Roman"/>
          <w:sz w:val="17"/>
          <w:szCs w:val="17"/>
          <w:color w:val="auto"/>
        </w:rPr>
      </w:pPr>
    </w:p>
    <w:p>
      <w:pPr>
        <w:ind w:left="980" w:right="99" w:hanging="303"/>
        <w:spacing w:after="0" w:line="267" w:lineRule="auto"/>
        <w:tabs>
          <w:tab w:leader="none" w:pos="98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Other. </w:t>
      </w:r>
      <w:r>
        <w:rPr>
          <w:rFonts w:ascii="Times New Roman" w:cs="Times New Roman" w:eastAsia="Times New Roman" w:hAnsi="Times New Roman"/>
          <w:sz w:val="16"/>
          <w:szCs w:val="16"/>
          <w:color w:val="auto"/>
        </w:rPr>
        <w:t>We offer other employee benefits to named executive officers for the purpose of meeting current and future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health and security needs for the executives and their families. These benefits, which we generally offer to all eligible employees, include medical, dental, and life insurance benefits; short-term disability pay; long-term disability insurance; flexible spending accounts for medical expense reimbursements; a 401(k)-retirement savings plan; and tuition benefits for a spouse or up to two children with no more than two participants receiving the benefits at any one time. The 401(k)-retirement savings plan is a defined contribution plan under Section 401(a) of the Internal Revenue Code of 1986 (the “Code”), into which employees may make pre-tax contributions into the plan, expressed as</w:t>
      </w:r>
    </w:p>
    <w:p>
      <w:pPr>
        <w:spacing w:after="0" w:line="2" w:lineRule="exact"/>
        <w:rPr>
          <w:rFonts w:ascii="Times New Roman" w:cs="Times New Roman" w:eastAsia="Times New Roman" w:hAnsi="Times New Roman"/>
          <w:sz w:val="16"/>
          <w:szCs w:val="16"/>
          <w:color w:val="auto"/>
        </w:rPr>
      </w:pPr>
    </w:p>
    <w:p>
      <w:pPr>
        <w:ind w:left="980" w:right="279"/>
        <w:spacing w:after="0" w:line="28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percentage of compensation, up to prescribed IRS annual limits, with such contributions subject to a matching Company contribution up to prescribed limits. Other than the 401(k) plan, we do not provide any qualified or non-</w:t>
      </w: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335915</wp:posOffset>
            </wp:positionV>
            <wp:extent cx="5664835" cy="241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64835" cy="24130"/>
                    </a:xfrm>
                    <a:prstGeom prst="rect">
                      <a:avLst/>
                    </a:prstGeom>
                    <a:noFill/>
                  </pic:spPr>
                </pic:pic>
              </a:graphicData>
            </a:graphic>
          </wp:anchor>
        </w:drawing>
      </w:r>
    </w:p>
    <w:p>
      <w:pPr>
        <w:sectPr>
          <w:pgSz w:w="11900" w:h="16838" w:orient="portrait"/>
          <w:cols w:equalWidth="0" w:num="1">
            <w:col w:w="9019"/>
          </w:cols>
          <w:pgMar w:left="1440" w:top="490" w:right="1440" w:bottom="1440" w:gutter="0" w:footer="0" w:header="0"/>
        </w:sectPr>
      </w:pPr>
    </w:p>
    <w:bookmarkStart w:id="39" w:name="page40"/>
    <w:bookmarkEnd w:id="3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qualified retirement or deferred compensation benefits to our employees, including our named executive officers.</w:t>
      </w:r>
    </w:p>
    <w:p>
      <w:pPr>
        <w:spacing w:after="0" w:line="104" w:lineRule="exact"/>
        <w:rPr>
          <w:sz w:val="20"/>
          <w:szCs w:val="20"/>
          <w:color w:val="auto"/>
        </w:rPr>
      </w:pPr>
    </w:p>
    <w:p>
      <w:pPr>
        <w:ind w:left="40" w:right="99" w:firstLine="606"/>
        <w:spacing w:after="0" w:line="269" w:lineRule="auto"/>
        <w:rPr>
          <w:sz w:val="20"/>
          <w:szCs w:val="20"/>
          <w:color w:val="auto"/>
        </w:rPr>
      </w:pPr>
      <w:r>
        <w:rPr>
          <w:rFonts w:ascii="Times New Roman" w:cs="Times New Roman" w:eastAsia="Times New Roman" w:hAnsi="Times New Roman"/>
          <w:sz w:val="16"/>
          <w:szCs w:val="16"/>
          <w:i w:val="1"/>
          <w:iCs w:val="1"/>
          <w:color w:val="auto"/>
        </w:rPr>
        <w:t xml:space="preserve">Elements of Post-Termination Compensation and Benefits. </w:t>
      </w:r>
      <w:r>
        <w:rPr>
          <w:rFonts w:ascii="Times New Roman" w:cs="Times New Roman" w:eastAsia="Times New Roman" w:hAnsi="Times New Roman"/>
          <w:sz w:val="16"/>
          <w:szCs w:val="16"/>
          <w:color w:val="auto"/>
        </w:rPr>
        <w:t>The employment agreements of our named executive officers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provide for post-termination salary and benefit continuation in the event of a termination by us without Cause (as defined below) or by the executive for Good Reason (as defined below) or in the event of any such termination within twelve (12) months following a Change in Control (as defined below), and for so long as the named executive officer abides by customary confidentiality, non-competition, and non-solicitation covenants and executes a full release of all claims, known or unknown, that the executive may have against the Company. We believe that the amounts of these payments and benefits and the periods of time during which they would be provided are fair and reasonable, and we have not historically taken into account any amounts that may be received by a named executive officer following termination when establishing current compensation levels. The elements of post-termination compensation that were in effect during 2024 pursuant to the written employment agreements consisted of the following:</w:t>
      </w:r>
    </w:p>
    <w:p>
      <w:pPr>
        <w:spacing w:after="0" w:line="65" w:lineRule="exact"/>
        <w:rPr>
          <w:sz w:val="20"/>
          <w:szCs w:val="20"/>
          <w:color w:val="auto"/>
        </w:rPr>
      </w:pPr>
    </w:p>
    <w:p>
      <w:pPr>
        <w:ind w:left="980" w:right="179" w:hanging="303"/>
        <w:spacing w:after="0" w:line="280" w:lineRule="auto"/>
        <w:tabs>
          <w:tab w:leader="none" w:pos="98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Salary continuation. </w:t>
      </w:r>
      <w:r>
        <w:rPr>
          <w:rFonts w:ascii="Times New Roman" w:cs="Times New Roman" w:eastAsia="Times New Roman" w:hAnsi="Times New Roman"/>
          <w:sz w:val="17"/>
          <w:szCs w:val="17"/>
          <w:color w:val="auto"/>
        </w:rPr>
        <w:t>Each named executive officer would continue to receive 100% of their base salary payable over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 period of twelve (12) months following any qualifying termination of employment.</w:t>
      </w:r>
    </w:p>
    <w:p>
      <w:pPr>
        <w:spacing w:after="0" w:line="49" w:lineRule="exact"/>
        <w:rPr>
          <w:rFonts w:ascii="Times New Roman" w:cs="Times New Roman" w:eastAsia="Times New Roman" w:hAnsi="Times New Roman"/>
          <w:sz w:val="17"/>
          <w:szCs w:val="17"/>
          <w:color w:val="auto"/>
        </w:rPr>
      </w:pPr>
    </w:p>
    <w:p>
      <w:pPr>
        <w:ind w:left="980" w:right="239" w:hanging="303"/>
        <w:spacing w:after="0" w:line="264" w:lineRule="auto"/>
        <w:tabs>
          <w:tab w:leader="none" w:pos="98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Payment of target bonus</w:t>
      </w:r>
      <w:r>
        <w:rPr>
          <w:rFonts w:ascii="Times New Roman" w:cs="Times New Roman" w:eastAsia="Times New Roman" w:hAnsi="Times New Roman"/>
          <w:sz w:val="17"/>
          <w:szCs w:val="17"/>
          <w:color w:val="auto"/>
        </w:rPr>
        <w:t>. Each named executive officer would receive an additional amount equal to 100%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named executive officer’s annual target bonus for the year in which such termination occurs, with such amount also payable over twelve (12) months following any qualifying termination of employment.</w:t>
      </w:r>
    </w:p>
    <w:p>
      <w:pPr>
        <w:spacing w:after="0" w:line="62" w:lineRule="exact"/>
        <w:rPr>
          <w:rFonts w:ascii="Times New Roman" w:cs="Times New Roman" w:eastAsia="Times New Roman" w:hAnsi="Times New Roman"/>
          <w:sz w:val="17"/>
          <w:szCs w:val="17"/>
          <w:color w:val="auto"/>
        </w:rPr>
      </w:pPr>
    </w:p>
    <w:p>
      <w:pPr>
        <w:ind w:left="980" w:right="199" w:hanging="303"/>
        <w:spacing w:after="0" w:line="264" w:lineRule="auto"/>
        <w:tabs>
          <w:tab w:leader="none" w:pos="98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Benefits continuation. </w:t>
      </w:r>
      <w:r>
        <w:rPr>
          <w:rFonts w:ascii="Times New Roman" w:cs="Times New Roman" w:eastAsia="Times New Roman" w:hAnsi="Times New Roman"/>
          <w:sz w:val="17"/>
          <w:szCs w:val="17"/>
          <w:color w:val="auto"/>
        </w:rPr>
        <w:t>Each named executive officer would continue to receive Company-paid premiums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continued group health benefits under the Consolidated Omnibus Budget Reconciliation Act (“COBRA”) during the severance period.</w:t>
      </w:r>
    </w:p>
    <w:p>
      <w:pPr>
        <w:spacing w:after="0" w:line="62" w:lineRule="exact"/>
        <w:rPr>
          <w:rFonts w:ascii="Times New Roman" w:cs="Times New Roman" w:eastAsia="Times New Roman" w:hAnsi="Times New Roman"/>
          <w:sz w:val="17"/>
          <w:szCs w:val="17"/>
          <w:color w:val="auto"/>
        </w:rPr>
      </w:pPr>
    </w:p>
    <w:p>
      <w:pPr>
        <w:jc w:val="both"/>
        <w:ind w:left="980" w:right="159" w:hanging="303"/>
        <w:spacing w:after="0" w:line="264" w:lineRule="auto"/>
        <w:tabs>
          <w:tab w:leader="none" w:pos="98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Partially accelerated vesting of equity incentives</w:t>
      </w:r>
      <w:r>
        <w:rPr>
          <w:rFonts w:ascii="Times New Roman" w:cs="Times New Roman" w:eastAsia="Times New Roman" w:hAnsi="Times New Roman"/>
          <w:sz w:val="17"/>
          <w:szCs w:val="17"/>
          <w:color w:val="auto"/>
        </w:rPr>
        <w:t>. Each named executive officer would receive partial acceleration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vesting of any outstanding restricted stock awards to the next annual vesting date immediately following the date of termination.</w:t>
      </w:r>
    </w:p>
    <w:p>
      <w:pPr>
        <w:spacing w:after="0" w:line="62" w:lineRule="exact"/>
        <w:rPr>
          <w:rFonts w:ascii="Times New Roman" w:cs="Times New Roman" w:eastAsia="Times New Roman" w:hAnsi="Times New Roman"/>
          <w:sz w:val="17"/>
          <w:szCs w:val="17"/>
          <w:color w:val="auto"/>
        </w:rPr>
      </w:pPr>
    </w:p>
    <w:p>
      <w:pPr>
        <w:ind w:left="980" w:right="259" w:hanging="303"/>
        <w:spacing w:after="0" w:line="264" w:lineRule="auto"/>
        <w:tabs>
          <w:tab w:leader="none" w:pos="98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Fully accelerated vesting of equity incentives</w:t>
      </w:r>
      <w:r>
        <w:rPr>
          <w:rFonts w:ascii="Times New Roman" w:cs="Times New Roman" w:eastAsia="Times New Roman" w:hAnsi="Times New Roman"/>
          <w:sz w:val="17"/>
          <w:szCs w:val="17"/>
          <w:color w:val="auto"/>
        </w:rPr>
        <w:t>. In the event of a termination by us without Cause or by the executive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 Good Reason within twelve (12) months following a Change in Control, each named executive officer would receive full acceleration of the vesting of their outstanding restricted stock awards.</w:t>
      </w:r>
    </w:p>
    <w:p>
      <w:pPr>
        <w:spacing w:after="0" w:line="63" w:lineRule="exact"/>
        <w:rPr>
          <w:sz w:val="20"/>
          <w:szCs w:val="20"/>
          <w:color w:val="auto"/>
        </w:rPr>
      </w:pPr>
    </w:p>
    <w:p>
      <w:pPr>
        <w:ind w:left="40" w:right="359" w:firstLine="606"/>
        <w:spacing w:after="0" w:line="280" w:lineRule="auto"/>
        <w:rPr>
          <w:sz w:val="20"/>
          <w:szCs w:val="20"/>
          <w:color w:val="auto"/>
        </w:rPr>
      </w:pPr>
      <w:r>
        <w:rPr>
          <w:rFonts w:ascii="Times New Roman" w:cs="Times New Roman" w:eastAsia="Times New Roman" w:hAnsi="Times New Roman"/>
          <w:sz w:val="17"/>
          <w:szCs w:val="17"/>
          <w:color w:val="auto"/>
        </w:rPr>
        <w:t xml:space="preserve">See the sections titled </w:t>
      </w:r>
      <w:r>
        <w:rPr>
          <w:rFonts w:ascii="Times New Roman" w:cs="Times New Roman" w:eastAsia="Times New Roman" w:hAnsi="Times New Roman"/>
          <w:sz w:val="17"/>
          <w:szCs w:val="17"/>
          <w:i w:val="1"/>
          <w:iCs w:val="1"/>
          <w:color w:val="auto"/>
        </w:rPr>
        <w:t>“Executive Employment Agreements”</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“Potential Payments Upon Termination or Change in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Control” </w:t>
      </w:r>
      <w:r>
        <w:rPr>
          <w:rFonts w:ascii="Times New Roman" w:cs="Times New Roman" w:eastAsia="Times New Roman" w:hAnsi="Times New Roman"/>
          <w:sz w:val="17"/>
          <w:szCs w:val="17"/>
          <w:color w:val="auto"/>
        </w:rPr>
        <w:t>for additional detail.</w:t>
      </w: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Impact of Performance on Compensation</w:t>
      </w:r>
    </w:p>
    <w:p>
      <w:pPr>
        <w:spacing w:after="0" w:line="112" w:lineRule="exact"/>
        <w:rPr>
          <w:sz w:val="20"/>
          <w:szCs w:val="20"/>
          <w:color w:val="auto"/>
        </w:rPr>
      </w:pPr>
    </w:p>
    <w:p>
      <w:pPr>
        <w:ind w:left="40" w:right="159" w:firstLine="606"/>
        <w:spacing w:after="0" w:line="268" w:lineRule="auto"/>
        <w:rPr>
          <w:sz w:val="20"/>
          <w:szCs w:val="20"/>
          <w:color w:val="auto"/>
        </w:rPr>
      </w:pPr>
      <w:r>
        <w:rPr>
          <w:rFonts w:ascii="Times New Roman" w:cs="Times New Roman" w:eastAsia="Times New Roman" w:hAnsi="Times New Roman"/>
          <w:sz w:val="16"/>
          <w:szCs w:val="16"/>
          <w:color w:val="auto"/>
        </w:rPr>
        <w:t xml:space="preserve">For 2024, each of our named executive officers participated in the Annual Cash Incentive Plan, other than Ms. Claypatch (who participated in the Senior Management Plan as further described below) and Mr. Briggs, who did not receive an annual cash incentive award for 2024 as he resigned with us effective June 30, 2024. Under the Annual Cash Incentive Plan as in effect for 2024, a named executive officer’s bonus is based on the Company’s achievement of revenue and Adjusted EBITDA targets, with the resulting amount subject to reduction based on the Compensation Committee’s assessment of the particular named executive officer’s personal performance and contribution to our overall results. For 2024, we defined Adjusted EBITDA for purposes of the Annual Cash Incentive Plan in a manner consistent with the definition we use when reporting our financial results. See </w:t>
      </w:r>
      <w:r>
        <w:rPr>
          <w:rFonts w:ascii="Times New Roman" w:cs="Times New Roman" w:eastAsia="Times New Roman" w:hAnsi="Times New Roman"/>
          <w:sz w:val="16"/>
          <w:szCs w:val="16"/>
          <w:i w:val="1"/>
          <w:iCs w:val="1"/>
          <w:color w:val="auto"/>
        </w:rPr>
        <w:t>Item 7,</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Management’s Discussion and Analysis of Financial Condition and Results of Operations – Adjusted EBITDA (Non- GAAP Financial Measure), </w:t>
      </w:r>
      <w:r>
        <w:rPr>
          <w:rFonts w:ascii="Times New Roman" w:cs="Times New Roman" w:eastAsia="Times New Roman" w:hAnsi="Times New Roman"/>
          <w:sz w:val="16"/>
          <w:szCs w:val="16"/>
          <w:color w:val="auto"/>
        </w:rPr>
        <w:t>beginning on page 55 of our Annual Report on Form 10-K for the fiscal year ended December 31, 2024 for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information regarding our use and calculation of Adjusted EBITDA. As such, we believe it is fair and reasonable to our executives to assess their individual performance on the same basis as our performance is assessed by our Board of Directors and investors.</w:t>
      </w:r>
    </w:p>
    <w:p>
      <w:pPr>
        <w:spacing w:after="0" w:line="61" w:lineRule="exact"/>
        <w:rPr>
          <w:sz w:val="20"/>
          <w:szCs w:val="20"/>
          <w:color w:val="auto"/>
        </w:rPr>
      </w:pPr>
    </w:p>
    <w:p>
      <w:pPr>
        <w:ind w:left="40" w:right="99" w:firstLine="606"/>
        <w:spacing w:after="0" w:line="256" w:lineRule="auto"/>
        <w:rPr>
          <w:sz w:val="20"/>
          <w:szCs w:val="20"/>
          <w:color w:val="auto"/>
        </w:rPr>
      </w:pPr>
      <w:r>
        <w:rPr>
          <w:rFonts w:ascii="Times New Roman" w:cs="Times New Roman" w:eastAsia="Times New Roman" w:hAnsi="Times New Roman"/>
          <w:sz w:val="17"/>
          <w:szCs w:val="17"/>
          <w:i w:val="1"/>
          <w:iCs w:val="1"/>
          <w:color w:val="auto"/>
        </w:rPr>
        <w:t>Company performance</w:t>
      </w:r>
      <w:r>
        <w:rPr>
          <w:rFonts w:ascii="Times New Roman" w:cs="Times New Roman" w:eastAsia="Times New Roman" w:hAnsi="Times New Roman"/>
          <w:sz w:val="17"/>
          <w:szCs w:val="17"/>
          <w:color w:val="auto"/>
        </w:rPr>
        <w:t>. For our named executive officers on the Annual Cash Incentive Plan, the financial metrics account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 100% of the target bonus, with the resulting amount subject to reduction based on the Compensation Committee’s assessment of the particular named executive officer’s personal performance and contribution to our overall results. For other plan participants on the Senior Management Plan (as defined below), the financial metrics account for 60% of the target bonus and specific individual performance goals account for 40% of the target bonus.</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335915</wp:posOffset>
            </wp:positionV>
            <wp:extent cx="5664835" cy="241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64835" cy="24130"/>
                    </a:xfrm>
                    <a:prstGeom prst="rect">
                      <a:avLst/>
                    </a:prstGeom>
                    <a:noFill/>
                  </pic:spPr>
                </pic:pic>
              </a:graphicData>
            </a:graphic>
          </wp:anchor>
        </w:drawing>
      </w:r>
    </w:p>
    <w:p>
      <w:pPr>
        <w:sectPr>
          <w:pgSz w:w="11900" w:h="16838" w:orient="portrait"/>
          <w:cols w:equalWidth="0" w:num="1">
            <w:col w:w="9019"/>
          </w:cols>
          <w:pgMar w:left="1440" w:top="490" w:right="1440" w:bottom="1440" w:gutter="0" w:footer="0" w:header="0"/>
        </w:sectPr>
      </w:pPr>
    </w:p>
    <w:bookmarkStart w:id="40" w:name="page41"/>
    <w:bookmarkEnd w:id="4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0" w:right="419" w:firstLine="606"/>
        <w:spacing w:after="0" w:line="264" w:lineRule="auto"/>
        <w:rPr>
          <w:sz w:val="20"/>
          <w:szCs w:val="20"/>
          <w:color w:val="auto"/>
        </w:rPr>
      </w:pPr>
      <w:r>
        <w:rPr>
          <w:rFonts w:ascii="Times New Roman" w:cs="Times New Roman" w:eastAsia="Times New Roman" w:hAnsi="Times New Roman"/>
          <w:sz w:val="17"/>
          <w:szCs w:val="17"/>
          <w:i w:val="1"/>
          <w:iCs w:val="1"/>
          <w:color w:val="auto"/>
        </w:rPr>
        <w:t>Individual performance</w:t>
      </w:r>
      <w:r>
        <w:rPr>
          <w:rFonts w:ascii="Times New Roman" w:cs="Times New Roman" w:eastAsia="Times New Roman" w:hAnsi="Times New Roman"/>
          <w:sz w:val="17"/>
          <w:szCs w:val="17"/>
          <w:color w:val="auto"/>
        </w:rPr>
        <w:t>. In reviewing individual performance, we look at an executive’s achievement of non-financial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objectives that, with respect to a given participant, may include achieving objectives related to, among other things, program development and expansion, regulatory compliance, student retention and academic outcomes.</w:t>
      </w:r>
    </w:p>
    <w:p>
      <w:pPr>
        <w:spacing w:after="0" w:line="63" w:lineRule="exact"/>
        <w:rPr>
          <w:sz w:val="20"/>
          <w:szCs w:val="20"/>
          <w:color w:val="auto"/>
        </w:rPr>
      </w:pPr>
    </w:p>
    <w:p>
      <w:pPr>
        <w:ind w:left="40" w:right="79" w:firstLine="606"/>
        <w:spacing w:after="0" w:line="259" w:lineRule="auto"/>
        <w:rPr>
          <w:sz w:val="20"/>
          <w:szCs w:val="20"/>
          <w:color w:val="auto"/>
        </w:rPr>
      </w:pPr>
      <w:r>
        <w:rPr>
          <w:rFonts w:ascii="Times New Roman" w:cs="Times New Roman" w:eastAsia="Times New Roman" w:hAnsi="Times New Roman"/>
          <w:sz w:val="17"/>
          <w:szCs w:val="17"/>
          <w:i w:val="1"/>
          <w:iCs w:val="1"/>
          <w:color w:val="auto"/>
        </w:rPr>
        <w:t>Calculation of bonuses</w:t>
      </w:r>
      <w:r>
        <w:rPr>
          <w:rFonts w:ascii="Times New Roman" w:cs="Times New Roman" w:eastAsia="Times New Roman" w:hAnsi="Times New Roman"/>
          <w:sz w:val="17"/>
          <w:szCs w:val="17"/>
          <w:color w:val="auto"/>
        </w:rPr>
        <w:t>. For each named executive officer on the Annual Cash Incentive Plan, the Compensation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Committee establishes a target bonus, which is stated as a percentage of the named executive officer’s base salary. For 2024, the bonus opportunity as a percentage of base salary for each of the named executive officers on the Annual Cash Incentive Plan was as follows:</w:t>
      </w:r>
    </w:p>
    <w:p>
      <w:pPr>
        <w:spacing w:after="0" w:line="77"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40" w:type="dxa"/>
            <w:vAlign w:val="bottom"/>
            <w:gridSpan w:val="5"/>
          </w:tcPr>
          <w:p>
            <w:pPr>
              <w:jc w:val="center"/>
              <w:ind w:left="701"/>
              <w:spacing w:after="0"/>
              <w:rPr>
                <w:sz w:val="20"/>
                <w:szCs w:val="20"/>
                <w:color w:val="auto"/>
              </w:rPr>
            </w:pPr>
            <w:r>
              <w:rPr>
                <w:rFonts w:ascii="Times New Roman" w:cs="Times New Roman" w:eastAsia="Times New Roman" w:hAnsi="Times New Roman"/>
                <w:sz w:val="13"/>
                <w:szCs w:val="13"/>
                <w:b w:val="1"/>
                <w:bCs w:val="1"/>
                <w:color w:val="auto"/>
              </w:rPr>
              <w:t>Bonus Opportunity as a</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3"/>
          </w:tcPr>
          <w:p>
            <w:pPr>
              <w:jc w:val="center"/>
              <w:ind w:right="300"/>
              <w:spacing w:after="0" w:line="139" w:lineRule="exact"/>
              <w:rPr>
                <w:sz w:val="20"/>
                <w:szCs w:val="20"/>
                <w:color w:val="auto"/>
              </w:rPr>
            </w:pPr>
            <w:r>
              <w:rPr>
                <w:rFonts w:ascii="Times New Roman" w:cs="Times New Roman" w:eastAsia="Times New Roman" w:hAnsi="Times New Roman"/>
                <w:sz w:val="13"/>
                <w:szCs w:val="13"/>
                <w:b w:val="1"/>
                <w:bCs w:val="1"/>
                <w:color w:val="auto"/>
              </w:rPr>
              <w:t>Percentage of</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574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r>
              <w:rPr>
                <w:rFonts w:ascii="Times New Roman" w:cs="Times New Roman" w:eastAsia="Times New Roman" w:hAnsi="Times New Roman"/>
                <w:sz w:val="20"/>
                <w:szCs w:val="20"/>
                <w:b w:val="1"/>
                <w:bCs w:val="1"/>
                <w:color w:val="auto"/>
                <w:vertAlign w:val="superscript"/>
              </w:rPr>
              <w:t>(1)</w:t>
            </w:r>
          </w:p>
        </w:tc>
        <w:tc>
          <w:tcPr>
            <w:tcW w:w="8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Base Salary</w:t>
            </w:r>
          </w:p>
        </w:tc>
        <w:tc>
          <w:tcPr>
            <w:tcW w:w="7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5740" w:type="dxa"/>
            <w:vAlign w:val="bottom"/>
            <w:gridSpan w:val="3"/>
            <w:vMerge w:val="continue"/>
          </w:tcPr>
          <w:p>
            <w:pPr>
              <w:spacing w:after="0"/>
              <w:rPr>
                <w:sz w:val="11"/>
                <w:szCs w:val="11"/>
                <w:color w:val="auto"/>
              </w:rPr>
            </w:pPr>
          </w:p>
        </w:tc>
        <w:tc>
          <w:tcPr>
            <w:tcW w:w="1080" w:type="dxa"/>
            <w:vAlign w:val="bottom"/>
            <w:gridSpan w:val="2"/>
          </w:tcPr>
          <w:p>
            <w:pPr>
              <w:jc w:val="right"/>
              <w:ind w:right="380"/>
              <w:spacing w:after="0" w:line="132" w:lineRule="exact"/>
              <w:rPr>
                <w:sz w:val="20"/>
                <w:szCs w:val="20"/>
                <w:color w:val="auto"/>
              </w:rPr>
            </w:pPr>
            <w:r>
              <w:rPr>
                <w:rFonts w:ascii="Times New Roman" w:cs="Times New Roman" w:eastAsia="Times New Roman" w:hAnsi="Times New Roman"/>
                <w:sz w:val="13"/>
                <w:szCs w:val="13"/>
                <w:b w:val="1"/>
                <w:bCs w:val="1"/>
                <w:color w:val="auto"/>
              </w:rPr>
              <w:t>Threshold</w:t>
            </w:r>
          </w:p>
        </w:tc>
        <w:tc>
          <w:tcPr>
            <w:tcW w:w="1160" w:type="dxa"/>
            <w:vAlign w:val="bottom"/>
            <w:gridSpan w:val="3"/>
          </w:tcPr>
          <w:p>
            <w:pPr>
              <w:jc w:val="center"/>
              <w:ind w:right="340"/>
              <w:spacing w:after="0" w:line="132" w:lineRule="exact"/>
              <w:rPr>
                <w:sz w:val="20"/>
                <w:szCs w:val="20"/>
                <w:color w:val="auto"/>
              </w:rPr>
            </w:pPr>
            <w:r>
              <w:rPr>
                <w:rFonts w:ascii="Times New Roman" w:cs="Times New Roman" w:eastAsia="Times New Roman" w:hAnsi="Times New Roman"/>
                <w:sz w:val="13"/>
                <w:szCs w:val="13"/>
                <w:b w:val="1"/>
                <w:bCs w:val="1"/>
                <w:color w:val="auto"/>
              </w:rPr>
              <w:t>Target</w:t>
            </w:r>
          </w:p>
        </w:tc>
        <w:tc>
          <w:tcPr>
            <w:tcW w:w="780" w:type="dxa"/>
            <w:vAlign w:val="bottom"/>
          </w:tcPr>
          <w:p>
            <w:pPr>
              <w:jc w:val="right"/>
              <w:ind w:right="59"/>
              <w:spacing w:after="0" w:line="132" w:lineRule="exact"/>
              <w:rPr>
                <w:sz w:val="20"/>
                <w:szCs w:val="20"/>
                <w:color w:val="auto"/>
              </w:rPr>
            </w:pPr>
            <w:r>
              <w:rPr>
                <w:rFonts w:ascii="Times New Roman" w:cs="Times New Roman" w:eastAsia="Times New Roman" w:hAnsi="Times New Roman"/>
                <w:sz w:val="13"/>
                <w:szCs w:val="13"/>
                <w:b w:val="1"/>
                <w:bCs w:val="1"/>
                <w:color w:val="auto"/>
              </w:rPr>
              <w:t>Maximum</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Brian E. Mueller</w:t>
            </w:r>
          </w:p>
        </w:tc>
        <w:tc>
          <w:tcPr>
            <w:tcW w:w="140" w:type="dxa"/>
            <w:vAlign w:val="bottom"/>
            <w:vMerge w:val="continue"/>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50.0%</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100.0%</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w:t>
            </w:r>
          </w:p>
        </w:tc>
        <w:tc>
          <w:tcPr>
            <w:tcW w:w="1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Dr. W. Stan Meyer</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37.5%</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75.0%</w:t>
            </w:r>
          </w:p>
        </w:tc>
        <w:tc>
          <w:tcPr>
            <w:tcW w:w="8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112.5 %</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Daniel E. Bachus</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37.5%</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75.0%</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112.5 %</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Dilek Marsh</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17.9%</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35.8%</w:t>
            </w:r>
          </w:p>
        </w:tc>
        <w:tc>
          <w:tcPr>
            <w:tcW w:w="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53.7 %</w:t>
            </w: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40" w:right="79" w:firstLine="606"/>
        <w:spacing w:after="0" w:line="270" w:lineRule="auto"/>
        <w:rPr>
          <w:sz w:val="20"/>
          <w:szCs w:val="20"/>
          <w:color w:val="auto"/>
        </w:rPr>
      </w:pPr>
      <w:r>
        <w:rPr>
          <w:rFonts w:ascii="Times New Roman" w:cs="Times New Roman" w:eastAsia="Times New Roman" w:hAnsi="Times New Roman"/>
          <w:sz w:val="16"/>
          <w:szCs w:val="16"/>
          <w:color w:val="auto"/>
        </w:rPr>
        <w:t>For these executive officers, the financial metrics account for 100% of the target bonus, with the revenue target and the Adjusted EBITDA target accounting for 50% each. The actual percentage is determined on the basis of the Company’s achievement of the revenue and Adjusted EBITDA targets that the Compensation Committee establishes for the applicable fiscal year. For participants to earn any payout under the plan, the Company must achieve at least the threshold targets established for both the revenue and Adjusted EBITDA goals. Assuming both of these thresholds are achieved, payouts are made based on the Company’s achievement of the revenue goal and Adjusted EBITDA goal, with achievement of both goals at the threshold level resulting in a bonus of 50% of the target bonus and achievement of both goals at the maximum level resulting in a bonus of 150% of the target bonus. Performance between threshold and maximum levels results in prorated payments using straight-line interpolation.</w:t>
      </w:r>
    </w:p>
    <w:p>
      <w:pPr>
        <w:spacing w:after="0" w:line="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Shown below is a summary of the matrix described above:</w:t>
      </w:r>
    </w:p>
    <w:p>
      <w:pPr>
        <w:spacing w:after="0" w:line="102"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9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Goal</w:t>
            </w: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Achievement of Financial</w:t>
            </w: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Achievement of Financial</w:t>
            </w:r>
          </w:p>
        </w:tc>
        <w:tc>
          <w:tcPr>
            <w:tcW w:w="1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Achievement of Financial</w:t>
            </w:r>
          </w:p>
        </w:tc>
        <w:tc>
          <w:tcPr>
            <w:tcW w:w="0" w:type="dxa"/>
            <w:vAlign w:val="bottom"/>
          </w:tcPr>
          <w:p>
            <w:pPr>
              <w:spacing w:after="0"/>
              <w:rPr>
                <w:sz w:val="1"/>
                <w:szCs w:val="1"/>
                <w:color w:val="auto"/>
              </w:rPr>
            </w:pPr>
          </w:p>
        </w:tc>
      </w:tr>
      <w:tr>
        <w:trPr>
          <w:trHeight w:val="163"/>
        </w:trPr>
        <w:tc>
          <w:tcPr>
            <w:tcW w:w="3940" w:type="dxa"/>
            <w:vAlign w:val="bottom"/>
            <w:gridSpan w:val="2"/>
            <w:vMerge w:val="continue"/>
          </w:tcPr>
          <w:p>
            <w:pPr>
              <w:spacing w:after="0"/>
              <w:rPr>
                <w:sz w:val="14"/>
                <w:szCs w:val="14"/>
                <w:color w:val="auto"/>
              </w:rPr>
            </w:pP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Metric at Threshold Level</w:t>
            </w: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Metric at Target Level</w:t>
            </w:r>
          </w:p>
        </w:tc>
        <w:tc>
          <w:tcPr>
            <w:tcW w:w="1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Metric at Maximum Level</w:t>
            </w:r>
          </w:p>
        </w:tc>
        <w:tc>
          <w:tcPr>
            <w:tcW w:w="0" w:type="dxa"/>
            <w:vAlign w:val="bottom"/>
          </w:tcPr>
          <w:p>
            <w:pPr>
              <w:spacing w:after="0"/>
              <w:rPr>
                <w:sz w:val="1"/>
                <w:szCs w:val="1"/>
                <w:color w:val="auto"/>
              </w:rPr>
            </w:pPr>
          </w:p>
        </w:tc>
      </w:tr>
      <w:tr>
        <w:trPr>
          <w:trHeight w:val="178"/>
        </w:trPr>
        <w:tc>
          <w:tcPr>
            <w:tcW w:w="37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jc w:val="center"/>
              <w:spacing w:after="0" w:line="178" w:lineRule="exact"/>
              <w:rPr>
                <w:sz w:val="20"/>
                <w:szCs w:val="20"/>
                <w:color w:val="auto"/>
              </w:rPr>
            </w:pPr>
            <w:r>
              <w:rPr>
                <w:rFonts w:ascii="Times New Roman" w:cs="Times New Roman" w:eastAsia="Times New Roman" w:hAnsi="Times New Roman"/>
                <w:sz w:val="17"/>
                <w:szCs w:val="17"/>
                <w:color w:val="auto"/>
                <w:w w:val="98"/>
              </w:rPr>
              <w:t>50% of target bonus</w:t>
            </w:r>
          </w:p>
        </w:tc>
        <w:tc>
          <w:tcPr>
            <w:tcW w:w="22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jc w:val="center"/>
              <w:spacing w:after="0" w:line="178" w:lineRule="exact"/>
              <w:rPr>
                <w:sz w:val="20"/>
                <w:szCs w:val="20"/>
                <w:color w:val="auto"/>
              </w:rPr>
            </w:pPr>
            <w:r>
              <w:rPr>
                <w:rFonts w:ascii="Times New Roman" w:cs="Times New Roman" w:eastAsia="Times New Roman" w:hAnsi="Times New Roman"/>
                <w:sz w:val="17"/>
                <w:szCs w:val="17"/>
                <w:color w:val="auto"/>
              </w:rPr>
              <w:t>100% of target bonus</w:t>
            </w:r>
          </w:p>
        </w:tc>
        <w:tc>
          <w:tcPr>
            <w:tcW w:w="220" w:type="dxa"/>
            <w:vAlign w:val="bottom"/>
            <w:tcBorders>
              <w:top w:val="single" w:sz="8" w:color="CCEEFF"/>
            </w:tcBorders>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jc w:val="center"/>
              <w:spacing w:after="0" w:line="178" w:lineRule="exact"/>
              <w:rPr>
                <w:sz w:val="20"/>
                <w:szCs w:val="20"/>
                <w:color w:val="auto"/>
              </w:rPr>
            </w:pPr>
            <w:r>
              <w:rPr>
                <w:rFonts w:ascii="Times New Roman" w:cs="Times New Roman" w:eastAsia="Times New Roman" w:hAnsi="Times New Roman"/>
                <w:sz w:val="17"/>
                <w:szCs w:val="17"/>
                <w:color w:val="auto"/>
                <w:w w:val="98"/>
              </w:rPr>
              <w:t>150% of target bonus</w:t>
            </w:r>
          </w:p>
        </w:tc>
        <w:tc>
          <w:tcPr>
            <w:tcW w:w="0" w:type="dxa"/>
            <w:vAlign w:val="bottom"/>
          </w:tcPr>
          <w:p>
            <w:pPr>
              <w:spacing w:after="0"/>
              <w:rPr>
                <w:sz w:val="1"/>
                <w:szCs w:val="1"/>
                <w:color w:val="auto"/>
              </w:rPr>
            </w:pPr>
          </w:p>
        </w:tc>
      </w:tr>
      <w:tr>
        <w:trPr>
          <w:trHeight w:val="219"/>
        </w:trPr>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 goal (50.0% of financial metric)</w:t>
            </w:r>
          </w:p>
        </w:tc>
        <w:tc>
          <w:tcPr>
            <w:tcW w:w="17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7"/>
                <w:szCs w:val="17"/>
                <w:color w:val="auto"/>
                <w:w w:val="98"/>
              </w:rPr>
              <w:t>attributable to goal</w:t>
            </w:r>
          </w:p>
        </w:tc>
        <w:tc>
          <w:tcPr>
            <w:tcW w:w="17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7"/>
                <w:szCs w:val="17"/>
                <w:color w:val="auto"/>
                <w:w w:val="98"/>
              </w:rPr>
              <w:t>attributable to goal</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attributable to goal</w:t>
            </w:r>
          </w:p>
        </w:tc>
        <w:tc>
          <w:tcPr>
            <w:tcW w:w="0" w:type="dxa"/>
            <w:vAlign w:val="bottom"/>
          </w:tcPr>
          <w:p>
            <w:pPr>
              <w:spacing w:after="0"/>
              <w:rPr>
                <w:sz w:val="1"/>
                <w:szCs w:val="1"/>
                <w:color w:val="auto"/>
              </w:rPr>
            </w:pPr>
          </w:p>
        </w:tc>
      </w:tr>
      <w:tr>
        <w:trPr>
          <w:trHeight w:val="186"/>
        </w:trPr>
        <w:tc>
          <w:tcPr>
            <w:tcW w:w="3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2"/>
          </w:tcPr>
          <w:p>
            <w:pPr>
              <w:jc w:val="center"/>
              <w:ind w:right="200"/>
              <w:spacing w:after="0" w:line="186" w:lineRule="exact"/>
              <w:rPr>
                <w:sz w:val="20"/>
                <w:szCs w:val="20"/>
                <w:color w:val="auto"/>
              </w:rPr>
            </w:pPr>
            <w:r>
              <w:rPr>
                <w:rFonts w:ascii="Times New Roman" w:cs="Times New Roman" w:eastAsia="Times New Roman" w:hAnsi="Times New Roman"/>
                <w:sz w:val="17"/>
                <w:szCs w:val="17"/>
                <w:color w:val="auto"/>
                <w:w w:val="98"/>
              </w:rPr>
              <w:t>50% of target bonus</w:t>
            </w:r>
          </w:p>
        </w:tc>
        <w:tc>
          <w:tcPr>
            <w:tcW w:w="1720" w:type="dxa"/>
            <w:vAlign w:val="bottom"/>
            <w:gridSpan w:val="2"/>
          </w:tcPr>
          <w:p>
            <w:pPr>
              <w:jc w:val="center"/>
              <w:ind w:right="220"/>
              <w:spacing w:after="0" w:line="186" w:lineRule="exact"/>
              <w:rPr>
                <w:sz w:val="20"/>
                <w:szCs w:val="20"/>
                <w:color w:val="auto"/>
              </w:rPr>
            </w:pPr>
            <w:r>
              <w:rPr>
                <w:rFonts w:ascii="Times New Roman" w:cs="Times New Roman" w:eastAsia="Times New Roman" w:hAnsi="Times New Roman"/>
                <w:sz w:val="17"/>
                <w:szCs w:val="17"/>
                <w:color w:val="auto"/>
              </w:rPr>
              <w:t>100% of target bonus</w:t>
            </w:r>
          </w:p>
        </w:tc>
        <w:tc>
          <w:tcPr>
            <w:tcW w:w="1540" w:type="dxa"/>
            <w:vAlign w:val="bottom"/>
          </w:tcPr>
          <w:p>
            <w:pPr>
              <w:jc w:val="center"/>
              <w:spacing w:after="0" w:line="186" w:lineRule="exact"/>
              <w:rPr>
                <w:sz w:val="20"/>
                <w:szCs w:val="20"/>
                <w:color w:val="auto"/>
              </w:rPr>
            </w:pPr>
            <w:r>
              <w:rPr>
                <w:rFonts w:ascii="Times New Roman" w:cs="Times New Roman" w:eastAsia="Times New Roman" w:hAnsi="Times New Roman"/>
                <w:sz w:val="17"/>
                <w:szCs w:val="17"/>
                <w:color w:val="auto"/>
                <w:w w:val="98"/>
              </w:rPr>
              <w:t>150% of target bonus</w:t>
            </w:r>
          </w:p>
        </w:tc>
        <w:tc>
          <w:tcPr>
            <w:tcW w:w="0" w:type="dxa"/>
            <w:vAlign w:val="bottom"/>
          </w:tcPr>
          <w:p>
            <w:pPr>
              <w:spacing w:after="0"/>
              <w:rPr>
                <w:sz w:val="1"/>
                <w:szCs w:val="1"/>
                <w:color w:val="auto"/>
              </w:rPr>
            </w:pPr>
          </w:p>
        </w:tc>
      </w:tr>
      <w:tr>
        <w:trPr>
          <w:trHeight w:val="218"/>
        </w:trPr>
        <w:tc>
          <w:tcPr>
            <w:tcW w:w="3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Adjusted EBITDA (50.0% of financial metric)</w:t>
            </w: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w w:val="98"/>
              </w:rPr>
              <w:t>attributable to goal</w:t>
            </w: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w w:val="98"/>
              </w:rPr>
              <w:t>attributable to goal</w:t>
            </w:r>
          </w:p>
        </w:tc>
        <w:tc>
          <w:tcPr>
            <w:tcW w:w="15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attributable to goal</w:t>
            </w:r>
          </w:p>
        </w:tc>
        <w:tc>
          <w:tcPr>
            <w:tcW w:w="0" w:type="dxa"/>
            <w:vAlign w:val="bottom"/>
          </w:tcPr>
          <w:p>
            <w:pPr>
              <w:spacing w:after="0"/>
              <w:rPr>
                <w:sz w:val="1"/>
                <w:szCs w:val="1"/>
                <w:color w:val="auto"/>
              </w:rPr>
            </w:pPr>
          </w:p>
        </w:tc>
      </w:tr>
      <w:tr>
        <w:trPr>
          <w:trHeight w:val="202"/>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Bonus payout as a % of target bonus</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50%</w:t>
            </w: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5"/>
              </w:rPr>
              <w:t>100%</w:t>
            </w: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150%</w:t>
            </w: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Under the Annual Cash Incentive Plan, the actual bonus that a named executive officer could earn for a given fiscal year</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ranges from 0% to a maximum of 150% of his or her annual target bonus. To illustrate how the plan functions, assume that a named</w:t>
      </w:r>
    </w:p>
    <w:p>
      <w:pPr>
        <w:spacing w:after="0" w:line="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executive officer’s base salary for 2024 is $300,000 and that the target bonus is 50% of base salary. Of this target bonus of</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$150,000, $75,000 (or 50%) would be paid based upon the Company’s achievement of the revenue target and $75,000 (or 50%)</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would be paid based on the Company’s achievement of the Adjusted EBITDA target. If the revenue target is achieved at the</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threshold level (so only 50% of the revenue component of the bonus is payable at that level) and the Adjusted EBITDA target is</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achieved at the target level (so that 100% of the Adjusted EBITDA component of the bonus is payable at that level) the participant</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would be entitled to a potential bonus of $112,500, calculated as $37,500 (50% of the revenue component) plus $75,000 (100% of</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Adjusted EBITDA component).</w:t>
      </w:r>
    </w:p>
    <w:p>
      <w:pPr>
        <w:spacing w:after="0" w:line="92" w:lineRule="exact"/>
        <w:rPr>
          <w:sz w:val="20"/>
          <w:szCs w:val="20"/>
          <w:color w:val="auto"/>
        </w:rPr>
      </w:pPr>
    </w:p>
    <w:p>
      <w:pPr>
        <w:ind w:left="40" w:right="99" w:firstLine="606"/>
        <w:spacing w:after="0" w:line="253" w:lineRule="auto"/>
        <w:rPr>
          <w:sz w:val="20"/>
          <w:szCs w:val="20"/>
          <w:color w:val="auto"/>
        </w:rPr>
      </w:pPr>
      <w:r>
        <w:rPr>
          <w:rFonts w:ascii="Times New Roman" w:cs="Times New Roman" w:eastAsia="Times New Roman" w:hAnsi="Times New Roman"/>
          <w:sz w:val="17"/>
          <w:szCs w:val="17"/>
          <w:color w:val="auto"/>
        </w:rPr>
        <w:t>The plan for eligible senior management (the “Senior Management Plan”), in which Ms. Claypatch participated in 2024, 2023 and 2022, differs from the Annual Cash Incentive Plan in that it includes achievement of individual performance targets as a primary element of the bonus calculation, such that achievement of revenue and Adjusted EBITDA targets each account for 30% of target bonus opportunity and the achievement of individual performance targets accounts for 40% of target bonus opportunity. In addition, for eligible senior management participating in this plan, the bonus under the Senior Management Plan is calculated based on two six-month cycles, such that the</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335915</wp:posOffset>
            </wp:positionV>
            <wp:extent cx="5664835" cy="241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64835"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41" w:name="page42"/>
    <w:bookmarkEnd w:id="4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0" w:right="659"/>
        <w:spacing w:after="0" w:line="275" w:lineRule="auto"/>
        <w:rPr>
          <w:sz w:val="20"/>
          <w:szCs w:val="20"/>
          <w:color w:val="auto"/>
        </w:rPr>
      </w:pPr>
      <w:r>
        <w:rPr>
          <w:rFonts w:ascii="Times New Roman" w:cs="Times New Roman" w:eastAsia="Times New Roman" w:hAnsi="Times New Roman"/>
          <w:sz w:val="17"/>
          <w:szCs w:val="17"/>
          <w:color w:val="auto"/>
        </w:rPr>
        <w:t>determination of the bonus payable for each half of the applicable year is determined on the basis of the achievement of the revenue, Adjusted EBITDA and individual performance targets established for each such period.</w:t>
      </w:r>
    </w:p>
    <w:p>
      <w:pPr>
        <w:spacing w:after="0" w:line="53" w:lineRule="exact"/>
        <w:rPr>
          <w:sz w:val="20"/>
          <w:szCs w:val="20"/>
          <w:color w:val="auto"/>
        </w:rPr>
      </w:pPr>
    </w:p>
    <w:p>
      <w:pPr>
        <w:ind w:left="40" w:right="159" w:firstLine="606"/>
        <w:spacing w:after="0" w:line="269" w:lineRule="auto"/>
        <w:rPr>
          <w:sz w:val="20"/>
          <w:szCs w:val="20"/>
          <w:color w:val="auto"/>
        </w:rPr>
      </w:pPr>
      <w:r>
        <w:rPr>
          <w:rFonts w:ascii="Times New Roman" w:cs="Times New Roman" w:eastAsia="Times New Roman" w:hAnsi="Times New Roman"/>
          <w:sz w:val="16"/>
          <w:szCs w:val="16"/>
          <w:i w:val="1"/>
          <w:iCs w:val="1"/>
          <w:color w:val="auto"/>
        </w:rPr>
        <w:t>Changes to performance goals and target awards</w:t>
      </w:r>
      <w:r>
        <w:rPr>
          <w:rFonts w:ascii="Times New Roman" w:cs="Times New Roman" w:eastAsia="Times New Roman" w:hAnsi="Times New Roman"/>
          <w:sz w:val="16"/>
          <w:szCs w:val="16"/>
          <w:color w:val="auto"/>
        </w:rPr>
        <w:t>. In accordance with the terms of the Annual Cash Incentive Plan, at any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time prior to the final determination of bonuses earned, the Compensation Committee may adjust the performance goals and target awards to reflect a change in corporate capitalization (such as a stock split or stock dividend), or a corporate transaction (such as a merger, consolidation, separation, reorganization or partial or complete liquidation), or to reflect equitably the occurrence of any extraordinary event (including the financial impacts of a unique circumstance), any change in applicable accounting rules or principles, any change in the Company’s method of accounting, any change in applicable law, or any other change of a similar nature. In addition, under the Annual Cash Incentive Plan, the Compensation Committee may reduce (but not increase) the bonus amount for each named executive officer based on the committee’s determination of the participant’s achievement of personal and other performance goals established by the Compensation Committee and other factors as the committee determines.</w:t>
      </w:r>
    </w:p>
    <w:p>
      <w:pPr>
        <w:spacing w:after="0" w:line="65" w:lineRule="exact"/>
        <w:rPr>
          <w:sz w:val="20"/>
          <w:szCs w:val="20"/>
          <w:color w:val="auto"/>
        </w:rPr>
      </w:pPr>
    </w:p>
    <w:p>
      <w:pPr>
        <w:ind w:left="40" w:right="179" w:firstLine="606"/>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2024 financial goals. </w:t>
      </w:r>
      <w:r>
        <w:rPr>
          <w:rFonts w:ascii="Times New Roman" w:cs="Times New Roman" w:eastAsia="Times New Roman" w:hAnsi="Times New Roman"/>
          <w:sz w:val="17"/>
          <w:szCs w:val="17"/>
          <w:color w:val="auto"/>
        </w:rPr>
        <w:t>The following table shows the Company-wide financial goals established for the named executive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officers for 2024. These financial goals were selected based upon a combination of the Company’s internal budget and analyst estimates, which the Compensation Committee believes establishes an appropriate level at which to set goals in order to maximize the incentive for superior performance.</w:t>
      </w:r>
    </w:p>
    <w:p>
      <w:pPr>
        <w:spacing w:after="0" w:line="75" w:lineRule="exact"/>
        <w:rPr>
          <w:sz w:val="20"/>
          <w:szCs w:val="20"/>
          <w:color w:val="auto"/>
        </w:rPr>
      </w:pPr>
    </w:p>
    <w:tbl>
      <w:tblPr>
        <w:tblLayout w:type="fixed"/>
        <w:tblInd w:w="4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2760" w:type="dxa"/>
            <w:vAlign w:val="bottom"/>
            <w:tcBorders>
              <w:bottom w:val="single" w:sz="8" w:color="CCEEFF"/>
            </w:tcBorders>
          </w:tcPr>
          <w:p>
            <w:pPr>
              <w:spacing w:after="0"/>
              <w:rPr>
                <w:sz w:val="14"/>
                <w:szCs w:val="14"/>
                <w:color w:val="auto"/>
              </w:rPr>
            </w:pPr>
          </w:p>
        </w:tc>
        <w:tc>
          <w:tcPr>
            <w:tcW w:w="15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3"/>
                <w:szCs w:val="13"/>
                <w:b w:val="1"/>
                <w:bCs w:val="1"/>
                <w:color w:val="auto"/>
              </w:rPr>
              <w:t>Threshold</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3"/>
                <w:szCs w:val="13"/>
                <w:b w:val="1"/>
                <w:bCs w:val="1"/>
                <w:color w:val="auto"/>
              </w:rPr>
              <w:t>Target</w:t>
            </w:r>
          </w:p>
        </w:tc>
        <w:tc>
          <w:tcPr>
            <w:tcW w:w="2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3"/>
                <w:szCs w:val="13"/>
                <w:b w:val="1"/>
                <w:bCs w:val="1"/>
                <w:color w:val="auto"/>
              </w:rPr>
              <w:t>Maximum</w:t>
            </w:r>
          </w:p>
        </w:tc>
      </w:tr>
      <w:tr>
        <w:trPr>
          <w:trHeight w:val="195"/>
        </w:trPr>
        <w:tc>
          <w:tcPr>
            <w:tcW w:w="20" w:type="dxa"/>
            <w:vAlign w:val="bottom"/>
          </w:tcPr>
          <w:p>
            <w:pPr>
              <w:spacing w:after="0"/>
              <w:rPr>
                <w:sz w:val="16"/>
                <w:szCs w:val="16"/>
                <w:color w:val="auto"/>
              </w:rPr>
            </w:pPr>
          </w:p>
        </w:tc>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tc>
        <w:tc>
          <w:tcPr>
            <w:tcW w:w="15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1,015,000,000</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1,023,000,000</w:t>
            </w: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1,031,000,000</w:t>
            </w:r>
          </w:p>
        </w:tc>
      </w:tr>
      <w:tr>
        <w:trPr>
          <w:trHeight w:val="222"/>
        </w:trPr>
        <w:tc>
          <w:tcPr>
            <w:tcW w:w="20" w:type="dxa"/>
            <w:vAlign w:val="bottom"/>
          </w:tcPr>
          <w:p>
            <w:pPr>
              <w:spacing w:after="0"/>
              <w:rPr>
                <w:sz w:val="19"/>
                <w:szCs w:val="19"/>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Adjusted EBITDA</w:t>
            </w:r>
          </w:p>
        </w:tc>
        <w:tc>
          <w:tcPr>
            <w:tcW w:w="1740" w:type="dxa"/>
            <w:vAlign w:val="bottom"/>
            <w:gridSpan w:val="2"/>
          </w:tcPr>
          <w:p>
            <w:pPr>
              <w:jc w:val="right"/>
              <w:ind w:right="76"/>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314,755,000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322,755,000</w:t>
            </w:r>
          </w:p>
        </w:tc>
        <w:tc>
          <w:tcPr>
            <w:tcW w:w="500" w:type="dxa"/>
            <w:vAlign w:val="bottom"/>
            <w:gridSpan w:val="2"/>
          </w:tcPr>
          <w:p>
            <w:pPr>
              <w:jc w:val="right"/>
              <w:ind w:right="96"/>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330,755,000</w:t>
            </w:r>
          </w:p>
        </w:tc>
      </w:tr>
    </w:tbl>
    <w:p>
      <w:pPr>
        <w:spacing w:after="0" w:line="61" w:lineRule="exact"/>
        <w:rPr>
          <w:sz w:val="20"/>
          <w:szCs w:val="20"/>
          <w:color w:val="auto"/>
        </w:rPr>
      </w:pPr>
    </w:p>
    <w:p>
      <w:pPr>
        <w:ind w:left="40" w:right="159" w:firstLine="606"/>
        <w:spacing w:after="0" w:line="250" w:lineRule="auto"/>
        <w:rPr>
          <w:sz w:val="20"/>
          <w:szCs w:val="20"/>
          <w:color w:val="auto"/>
        </w:rPr>
      </w:pPr>
      <w:r>
        <w:rPr>
          <w:rFonts w:ascii="Times New Roman" w:cs="Times New Roman" w:eastAsia="Times New Roman" w:hAnsi="Times New Roman"/>
          <w:sz w:val="17"/>
          <w:szCs w:val="17"/>
          <w:i w:val="1"/>
          <w:iCs w:val="1"/>
          <w:color w:val="auto"/>
        </w:rPr>
        <w:t>Actual performance vs. compensation paid for 2024</w:t>
      </w:r>
      <w:r>
        <w:rPr>
          <w:rFonts w:ascii="Times New Roman" w:cs="Times New Roman" w:eastAsia="Times New Roman" w:hAnsi="Times New Roman"/>
          <w:sz w:val="17"/>
          <w:szCs w:val="17"/>
          <w:color w:val="auto"/>
        </w:rPr>
        <w:t>. For 2024, the Company achieved revenue of $1,033.0 million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Adjusted EBITDA of $340.0 million, both of which exceeded the maximum level of achievement, resulting in performance payout percentages for our named executive officers under the Annual Cash Incentive Plan equal to 150.0% for the revenue component of the incentive bonus and 150.0% for the Adjusted EBITDA component of the incentive target bonus. In reviewing these results, however, our named executive officers noted to the Compensation Committee the fact that the Company had over-achieved its financial metrics during the first half of 2024 and under-achieved them for the second half of 2024. Combined, overall Company performance was sufficient for the named executive officers to achieve their maximum bonus opportunity under the Annual Cash Incentive Plan. For those other members of senior management participating in the Senior Management Plan (including Ms. Claypatch), however, where performance is measured in two six-month performance periods rather than over one annual period, the bifurcated 2024 performance meant that Senior Management Plan participants achieved a maximum bonus for the first half of 2024 but a second half 2024 bonus at a lower percentage, resulting in an overall percentage payout under that plan of 145.7%. Based on this outcome, and the named executive officers’ belief that they should not benefit relative to the Senior Management Plan participants solely due to the payout structure, the named executive officers declined the maximum bonus for 2024 and elected to be paid amounts equal to the payout percentage calculated under the Senior Management Plan bonus structure for 2024, which was 145.7%.</w:t>
      </w:r>
    </w:p>
    <w:p>
      <w:pPr>
        <w:spacing w:after="0" w:line="90"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jc w:val="center"/>
              <w:ind w:right="156"/>
              <w:spacing w:after="0"/>
              <w:rPr>
                <w:sz w:val="20"/>
                <w:szCs w:val="20"/>
                <w:color w:val="auto"/>
              </w:rPr>
            </w:pPr>
            <w:r>
              <w:rPr>
                <w:rFonts w:ascii="Times New Roman" w:cs="Times New Roman" w:eastAsia="Times New Roman" w:hAnsi="Times New Roman"/>
                <w:sz w:val="13"/>
                <w:szCs w:val="13"/>
                <w:b w:val="1"/>
                <w:bCs w:val="1"/>
                <w:color w:val="auto"/>
              </w:rPr>
              <w:t>Adjusted</w:t>
            </w:r>
          </w:p>
        </w:tc>
        <w:tc>
          <w:tcPr>
            <w:tcW w:w="1140" w:type="dxa"/>
            <w:vAlign w:val="bottom"/>
            <w:gridSpan w:val="2"/>
            <w:vMerge w:val="restart"/>
          </w:tcPr>
          <w:p>
            <w:pPr>
              <w:jc w:val="center"/>
              <w:ind w:right="156"/>
              <w:spacing w:after="0"/>
              <w:rPr>
                <w:sz w:val="20"/>
                <w:szCs w:val="20"/>
                <w:color w:val="auto"/>
              </w:rPr>
            </w:pPr>
            <w:r>
              <w:rPr>
                <w:rFonts w:ascii="Times New Roman" w:cs="Times New Roman" w:eastAsia="Times New Roman" w:hAnsi="Times New Roman"/>
                <w:sz w:val="13"/>
                <w:szCs w:val="13"/>
                <w:b w:val="1"/>
                <w:bCs w:val="1"/>
                <w:color w:val="auto"/>
              </w:rPr>
              <w:t>2024 Bonus as</w:t>
            </w:r>
          </w:p>
        </w:tc>
        <w:tc>
          <w:tcPr>
            <w:tcW w:w="1040" w:type="dxa"/>
            <w:vAlign w:val="bottom"/>
            <w:gridSpan w:val="2"/>
          </w:tcPr>
          <w:p>
            <w:pPr>
              <w:jc w:val="center"/>
              <w:ind w:right="96"/>
              <w:spacing w:after="0"/>
              <w:rPr>
                <w:sz w:val="20"/>
                <w:szCs w:val="20"/>
                <w:color w:val="auto"/>
              </w:rPr>
            </w:pPr>
            <w:r>
              <w:rPr>
                <w:rFonts w:ascii="Times New Roman" w:cs="Times New Roman" w:eastAsia="Times New Roman" w:hAnsi="Times New Roman"/>
                <w:sz w:val="13"/>
                <w:szCs w:val="13"/>
                <w:b w:val="1"/>
                <w:bCs w:val="1"/>
                <w:color w:val="auto"/>
              </w:rPr>
              <w:t>2024 Bonus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restart"/>
          </w:tcPr>
          <w:p>
            <w:pPr>
              <w:jc w:val="center"/>
              <w:ind w:right="156"/>
              <w:spacing w:after="0"/>
              <w:rPr>
                <w:sz w:val="20"/>
                <w:szCs w:val="20"/>
                <w:color w:val="auto"/>
              </w:rPr>
            </w:pPr>
            <w:r>
              <w:rPr>
                <w:rFonts w:ascii="Times New Roman" w:cs="Times New Roman" w:eastAsia="Times New Roman" w:hAnsi="Times New Roman"/>
                <w:sz w:val="13"/>
                <w:szCs w:val="13"/>
                <w:b w:val="1"/>
                <w:bCs w:val="1"/>
                <w:color w:val="auto"/>
              </w:rPr>
              <w:t>Revenue</w:t>
            </w:r>
          </w:p>
        </w:tc>
        <w:tc>
          <w:tcPr>
            <w:tcW w:w="112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40" w:type="dxa"/>
            <w:vAlign w:val="bottom"/>
            <w:gridSpan w:val="2"/>
          </w:tcPr>
          <w:p>
            <w:pPr>
              <w:jc w:val="center"/>
              <w:ind w:right="116"/>
              <w:spacing w:after="0" w:line="139" w:lineRule="exact"/>
              <w:rPr>
                <w:sz w:val="20"/>
                <w:szCs w:val="20"/>
                <w:color w:val="auto"/>
              </w:rPr>
            </w:pPr>
            <w:r>
              <w:rPr>
                <w:rFonts w:ascii="Times New Roman" w:cs="Times New Roman" w:eastAsia="Times New Roman" w:hAnsi="Times New Roman"/>
                <w:sz w:val="13"/>
                <w:szCs w:val="13"/>
                <w:b w:val="1"/>
                <w:bCs w:val="1"/>
                <w:color w:val="auto"/>
              </w:rPr>
              <w:t>as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20" w:type="dxa"/>
            <w:vAlign w:val="bottom"/>
            <w:gridSpan w:val="2"/>
          </w:tcPr>
          <w:p>
            <w:pPr>
              <w:jc w:val="center"/>
              <w:ind w:right="156"/>
              <w:spacing w:after="0" w:line="139" w:lineRule="exact"/>
              <w:rPr>
                <w:sz w:val="20"/>
                <w:szCs w:val="20"/>
                <w:color w:val="auto"/>
              </w:rPr>
            </w:pPr>
            <w:r>
              <w:rPr>
                <w:rFonts w:ascii="Times New Roman" w:cs="Times New Roman" w:eastAsia="Times New Roman" w:hAnsi="Times New Roman"/>
                <w:sz w:val="13"/>
                <w:szCs w:val="13"/>
                <w:b w:val="1"/>
                <w:bCs w:val="1"/>
                <w:color w:val="auto"/>
              </w:rPr>
              <w:t>EBITDA</w:t>
            </w:r>
          </w:p>
        </w:tc>
        <w:tc>
          <w:tcPr>
            <w:tcW w:w="1140" w:type="dxa"/>
            <w:vAlign w:val="bottom"/>
            <w:gridSpan w:val="2"/>
          </w:tcPr>
          <w:p>
            <w:pPr>
              <w:jc w:val="center"/>
              <w:ind w:right="156"/>
              <w:spacing w:after="0" w:line="139" w:lineRule="exact"/>
              <w:rPr>
                <w:sz w:val="20"/>
                <w:szCs w:val="20"/>
                <w:color w:val="auto"/>
              </w:rPr>
            </w:pPr>
            <w:r>
              <w:rPr>
                <w:rFonts w:ascii="Times New Roman" w:cs="Times New Roman" w:eastAsia="Times New Roman" w:hAnsi="Times New Roman"/>
                <w:sz w:val="13"/>
                <w:szCs w:val="13"/>
                <w:b w:val="1"/>
                <w:bCs w:val="1"/>
                <w:color w:val="auto"/>
              </w:rPr>
              <w:t>Percentage of</w:t>
            </w:r>
          </w:p>
        </w:tc>
        <w:tc>
          <w:tcPr>
            <w:tcW w:w="1040" w:type="dxa"/>
            <w:vAlign w:val="bottom"/>
            <w:gridSpan w:val="2"/>
          </w:tcPr>
          <w:p>
            <w:pPr>
              <w:jc w:val="center"/>
              <w:ind w:right="116"/>
              <w:spacing w:after="0" w:line="139"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restart"/>
          </w:tcPr>
          <w:p>
            <w:pPr>
              <w:jc w:val="right"/>
              <w:ind w:right="281"/>
              <w:spacing w:after="0"/>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139"/>
        </w:trPr>
        <w:tc>
          <w:tcPr>
            <w:tcW w:w="350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100" w:type="dxa"/>
            <w:vAlign w:val="bottom"/>
            <w:gridSpan w:val="2"/>
          </w:tcPr>
          <w:p>
            <w:pPr>
              <w:jc w:val="center"/>
              <w:ind w:right="156"/>
              <w:spacing w:after="0" w:line="139" w:lineRule="exact"/>
              <w:rPr>
                <w:sz w:val="20"/>
                <w:szCs w:val="20"/>
                <w:color w:val="auto"/>
              </w:rPr>
            </w:pPr>
            <w:r>
              <w:rPr>
                <w:rFonts w:ascii="Times New Roman" w:cs="Times New Roman" w:eastAsia="Times New Roman" w:hAnsi="Times New Roman"/>
                <w:sz w:val="13"/>
                <w:szCs w:val="13"/>
                <w:b w:val="1"/>
                <w:bCs w:val="1"/>
                <w:color w:val="auto"/>
              </w:rPr>
              <w:t>Performance</w:t>
            </w:r>
          </w:p>
        </w:tc>
        <w:tc>
          <w:tcPr>
            <w:tcW w:w="1120" w:type="dxa"/>
            <w:vAlign w:val="bottom"/>
            <w:gridSpan w:val="2"/>
          </w:tcPr>
          <w:p>
            <w:pPr>
              <w:jc w:val="center"/>
              <w:ind w:right="176"/>
              <w:spacing w:after="0" w:line="139" w:lineRule="exact"/>
              <w:rPr>
                <w:sz w:val="20"/>
                <w:szCs w:val="20"/>
                <w:color w:val="auto"/>
              </w:rPr>
            </w:pPr>
            <w:r>
              <w:rPr>
                <w:rFonts w:ascii="Times New Roman" w:cs="Times New Roman" w:eastAsia="Times New Roman" w:hAnsi="Times New Roman"/>
                <w:sz w:val="13"/>
                <w:szCs w:val="13"/>
                <w:b w:val="1"/>
                <w:bCs w:val="1"/>
                <w:color w:val="auto"/>
              </w:rPr>
              <w:t>Performance</w:t>
            </w:r>
          </w:p>
        </w:tc>
        <w:tc>
          <w:tcPr>
            <w:tcW w:w="1140" w:type="dxa"/>
            <w:vAlign w:val="bottom"/>
            <w:gridSpan w:val="2"/>
          </w:tcPr>
          <w:p>
            <w:pPr>
              <w:jc w:val="center"/>
              <w:ind w:right="176"/>
              <w:spacing w:after="0" w:line="139" w:lineRule="exact"/>
              <w:rPr>
                <w:sz w:val="20"/>
                <w:szCs w:val="20"/>
                <w:color w:val="auto"/>
              </w:rPr>
            </w:pPr>
            <w:r>
              <w:rPr>
                <w:rFonts w:ascii="Times New Roman" w:cs="Times New Roman" w:eastAsia="Times New Roman" w:hAnsi="Times New Roman"/>
                <w:sz w:val="13"/>
                <w:szCs w:val="13"/>
                <w:b w:val="1"/>
                <w:bCs w:val="1"/>
                <w:color w:val="auto"/>
              </w:rPr>
              <w:t>Target Bonus</w:t>
            </w:r>
          </w:p>
        </w:tc>
        <w:tc>
          <w:tcPr>
            <w:tcW w:w="1040" w:type="dxa"/>
            <w:vAlign w:val="bottom"/>
            <w:gridSpan w:val="2"/>
          </w:tcPr>
          <w:p>
            <w:pPr>
              <w:jc w:val="center"/>
              <w:ind w:right="116"/>
              <w:spacing w:after="0" w:line="139" w:lineRule="exact"/>
              <w:rPr>
                <w:sz w:val="20"/>
                <w:szCs w:val="20"/>
                <w:color w:val="auto"/>
              </w:rPr>
            </w:pPr>
            <w:r>
              <w:rPr>
                <w:rFonts w:ascii="Times New Roman" w:cs="Times New Roman" w:eastAsia="Times New Roman" w:hAnsi="Times New Roman"/>
                <w:sz w:val="13"/>
                <w:szCs w:val="13"/>
                <w:b w:val="1"/>
                <w:bCs w:val="1"/>
                <w:color w:val="auto"/>
                <w:w w:val="99"/>
              </w:rPr>
              <w:t>of Base</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500" w:type="dxa"/>
            <w:vAlign w:val="bottom"/>
            <w:gridSpan w:val="3"/>
            <w:vMerge w:val="continue"/>
          </w:tcPr>
          <w:p>
            <w:pPr>
              <w:spacing w:after="0"/>
              <w:rPr>
                <w:sz w:val="14"/>
                <w:szCs w:val="14"/>
                <w:color w:val="auto"/>
              </w:rPr>
            </w:pPr>
          </w:p>
        </w:tc>
        <w:tc>
          <w:tcPr>
            <w:tcW w:w="1100" w:type="dxa"/>
            <w:vAlign w:val="bottom"/>
            <w:gridSpan w:val="2"/>
          </w:tcPr>
          <w:p>
            <w:pPr>
              <w:jc w:val="center"/>
              <w:ind w:right="116"/>
              <w:spacing w:after="0"/>
              <w:rPr>
                <w:sz w:val="20"/>
                <w:szCs w:val="20"/>
                <w:color w:val="auto"/>
              </w:rPr>
            </w:pPr>
            <w:r>
              <w:rPr>
                <w:rFonts w:ascii="Times New Roman" w:cs="Times New Roman" w:eastAsia="Times New Roman" w:hAnsi="Times New Roman"/>
                <w:sz w:val="13"/>
                <w:szCs w:val="13"/>
                <w:b w:val="1"/>
                <w:bCs w:val="1"/>
                <w:color w:val="auto"/>
              </w:rPr>
              <w:t>Payout (%)</w:t>
            </w:r>
          </w:p>
        </w:tc>
        <w:tc>
          <w:tcPr>
            <w:tcW w:w="1120" w:type="dxa"/>
            <w:vAlign w:val="bottom"/>
            <w:gridSpan w:val="2"/>
          </w:tcPr>
          <w:p>
            <w:pPr>
              <w:jc w:val="center"/>
              <w:ind w:right="176"/>
              <w:spacing w:after="0"/>
              <w:rPr>
                <w:sz w:val="20"/>
                <w:szCs w:val="20"/>
                <w:color w:val="auto"/>
              </w:rPr>
            </w:pPr>
            <w:r>
              <w:rPr>
                <w:rFonts w:ascii="Times New Roman" w:cs="Times New Roman" w:eastAsia="Times New Roman" w:hAnsi="Times New Roman"/>
                <w:sz w:val="13"/>
                <w:szCs w:val="13"/>
                <w:b w:val="1"/>
                <w:bCs w:val="1"/>
                <w:color w:val="auto"/>
              </w:rPr>
              <w:t>Payout (%)</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4"/>
                <w:szCs w:val="14"/>
                <w:color w:val="auto"/>
              </w:rPr>
            </w:pPr>
          </w:p>
        </w:tc>
        <w:tc>
          <w:tcPr>
            <w:tcW w:w="1040" w:type="dxa"/>
            <w:vAlign w:val="bottom"/>
            <w:gridSpan w:val="2"/>
          </w:tcPr>
          <w:p>
            <w:pPr>
              <w:jc w:val="center"/>
              <w:ind w:right="116"/>
              <w:spacing w:after="0"/>
              <w:rPr>
                <w:sz w:val="20"/>
                <w:szCs w:val="20"/>
                <w:color w:val="auto"/>
              </w:rPr>
            </w:pPr>
            <w:r>
              <w:rPr>
                <w:rFonts w:ascii="Times New Roman" w:cs="Times New Roman" w:eastAsia="Times New Roman" w:hAnsi="Times New Roman"/>
                <w:sz w:val="13"/>
                <w:szCs w:val="13"/>
                <w:b w:val="1"/>
                <w:bCs w:val="1"/>
                <w:color w:val="auto"/>
              </w:rPr>
              <w:t>Salary($)</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141"/>
              <w:spacing w:after="0"/>
              <w:rPr>
                <w:sz w:val="20"/>
                <w:szCs w:val="20"/>
                <w:color w:val="auto"/>
              </w:rPr>
            </w:pPr>
            <w:r>
              <w:rPr>
                <w:rFonts w:ascii="Times New Roman" w:cs="Times New Roman" w:eastAsia="Times New Roman" w:hAnsi="Times New Roman"/>
                <w:sz w:val="13"/>
                <w:szCs w:val="13"/>
                <w:b w:val="1"/>
                <w:bCs w:val="1"/>
                <w:color w:val="auto"/>
              </w:rPr>
              <w:t>Bonus ($)</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Brian E. Mueller</w:t>
            </w:r>
          </w:p>
        </w:tc>
        <w:tc>
          <w:tcPr>
            <w:tcW w:w="14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w:t>
            </w:r>
          </w:p>
        </w:tc>
        <w:tc>
          <w:tcPr>
            <w:tcW w:w="240" w:type="dxa"/>
            <w:vAlign w:val="bottom"/>
            <w:tcBorders>
              <w:top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8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w:t>
            </w:r>
          </w:p>
        </w:tc>
        <w:tc>
          <w:tcPr>
            <w:tcW w:w="240" w:type="dxa"/>
            <w:vAlign w:val="bottom"/>
            <w:tcBorders>
              <w:top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145.7</w:t>
            </w:r>
          </w:p>
        </w:tc>
        <w:tc>
          <w:tcPr>
            <w:tcW w:w="240" w:type="dxa"/>
            <w:vAlign w:val="bottom"/>
            <w:tcBorders>
              <w:top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8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145.7</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467,597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Dr. W. Stan Meyer</w:t>
            </w:r>
          </w:p>
        </w:tc>
        <w:tc>
          <w:tcPr>
            <w:tcW w:w="1100" w:type="dxa"/>
            <w:vAlign w:val="bottom"/>
            <w:gridSpan w:val="2"/>
          </w:tcPr>
          <w:p>
            <w:pPr>
              <w:jc w:val="right"/>
              <w:ind w:right="16"/>
              <w:spacing w:after="0"/>
              <w:rPr>
                <w:sz w:val="20"/>
                <w:szCs w:val="20"/>
                <w:color w:val="auto"/>
              </w:rPr>
            </w:pPr>
            <w:r>
              <w:rPr>
                <w:rFonts w:ascii="Times New Roman" w:cs="Times New Roman" w:eastAsia="Times New Roman" w:hAnsi="Times New Roman"/>
                <w:sz w:val="17"/>
                <w:szCs w:val="17"/>
                <w:color w:val="auto"/>
              </w:rPr>
              <w:t>150.0 %</w:t>
            </w:r>
          </w:p>
        </w:tc>
        <w:tc>
          <w:tcPr>
            <w:tcW w:w="1120" w:type="dxa"/>
            <w:vAlign w:val="bottom"/>
            <w:gridSpan w:val="2"/>
          </w:tcPr>
          <w:p>
            <w:pPr>
              <w:jc w:val="right"/>
              <w:ind w:right="36"/>
              <w:spacing w:after="0"/>
              <w:rPr>
                <w:sz w:val="20"/>
                <w:szCs w:val="20"/>
                <w:color w:val="auto"/>
              </w:rPr>
            </w:pPr>
            <w:r>
              <w:rPr>
                <w:rFonts w:ascii="Times New Roman" w:cs="Times New Roman" w:eastAsia="Times New Roman" w:hAnsi="Times New Roman"/>
                <w:sz w:val="17"/>
                <w:szCs w:val="17"/>
                <w:color w:val="auto"/>
              </w:rPr>
              <w:t>150.0 %</w:t>
            </w:r>
          </w:p>
        </w:tc>
        <w:tc>
          <w:tcPr>
            <w:tcW w:w="1140" w:type="dxa"/>
            <w:vAlign w:val="bottom"/>
            <w:gridSpan w:val="2"/>
          </w:tcPr>
          <w:p>
            <w:pPr>
              <w:jc w:val="right"/>
              <w:ind w:right="16"/>
              <w:spacing w:after="0"/>
              <w:rPr>
                <w:sz w:val="20"/>
                <w:szCs w:val="20"/>
                <w:color w:val="auto"/>
              </w:rPr>
            </w:pPr>
            <w:r>
              <w:rPr>
                <w:rFonts w:ascii="Times New Roman" w:cs="Times New Roman" w:eastAsia="Times New Roman" w:hAnsi="Times New Roman"/>
                <w:sz w:val="17"/>
                <w:szCs w:val="17"/>
                <w:color w:val="auto"/>
              </w:rPr>
              <w:t>145.7 %</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109.3 %</w:t>
            </w:r>
          </w:p>
        </w:tc>
        <w:tc>
          <w:tcPr>
            <w:tcW w:w="200" w:type="dxa"/>
            <w:vAlign w:val="bottom"/>
            <w:gridSpan w:val="2"/>
          </w:tcPr>
          <w:p>
            <w:pPr>
              <w:jc w:val="right"/>
              <w:ind w:right="27"/>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426,081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Daniel E. Bachus</w:t>
            </w:r>
          </w:p>
        </w:tc>
        <w:tc>
          <w:tcPr>
            <w:tcW w:w="11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150.0 %</w:t>
            </w:r>
          </w:p>
        </w:tc>
        <w:tc>
          <w:tcPr>
            <w:tcW w:w="11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150.0 %</w:t>
            </w:r>
          </w:p>
        </w:tc>
        <w:tc>
          <w:tcPr>
            <w:tcW w:w="114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145.7 %</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109.3 %</w:t>
            </w:r>
          </w:p>
        </w:tc>
        <w:tc>
          <w:tcPr>
            <w:tcW w:w="200" w:type="dxa"/>
            <w:vAlign w:val="bottom"/>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426,081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Dilek Marsh</w:t>
            </w:r>
          </w:p>
        </w:tc>
        <w:tc>
          <w:tcPr>
            <w:tcW w:w="1100" w:type="dxa"/>
            <w:vAlign w:val="bottom"/>
            <w:gridSpan w:val="2"/>
          </w:tcPr>
          <w:p>
            <w:pPr>
              <w:jc w:val="right"/>
              <w:ind w:right="16"/>
              <w:spacing w:after="0"/>
              <w:rPr>
                <w:sz w:val="20"/>
                <w:szCs w:val="20"/>
                <w:color w:val="auto"/>
              </w:rPr>
            </w:pPr>
            <w:r>
              <w:rPr>
                <w:rFonts w:ascii="Times New Roman" w:cs="Times New Roman" w:eastAsia="Times New Roman" w:hAnsi="Times New Roman"/>
                <w:sz w:val="17"/>
                <w:szCs w:val="17"/>
                <w:color w:val="auto"/>
              </w:rPr>
              <w:t>150.0 %</w:t>
            </w:r>
          </w:p>
        </w:tc>
        <w:tc>
          <w:tcPr>
            <w:tcW w:w="1120" w:type="dxa"/>
            <w:vAlign w:val="bottom"/>
            <w:gridSpan w:val="2"/>
          </w:tcPr>
          <w:p>
            <w:pPr>
              <w:jc w:val="right"/>
              <w:ind w:right="36"/>
              <w:spacing w:after="0"/>
              <w:rPr>
                <w:sz w:val="20"/>
                <w:szCs w:val="20"/>
                <w:color w:val="auto"/>
              </w:rPr>
            </w:pPr>
            <w:r>
              <w:rPr>
                <w:rFonts w:ascii="Times New Roman" w:cs="Times New Roman" w:eastAsia="Times New Roman" w:hAnsi="Times New Roman"/>
                <w:sz w:val="17"/>
                <w:szCs w:val="17"/>
                <w:color w:val="auto"/>
              </w:rPr>
              <w:t>150.0 %</w:t>
            </w:r>
          </w:p>
        </w:tc>
        <w:tc>
          <w:tcPr>
            <w:tcW w:w="1140" w:type="dxa"/>
            <w:vAlign w:val="bottom"/>
            <w:gridSpan w:val="2"/>
          </w:tcPr>
          <w:p>
            <w:pPr>
              <w:jc w:val="right"/>
              <w:ind w:right="16"/>
              <w:spacing w:after="0"/>
              <w:rPr>
                <w:sz w:val="20"/>
                <w:szCs w:val="20"/>
                <w:color w:val="auto"/>
              </w:rPr>
            </w:pPr>
            <w:r>
              <w:rPr>
                <w:rFonts w:ascii="Times New Roman" w:cs="Times New Roman" w:eastAsia="Times New Roman" w:hAnsi="Times New Roman"/>
                <w:sz w:val="17"/>
                <w:szCs w:val="17"/>
                <w:color w:val="auto"/>
              </w:rPr>
              <w:t>145.7 %</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49.6 %</w:t>
            </w:r>
          </w:p>
        </w:tc>
        <w:tc>
          <w:tcPr>
            <w:tcW w:w="200" w:type="dxa"/>
            <w:vAlign w:val="bottom"/>
            <w:gridSpan w:val="2"/>
          </w:tcPr>
          <w:p>
            <w:pPr>
              <w:jc w:val="right"/>
              <w:ind w:right="27"/>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160,236</w:t>
            </w: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40" w:right="319" w:firstLine="606"/>
        <w:spacing w:after="0" w:line="264" w:lineRule="auto"/>
        <w:rPr>
          <w:sz w:val="20"/>
          <w:szCs w:val="20"/>
          <w:color w:val="auto"/>
        </w:rPr>
      </w:pPr>
      <w:r>
        <w:rPr>
          <w:rFonts w:ascii="Times New Roman" w:cs="Times New Roman" w:eastAsia="Times New Roman" w:hAnsi="Times New Roman"/>
          <w:sz w:val="17"/>
          <w:szCs w:val="17"/>
          <w:i w:val="1"/>
          <w:iCs w:val="1"/>
          <w:color w:val="auto"/>
        </w:rPr>
        <w:t>2024 individual goals</w:t>
      </w:r>
      <w:r>
        <w:rPr>
          <w:rFonts w:ascii="Times New Roman" w:cs="Times New Roman" w:eastAsia="Times New Roman" w:hAnsi="Times New Roman"/>
          <w:sz w:val="17"/>
          <w:szCs w:val="17"/>
          <w:color w:val="auto"/>
        </w:rPr>
        <w:t>. The individual performance goals applicable to the named executive officers in 2024 focused 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each executive’s achievement of one or more objectives that related to their specific duties and responsibilities on behalf of the Company. These individual goals included:</w:t>
      </w:r>
    </w:p>
    <w:p>
      <w:pPr>
        <w:spacing w:after="0" w:line="67" w:lineRule="exact"/>
        <w:rPr>
          <w:sz w:val="20"/>
          <w:szCs w:val="20"/>
          <w:color w:val="auto"/>
        </w:rPr>
      </w:pPr>
    </w:p>
    <w:p>
      <w:pPr>
        <w:ind w:left="980" w:hanging="303"/>
        <w:spacing w:after="0"/>
        <w:tabs>
          <w:tab w:leader="none" w:pos="98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Dr. Meyer and Mr. Bachus, collectively: to manage their individual departments within budget.</w:t>
      </w:r>
    </w:p>
    <w:p>
      <w:pPr>
        <w:spacing w:after="0" w:line="107" w:lineRule="exact"/>
        <w:rPr>
          <w:rFonts w:ascii="Times New Roman" w:cs="Times New Roman" w:eastAsia="Times New Roman" w:hAnsi="Times New Roman"/>
          <w:sz w:val="17"/>
          <w:szCs w:val="17"/>
          <w:color w:val="auto"/>
        </w:rPr>
      </w:pPr>
    </w:p>
    <w:p>
      <w:pPr>
        <w:ind w:left="980" w:right="239" w:hanging="303"/>
        <w:spacing w:after="0" w:line="262" w:lineRule="auto"/>
        <w:tabs>
          <w:tab w:leader="none" w:pos="98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Mr. Mueller, Dr. Meyer and Mr. Bachus, collectively: to work on key strategic initiatives for the Company including the future growth of the hybrid healthcare partnerships with new and existing university partners and new off-campus classroom and laboratory sites, continue to achieve growth goals</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335915</wp:posOffset>
            </wp:positionV>
            <wp:extent cx="5664835" cy="241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64835" cy="24130"/>
                    </a:xfrm>
                    <a:prstGeom prst="rect">
                      <a:avLst/>
                    </a:prstGeom>
                    <a:noFill/>
                  </pic:spPr>
                </pic:pic>
              </a:graphicData>
            </a:graphic>
          </wp:anchor>
        </w:drawing>
      </w:r>
    </w:p>
    <w:p>
      <w:pPr>
        <w:sectPr>
          <w:pgSz w:w="11900" w:h="16838" w:orient="portrait"/>
          <w:cols w:equalWidth="0" w:num="1">
            <w:col w:w="9019"/>
          </w:cols>
          <w:pgMar w:left="1440" w:top="490" w:right="1440" w:bottom="1440" w:gutter="0" w:footer="0" w:header="0"/>
        </w:sectPr>
      </w:pPr>
    </w:p>
    <w:bookmarkStart w:id="42" w:name="page43"/>
    <w:bookmarkEnd w:id="4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980" w:right="519"/>
        <w:spacing w:after="0" w:line="275" w:lineRule="auto"/>
        <w:rPr>
          <w:sz w:val="20"/>
          <w:szCs w:val="20"/>
          <w:color w:val="auto"/>
        </w:rPr>
      </w:pPr>
      <w:r>
        <w:rPr>
          <w:rFonts w:ascii="Times New Roman" w:cs="Times New Roman" w:eastAsia="Times New Roman" w:hAnsi="Times New Roman"/>
          <w:sz w:val="17"/>
          <w:szCs w:val="17"/>
          <w:color w:val="auto"/>
        </w:rPr>
        <w:t>set by our most significant partner and participate in a specified number of investor conferences and/or investor meetings.</w:t>
      </w:r>
    </w:p>
    <w:p>
      <w:pPr>
        <w:spacing w:after="0" w:line="57" w:lineRule="exact"/>
        <w:rPr>
          <w:sz w:val="20"/>
          <w:szCs w:val="20"/>
          <w:color w:val="auto"/>
        </w:rPr>
      </w:pPr>
    </w:p>
    <w:p>
      <w:pPr>
        <w:jc w:val="both"/>
        <w:ind w:left="980" w:right="119" w:hanging="303"/>
        <w:spacing w:after="0" w:line="308" w:lineRule="auto"/>
        <w:tabs>
          <w:tab w:leader="none" w:pos="98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Mr. Mueller, Dr. Meyer and Mr. Bachus: to lead the Company’s corporate responsibility initiatives, including its efforts in expanding its environmental awareness, social responsibility and human capital, and governance initiatives.</w:t>
      </w:r>
    </w:p>
    <w:p>
      <w:pPr>
        <w:spacing w:after="0" w:line="33" w:lineRule="exact"/>
        <w:rPr>
          <w:rFonts w:ascii="Times New Roman" w:cs="Times New Roman" w:eastAsia="Times New Roman" w:hAnsi="Times New Roman"/>
          <w:sz w:val="16"/>
          <w:szCs w:val="16"/>
          <w:color w:val="auto"/>
        </w:rPr>
      </w:pPr>
    </w:p>
    <w:p>
      <w:pPr>
        <w:ind w:left="980" w:right="159" w:hanging="303"/>
        <w:spacing w:after="0" w:line="275" w:lineRule="auto"/>
        <w:tabs>
          <w:tab w:leader="none" w:pos="98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Dr. Meyer: to demonstrate leadership over key functional areas such as marketing, online operations and campus operations.</w:t>
      </w:r>
    </w:p>
    <w:p>
      <w:pPr>
        <w:spacing w:after="0" w:line="57" w:lineRule="exact"/>
        <w:rPr>
          <w:rFonts w:ascii="Times New Roman" w:cs="Times New Roman" w:eastAsia="Times New Roman" w:hAnsi="Times New Roman"/>
          <w:sz w:val="17"/>
          <w:szCs w:val="17"/>
          <w:color w:val="auto"/>
        </w:rPr>
      </w:pPr>
    </w:p>
    <w:p>
      <w:pPr>
        <w:ind w:left="980" w:right="499" w:hanging="303"/>
        <w:spacing w:after="0" w:line="275" w:lineRule="auto"/>
        <w:tabs>
          <w:tab w:leader="none" w:pos="98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Mr. Bachus: to manage the financial and reporting functions to ensure that no material weaknesses occurred within the Company’s financial reporting structure.</w:t>
      </w:r>
    </w:p>
    <w:p>
      <w:pPr>
        <w:spacing w:after="0" w:line="57" w:lineRule="exact"/>
        <w:rPr>
          <w:rFonts w:ascii="Times New Roman" w:cs="Times New Roman" w:eastAsia="Times New Roman" w:hAnsi="Times New Roman"/>
          <w:sz w:val="17"/>
          <w:szCs w:val="17"/>
          <w:color w:val="auto"/>
        </w:rPr>
      </w:pPr>
    </w:p>
    <w:p>
      <w:pPr>
        <w:ind w:left="980" w:right="119" w:hanging="303"/>
        <w:spacing w:after="0" w:line="262" w:lineRule="auto"/>
        <w:tabs>
          <w:tab w:leader="none" w:pos="98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Ms. Marsh: to manage process improvements, manage data reporting and analytics for the company and our university partners, and manage the full development lifecycle of software tools necessary for operations teams in the Company to help educate, manage and support students.</w:t>
      </w:r>
    </w:p>
    <w:p>
      <w:pPr>
        <w:spacing w:after="0" w:line="67" w:lineRule="exact"/>
        <w:rPr>
          <w:sz w:val="20"/>
          <w:szCs w:val="20"/>
          <w:color w:val="auto"/>
        </w:rPr>
      </w:pPr>
    </w:p>
    <w:p>
      <w:pPr>
        <w:ind w:left="40" w:right="179" w:firstLine="606"/>
        <w:spacing w:after="0" w:line="257" w:lineRule="auto"/>
        <w:rPr>
          <w:sz w:val="20"/>
          <w:szCs w:val="20"/>
          <w:color w:val="auto"/>
        </w:rPr>
      </w:pPr>
      <w:r>
        <w:rPr>
          <w:rFonts w:ascii="Times New Roman" w:cs="Times New Roman" w:eastAsia="Times New Roman" w:hAnsi="Times New Roman"/>
          <w:sz w:val="17"/>
          <w:szCs w:val="17"/>
          <w:color w:val="auto"/>
        </w:rPr>
        <w:t>Based on each individual named executive officer’s achievement or substantial achievement of their individual performance goals, and in light of the superior financial performance achieved by the Company in 2024, the Compensation Committee determined that cash bonuses under the Annual Cash Incentive Plan should be paid out at the level achieved as a result of the achievement of the Company-wide financial goals, and that no reductions were otherwise merited.</w:t>
      </w:r>
    </w:p>
    <w:p>
      <w:pPr>
        <w:spacing w:after="0" w:line="68" w:lineRule="exact"/>
        <w:rPr>
          <w:sz w:val="20"/>
          <w:szCs w:val="20"/>
          <w:color w:val="auto"/>
        </w:rPr>
      </w:pPr>
    </w:p>
    <w:p>
      <w:pPr>
        <w:ind w:left="40" w:right="79" w:firstLine="606"/>
        <w:spacing w:after="0" w:line="254" w:lineRule="auto"/>
        <w:rPr>
          <w:sz w:val="20"/>
          <w:szCs w:val="20"/>
          <w:color w:val="auto"/>
        </w:rPr>
      </w:pPr>
      <w:r>
        <w:rPr>
          <w:rFonts w:ascii="Times New Roman" w:cs="Times New Roman" w:eastAsia="Times New Roman" w:hAnsi="Times New Roman"/>
          <w:sz w:val="17"/>
          <w:szCs w:val="17"/>
          <w:i w:val="1"/>
          <w:iCs w:val="1"/>
          <w:color w:val="auto"/>
        </w:rPr>
        <w:t xml:space="preserve">Bonus Paid to Ms. Claypatch. </w:t>
      </w:r>
      <w:r>
        <w:rPr>
          <w:rFonts w:ascii="Times New Roman" w:cs="Times New Roman" w:eastAsia="Times New Roman" w:hAnsi="Times New Roman"/>
          <w:sz w:val="17"/>
          <w:szCs w:val="17"/>
          <w:color w:val="auto"/>
        </w:rPr>
        <w:t>Ms. Claypatch earned an annual cash incentive bonus under the Senior Management Plan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 2024. Ms. Claypatch’s goals under the Senior Management Plan included managing departments within budget, elevating cloud security, enhancing off-campus classroom and laboratory technology services, researching artificial intelligence uses and managing internal software development projects. Based on the financial performance of the Company during 2024 and the percentage of her individual goals determined to be achieved, Ms. Claypatch was awarded a bonus of $88,999, which is equal to approximately 27.6% of her base salary.</w:t>
      </w:r>
    </w:p>
    <w:p>
      <w:pPr>
        <w:spacing w:after="0" w:line="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Equity Incentive Plan</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As of December 31, 2024, there were 961,769 shares available for grant under the 2017 Plan.</w:t>
      </w:r>
    </w:p>
    <w:p>
      <w:pPr>
        <w:spacing w:after="0" w:line="1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Equity Award Grant Policy</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Our Board of Directors has approved a policy relating to the granting of stock options and other equity-based awards.</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Under this policy:</w:t>
      </w:r>
    </w:p>
    <w:p>
      <w:pPr>
        <w:spacing w:after="0" w:line="92" w:lineRule="exact"/>
        <w:rPr>
          <w:sz w:val="20"/>
          <w:szCs w:val="20"/>
          <w:color w:val="auto"/>
        </w:rPr>
      </w:pPr>
    </w:p>
    <w:p>
      <w:pPr>
        <w:ind w:left="980" w:right="479" w:hanging="303"/>
        <w:spacing w:after="0" w:line="275" w:lineRule="auto"/>
        <w:tabs>
          <w:tab w:leader="none" w:pos="98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stock option grants, restricted stock awards, and other equity based awards, which we collectively refer to as stock-based awards, must be approved by the Compensation Committee;</w:t>
      </w:r>
    </w:p>
    <w:p>
      <w:pPr>
        <w:spacing w:after="0" w:line="57" w:lineRule="exact"/>
        <w:rPr>
          <w:rFonts w:ascii="Times New Roman" w:cs="Times New Roman" w:eastAsia="Times New Roman" w:hAnsi="Times New Roman"/>
          <w:sz w:val="17"/>
          <w:szCs w:val="17"/>
          <w:color w:val="auto"/>
        </w:rPr>
      </w:pPr>
    </w:p>
    <w:p>
      <w:pPr>
        <w:ind w:left="980" w:right="339" w:hanging="303"/>
        <w:spacing w:after="0" w:line="285" w:lineRule="auto"/>
        <w:tabs>
          <w:tab w:leader="none" w:pos="98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 for determining the strike price and similar measurements for stock-based awards will be the date of the meeting (or a date shortly after the meeting) or, in the case of an employee, director, or consultant not yet hired, appointed, or retained, respectively, the subsequent date of hire, appointment, or retention, as the case may be; and</w:t>
      </w:r>
    </w:p>
    <w:p>
      <w:pPr>
        <w:spacing w:after="0" w:line="52" w:lineRule="exact"/>
        <w:rPr>
          <w:rFonts w:ascii="Times New Roman" w:cs="Times New Roman" w:eastAsia="Times New Roman" w:hAnsi="Times New Roman"/>
          <w:sz w:val="16"/>
          <w:szCs w:val="16"/>
          <w:color w:val="auto"/>
        </w:rPr>
      </w:pPr>
    </w:p>
    <w:p>
      <w:pPr>
        <w:ind w:left="980" w:right="159" w:hanging="303"/>
        <w:spacing w:after="0" w:line="275" w:lineRule="auto"/>
        <w:tabs>
          <w:tab w:leader="none" w:pos="98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Compensation Committee will approve stock-based grants only for persons specifically identified at the meeting by management.</w:t>
      </w:r>
    </w:p>
    <w:p>
      <w:pPr>
        <w:spacing w:after="0" w:line="57" w:lineRule="exact"/>
        <w:rPr>
          <w:sz w:val="20"/>
          <w:szCs w:val="20"/>
          <w:color w:val="auto"/>
        </w:rPr>
      </w:pPr>
    </w:p>
    <w:p>
      <w:pPr>
        <w:ind w:left="40" w:right="99" w:firstLine="606"/>
        <w:spacing w:after="0" w:line="272" w:lineRule="auto"/>
        <w:rPr>
          <w:sz w:val="20"/>
          <w:szCs w:val="20"/>
          <w:color w:val="auto"/>
        </w:rPr>
      </w:pPr>
      <w:r>
        <w:rPr>
          <w:rFonts w:ascii="Times New Roman" w:cs="Times New Roman" w:eastAsia="Times New Roman" w:hAnsi="Times New Roman"/>
          <w:sz w:val="16"/>
          <w:szCs w:val="16"/>
          <w:color w:val="auto"/>
        </w:rPr>
        <w:t>Since 2011, our equity awards have consisted sole of time-based restricted stock grants. If, in the future, we determine to grant stock options or other similar stock-based awards, we will only approve such stock-based grants (i) during open quarterly windows under the Company's Insider Trading Policy (subject to limited exceptions under the Policy) and (ii) when the Company otherwise does not have possession of material nonpublic information, whether qualitative or quantitative. Neither our Board nor our compensation committee takes material non-public information into account when determining the timing of equity awards, nor do we time the disclosure of material non-public information for the purpose of impacting the value of executive compensation.</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335915</wp:posOffset>
            </wp:positionV>
            <wp:extent cx="5664835" cy="241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64835" cy="24130"/>
                    </a:xfrm>
                    <a:prstGeom prst="rect">
                      <a:avLst/>
                    </a:prstGeom>
                    <a:noFill/>
                  </pic:spPr>
                </pic:pic>
              </a:graphicData>
            </a:graphic>
          </wp:anchor>
        </w:drawing>
      </w:r>
    </w:p>
    <w:p>
      <w:pPr>
        <w:sectPr>
          <w:pgSz w:w="11900" w:h="16838" w:orient="portrait"/>
          <w:cols w:equalWidth="0" w:num="1">
            <w:col w:w="9019"/>
          </w:cols>
          <w:pgMar w:left="1440" w:top="490" w:right="1440" w:bottom="1440" w:gutter="0" w:footer="0" w:header="0"/>
        </w:sectPr>
      </w:pPr>
    </w:p>
    <w:bookmarkStart w:id="43" w:name="page44"/>
    <w:bookmarkEnd w:id="4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Severance and Change in Control Arrangements</w:t>
      </w:r>
    </w:p>
    <w:p>
      <w:pPr>
        <w:spacing w:after="0" w:line="112" w:lineRule="exact"/>
        <w:rPr>
          <w:sz w:val="20"/>
          <w:szCs w:val="20"/>
          <w:color w:val="auto"/>
        </w:rPr>
      </w:pPr>
    </w:p>
    <w:p>
      <w:pPr>
        <w:ind w:left="40" w:right="59" w:firstLine="606"/>
        <w:spacing w:after="0" w:line="251" w:lineRule="auto"/>
        <w:rPr>
          <w:sz w:val="20"/>
          <w:szCs w:val="20"/>
          <w:color w:val="auto"/>
        </w:rPr>
      </w:pPr>
      <w:r>
        <w:rPr>
          <w:rFonts w:ascii="Times New Roman" w:cs="Times New Roman" w:eastAsia="Times New Roman" w:hAnsi="Times New Roman"/>
          <w:sz w:val="17"/>
          <w:szCs w:val="17"/>
          <w:color w:val="auto"/>
        </w:rPr>
        <w:t xml:space="preserve">Our named executive officers are eligible for severance payments and benefits in the event of an involuntary termination of employment without “cause” or for “good reason,” as well as certain benefits in connection with a change in control of the Company. Our named executive officers are also eligible for “double trigger” severance payments and benefits in the event of an involuntary termination of employment without “cause” or a termination of employment with “good reason” in connection with, or within twelve (12) months immediately following, a change in control of the Company. Our equity awards are also designed to be “double trigger,” so long as such awards are allowed to continue in effect following any change in control transaction on substantially equivalent terms and conditions to those applicable prior to such transaction. For detailed information on the estimated potential payments and benefits payable to the named executive officers in the event of their termination of employment, including following a change in control of the Company, see the section titled </w:t>
      </w:r>
      <w:r>
        <w:rPr>
          <w:rFonts w:ascii="Times New Roman" w:cs="Times New Roman" w:eastAsia="Times New Roman" w:hAnsi="Times New Roman"/>
          <w:sz w:val="17"/>
          <w:szCs w:val="17"/>
          <w:i w:val="1"/>
          <w:iCs w:val="1"/>
          <w:color w:val="auto"/>
        </w:rPr>
        <w:t>“Potential Payments Upon Termination or Change in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Control.”</w:t>
      </w:r>
    </w:p>
    <w:p>
      <w:pPr>
        <w:spacing w:after="0" w:line="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Perquisites and Other Personal Benefits</w:t>
      </w:r>
    </w:p>
    <w:p>
      <w:pPr>
        <w:spacing w:after="0" w:line="112" w:lineRule="exact"/>
        <w:rPr>
          <w:sz w:val="20"/>
          <w:szCs w:val="20"/>
          <w:color w:val="auto"/>
        </w:rPr>
      </w:pPr>
    </w:p>
    <w:p>
      <w:pPr>
        <w:ind w:left="40" w:right="119" w:firstLine="606"/>
        <w:spacing w:after="0" w:line="257" w:lineRule="auto"/>
        <w:rPr>
          <w:sz w:val="20"/>
          <w:szCs w:val="20"/>
          <w:color w:val="auto"/>
        </w:rPr>
      </w:pPr>
      <w:r>
        <w:rPr>
          <w:rFonts w:ascii="Times New Roman" w:cs="Times New Roman" w:eastAsia="Times New Roman" w:hAnsi="Times New Roman"/>
          <w:sz w:val="17"/>
          <w:szCs w:val="17"/>
          <w:color w:val="auto"/>
        </w:rPr>
        <w:t>We generally do not provide our named executive officers with perquisites or other personal benefits, except for Company paid life insurance and a 401(k) plan match, both of which are available to employees of the Company generally. The value of these benefits is reported in the Summary Compensation Table. We generally do not provide tax reimbursements or any other tax payments, including excise tax “gross-ups,” to any of our executive officers.</w:t>
      </w:r>
    </w:p>
    <w:p>
      <w:pPr>
        <w:spacing w:after="0" w:line="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Clawback Policy</w:t>
      </w:r>
    </w:p>
    <w:p>
      <w:pPr>
        <w:spacing w:after="0" w:line="112" w:lineRule="exact"/>
        <w:rPr>
          <w:sz w:val="20"/>
          <w:szCs w:val="20"/>
          <w:color w:val="auto"/>
        </w:rPr>
      </w:pPr>
    </w:p>
    <w:p>
      <w:pPr>
        <w:ind w:left="40" w:right="59" w:firstLine="606"/>
        <w:spacing w:after="0" w:line="250" w:lineRule="auto"/>
        <w:rPr>
          <w:sz w:val="20"/>
          <w:szCs w:val="20"/>
          <w:color w:val="auto"/>
        </w:rPr>
      </w:pPr>
      <w:r>
        <w:rPr>
          <w:rFonts w:ascii="Times New Roman" w:cs="Times New Roman" w:eastAsia="Times New Roman" w:hAnsi="Times New Roman"/>
          <w:sz w:val="17"/>
          <w:szCs w:val="17"/>
          <w:color w:val="auto"/>
        </w:rPr>
        <w:t>As directed by the Dodd-Frank Act, in November 2022, the SEC issued final rules directing the national securities exchanges to adopt listing standards that require issuers to seek recovery from executive officers in certain circumstances involving financial restatements. The new clawback rules, which took effect on December 1, 2023 and cover incentive compensation paid on or after October 1, 2023, apply to all issuers listed on a national securities exchange. On October 25, 2023, the Board of Directors adopted the Recovery of Erroneously-Awarded Incentive Compensation Policy (the “Revised Clawback Policy”) in order to comply with Section 10D of the Exchange Act and the listing standards adopted by Nasdaq. Effective October 25, 2023, the Revised Clawback Policy, which replaced in its entirety a prior clawback policy originally adopted in January 2017, provides for the mandatory recovery of all Erroneously Awarded Compensation (as defined in the policy) from current and former executive officers of the Company in the event that the Company is required to prepare an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Role of the Compensation Consultant</w:t>
      </w:r>
    </w:p>
    <w:p>
      <w:pPr>
        <w:spacing w:after="0" w:line="112" w:lineRule="exact"/>
        <w:rPr>
          <w:sz w:val="20"/>
          <w:szCs w:val="20"/>
          <w:color w:val="auto"/>
        </w:rPr>
      </w:pPr>
    </w:p>
    <w:p>
      <w:pPr>
        <w:ind w:left="40" w:right="99" w:firstLine="606"/>
        <w:spacing w:after="0" w:line="257" w:lineRule="auto"/>
        <w:rPr>
          <w:sz w:val="20"/>
          <w:szCs w:val="20"/>
          <w:color w:val="auto"/>
        </w:rPr>
      </w:pPr>
      <w:r>
        <w:rPr>
          <w:rFonts w:ascii="Times New Roman" w:cs="Times New Roman" w:eastAsia="Times New Roman" w:hAnsi="Times New Roman"/>
          <w:sz w:val="17"/>
          <w:szCs w:val="17"/>
          <w:color w:val="auto"/>
        </w:rPr>
        <w:t>The Compensation Committee has the sole authority, delegated from the Board of Directors, to appoint, compensate and oversee the work of an independent compensation consultant. Historically, the Compensation Committee has retained Mercer as its consultant to assist the Compensation Committee with its responsibilities related to our executive compensation programs. The Compensation Committee did not utilize Mercer’s services in 2024.</w:t>
      </w:r>
    </w:p>
    <w:p>
      <w:pPr>
        <w:spacing w:after="0" w:line="68" w:lineRule="exact"/>
        <w:rPr>
          <w:sz w:val="20"/>
          <w:szCs w:val="20"/>
          <w:color w:val="auto"/>
        </w:rPr>
      </w:pPr>
    </w:p>
    <w:p>
      <w:pPr>
        <w:ind w:left="40" w:right="4199"/>
        <w:spacing w:after="0" w:line="374" w:lineRule="auto"/>
        <w:rPr>
          <w:sz w:val="20"/>
          <w:szCs w:val="20"/>
          <w:color w:val="auto"/>
        </w:rPr>
      </w:pPr>
      <w:r>
        <w:rPr>
          <w:rFonts w:ascii="Times New Roman" w:cs="Times New Roman" w:eastAsia="Times New Roman" w:hAnsi="Times New Roman"/>
          <w:sz w:val="17"/>
          <w:szCs w:val="17"/>
          <w:b w:val="1"/>
          <w:bCs w:val="1"/>
          <w:i w:val="1"/>
          <w:iCs w:val="1"/>
          <w:color w:val="auto"/>
        </w:rPr>
        <w:t xml:space="preserve">Effect of Accounting and Tax Treatment on Compensation Decisions </w:t>
      </w:r>
      <w:r>
        <w:rPr>
          <w:rFonts w:ascii="Times New Roman" w:cs="Times New Roman" w:eastAsia="Times New Roman" w:hAnsi="Times New Roman"/>
          <w:sz w:val="17"/>
          <w:szCs w:val="17"/>
          <w:i w:val="1"/>
          <w:iCs w:val="1"/>
          <w:color w:val="auto"/>
        </w:rPr>
        <w:t>Internal Revenue Code Section 409A</w:t>
      </w:r>
    </w:p>
    <w:p>
      <w:pPr>
        <w:spacing w:after="0" w:line="1" w:lineRule="exact"/>
        <w:rPr>
          <w:sz w:val="20"/>
          <w:szCs w:val="20"/>
          <w:color w:val="auto"/>
        </w:rPr>
      </w:pPr>
    </w:p>
    <w:p>
      <w:pPr>
        <w:ind w:left="40" w:right="79" w:firstLine="606"/>
        <w:spacing w:after="0" w:line="251" w:lineRule="auto"/>
        <w:rPr>
          <w:sz w:val="20"/>
          <w:szCs w:val="20"/>
          <w:color w:val="auto"/>
        </w:rPr>
      </w:pPr>
      <w:r>
        <w:rPr>
          <w:rFonts w:ascii="Times New Roman" w:cs="Times New Roman" w:eastAsia="Times New Roman" w:hAnsi="Times New Roman"/>
          <w:sz w:val="17"/>
          <w:szCs w:val="17"/>
          <w:color w:val="auto"/>
        </w:rPr>
        <w:t>Section 409A of the Code requires that “nonqualified deferred compensation” be deferred and paid under plans or arrangements that satisfy the requirements of the statute with respect to the timing of deferral elections, timing of payments and certain other matters. Failure to satisfy these requirements can expose employees and other service providers to accelerated income tax liabilities, penalties and interest on their vested compensation under such plans. Accordingly, as a general matter, it is our intention to design and administer our compensation and benefits plans and arrangements for all of our employees and other service providers, including our named executive officers, so that they are either exempt from, or satisfy the requirements of, Section 409A. With respect to our compensation and benefit plans that are subject to Section 409A, in accordance with Section 409A and regulatory guidance issued by the Internal Revenue Service, we believe we are currently operating such plans in compliance with Section 409A.</w:t>
      </w:r>
    </w:p>
    <w:p>
      <w:pPr>
        <w:spacing w:after="0" w:line="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Accounting Standards</w:t>
      </w:r>
    </w:p>
    <w:p>
      <w:pPr>
        <w:spacing w:after="0" w:line="112" w:lineRule="exact"/>
        <w:rPr>
          <w:sz w:val="20"/>
          <w:szCs w:val="20"/>
          <w:color w:val="auto"/>
        </w:rPr>
      </w:pPr>
    </w:p>
    <w:p>
      <w:pPr>
        <w:ind w:left="40" w:right="239" w:firstLine="606"/>
        <w:spacing w:after="0" w:line="275" w:lineRule="auto"/>
        <w:rPr>
          <w:sz w:val="20"/>
          <w:szCs w:val="20"/>
          <w:color w:val="auto"/>
        </w:rPr>
      </w:pPr>
      <w:r>
        <w:rPr>
          <w:rFonts w:ascii="Times New Roman" w:cs="Times New Roman" w:eastAsia="Times New Roman" w:hAnsi="Times New Roman"/>
          <w:sz w:val="17"/>
          <w:szCs w:val="17"/>
          <w:color w:val="auto"/>
        </w:rPr>
        <w:t>Grants of equity awards under our equity plan are recognized as compensation expense for the fair value of equity-based compensation awards. The Compensation Committee considers the accounting implications of significant</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335915</wp:posOffset>
            </wp:positionV>
            <wp:extent cx="5664835" cy="241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64835" cy="24130"/>
                    </a:xfrm>
                    <a:prstGeom prst="rect">
                      <a:avLst/>
                    </a:prstGeom>
                    <a:noFill/>
                  </pic:spPr>
                </pic:pic>
              </a:graphicData>
            </a:graphic>
          </wp:anchor>
        </w:drawing>
      </w:r>
    </w:p>
    <w:p>
      <w:pPr>
        <w:sectPr>
          <w:pgSz w:w="11900" w:h="16838" w:orient="portrait"/>
          <w:cols w:equalWidth="0" w:num="1">
            <w:col w:w="9019"/>
          </w:cols>
          <w:pgMar w:left="1440" w:top="490" w:right="1440" w:bottom="1440" w:gutter="0" w:footer="0" w:header="0"/>
        </w:sectPr>
      </w:pPr>
    </w:p>
    <w:bookmarkStart w:id="44" w:name="page45"/>
    <w:bookmarkEnd w:id="4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0" w:right="99"/>
        <w:spacing w:after="0" w:line="262" w:lineRule="auto"/>
        <w:rPr>
          <w:sz w:val="20"/>
          <w:szCs w:val="20"/>
          <w:color w:val="auto"/>
        </w:rPr>
      </w:pPr>
      <w:r>
        <w:rPr>
          <w:rFonts w:ascii="Times New Roman" w:cs="Times New Roman" w:eastAsia="Times New Roman" w:hAnsi="Times New Roman"/>
          <w:sz w:val="17"/>
          <w:szCs w:val="17"/>
          <w:color w:val="auto"/>
        </w:rPr>
        <w:t>compensation decisions, including in connection with decisions that relate to our equity award programs. As accounting standards change, we may revise certain programs to appropriately align accounting expenses of our equity awards with our overall executive compensation philosophy and objectives.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Conclusion</w:t>
      </w:r>
    </w:p>
    <w:p>
      <w:pPr>
        <w:spacing w:after="0" w:line="112" w:lineRule="exact"/>
        <w:rPr>
          <w:sz w:val="20"/>
          <w:szCs w:val="20"/>
          <w:color w:val="auto"/>
        </w:rPr>
      </w:pPr>
    </w:p>
    <w:p>
      <w:pPr>
        <w:ind w:left="40" w:right="199" w:firstLine="606"/>
        <w:spacing w:after="0" w:line="275" w:lineRule="auto"/>
        <w:rPr>
          <w:sz w:val="20"/>
          <w:szCs w:val="20"/>
          <w:color w:val="auto"/>
        </w:rPr>
      </w:pPr>
      <w:r>
        <w:rPr>
          <w:rFonts w:ascii="Times New Roman" w:cs="Times New Roman" w:eastAsia="Times New Roman" w:hAnsi="Times New Roman"/>
          <w:sz w:val="17"/>
          <w:szCs w:val="17"/>
          <w:color w:val="auto"/>
        </w:rPr>
        <w:t>We believe that the compensation amounts paid to our named executive officers for their service in 2024 were reasonable and appropriate and in our best interests.</w:t>
      </w:r>
    </w:p>
    <w:p>
      <w:pPr>
        <w:spacing w:after="0" w:line="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Compensation Policies and Practices as Related to Risk Management</w:t>
      </w:r>
    </w:p>
    <w:p>
      <w:pPr>
        <w:spacing w:after="0" w:line="112" w:lineRule="exact"/>
        <w:rPr>
          <w:sz w:val="20"/>
          <w:szCs w:val="20"/>
          <w:color w:val="auto"/>
        </w:rPr>
      </w:pPr>
    </w:p>
    <w:p>
      <w:pPr>
        <w:ind w:left="40" w:right="399" w:firstLine="606"/>
        <w:spacing w:after="0" w:line="262" w:lineRule="auto"/>
        <w:rPr>
          <w:sz w:val="20"/>
          <w:szCs w:val="20"/>
          <w:color w:val="auto"/>
        </w:rPr>
      </w:pPr>
      <w:r>
        <w:rPr>
          <w:rFonts w:ascii="Times New Roman" w:cs="Times New Roman" w:eastAsia="Times New Roman" w:hAnsi="Times New Roman"/>
          <w:sz w:val="17"/>
          <w:szCs w:val="17"/>
          <w:color w:val="auto"/>
        </w:rPr>
        <w:t>In connection with the preparation of this Proxy Statement, our Compensation Committee reviewed and discussed our compensation policies and practices for senior management, including our named executive officers. In this regard, the Compensation Committee took note of the fact that:</w:t>
      </w:r>
    </w:p>
    <w:p>
      <w:pPr>
        <w:spacing w:after="0" w:line="67" w:lineRule="exact"/>
        <w:rPr>
          <w:sz w:val="20"/>
          <w:szCs w:val="20"/>
          <w:color w:val="auto"/>
        </w:rPr>
      </w:pPr>
    </w:p>
    <w:p>
      <w:pPr>
        <w:ind w:left="980" w:right="99" w:hanging="303"/>
        <w:spacing w:after="0" w:line="262" w:lineRule="auto"/>
        <w:tabs>
          <w:tab w:leader="none" w:pos="98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pay base salaries we believe are competitive and that are generally intended to constitute the largest component of cash compensation. We believe that this emphasis on paying competitive base salaries that are not at risk for performance discourages inappropriate risk taking;</w:t>
      </w:r>
    </w:p>
    <w:p>
      <w:pPr>
        <w:spacing w:after="0" w:line="67" w:lineRule="exact"/>
        <w:rPr>
          <w:rFonts w:ascii="Times New Roman" w:cs="Times New Roman" w:eastAsia="Times New Roman" w:hAnsi="Times New Roman"/>
          <w:sz w:val="17"/>
          <w:szCs w:val="17"/>
          <w:color w:val="auto"/>
        </w:rPr>
      </w:pPr>
    </w:p>
    <w:p>
      <w:pPr>
        <w:ind w:left="980" w:right="139" w:hanging="303"/>
        <w:spacing w:after="0" w:line="262" w:lineRule="auto"/>
        <w:tabs>
          <w:tab w:leader="none" w:pos="98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Annual Cash Incentive Plan focuses on the achievement of company-wide revenue and Adjusted EBITDA targets, which prevents participants from being able to materially enhance their bonus prospects through excessive or inappropriate risk-taking;</w:t>
      </w:r>
    </w:p>
    <w:p>
      <w:pPr>
        <w:spacing w:after="0" w:line="67" w:lineRule="exact"/>
        <w:rPr>
          <w:rFonts w:ascii="Times New Roman" w:cs="Times New Roman" w:eastAsia="Times New Roman" w:hAnsi="Times New Roman"/>
          <w:sz w:val="17"/>
          <w:szCs w:val="17"/>
          <w:color w:val="auto"/>
        </w:rPr>
      </w:pPr>
    </w:p>
    <w:p>
      <w:pPr>
        <w:ind w:left="980" w:right="239" w:hanging="303"/>
        <w:spacing w:after="0" w:line="262" w:lineRule="auto"/>
        <w:tabs>
          <w:tab w:leader="none" w:pos="98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cash payments that may be made to our named executive officers under the Annual Cash Incentive Plan are subject to stated maximum limits, which we believe mitigates any risks that our named executive officers may take; and</w:t>
      </w:r>
    </w:p>
    <w:p>
      <w:pPr>
        <w:spacing w:after="0" w:line="67" w:lineRule="exact"/>
        <w:rPr>
          <w:rFonts w:ascii="Times New Roman" w:cs="Times New Roman" w:eastAsia="Times New Roman" w:hAnsi="Times New Roman"/>
          <w:sz w:val="17"/>
          <w:szCs w:val="17"/>
          <w:color w:val="auto"/>
        </w:rPr>
      </w:pPr>
    </w:p>
    <w:p>
      <w:pPr>
        <w:ind w:left="980" w:right="339" w:hanging="303"/>
        <w:spacing w:after="0" w:line="262" w:lineRule="auto"/>
        <w:tabs>
          <w:tab w:leader="none" w:pos="98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equity grants made to our named executive officers, and all other employees, under our 2017 Plan all vest in annual increments over a period of five years, which we believe discourages excessive or inappropriate short-term risk taking.</w:t>
      </w:r>
    </w:p>
    <w:p>
      <w:pPr>
        <w:spacing w:after="0" w:line="67" w:lineRule="exact"/>
        <w:rPr>
          <w:sz w:val="20"/>
          <w:szCs w:val="20"/>
          <w:color w:val="auto"/>
        </w:rPr>
      </w:pPr>
    </w:p>
    <w:p>
      <w:pPr>
        <w:ind w:left="40" w:right="99" w:firstLine="606"/>
        <w:spacing w:after="0" w:line="262" w:lineRule="auto"/>
        <w:rPr>
          <w:sz w:val="20"/>
          <w:szCs w:val="20"/>
          <w:color w:val="auto"/>
        </w:rPr>
      </w:pPr>
      <w:r>
        <w:rPr>
          <w:rFonts w:ascii="Times New Roman" w:cs="Times New Roman" w:eastAsia="Times New Roman" w:hAnsi="Times New Roman"/>
          <w:sz w:val="17"/>
          <w:szCs w:val="17"/>
          <w:color w:val="auto"/>
        </w:rPr>
        <w:t>Based on that review, and with input from management, the Compensation Committee has determined that there are no known potential risks arising from our compensation polices or practices that are reasonably likely to have a material adverse effect on us.</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335915</wp:posOffset>
            </wp:positionV>
            <wp:extent cx="5664835" cy="241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64835" cy="24130"/>
                    </a:xfrm>
                    <a:prstGeom prst="rect">
                      <a:avLst/>
                    </a:prstGeom>
                    <a:noFill/>
                  </pic:spPr>
                </pic:pic>
              </a:graphicData>
            </a:graphic>
          </wp:anchor>
        </w:drawing>
      </w:r>
    </w:p>
    <w:p>
      <w:pPr>
        <w:sectPr>
          <w:pgSz w:w="11900" w:h="16838" w:orient="portrait"/>
          <w:cols w:equalWidth="0" w:num="1">
            <w:col w:w="9019"/>
          </w:cols>
          <w:pgMar w:left="1440" w:top="490" w:right="1440" w:bottom="1440" w:gutter="0" w:footer="0" w:header="0"/>
        </w:sectPr>
      </w:pPr>
    </w:p>
    <w:bookmarkStart w:id="45" w:name="page46"/>
    <w:bookmarkEnd w:id="4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Compensation of Named Executive Officers</w:t>
      </w:r>
    </w:p>
    <w:p>
      <w:pPr>
        <w:spacing w:after="0" w:line="1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Summary Compensation Table</w:t>
      </w:r>
    </w:p>
    <w:p>
      <w:pPr>
        <w:spacing w:after="0" w:line="112" w:lineRule="exact"/>
        <w:rPr>
          <w:sz w:val="20"/>
          <w:szCs w:val="20"/>
          <w:color w:val="auto"/>
        </w:rPr>
      </w:pPr>
    </w:p>
    <w:p>
      <w:pPr>
        <w:ind w:left="40" w:right="159" w:firstLine="606"/>
        <w:spacing w:after="0" w:line="262" w:lineRule="auto"/>
        <w:rPr>
          <w:sz w:val="20"/>
          <w:szCs w:val="20"/>
          <w:color w:val="auto"/>
        </w:rPr>
      </w:pPr>
      <w:r>
        <w:rPr>
          <w:rFonts w:ascii="Times New Roman" w:cs="Times New Roman" w:eastAsia="Times New Roman" w:hAnsi="Times New Roman"/>
          <w:sz w:val="17"/>
          <w:szCs w:val="17"/>
          <w:color w:val="auto"/>
        </w:rPr>
        <w:t>The following table sets forth the total compensation earned for services rendered by our named executive officers for the fiscal year ended December 31, 2024, 2023 and 2022. In accordance with the rules promulgated by the SEC, certain columns relating to information that is not applicable have been omitted from this table.</w:t>
      </w:r>
    </w:p>
    <w:p>
      <w:pPr>
        <w:spacing w:after="0" w:line="62"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center"/>
              <w:ind w:right="58"/>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38"/>
              <w:spacing w:after="0"/>
              <w:rPr>
                <w:sz w:val="20"/>
                <w:szCs w:val="20"/>
                <w:color w:val="auto"/>
              </w:rPr>
            </w:pPr>
            <w:r>
              <w:rPr>
                <w:rFonts w:ascii="Times New Roman" w:cs="Times New Roman" w:eastAsia="Times New Roman" w:hAnsi="Times New Roman"/>
                <w:sz w:val="13"/>
                <w:szCs w:val="13"/>
                <w:b w:val="1"/>
                <w:bCs w:val="1"/>
                <w:color w:val="auto"/>
              </w:rPr>
              <w:t>Non-Equity</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center"/>
              <w:ind w:right="58"/>
              <w:spacing w:after="0"/>
              <w:rPr>
                <w:sz w:val="20"/>
                <w:szCs w:val="20"/>
                <w:color w:val="auto"/>
              </w:rPr>
            </w:pPr>
            <w:r>
              <w:rPr>
                <w:rFonts w:ascii="Times New Roman" w:cs="Times New Roman" w:eastAsia="Times New Roman" w:hAnsi="Times New Roman"/>
                <w:sz w:val="13"/>
                <w:szCs w:val="13"/>
                <w:b w:val="1"/>
                <w:bCs w:val="1"/>
                <w:color w:val="auto"/>
              </w:rPr>
              <w:t>All Other</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restart"/>
          </w:tcPr>
          <w:p>
            <w:pPr>
              <w:jc w:val="right"/>
              <w:ind w:right="138"/>
              <w:spacing w:after="0"/>
              <w:rPr>
                <w:sz w:val="20"/>
                <w:szCs w:val="20"/>
                <w:color w:val="auto"/>
              </w:rPr>
            </w:pPr>
            <w:r>
              <w:rPr>
                <w:rFonts w:ascii="Times New Roman" w:cs="Times New Roman" w:eastAsia="Times New Roman" w:hAnsi="Times New Roman"/>
                <w:sz w:val="13"/>
                <w:szCs w:val="13"/>
                <w:b w:val="1"/>
                <w:bCs w:val="1"/>
                <w:color w:val="auto"/>
              </w:rPr>
              <w:t>Salary</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Incentive Plan</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1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 and Position</w:t>
            </w:r>
          </w:p>
        </w:tc>
        <w:tc>
          <w:tcPr>
            <w:tcW w:w="140" w:type="dxa"/>
            <w:vAlign w:val="bottom"/>
          </w:tcPr>
          <w:p>
            <w:pPr>
              <w:spacing w:after="0"/>
              <w:rPr>
                <w:sz w:val="12"/>
                <w:szCs w:val="12"/>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Year</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58"/>
              <w:spacing w:after="0" w:line="138" w:lineRule="exact"/>
              <w:rPr>
                <w:sz w:val="20"/>
                <w:szCs w:val="20"/>
                <w:color w:val="auto"/>
              </w:rPr>
            </w:pPr>
            <w:r>
              <w:rPr>
                <w:rFonts w:ascii="Times New Roman" w:cs="Times New Roman" w:eastAsia="Times New Roman" w:hAnsi="Times New Roman"/>
                <w:sz w:val="13"/>
                <w:szCs w:val="13"/>
                <w:b w:val="1"/>
                <w:bCs w:val="1"/>
                <w:color w:val="auto"/>
              </w:rPr>
              <w:t>Awards</w:t>
            </w:r>
          </w:p>
        </w:tc>
        <w:tc>
          <w:tcPr>
            <w:tcW w:w="140" w:type="dxa"/>
            <w:vAlign w:val="bottom"/>
          </w:tcPr>
          <w:p>
            <w:pPr>
              <w:spacing w:after="0"/>
              <w:rPr>
                <w:sz w:val="12"/>
                <w:szCs w:val="12"/>
                <w:color w:val="auto"/>
              </w:rPr>
            </w:pPr>
          </w:p>
        </w:tc>
        <w:tc>
          <w:tcPr>
            <w:tcW w:w="92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140" w:type="dxa"/>
            <w:vAlign w:val="bottom"/>
          </w:tcPr>
          <w:p>
            <w:pPr>
              <w:spacing w:after="0"/>
              <w:rPr>
                <w:sz w:val="12"/>
                <w:szCs w:val="12"/>
                <w:color w:val="auto"/>
              </w:rPr>
            </w:pPr>
          </w:p>
        </w:tc>
        <w:tc>
          <w:tcPr>
            <w:tcW w:w="90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4"/>
        </w:trPr>
        <w:tc>
          <w:tcPr>
            <w:tcW w:w="31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78"/>
              <w:spacing w:after="0" w:line="164" w:lineRule="exact"/>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9"/>
                <w:szCs w:val="19"/>
                <w:b w:val="1"/>
                <w:bCs w:val="1"/>
                <w:color w:val="auto"/>
                <w:vertAlign w:val="superscript"/>
              </w:rPr>
              <w:t>(1)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58"/>
              <w:spacing w:after="0" w:line="164" w:lineRule="exact"/>
              <w:rPr>
                <w:sz w:val="20"/>
                <w:szCs w:val="20"/>
                <w:color w:val="auto"/>
              </w:rPr>
            </w:pPr>
            <w:r>
              <w:rPr>
                <w:rFonts w:ascii="Times New Roman" w:cs="Times New Roman" w:eastAsia="Times New Roman" w:hAnsi="Times New Roman"/>
                <w:sz w:val="13"/>
                <w:szCs w:val="13"/>
                <w:b w:val="1"/>
                <w:bCs w:val="1"/>
                <w:color w:val="auto"/>
                <w:w w:val="93"/>
              </w:rPr>
              <w:t>($)</w:t>
            </w:r>
            <w:r>
              <w:rPr>
                <w:rFonts w:ascii="Times New Roman" w:cs="Times New Roman" w:eastAsia="Times New Roman" w:hAnsi="Times New Roman"/>
                <w:sz w:val="19"/>
                <w:szCs w:val="19"/>
                <w:b w:val="1"/>
                <w:bCs w:val="1"/>
                <w:color w:val="auto"/>
                <w:w w:val="93"/>
                <w:vertAlign w:val="superscript"/>
              </w:rPr>
              <w:t>(2)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38"/>
              <w:spacing w:after="0" w:line="164" w:lineRule="exact"/>
              <w:rPr>
                <w:sz w:val="20"/>
                <w:szCs w:val="20"/>
                <w:color w:val="auto"/>
              </w:rPr>
            </w:pPr>
            <w:r>
              <w:rPr>
                <w:rFonts w:ascii="Times New Roman" w:cs="Times New Roman" w:eastAsia="Times New Roman" w:hAnsi="Times New Roman"/>
                <w:sz w:val="13"/>
                <w:szCs w:val="13"/>
                <w:b w:val="1"/>
                <w:bCs w:val="1"/>
                <w:color w:val="auto"/>
                <w:w w:val="86"/>
              </w:rPr>
              <w:t>($)</w:t>
            </w:r>
            <w:r>
              <w:rPr>
                <w:rFonts w:ascii="Times New Roman" w:cs="Times New Roman" w:eastAsia="Times New Roman" w:hAnsi="Times New Roman"/>
                <w:sz w:val="19"/>
                <w:szCs w:val="19"/>
                <w:b w:val="1"/>
                <w:bCs w:val="1"/>
                <w:color w:val="auto"/>
                <w:w w:val="86"/>
                <w:vertAlign w:val="superscript"/>
              </w:rPr>
              <w:t>(3)</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58"/>
              <w:spacing w:after="0" w:line="164" w:lineRule="exact"/>
              <w:rPr>
                <w:sz w:val="20"/>
                <w:szCs w:val="20"/>
                <w:color w:val="auto"/>
              </w:rPr>
            </w:pPr>
            <w:r>
              <w:rPr>
                <w:rFonts w:ascii="Times New Roman" w:cs="Times New Roman" w:eastAsia="Times New Roman" w:hAnsi="Times New Roman"/>
                <w:sz w:val="13"/>
                <w:szCs w:val="13"/>
                <w:b w:val="1"/>
                <w:bCs w:val="1"/>
                <w:color w:val="auto"/>
                <w:w w:val="96"/>
              </w:rPr>
              <w:t xml:space="preserve">($) </w:t>
            </w:r>
            <w:r>
              <w:rPr>
                <w:rFonts w:ascii="Times New Roman" w:cs="Times New Roman" w:eastAsia="Times New Roman" w:hAnsi="Times New Roman"/>
                <w:sz w:val="19"/>
                <w:szCs w:val="19"/>
                <w:b w:val="1"/>
                <w:bCs w:val="1"/>
                <w:color w:val="auto"/>
                <w:w w:val="96"/>
                <w:vertAlign w:val="superscript"/>
              </w:rPr>
              <w:t>(4)</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Brian E. Mueller</w:t>
            </w:r>
          </w:p>
        </w:tc>
        <w:tc>
          <w:tcPr>
            <w:tcW w:w="14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i w:val="1"/>
                <w:iCs w:val="1"/>
                <w:color w:val="auto"/>
              </w:rPr>
              <w:t>Chief Executive Officer and Chairman</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2024</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321,000</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1,211,483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467,597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6,699</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2,006,779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(Principal Executive Officer)</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2023</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321,000</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1,211,643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481,500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2,744</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2,016,887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2022</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321,000</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1,211,488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460,495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4,130</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1,997,113</w:t>
            </w:r>
          </w:p>
        </w:tc>
        <w:tc>
          <w:tcPr>
            <w:tcW w:w="0" w:type="dxa"/>
            <w:vAlign w:val="bottom"/>
          </w:tcPr>
          <w:p>
            <w:pPr>
              <w:spacing w:after="0"/>
              <w:rPr>
                <w:sz w:val="1"/>
                <w:szCs w:val="1"/>
                <w:color w:val="auto"/>
              </w:rPr>
            </w:pPr>
          </w:p>
        </w:tc>
      </w:tr>
      <w:tr>
        <w:trPr>
          <w:trHeight w:val="384"/>
        </w:trPr>
        <w:tc>
          <w:tcPr>
            <w:tcW w:w="3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Dr. W. Stan Meyer</w:t>
            </w:r>
          </w:p>
        </w:tc>
        <w:tc>
          <w:tcPr>
            <w:tcW w:w="780" w:type="dxa"/>
            <w:vAlign w:val="bottom"/>
            <w:gridSpan w:val="2"/>
          </w:tcPr>
          <w:p>
            <w:pPr>
              <w:jc w:val="center"/>
              <w:ind w:left="36"/>
              <w:spacing w:after="0"/>
              <w:rPr>
                <w:sz w:val="20"/>
                <w:szCs w:val="20"/>
                <w:color w:val="auto"/>
              </w:rPr>
            </w:pPr>
            <w:r>
              <w:rPr>
                <w:rFonts w:ascii="Times New Roman" w:cs="Times New Roman" w:eastAsia="Times New Roman" w:hAnsi="Times New Roman"/>
                <w:sz w:val="17"/>
                <w:szCs w:val="17"/>
                <w:color w:val="auto"/>
                <w:w w:val="99"/>
              </w:rPr>
              <w:t>2024</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390,000</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646,421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426,081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6,833</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1,469,335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80" w:type="dxa"/>
            <w:vAlign w:val="bottom"/>
          </w:tcPr>
          <w:p>
            <w:pPr>
              <w:ind w:left="120"/>
              <w:spacing w:after="0"/>
              <w:rPr>
                <w:sz w:val="20"/>
                <w:szCs w:val="20"/>
                <w:color w:val="auto"/>
              </w:rPr>
            </w:pPr>
            <w:r>
              <w:rPr>
                <w:rFonts w:ascii="Times New Roman" w:cs="Times New Roman" w:eastAsia="Times New Roman" w:hAnsi="Times New Roman"/>
                <w:sz w:val="17"/>
                <w:szCs w:val="17"/>
                <w:i w:val="1"/>
                <w:iCs w:val="1"/>
                <w:color w:val="auto"/>
              </w:rPr>
              <w:t>Chief Operating Officer</w:t>
            </w:r>
          </w:p>
        </w:tc>
        <w:tc>
          <w:tcPr>
            <w:tcW w:w="780" w:type="dxa"/>
            <w:vAlign w:val="bottom"/>
            <w:gridSpan w:val="2"/>
          </w:tcPr>
          <w:p>
            <w:pPr>
              <w:jc w:val="center"/>
              <w:ind w:left="36"/>
              <w:spacing w:after="0"/>
              <w:rPr>
                <w:sz w:val="20"/>
                <w:szCs w:val="20"/>
                <w:color w:val="auto"/>
              </w:rPr>
            </w:pPr>
            <w:r>
              <w:rPr>
                <w:rFonts w:ascii="Times New Roman" w:cs="Times New Roman" w:eastAsia="Times New Roman" w:hAnsi="Times New Roman"/>
                <w:sz w:val="17"/>
                <w:szCs w:val="17"/>
                <w:color w:val="auto"/>
                <w:w w:val="99"/>
              </w:rPr>
              <w:t>2023</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390,000</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646,578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438,750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6,653</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1,481,981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780" w:type="dxa"/>
            <w:vAlign w:val="bottom"/>
            <w:gridSpan w:val="2"/>
          </w:tcPr>
          <w:p>
            <w:pPr>
              <w:jc w:val="center"/>
              <w:ind w:left="36"/>
              <w:spacing w:after="0"/>
              <w:rPr>
                <w:sz w:val="20"/>
                <w:szCs w:val="20"/>
                <w:color w:val="auto"/>
              </w:rPr>
            </w:pPr>
            <w:r>
              <w:rPr>
                <w:rFonts w:ascii="Times New Roman" w:cs="Times New Roman" w:eastAsia="Times New Roman" w:hAnsi="Times New Roman"/>
                <w:sz w:val="17"/>
                <w:szCs w:val="17"/>
                <w:color w:val="auto"/>
                <w:w w:val="99"/>
              </w:rPr>
              <w:t>2022</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390,000</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646,492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419,610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6,353</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1,462,455</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080" w:type="dxa"/>
            <w:vAlign w:val="bottom"/>
          </w:tcPr>
          <w:p>
            <w:pPr>
              <w:spacing w:after="0"/>
              <w:rPr>
                <w:sz w:val="17"/>
                <w:szCs w:val="17"/>
                <w:color w:val="auto"/>
              </w:rPr>
            </w:pPr>
          </w:p>
        </w:tc>
        <w:tc>
          <w:tcPr>
            <w:tcW w:w="78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Daniel E. Bachus</w:t>
            </w:r>
          </w:p>
        </w:tc>
        <w:tc>
          <w:tcPr>
            <w:tcW w:w="780" w:type="dxa"/>
            <w:vAlign w:val="bottom"/>
            <w:gridSpan w:val="2"/>
            <w:shd w:val="clear" w:color="auto" w:fill="CCEEFF"/>
          </w:tcPr>
          <w:p>
            <w:pPr>
              <w:jc w:val="center"/>
              <w:ind w:left="36"/>
              <w:spacing w:after="0"/>
              <w:rPr>
                <w:sz w:val="20"/>
                <w:szCs w:val="20"/>
                <w:color w:val="auto"/>
              </w:rPr>
            </w:pPr>
            <w:r>
              <w:rPr>
                <w:rFonts w:ascii="Times New Roman" w:cs="Times New Roman" w:eastAsia="Times New Roman" w:hAnsi="Times New Roman"/>
                <w:sz w:val="17"/>
                <w:szCs w:val="17"/>
                <w:color w:val="auto"/>
                <w:w w:val="99"/>
              </w:rPr>
              <w:t>2024</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390,000</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646,421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426,081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938</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1,463,440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i w:val="1"/>
                <w:iCs w:val="1"/>
                <w:color w:val="auto"/>
              </w:rPr>
              <w:t>Chief Financial Officer</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2023</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390,000</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646,578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438,750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938</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1,476,266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(Principal Financial Officer)</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2022</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390,000</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646,492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419,610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938</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1,457,040</w:t>
            </w:r>
          </w:p>
        </w:tc>
        <w:tc>
          <w:tcPr>
            <w:tcW w:w="0" w:type="dxa"/>
            <w:vAlign w:val="bottom"/>
          </w:tcPr>
          <w:p>
            <w:pPr>
              <w:spacing w:after="0"/>
              <w:rPr>
                <w:sz w:val="1"/>
                <w:szCs w:val="1"/>
                <w:color w:val="auto"/>
              </w:rPr>
            </w:pPr>
          </w:p>
        </w:tc>
      </w:tr>
      <w:tr>
        <w:trPr>
          <w:trHeight w:val="384"/>
        </w:trPr>
        <w:tc>
          <w:tcPr>
            <w:tcW w:w="3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Dilek Marsh</w:t>
            </w:r>
          </w:p>
        </w:tc>
        <w:tc>
          <w:tcPr>
            <w:tcW w:w="780" w:type="dxa"/>
            <w:vAlign w:val="bottom"/>
            <w:gridSpan w:val="2"/>
          </w:tcPr>
          <w:p>
            <w:pPr>
              <w:jc w:val="center"/>
              <w:ind w:left="36"/>
              <w:spacing w:after="0"/>
              <w:rPr>
                <w:sz w:val="20"/>
                <w:szCs w:val="20"/>
                <w:color w:val="auto"/>
              </w:rPr>
            </w:pPr>
            <w:r>
              <w:rPr>
                <w:rFonts w:ascii="Times New Roman" w:cs="Times New Roman" w:eastAsia="Times New Roman" w:hAnsi="Times New Roman"/>
                <w:sz w:val="17"/>
                <w:szCs w:val="17"/>
                <w:color w:val="auto"/>
                <w:w w:val="99"/>
              </w:rPr>
              <w:t>2024</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322,821</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449,883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160,236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4,905</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937,845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80" w:type="dxa"/>
            <w:vAlign w:val="bottom"/>
          </w:tcPr>
          <w:p>
            <w:pPr>
              <w:ind w:left="120"/>
              <w:spacing w:after="0"/>
              <w:rPr>
                <w:sz w:val="20"/>
                <w:szCs w:val="20"/>
                <w:color w:val="auto"/>
              </w:rPr>
            </w:pPr>
            <w:r>
              <w:rPr>
                <w:rFonts w:ascii="Times New Roman" w:cs="Times New Roman" w:eastAsia="Times New Roman" w:hAnsi="Times New Roman"/>
                <w:sz w:val="17"/>
                <w:szCs w:val="17"/>
                <w:i w:val="1"/>
                <w:iCs w:val="1"/>
                <w:color w:val="auto"/>
              </w:rPr>
              <w:t>Chief Technology Officer</w:t>
            </w:r>
          </w:p>
        </w:tc>
        <w:tc>
          <w:tcPr>
            <w:tcW w:w="780" w:type="dxa"/>
            <w:vAlign w:val="bottom"/>
            <w:gridSpan w:val="2"/>
          </w:tcPr>
          <w:p>
            <w:pPr>
              <w:jc w:val="center"/>
              <w:ind w:left="36"/>
              <w:spacing w:after="0"/>
              <w:rPr>
                <w:sz w:val="20"/>
                <w:szCs w:val="20"/>
                <w:color w:val="auto"/>
              </w:rPr>
            </w:pPr>
            <w:r>
              <w:rPr>
                <w:rFonts w:ascii="Times New Roman" w:cs="Times New Roman" w:eastAsia="Times New Roman" w:hAnsi="Times New Roman"/>
                <w:sz w:val="17"/>
                <w:szCs w:val="17"/>
                <w:color w:val="auto"/>
                <w:w w:val="99"/>
              </w:rPr>
              <w:t>2023</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313,418</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450,019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165,000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4,441</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932,878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780" w:type="dxa"/>
            <w:vAlign w:val="bottom"/>
            <w:gridSpan w:val="2"/>
          </w:tcPr>
          <w:p>
            <w:pPr>
              <w:jc w:val="center"/>
              <w:ind w:left="36"/>
              <w:spacing w:after="0"/>
              <w:rPr>
                <w:sz w:val="20"/>
                <w:szCs w:val="20"/>
                <w:color w:val="auto"/>
              </w:rPr>
            </w:pPr>
            <w:r>
              <w:rPr>
                <w:rFonts w:ascii="Times New Roman" w:cs="Times New Roman" w:eastAsia="Times New Roman" w:hAnsi="Times New Roman"/>
                <w:sz w:val="17"/>
                <w:szCs w:val="17"/>
                <w:color w:val="auto"/>
                <w:w w:val="99"/>
              </w:rPr>
              <w:t>2022</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304,831</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449,972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157,802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4,123</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916,728</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080" w:type="dxa"/>
            <w:vAlign w:val="bottom"/>
          </w:tcPr>
          <w:p>
            <w:pPr>
              <w:spacing w:after="0"/>
              <w:rPr>
                <w:sz w:val="17"/>
                <w:szCs w:val="17"/>
                <w:color w:val="auto"/>
              </w:rPr>
            </w:pPr>
          </w:p>
        </w:tc>
        <w:tc>
          <w:tcPr>
            <w:tcW w:w="78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Kathy J. Claypatch</w:t>
            </w:r>
          </w:p>
        </w:tc>
        <w:tc>
          <w:tcPr>
            <w:tcW w:w="780" w:type="dxa"/>
            <w:vAlign w:val="bottom"/>
            <w:gridSpan w:val="2"/>
            <w:shd w:val="clear" w:color="auto" w:fill="CCEEFF"/>
          </w:tcPr>
          <w:p>
            <w:pPr>
              <w:jc w:val="center"/>
              <w:ind w:left="36"/>
              <w:spacing w:after="0"/>
              <w:rPr>
                <w:sz w:val="20"/>
                <w:szCs w:val="20"/>
                <w:color w:val="auto"/>
              </w:rPr>
            </w:pPr>
            <w:r>
              <w:rPr>
                <w:rFonts w:ascii="Times New Roman" w:cs="Times New Roman" w:eastAsia="Times New Roman" w:hAnsi="Times New Roman"/>
                <w:sz w:val="17"/>
                <w:szCs w:val="17"/>
                <w:color w:val="auto"/>
                <w:w w:val="99"/>
              </w:rPr>
              <w:t>2024</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322,821</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252,169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88,999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2,194</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666,183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i w:val="1"/>
                <w:iCs w:val="1"/>
                <w:color w:val="auto"/>
              </w:rPr>
              <w:t>Chief Information Officer</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2023</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313,418</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252,219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90,161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2,114</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657,912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2022</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304,831</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252,207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82,657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2,035</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641,730</w:t>
            </w:r>
          </w:p>
        </w:tc>
        <w:tc>
          <w:tcPr>
            <w:tcW w:w="0" w:type="dxa"/>
            <w:vAlign w:val="bottom"/>
          </w:tcPr>
          <w:p>
            <w:pPr>
              <w:spacing w:after="0"/>
              <w:rPr>
                <w:sz w:val="1"/>
                <w:szCs w:val="1"/>
                <w:color w:val="auto"/>
              </w:rPr>
            </w:pPr>
          </w:p>
        </w:tc>
      </w:tr>
      <w:tr>
        <w:trPr>
          <w:trHeight w:val="384"/>
        </w:trPr>
        <w:tc>
          <w:tcPr>
            <w:tcW w:w="3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xml:space="preserve">Daniel J. Briggs </w:t>
            </w:r>
            <w:r>
              <w:rPr>
                <w:rFonts w:ascii="Times New Roman" w:cs="Times New Roman" w:eastAsia="Times New Roman" w:hAnsi="Times New Roman"/>
                <w:sz w:val="20"/>
                <w:szCs w:val="20"/>
                <w:b w:val="1"/>
                <w:bCs w:val="1"/>
                <w:color w:val="auto"/>
                <w:vertAlign w:val="superscript"/>
              </w:rPr>
              <w:t>(5)</w:t>
            </w:r>
          </w:p>
        </w:tc>
        <w:tc>
          <w:tcPr>
            <w:tcW w:w="780" w:type="dxa"/>
            <w:vAlign w:val="bottom"/>
            <w:gridSpan w:val="2"/>
          </w:tcPr>
          <w:p>
            <w:pPr>
              <w:jc w:val="center"/>
              <w:ind w:left="36"/>
              <w:spacing w:after="0"/>
              <w:rPr>
                <w:sz w:val="20"/>
                <w:szCs w:val="20"/>
                <w:color w:val="auto"/>
              </w:rPr>
            </w:pPr>
            <w:r>
              <w:rPr>
                <w:rFonts w:ascii="Times New Roman" w:cs="Times New Roman" w:eastAsia="Times New Roman" w:hAnsi="Times New Roman"/>
                <w:sz w:val="17"/>
                <w:szCs w:val="17"/>
                <w:color w:val="auto"/>
                <w:w w:val="99"/>
              </w:rPr>
              <w:t>2024</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158,442</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499,899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615,203</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1,273,544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80" w:type="dxa"/>
            <w:vAlign w:val="bottom"/>
          </w:tcPr>
          <w:p>
            <w:pPr>
              <w:ind w:left="120"/>
              <w:spacing w:after="0"/>
              <w:rPr>
                <w:sz w:val="20"/>
                <w:szCs w:val="20"/>
                <w:color w:val="auto"/>
              </w:rPr>
            </w:pPr>
            <w:r>
              <w:rPr>
                <w:rFonts w:ascii="Times New Roman" w:cs="Times New Roman" w:eastAsia="Times New Roman" w:hAnsi="Times New Roman"/>
                <w:sz w:val="17"/>
                <w:szCs w:val="17"/>
                <w:i w:val="1"/>
                <w:iCs w:val="1"/>
                <w:color w:val="auto"/>
              </w:rPr>
              <w:t>Former Orbis Education CEO</w:t>
            </w:r>
          </w:p>
        </w:tc>
        <w:tc>
          <w:tcPr>
            <w:tcW w:w="780" w:type="dxa"/>
            <w:vAlign w:val="bottom"/>
            <w:gridSpan w:val="2"/>
          </w:tcPr>
          <w:p>
            <w:pPr>
              <w:jc w:val="center"/>
              <w:ind w:left="36"/>
              <w:spacing w:after="0"/>
              <w:rPr>
                <w:sz w:val="20"/>
                <w:szCs w:val="20"/>
                <w:color w:val="auto"/>
              </w:rPr>
            </w:pPr>
            <w:r>
              <w:rPr>
                <w:rFonts w:ascii="Times New Roman" w:cs="Times New Roman" w:eastAsia="Times New Roman" w:hAnsi="Times New Roman"/>
                <w:sz w:val="17"/>
                <w:szCs w:val="17"/>
                <w:color w:val="auto"/>
                <w:w w:val="99"/>
              </w:rPr>
              <w:t>2023</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302,904</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500,034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87,750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5,964</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896,652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780" w:type="dxa"/>
            <w:vAlign w:val="bottom"/>
            <w:gridSpan w:val="2"/>
          </w:tcPr>
          <w:p>
            <w:pPr>
              <w:jc w:val="center"/>
              <w:ind w:left="36"/>
              <w:spacing w:after="0"/>
              <w:rPr>
                <w:sz w:val="20"/>
                <w:szCs w:val="20"/>
                <w:color w:val="auto"/>
              </w:rPr>
            </w:pPr>
            <w:r>
              <w:rPr>
                <w:rFonts w:ascii="Times New Roman" w:cs="Times New Roman" w:eastAsia="Times New Roman" w:hAnsi="Times New Roman"/>
                <w:sz w:val="17"/>
                <w:szCs w:val="17"/>
                <w:color w:val="auto"/>
                <w:w w:val="99"/>
              </w:rPr>
              <w:t>2022</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299,850</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499,932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178,769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5,664</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984,215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193040</wp:posOffset>
            </wp:positionV>
            <wp:extent cx="1420495" cy="158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420495" cy="15875"/>
                    </a:xfrm>
                    <a:prstGeom prst="rect">
                      <a:avLst/>
                    </a:prstGeom>
                    <a:noFill/>
                  </pic:spPr>
                </pic:pic>
              </a:graphicData>
            </a:graphic>
          </wp:anchor>
        </w:drawing>
      </w:r>
    </w:p>
    <w:p>
      <w:pPr>
        <w:spacing w:after="0" w:line="368" w:lineRule="exact"/>
        <w:rPr>
          <w:sz w:val="20"/>
          <w:szCs w:val="20"/>
          <w:color w:val="auto"/>
        </w:rPr>
      </w:pPr>
    </w:p>
    <w:p>
      <w:pPr>
        <w:ind w:left="340" w:hanging="295"/>
        <w:spacing w:after="0"/>
        <w:tabs>
          <w:tab w:leader="none" w:pos="34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in this column reflect the base salary cash payments made in each year.</w:t>
      </w:r>
    </w:p>
    <w:p>
      <w:pPr>
        <w:spacing w:after="0" w:line="107" w:lineRule="exact"/>
        <w:rPr>
          <w:rFonts w:ascii="Times New Roman" w:cs="Times New Roman" w:eastAsia="Times New Roman" w:hAnsi="Times New Roman"/>
          <w:sz w:val="17"/>
          <w:szCs w:val="17"/>
          <w:color w:val="auto"/>
        </w:rPr>
      </w:pPr>
    </w:p>
    <w:p>
      <w:pPr>
        <w:ind w:left="340" w:right="239" w:hanging="295"/>
        <w:spacing w:after="0" w:line="253" w:lineRule="auto"/>
        <w:tabs>
          <w:tab w:leader="none" w:pos="34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shown in this column reflect the compensation costs attributable to the restricted stock awards granted in 2024, 2023 and 2022. The compensation costs are based on the grant date fair value of each restricted stock award and do not take into account any estimated forfeitures related to service-based vesting conditions, if any. Assumptions used in the calculation of the grant date fair value of each restricted stock award granted during the 2024, 2023, and 2022 fiscal years are set forth in Notes 2 and 11 to our financial statements for the fiscal year ended December 31, 2024 included in our Annual Report on Form 10-K for the year ended December 31, 2024.</w:t>
      </w:r>
    </w:p>
    <w:p>
      <w:pPr>
        <w:spacing w:after="0" w:line="77" w:lineRule="exact"/>
        <w:rPr>
          <w:rFonts w:ascii="Times New Roman" w:cs="Times New Roman" w:eastAsia="Times New Roman" w:hAnsi="Times New Roman"/>
          <w:sz w:val="17"/>
          <w:szCs w:val="17"/>
          <w:color w:val="auto"/>
        </w:rPr>
      </w:pPr>
    </w:p>
    <w:p>
      <w:pPr>
        <w:ind w:left="340" w:right="119" w:hanging="295"/>
        <w:spacing w:after="0" w:line="261" w:lineRule="auto"/>
        <w:tabs>
          <w:tab w:leader="none" w:pos="340" w:val="left"/>
        </w:tabs>
        <w:numPr>
          <w:ilvl w:val="0"/>
          <w:numId w:val="50"/>
        </w:numPr>
        <w:rPr>
          <w:rFonts w:ascii="Arial" w:cs="Arial" w:eastAsia="Arial" w:hAnsi="Arial"/>
          <w:sz w:val="17"/>
          <w:szCs w:val="17"/>
          <w:color w:val="auto"/>
        </w:rPr>
      </w:pPr>
      <w:r>
        <w:rPr>
          <w:rFonts w:ascii="Times New Roman" w:cs="Times New Roman" w:eastAsia="Times New Roman" w:hAnsi="Times New Roman"/>
          <w:sz w:val="17"/>
          <w:szCs w:val="17"/>
          <w:color w:val="auto"/>
        </w:rPr>
        <w:t>The amounts in this column reflect non-equity incentive payments earned pursuant to our Annual Cash Incentive Plan in 2024, 2023 and 2022, except for Ms. Claypatch in 2024, 2023 and 2022 and Mr. Briggs in 2023 and 2022, whose non-equity incentive payments were based on the Senior Management Plan.</w:t>
      </w:r>
    </w:p>
    <w:p>
      <w:pPr>
        <w:spacing w:after="0" w:line="69" w:lineRule="exact"/>
        <w:rPr>
          <w:rFonts w:ascii="Arial" w:cs="Arial" w:eastAsia="Arial" w:hAnsi="Arial"/>
          <w:sz w:val="17"/>
          <w:szCs w:val="17"/>
          <w:color w:val="auto"/>
        </w:rPr>
      </w:pPr>
    </w:p>
    <w:p>
      <w:pPr>
        <w:ind w:left="340" w:right="299" w:hanging="295"/>
        <w:spacing w:after="0" w:line="257" w:lineRule="auto"/>
        <w:tabs>
          <w:tab w:leader="none" w:pos="34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2024, 2023, and 2022, the amounts in this column include company paid life insurance premiums for all named executive officers. For Dr. Meyer and, Ms. Marsh, the amounts in this column also reflect matching payments made by the Company under our 401(k) plan. For Mr. Briggs amounts in this column in 2023 and 2022 reflect matching payments made by the Company under our 401(k) plan.</w:t>
      </w:r>
    </w:p>
    <w:p>
      <w:pPr>
        <w:spacing w:after="0" w:line="72" w:lineRule="exact"/>
        <w:rPr>
          <w:rFonts w:ascii="Times New Roman" w:cs="Times New Roman" w:eastAsia="Times New Roman" w:hAnsi="Times New Roman"/>
          <w:sz w:val="17"/>
          <w:szCs w:val="17"/>
          <w:color w:val="auto"/>
        </w:rPr>
      </w:pPr>
    </w:p>
    <w:p>
      <w:pPr>
        <w:ind w:left="340" w:right="119" w:hanging="295"/>
        <w:spacing w:after="0" w:line="275" w:lineRule="auto"/>
        <w:tabs>
          <w:tab w:leader="none" w:pos="34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Briggs resigned from his position with the Company effective June 30, 2024. The amounts shown for Mr. Briggs for 2024 give effect to his base salary of $302,904 prorated based on his last day of employment. The</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335915</wp:posOffset>
            </wp:positionV>
            <wp:extent cx="5664835" cy="241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64835" cy="24130"/>
                    </a:xfrm>
                    <a:prstGeom prst="rect">
                      <a:avLst/>
                    </a:prstGeom>
                    <a:noFill/>
                  </pic:spPr>
                </pic:pic>
              </a:graphicData>
            </a:graphic>
          </wp:anchor>
        </w:drawing>
      </w:r>
    </w:p>
    <w:p>
      <w:pPr>
        <w:sectPr>
          <w:pgSz w:w="11900" w:h="16838" w:orient="portrait"/>
          <w:cols w:equalWidth="0" w:num="1">
            <w:col w:w="9019"/>
          </w:cols>
          <w:pgMar w:left="1440" w:top="490" w:right="1440" w:bottom="1440" w:gutter="0" w:footer="0" w:header="0"/>
        </w:sectPr>
      </w:pPr>
    </w:p>
    <w:bookmarkStart w:id="46" w:name="page47"/>
    <w:bookmarkEnd w:id="4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40" w:right="79"/>
        <w:spacing w:after="0" w:line="268" w:lineRule="auto"/>
        <w:rPr>
          <w:sz w:val="20"/>
          <w:szCs w:val="20"/>
          <w:color w:val="auto"/>
        </w:rPr>
      </w:pPr>
      <w:r>
        <w:rPr>
          <w:rFonts w:ascii="Times New Roman" w:cs="Times New Roman" w:eastAsia="Times New Roman" w:hAnsi="Times New Roman"/>
          <w:sz w:val="16"/>
          <w:szCs w:val="16"/>
          <w:color w:val="auto"/>
        </w:rPr>
        <w:t>amounts included in All Other Compensation consist of severance payments for salary continuation of $198,053 with $104,851 remaining to be paid; severance bonus payments of $147,115 with $77,885 remaining to be paid; severance COBRA payments of $14,348 with $2,870 remaining to be paid; restricted stock awards that were accelerated upon his termination and would have otherwise vested on March 1, 2025 had he remained employed through such date in the amount of $228,891 (which is equal to the fair value of the accelerated shares on the date of resignation less the fair value of those shares on the grant date as reported in the “Stock Awards” colum); and accrued paid time off payments of $26,796. The amount of severance not yet paid is subject to forfeiture if Mr. Briggs were to violate the continuing obligations of his employment agreement, including his non-compete obligation, so performance is therefore not complete. Restricted stock award compensation was calculated by taking the fair market value on the date of modification (e.g. the date of his resignation), less the fair market value at the grant dates for the shares that would have vested on March 1, 2025 for Mr. Briggs.</w:t>
      </w:r>
    </w:p>
    <w:p>
      <w:pPr>
        <w:spacing w:after="0" w:line="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2024 Grants of Plan-Based Awards</w:t>
      </w:r>
    </w:p>
    <w:p>
      <w:pPr>
        <w:spacing w:after="0" w:line="112" w:lineRule="exact"/>
        <w:rPr>
          <w:sz w:val="20"/>
          <w:szCs w:val="20"/>
          <w:color w:val="auto"/>
        </w:rPr>
      </w:pPr>
    </w:p>
    <w:p>
      <w:pPr>
        <w:ind w:left="40" w:right="219" w:firstLine="606"/>
        <w:spacing w:after="0" w:line="275" w:lineRule="auto"/>
        <w:rPr>
          <w:sz w:val="20"/>
          <w:szCs w:val="20"/>
          <w:color w:val="auto"/>
        </w:rPr>
      </w:pPr>
      <w:r>
        <w:rPr>
          <w:rFonts w:ascii="Times New Roman" w:cs="Times New Roman" w:eastAsia="Times New Roman" w:hAnsi="Times New Roman"/>
          <w:sz w:val="17"/>
          <w:szCs w:val="17"/>
          <w:color w:val="auto"/>
        </w:rPr>
        <w:t>The following table sets forth certain information with respect to incentive plan awards under our Annual Cash Incentive Plan and our 2017 Plan for the fiscal year ended December 31, 2024 to each of our named executive officers:</w:t>
      </w:r>
    </w:p>
    <w:p>
      <w:pPr>
        <w:spacing w:after="0" w:line="62" w:lineRule="exact"/>
        <w:rPr>
          <w:sz w:val="20"/>
          <w:szCs w:val="20"/>
          <w:color w:val="auto"/>
        </w:rPr>
      </w:pPr>
    </w:p>
    <w:p>
      <w:pPr>
        <w:jc w:val="center"/>
        <w:ind w:left="1660"/>
        <w:spacing w:after="0"/>
        <w:rPr>
          <w:sz w:val="20"/>
          <w:szCs w:val="20"/>
          <w:color w:val="auto"/>
        </w:rPr>
      </w:pPr>
      <w:r>
        <w:rPr>
          <w:rFonts w:ascii="Times New Roman" w:cs="Times New Roman" w:eastAsia="Times New Roman" w:hAnsi="Times New Roman"/>
          <w:sz w:val="13"/>
          <w:szCs w:val="13"/>
          <w:b w:val="1"/>
          <w:bCs w:val="1"/>
          <w:color w:val="auto"/>
        </w:rPr>
        <w:t>Estimated Future Payouts Under Non-</w:t>
      </w:r>
    </w:p>
    <w:p>
      <w:pPr>
        <w:jc w:val="center"/>
        <w:ind w:left="1660"/>
        <w:spacing w:after="0" w:line="188" w:lineRule="auto"/>
        <w:rPr>
          <w:sz w:val="20"/>
          <w:szCs w:val="20"/>
          <w:color w:val="auto"/>
        </w:rPr>
      </w:pPr>
      <w:r>
        <w:rPr>
          <w:rFonts w:ascii="Times New Roman" w:cs="Times New Roman" w:eastAsia="Times New Roman" w:hAnsi="Times New Roman"/>
          <w:sz w:val="12"/>
          <w:szCs w:val="12"/>
          <w:b w:val="1"/>
          <w:bCs w:val="1"/>
          <w:color w:val="auto"/>
        </w:rPr>
        <w:t>Equity Incentive Plan Awards</w:t>
      </w:r>
      <w:r>
        <w:rPr>
          <w:rFonts w:ascii="Times New Roman" w:cs="Times New Roman" w:eastAsia="Times New Roman" w:hAnsi="Times New Roman"/>
          <w:sz w:val="17"/>
          <w:szCs w:val="17"/>
          <w:b w:val="1"/>
          <w:bCs w:val="1"/>
          <w:color w:val="auto"/>
          <w:vertAlign w:val="superscript"/>
        </w:rPr>
        <w:t>(1)</w:t>
      </w:r>
    </w:p>
    <w:tbl>
      <w:tblPr>
        <w:tblLayout w:type="fixed"/>
        <w:tblInd w:w="40" w:type="dxa"/>
        <w:tblCellMar>
          <w:top w:w="0" w:type="dxa"/>
          <w:left w:w="0" w:type="dxa"/>
          <w:bottom w:w="0" w:type="dxa"/>
          <w:right w:w="0" w:type="dxa"/>
        </w:tblCellMar>
      </w:tblPr>
      <w:tr>
        <w:trPr>
          <w:trHeight w:val="107"/>
        </w:trPr>
        <w:tc>
          <w:tcPr>
            <w:tcW w:w="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rPr>
              <w:t>All Other</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Stock</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Grant Date</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Awards: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restart"/>
          </w:tcPr>
          <w:p>
            <w:pPr>
              <w:jc w:val="right"/>
              <w:ind w:right="138"/>
              <w:spacing w:after="0"/>
              <w:rPr>
                <w:sz w:val="20"/>
                <w:szCs w:val="20"/>
                <w:color w:val="auto"/>
              </w:rPr>
            </w:pPr>
            <w:r>
              <w:rPr>
                <w:rFonts w:ascii="Times New Roman" w:cs="Times New Roman" w:eastAsia="Times New Roman" w:hAnsi="Times New Roman"/>
                <w:sz w:val="13"/>
                <w:szCs w:val="13"/>
                <w:b w:val="1"/>
                <w:bCs w:val="1"/>
                <w:color w:val="auto"/>
              </w:rPr>
              <w:t>Target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Maximum</w:t>
            </w:r>
          </w:p>
        </w:tc>
        <w:tc>
          <w:tcPr>
            <w:tcW w:w="88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40"/>
              <w:spacing w:after="0" w:line="139" w:lineRule="exact"/>
              <w:rPr>
                <w:sz w:val="20"/>
                <w:szCs w:val="20"/>
                <w:color w:val="auto"/>
              </w:rPr>
            </w:pPr>
            <w:r>
              <w:rPr>
                <w:rFonts w:ascii="Times New Roman" w:cs="Times New Roman" w:eastAsia="Times New Roman" w:hAnsi="Times New Roman"/>
                <w:sz w:val="13"/>
                <w:szCs w:val="13"/>
                <w:b w:val="1"/>
                <w:bCs w:val="1"/>
                <w:color w:val="auto"/>
              </w:rPr>
              <w:t>Fair Value</w:t>
            </w:r>
          </w:p>
        </w:tc>
        <w:tc>
          <w:tcPr>
            <w:tcW w:w="0" w:type="dxa"/>
            <w:vAlign w:val="bottom"/>
          </w:tcPr>
          <w:p>
            <w:pPr>
              <w:spacing w:after="0"/>
              <w:rPr>
                <w:sz w:val="1"/>
                <w:szCs w:val="1"/>
                <w:color w:val="auto"/>
              </w:rPr>
            </w:pPr>
          </w:p>
        </w:tc>
      </w:tr>
      <w:tr>
        <w:trPr>
          <w:trHeight w:val="139"/>
        </w:trPr>
        <w:tc>
          <w:tcPr>
            <w:tcW w:w="194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Grant Date</w:t>
            </w:r>
          </w:p>
        </w:tc>
        <w:tc>
          <w:tcPr>
            <w:tcW w:w="160" w:type="dxa"/>
            <w:vAlign w:val="bottom"/>
          </w:tcPr>
          <w:p>
            <w:pPr>
              <w:spacing w:after="0"/>
              <w:rPr>
                <w:sz w:val="12"/>
                <w:szCs w:val="12"/>
                <w:color w:val="auto"/>
              </w:rPr>
            </w:pP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u w:val="single" w:color="auto"/>
                <w:color w:val="auto"/>
              </w:rPr>
              <w:t>Threshold($</w:t>
            </w: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8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60"/>
              <w:spacing w:after="0" w:line="139" w:lineRule="exact"/>
              <w:rPr>
                <w:sz w:val="20"/>
                <w:szCs w:val="20"/>
                <w:color w:val="auto"/>
              </w:rPr>
            </w:pPr>
            <w:r>
              <w:rPr>
                <w:rFonts w:ascii="Times New Roman" w:cs="Times New Roman" w:eastAsia="Times New Roman" w:hAnsi="Times New Roman"/>
                <w:sz w:val="13"/>
                <w:szCs w:val="13"/>
                <w:b w:val="1"/>
                <w:bCs w:val="1"/>
                <w:color w:val="auto"/>
              </w:rPr>
              <w:t>of Stock</w:t>
            </w:r>
          </w:p>
        </w:tc>
        <w:tc>
          <w:tcPr>
            <w:tcW w:w="0" w:type="dxa"/>
            <w:vAlign w:val="bottom"/>
          </w:tcPr>
          <w:p>
            <w:pPr>
              <w:spacing w:after="0"/>
              <w:rPr>
                <w:sz w:val="1"/>
                <w:szCs w:val="1"/>
                <w:color w:val="auto"/>
              </w:rPr>
            </w:pPr>
          </w:p>
        </w:tc>
      </w:tr>
      <w:tr>
        <w:trPr>
          <w:trHeight w:val="163"/>
        </w:trPr>
        <w:tc>
          <w:tcPr>
            <w:tcW w:w="1940" w:type="dxa"/>
            <w:vAlign w:val="bottom"/>
            <w:gridSpan w:val="3"/>
            <w:vMerge w:val="continue"/>
          </w:tcPr>
          <w:p>
            <w:pPr>
              <w:spacing w:after="0"/>
              <w:rPr>
                <w:sz w:val="14"/>
                <w:szCs w:val="14"/>
                <w:color w:val="auto"/>
              </w:rPr>
            </w:pPr>
          </w:p>
        </w:tc>
        <w:tc>
          <w:tcPr>
            <w:tcW w:w="18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258"/>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238"/>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of Stock (#)</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Awards(2)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Brian E. Mueller</w:t>
            </w:r>
          </w:p>
        </w:tc>
        <w:tc>
          <w:tcPr>
            <w:tcW w:w="160" w:type="dxa"/>
            <w:vAlign w:val="bottom"/>
            <w:tcBorders>
              <w:top w:val="single" w:sz="8" w:color="CCEEFF"/>
            </w:tcBorders>
            <w:shd w:val="clear" w:color="auto" w:fill="CCEEFF"/>
          </w:tcPr>
          <w:p>
            <w:pPr>
              <w:spacing w:after="0"/>
              <w:rPr>
                <w:sz w:val="16"/>
                <w:szCs w:val="16"/>
                <w:color w:val="auto"/>
              </w:rPr>
            </w:pPr>
          </w:p>
        </w:tc>
        <w:tc>
          <w:tcPr>
            <w:tcW w:w="1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160,500</w:t>
            </w: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321,000</w:t>
            </w: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481,500</w:t>
            </w:r>
          </w:p>
        </w:tc>
        <w:tc>
          <w:tcPr>
            <w:tcW w:w="18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January 31, 2024</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9,277</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1,211,483</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Dr. W. Stan Meyer</w:t>
            </w:r>
          </w:p>
        </w:tc>
        <w:tc>
          <w:tcPr>
            <w:tcW w:w="1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gridSpan w:val="2"/>
          </w:tcPr>
          <w:p>
            <w:pPr>
              <w:jc w:val="right"/>
              <w:ind w:right="4"/>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146,250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292,500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438,750</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January 31, 2024</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4,950</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646,421</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Daniel E. Bachus</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146,250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292,500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438,750</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January 31, 2024</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4,950</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646,421</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Dilek Marsh</w:t>
            </w:r>
          </w:p>
        </w:tc>
        <w:tc>
          <w:tcPr>
            <w:tcW w:w="1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gridSpan w:val="2"/>
          </w:tcPr>
          <w:p>
            <w:pPr>
              <w:jc w:val="right"/>
              <w:ind w:right="4"/>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55,000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165,000</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January 31, 2024</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3,445</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449,883</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Kathy J. Claypatch</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35,000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105,000</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January 31, 2024</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1,931</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252,169</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Daniel J. Briggs</w:t>
            </w:r>
          </w:p>
        </w:tc>
        <w:tc>
          <w:tcPr>
            <w:tcW w:w="1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January 31, 2024</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3,828</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499,899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June 30, 2024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5,209</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728,791</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340" w:right="119" w:hanging="295"/>
        <w:spacing w:after="0" w:line="262" w:lineRule="auto"/>
        <w:tabs>
          <w:tab w:leader="none" w:pos="34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amounts reflect the Threshold, Target and Maximum bonuses payable to our named executive officers under our Annual Cash Incentive Plan or Senior Management Plan, as applicable (based on their base salaries as in effect at year end). All such awards have been paid, and the actual amounts paid are set forth in the Summary Compensation Table above.</w:t>
      </w:r>
    </w:p>
    <w:p>
      <w:pPr>
        <w:spacing w:after="0" w:line="67" w:lineRule="exact"/>
        <w:rPr>
          <w:rFonts w:ascii="Times New Roman" w:cs="Times New Roman" w:eastAsia="Times New Roman" w:hAnsi="Times New Roman"/>
          <w:sz w:val="17"/>
          <w:szCs w:val="17"/>
          <w:color w:val="auto"/>
        </w:rPr>
      </w:pPr>
    </w:p>
    <w:p>
      <w:pPr>
        <w:ind w:left="340" w:right="159" w:hanging="295"/>
        <w:spacing w:after="0" w:line="252" w:lineRule="auto"/>
        <w:tabs>
          <w:tab w:leader="none" w:pos="34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shown in this column reflect the compensation costs attributable to the restricted stock awards granted in 2024. The compensation costs are based on the grant date fair value of each restricted stock award and do not take into account any estimated forfeitures related to service-based vesting conditions, if any. The amount for Mr. Briggs also includes the modification impact for awards that accelerated in connection with, and based on the date, of his resignation of June 30, 2024. Assumptions used in the calculation of the grant date fair value of each restricted stock award granted during the 2024 are set forth in Notes 2 and 11 to our financial statements for the fiscal year ended December 31, 2024 included in our 2024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335915</wp:posOffset>
            </wp:positionV>
            <wp:extent cx="5664835" cy="241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64835" cy="24130"/>
                    </a:xfrm>
                    <a:prstGeom prst="rect">
                      <a:avLst/>
                    </a:prstGeom>
                    <a:noFill/>
                  </pic:spPr>
                </pic:pic>
              </a:graphicData>
            </a:graphic>
          </wp:anchor>
        </w:drawing>
      </w:r>
    </w:p>
    <w:p>
      <w:pPr>
        <w:sectPr>
          <w:pgSz w:w="11900" w:h="16838" w:orient="portrait"/>
          <w:cols w:equalWidth="0" w:num="1">
            <w:col w:w="9019"/>
          </w:cols>
          <w:pgMar w:left="1440" w:top="490" w:right="1440" w:bottom="1440" w:gutter="0" w:footer="0" w:header="0"/>
        </w:sectPr>
      </w:pPr>
    </w:p>
    <w:bookmarkStart w:id="47" w:name="page48"/>
    <w:bookmarkEnd w:id="4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2024 Outstanding Equity Awards at Fiscal Year-End</w:t>
      </w:r>
    </w:p>
    <w:p>
      <w:pPr>
        <w:spacing w:after="0" w:line="112" w:lineRule="exact"/>
        <w:rPr>
          <w:sz w:val="20"/>
          <w:szCs w:val="20"/>
          <w:color w:val="auto"/>
        </w:rPr>
      </w:pPr>
    </w:p>
    <w:p>
      <w:pPr>
        <w:ind w:left="40" w:right="59" w:firstLine="606"/>
        <w:spacing w:after="0" w:line="262" w:lineRule="auto"/>
        <w:rPr>
          <w:sz w:val="20"/>
          <w:szCs w:val="20"/>
          <w:color w:val="auto"/>
        </w:rPr>
      </w:pPr>
      <w:r>
        <w:rPr>
          <w:rFonts w:ascii="Times New Roman" w:cs="Times New Roman" w:eastAsia="Times New Roman" w:hAnsi="Times New Roman"/>
          <w:sz w:val="17"/>
          <w:szCs w:val="17"/>
          <w:color w:val="auto"/>
        </w:rPr>
        <w:t>The following table provides certain summary information concerning outstanding unvested restricted stock awards held by the named executive officers as of December 31, 2024. The Company does not have any outstanding stock options or other types of equity incentive awards.</w:t>
      </w:r>
    </w:p>
    <w:p>
      <w:pPr>
        <w:spacing w:after="0" w:line="47" w:lineRule="exact"/>
        <w:rPr>
          <w:sz w:val="20"/>
          <w:szCs w:val="20"/>
          <w:color w:val="auto"/>
        </w:rPr>
      </w:pPr>
    </w:p>
    <w:tbl>
      <w:tblPr>
        <w:tblLayout w:type="fixed"/>
        <w:tblInd w:w="4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40" w:type="dxa"/>
            <w:vAlign w:val="bottom"/>
            <w:tcBorders>
              <w:bottom w:val="single" w:sz="8" w:color="auto"/>
            </w:tcBorders>
            <w:gridSpan w:val="3"/>
          </w:tcPr>
          <w:p>
            <w:pPr>
              <w:jc w:val="center"/>
              <w:ind w:left="1245"/>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1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0" w:type="dxa"/>
            <w:vAlign w:val="bottom"/>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320" w:type="dxa"/>
            <w:vAlign w:val="bottom"/>
          </w:tcPr>
          <w:p>
            <w:pPr>
              <w:jc w:val="center"/>
              <w:ind w:right="384"/>
              <w:spacing w:after="0" w:line="107" w:lineRule="exact"/>
              <w:rPr>
                <w:sz w:val="20"/>
                <w:szCs w:val="20"/>
                <w:color w:val="auto"/>
              </w:rPr>
            </w:pPr>
            <w:r>
              <w:rPr>
                <w:rFonts w:ascii="Times New Roman" w:cs="Times New Roman" w:eastAsia="Times New Roman" w:hAnsi="Times New Roman"/>
                <w:sz w:val="12"/>
                <w:szCs w:val="12"/>
                <w:b w:val="1"/>
                <w:bCs w:val="1"/>
                <w:color w:val="auto"/>
              </w:rPr>
              <w:t>Market Value</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Shares of</w:t>
            </w: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20" w:type="dxa"/>
            <w:vAlign w:val="bottom"/>
          </w:tcPr>
          <w:p>
            <w:pPr>
              <w:jc w:val="center"/>
              <w:ind w:right="404"/>
              <w:spacing w:after="0" w:line="139" w:lineRule="exact"/>
              <w:rPr>
                <w:sz w:val="20"/>
                <w:szCs w:val="20"/>
                <w:color w:val="auto"/>
              </w:rPr>
            </w:pPr>
            <w:r>
              <w:rPr>
                <w:rFonts w:ascii="Times New Roman" w:cs="Times New Roman" w:eastAsia="Times New Roman" w:hAnsi="Times New Roman"/>
                <w:sz w:val="13"/>
                <w:szCs w:val="13"/>
                <w:b w:val="1"/>
                <w:bCs w:val="1"/>
                <w:color w:val="auto"/>
              </w:rPr>
              <w:t>of Shares of</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Stock That</w:t>
            </w: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20" w:type="dxa"/>
            <w:vAlign w:val="bottom"/>
          </w:tcPr>
          <w:p>
            <w:pPr>
              <w:jc w:val="center"/>
              <w:ind w:right="384"/>
              <w:spacing w:after="0" w:line="139" w:lineRule="exact"/>
              <w:rPr>
                <w:sz w:val="20"/>
                <w:szCs w:val="20"/>
                <w:color w:val="auto"/>
              </w:rPr>
            </w:pPr>
            <w:r>
              <w:rPr>
                <w:rFonts w:ascii="Times New Roman" w:cs="Times New Roman" w:eastAsia="Times New Roman" w:hAnsi="Times New Roman"/>
                <w:sz w:val="13"/>
                <w:szCs w:val="13"/>
                <w:b w:val="1"/>
                <w:bCs w:val="1"/>
                <w:color w:val="auto"/>
              </w:rPr>
              <w:t>Stock That</w:t>
            </w:r>
          </w:p>
        </w:tc>
        <w:tc>
          <w:tcPr>
            <w:tcW w:w="0" w:type="dxa"/>
            <w:vAlign w:val="bottom"/>
          </w:tcPr>
          <w:p>
            <w:pPr>
              <w:spacing w:after="0"/>
              <w:rPr>
                <w:sz w:val="1"/>
                <w:szCs w:val="1"/>
                <w:color w:val="auto"/>
              </w:rPr>
            </w:pPr>
          </w:p>
        </w:tc>
      </w:tr>
      <w:tr>
        <w:trPr>
          <w:trHeight w:val="138"/>
        </w:trPr>
        <w:tc>
          <w:tcPr>
            <w:tcW w:w="546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40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rPr>
              <w:t>Have Not</w:t>
            </w: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20" w:type="dxa"/>
            <w:vAlign w:val="bottom"/>
          </w:tcPr>
          <w:p>
            <w:pPr>
              <w:jc w:val="center"/>
              <w:ind w:right="384"/>
              <w:spacing w:after="0" w:line="138" w:lineRule="exact"/>
              <w:rPr>
                <w:sz w:val="20"/>
                <w:szCs w:val="20"/>
                <w:color w:val="auto"/>
              </w:rPr>
            </w:pPr>
            <w:r>
              <w:rPr>
                <w:rFonts w:ascii="Times New Roman" w:cs="Times New Roman" w:eastAsia="Times New Roman" w:hAnsi="Times New Roman"/>
                <w:sz w:val="13"/>
                <w:szCs w:val="13"/>
                <w:b w:val="1"/>
                <w:bCs w:val="1"/>
                <w:color w:val="auto"/>
              </w:rPr>
              <w:t>Have Not</w:t>
            </w:r>
          </w:p>
        </w:tc>
        <w:tc>
          <w:tcPr>
            <w:tcW w:w="0" w:type="dxa"/>
            <w:vAlign w:val="bottom"/>
          </w:tcPr>
          <w:p>
            <w:pPr>
              <w:spacing w:after="0"/>
              <w:rPr>
                <w:sz w:val="1"/>
                <w:szCs w:val="1"/>
                <w:color w:val="auto"/>
              </w:rPr>
            </w:pPr>
          </w:p>
        </w:tc>
      </w:tr>
      <w:tr>
        <w:trPr>
          <w:trHeight w:val="164"/>
        </w:trPr>
        <w:tc>
          <w:tcPr>
            <w:tcW w:w="5460" w:type="dxa"/>
            <w:vAlign w:val="bottom"/>
            <w:gridSpan w:val="3"/>
            <w:vMerge w:val="continue"/>
          </w:tcPr>
          <w:p>
            <w:pPr>
              <w:spacing w:after="0"/>
              <w:rPr>
                <w:sz w:val="14"/>
                <w:szCs w:val="14"/>
                <w:color w:val="auto"/>
              </w:rPr>
            </w:pPr>
          </w:p>
        </w:tc>
        <w:tc>
          <w:tcPr>
            <w:tcW w:w="1400" w:type="dxa"/>
            <w:vAlign w:val="bottom"/>
          </w:tcPr>
          <w:p>
            <w:pPr>
              <w:jc w:val="center"/>
              <w:spacing w:after="0" w:line="164" w:lineRule="exact"/>
              <w:rPr>
                <w:sz w:val="20"/>
                <w:szCs w:val="20"/>
                <w:color w:val="auto"/>
              </w:rPr>
            </w:pPr>
            <w:r>
              <w:rPr>
                <w:rFonts w:ascii="Times New Roman" w:cs="Times New Roman" w:eastAsia="Times New Roman" w:hAnsi="Times New Roman"/>
                <w:sz w:val="13"/>
                <w:szCs w:val="13"/>
                <w:b w:val="1"/>
                <w:bCs w:val="1"/>
                <w:color w:val="auto"/>
                <w:w w:val="97"/>
              </w:rPr>
              <w:t xml:space="preserve">Vested </w:t>
            </w:r>
            <w:r>
              <w:rPr>
                <w:rFonts w:ascii="Times New Roman" w:cs="Times New Roman" w:eastAsia="Times New Roman" w:hAnsi="Times New Roman"/>
                <w:sz w:val="19"/>
                <w:szCs w:val="19"/>
                <w:b w:val="1"/>
                <w:bCs w:val="1"/>
                <w:color w:val="auto"/>
                <w:w w:val="97"/>
                <w:vertAlign w:val="superscript"/>
              </w:rPr>
              <w:t>(1)</w:t>
            </w: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20" w:type="dxa"/>
            <w:vAlign w:val="bottom"/>
          </w:tcPr>
          <w:p>
            <w:pPr>
              <w:jc w:val="center"/>
              <w:ind w:right="384"/>
              <w:spacing w:after="0" w:line="164" w:lineRule="exact"/>
              <w:rPr>
                <w:sz w:val="20"/>
                <w:szCs w:val="20"/>
                <w:color w:val="auto"/>
              </w:rPr>
            </w:pPr>
            <w:r>
              <w:rPr>
                <w:rFonts w:ascii="Times New Roman" w:cs="Times New Roman" w:eastAsia="Times New Roman" w:hAnsi="Times New Roman"/>
                <w:sz w:val="13"/>
                <w:szCs w:val="13"/>
                <w:b w:val="1"/>
                <w:bCs w:val="1"/>
                <w:color w:val="auto"/>
                <w:w w:val="97"/>
              </w:rPr>
              <w:t xml:space="preserve">Vested </w:t>
            </w:r>
            <w:r>
              <w:rPr>
                <w:rFonts w:ascii="Times New Roman" w:cs="Times New Roman" w:eastAsia="Times New Roman" w:hAnsi="Times New Roman"/>
                <w:sz w:val="19"/>
                <w:szCs w:val="19"/>
                <w:b w:val="1"/>
                <w:bCs w:val="1"/>
                <w:color w:val="auto"/>
                <w:w w:val="97"/>
                <w:vertAlign w:val="superscript"/>
              </w:rPr>
              <w:t>(2)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Brian E. Mueller</w:t>
            </w:r>
          </w:p>
        </w:tc>
        <w:tc>
          <w:tcPr>
            <w:tcW w:w="28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35,143</w:t>
            </w:r>
          </w:p>
        </w:tc>
        <w:tc>
          <w:tcPr>
            <w:tcW w:w="28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jc w:val="center"/>
              <w:ind w:right="296"/>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5,756,423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Dr. W. Stan Meyer</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18,752</w:t>
            </w:r>
          </w:p>
        </w:tc>
        <w:tc>
          <w:tcPr>
            <w:tcW w:w="740" w:type="dxa"/>
            <w:vAlign w:val="bottom"/>
            <w:gridSpan w:val="2"/>
          </w:tcPr>
          <w:p>
            <w:pPr>
              <w:jc w:val="center"/>
              <w:ind w:right="16"/>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3,071,578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Daniel E. Bachus</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18,752</w:t>
            </w:r>
          </w:p>
        </w:tc>
        <w:tc>
          <w:tcPr>
            <w:tcW w:w="740" w:type="dxa"/>
            <w:vAlign w:val="bottom"/>
            <w:gridSpan w:val="2"/>
            <w:shd w:val="clear" w:color="auto" w:fill="CCEEFF"/>
          </w:tcPr>
          <w:p>
            <w:pPr>
              <w:jc w:val="center"/>
              <w:ind w:right="16"/>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3,071,578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Dilek Marsh</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12,478</w:t>
            </w:r>
          </w:p>
        </w:tc>
        <w:tc>
          <w:tcPr>
            <w:tcW w:w="740" w:type="dxa"/>
            <w:vAlign w:val="bottom"/>
            <w:gridSpan w:val="2"/>
          </w:tcPr>
          <w:p>
            <w:pPr>
              <w:jc w:val="center"/>
              <w:ind w:right="16"/>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2,043,896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Kathy J. Claypatch</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7,121</w:t>
            </w:r>
          </w:p>
        </w:tc>
        <w:tc>
          <w:tcPr>
            <w:tcW w:w="740" w:type="dxa"/>
            <w:vAlign w:val="bottom"/>
            <w:gridSpan w:val="2"/>
            <w:shd w:val="clear" w:color="auto" w:fill="CCEEFF"/>
          </w:tcPr>
          <w:p>
            <w:pPr>
              <w:jc w:val="center"/>
              <w:ind w:right="16"/>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1,166,420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Daniel J. Briggs</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740" w:type="dxa"/>
            <w:vAlign w:val="bottom"/>
            <w:gridSpan w:val="2"/>
          </w:tcPr>
          <w:p>
            <w:pPr>
              <w:jc w:val="center"/>
              <w:ind w:right="16"/>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53975</wp:posOffset>
            </wp:positionV>
            <wp:extent cx="142049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420495" cy="8255"/>
                    </a:xfrm>
                    <a:prstGeom prst="rect">
                      <a:avLst/>
                    </a:prstGeom>
                    <a:noFill/>
                  </pic:spPr>
                </pic:pic>
              </a:graphicData>
            </a:graphic>
          </wp:anchor>
        </w:drawing>
      </w:r>
    </w:p>
    <w:p>
      <w:pPr>
        <w:spacing w:after="0" w:line="150" w:lineRule="exact"/>
        <w:rPr>
          <w:sz w:val="20"/>
          <w:szCs w:val="20"/>
          <w:color w:val="auto"/>
        </w:rPr>
      </w:pPr>
    </w:p>
    <w:p>
      <w:pPr>
        <w:ind w:left="900" w:right="119" w:hanging="527"/>
        <w:spacing w:after="0" w:line="251" w:lineRule="auto"/>
        <w:tabs>
          <w:tab w:leader="none" w:pos="90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restricted stock awards granted to Mr. Mueller, Dr. Meyer, Mr. Bachus, Ms. Marsh, and Ms. Claypatch vest in five successive equal annual installments upon the completion of each year of service with us over the five year period measured from the respective date of grant, subject to fully accelerated vesting in the event of a termination of employment without Cause or by the executive for Good Reason (each as defined and discussed below) within twelve (12) months following a change in control of the Company. Mr. Mueller, Dr. Meyer, Mr. Bachus, Ms. Marsh, and Ms. Claypatch also receive partial accelerated vesting through the next annual vesting date immediately following the date of termination, upon the termination of employment by us without Cause or by the executive for Good Reason (as further discussed below). The following table sets forth the vesting schedule of the shares of restricted stock reported in this column for each named executive officer:</w:t>
      </w:r>
    </w:p>
    <w:p>
      <w:pPr>
        <w:spacing w:after="0" w:line="89" w:lineRule="exact"/>
        <w:rPr>
          <w:sz w:val="20"/>
          <w:szCs w:val="20"/>
          <w:color w:val="auto"/>
        </w:rPr>
      </w:pPr>
    </w:p>
    <w:tbl>
      <w:tblPr>
        <w:tblLayout w:type="fixed"/>
        <w:tblInd w:w="940" w:type="dxa"/>
        <w:tblCellMar>
          <w:top w:w="0" w:type="dxa"/>
          <w:left w:w="0" w:type="dxa"/>
          <w:bottom w:w="0" w:type="dxa"/>
          <w:right w:w="0" w:type="dxa"/>
        </w:tblCellMar>
      </w:tblPr>
      <w:tr>
        <w:trPr>
          <w:trHeight w:val="202"/>
        </w:trPr>
        <w:tc>
          <w:tcPr>
            <w:tcW w:w="1180" w:type="dxa"/>
            <w:vAlign w:val="bottom"/>
          </w:tcPr>
          <w:p>
            <w:pPr>
              <w:spacing w:after="0"/>
              <w:rPr>
                <w:sz w:val="17"/>
                <w:szCs w:val="17"/>
                <w:color w:val="auto"/>
              </w:rPr>
            </w:pPr>
          </w:p>
        </w:tc>
        <w:tc>
          <w:tcPr>
            <w:tcW w:w="1440" w:type="dxa"/>
            <w:vAlign w:val="bottom"/>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rPr>
              <w:t>Brian E. Mueller</w:t>
            </w:r>
          </w:p>
        </w:tc>
        <w:tc>
          <w:tcPr>
            <w:tcW w:w="1180" w:type="dxa"/>
            <w:vAlign w:val="bottom"/>
          </w:tcPr>
          <w:p>
            <w:pPr>
              <w:jc w:val="right"/>
              <w:ind w:right="196"/>
              <w:spacing w:after="0"/>
              <w:rPr>
                <w:sz w:val="20"/>
                <w:szCs w:val="20"/>
                <w:color w:val="auto"/>
              </w:rPr>
            </w:pPr>
            <w:r>
              <w:rPr>
                <w:rFonts w:ascii="Times New Roman" w:cs="Times New Roman" w:eastAsia="Times New Roman" w:hAnsi="Times New Roman"/>
                <w:sz w:val="17"/>
                <w:szCs w:val="17"/>
                <w:b w:val="1"/>
                <w:bCs w:val="1"/>
                <w:color w:val="auto"/>
              </w:rPr>
              <w:t>Dr. W. Stan</w:t>
            </w:r>
          </w:p>
        </w:tc>
        <w:tc>
          <w:tcPr>
            <w:tcW w:w="1120" w:type="dxa"/>
            <w:vAlign w:val="bottom"/>
          </w:tcPr>
          <w:p>
            <w:pPr>
              <w:jc w:val="right"/>
              <w:ind w:right="236"/>
              <w:spacing w:after="0"/>
              <w:rPr>
                <w:sz w:val="20"/>
                <w:szCs w:val="20"/>
                <w:color w:val="auto"/>
              </w:rPr>
            </w:pPr>
            <w:r>
              <w:rPr>
                <w:rFonts w:ascii="Times New Roman" w:cs="Times New Roman" w:eastAsia="Times New Roman" w:hAnsi="Times New Roman"/>
                <w:sz w:val="17"/>
                <w:szCs w:val="17"/>
                <w:b w:val="1"/>
                <w:bCs w:val="1"/>
                <w:color w:val="auto"/>
              </w:rPr>
              <w:t>Daniel E.</w:t>
            </w:r>
          </w:p>
        </w:tc>
        <w:tc>
          <w:tcPr>
            <w:tcW w:w="1160" w:type="dxa"/>
            <w:vAlign w:val="bottom"/>
          </w:tcPr>
          <w:p>
            <w:pPr>
              <w:spacing w:after="0"/>
              <w:rPr>
                <w:sz w:val="17"/>
                <w:szCs w:val="17"/>
                <w:color w:val="auto"/>
              </w:rPr>
            </w:pPr>
          </w:p>
        </w:tc>
        <w:tc>
          <w:tcPr>
            <w:tcW w:w="1040" w:type="dxa"/>
            <w:vAlign w:val="bottom"/>
          </w:tcPr>
          <w:p>
            <w:pPr>
              <w:jc w:val="right"/>
              <w:ind w:right="176"/>
              <w:spacing w:after="0"/>
              <w:rPr>
                <w:sz w:val="20"/>
                <w:szCs w:val="20"/>
                <w:color w:val="auto"/>
              </w:rPr>
            </w:pPr>
            <w:r>
              <w:rPr>
                <w:rFonts w:ascii="Times New Roman" w:cs="Times New Roman" w:eastAsia="Times New Roman" w:hAnsi="Times New Roman"/>
                <w:sz w:val="17"/>
                <w:szCs w:val="17"/>
                <w:b w:val="1"/>
                <w:bCs w:val="1"/>
                <w:color w:val="auto"/>
              </w:rPr>
              <w:t>Kathy J.</w:t>
            </w:r>
          </w:p>
        </w:tc>
      </w:tr>
      <w:tr>
        <w:trPr>
          <w:trHeight w:val="222"/>
        </w:trPr>
        <w:tc>
          <w:tcPr>
            <w:tcW w:w="1180" w:type="dxa"/>
            <w:vAlign w:val="bottom"/>
          </w:tcPr>
          <w:p>
            <w:pPr>
              <w:ind w:left="180"/>
              <w:spacing w:after="0"/>
              <w:rPr>
                <w:sz w:val="20"/>
                <w:szCs w:val="20"/>
                <w:color w:val="auto"/>
              </w:rPr>
            </w:pPr>
            <w:r>
              <w:rPr>
                <w:rFonts w:ascii="Times New Roman" w:cs="Times New Roman" w:eastAsia="Times New Roman" w:hAnsi="Times New Roman"/>
                <w:sz w:val="17"/>
                <w:szCs w:val="17"/>
                <w:b w:val="1"/>
                <w:bCs w:val="1"/>
                <w:color w:val="auto"/>
              </w:rPr>
              <w:t>Vesting Date</w:t>
            </w:r>
          </w:p>
        </w:tc>
        <w:tc>
          <w:tcPr>
            <w:tcW w:w="1440" w:type="dxa"/>
            <w:vAlign w:val="bottom"/>
          </w:tcPr>
          <w:p>
            <w:pPr>
              <w:spacing w:after="0"/>
              <w:rPr>
                <w:sz w:val="19"/>
                <w:szCs w:val="19"/>
                <w:color w:val="auto"/>
              </w:rPr>
            </w:pPr>
          </w:p>
        </w:tc>
        <w:tc>
          <w:tcPr>
            <w:tcW w:w="1180" w:type="dxa"/>
            <w:vAlign w:val="bottom"/>
          </w:tcPr>
          <w:p>
            <w:pPr>
              <w:jc w:val="right"/>
              <w:ind w:right="376"/>
              <w:spacing w:after="0"/>
              <w:rPr>
                <w:sz w:val="20"/>
                <w:szCs w:val="20"/>
                <w:color w:val="auto"/>
              </w:rPr>
            </w:pPr>
            <w:r>
              <w:rPr>
                <w:rFonts w:ascii="Times New Roman" w:cs="Times New Roman" w:eastAsia="Times New Roman" w:hAnsi="Times New Roman"/>
                <w:sz w:val="17"/>
                <w:szCs w:val="17"/>
                <w:b w:val="1"/>
                <w:bCs w:val="1"/>
                <w:color w:val="auto"/>
              </w:rPr>
              <w:t>Meyer</w:t>
            </w:r>
          </w:p>
        </w:tc>
        <w:tc>
          <w:tcPr>
            <w:tcW w:w="1120" w:type="dxa"/>
            <w:vAlign w:val="bottom"/>
          </w:tcPr>
          <w:p>
            <w:pPr>
              <w:jc w:val="right"/>
              <w:ind w:right="316"/>
              <w:spacing w:after="0"/>
              <w:rPr>
                <w:sz w:val="20"/>
                <w:szCs w:val="20"/>
                <w:color w:val="auto"/>
              </w:rPr>
            </w:pPr>
            <w:r>
              <w:rPr>
                <w:rFonts w:ascii="Times New Roman" w:cs="Times New Roman" w:eastAsia="Times New Roman" w:hAnsi="Times New Roman"/>
                <w:sz w:val="17"/>
                <w:szCs w:val="17"/>
                <w:b w:val="1"/>
                <w:bCs w:val="1"/>
                <w:color w:val="auto"/>
              </w:rPr>
              <w:t>Bachus</w:t>
            </w:r>
          </w:p>
        </w:tc>
        <w:tc>
          <w:tcPr>
            <w:tcW w:w="1160" w:type="dxa"/>
            <w:vAlign w:val="bottom"/>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rPr>
              <w:t>Dilek Marsh</w:t>
            </w:r>
          </w:p>
        </w:tc>
        <w:tc>
          <w:tcPr>
            <w:tcW w:w="1040" w:type="dxa"/>
            <w:vAlign w:val="bottom"/>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rPr>
              <w:t>Claypatch</w:t>
            </w:r>
          </w:p>
        </w:tc>
      </w:tr>
      <w:tr>
        <w:trPr>
          <w:trHeight w:val="203"/>
        </w:trPr>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March 1, 2025</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12,622</w:t>
            </w:r>
          </w:p>
        </w:tc>
        <w:tc>
          <w:tcPr>
            <w:tcW w:w="11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6,735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6,735</w:t>
            </w:r>
          </w:p>
        </w:tc>
        <w:tc>
          <w:tcPr>
            <w:tcW w:w="1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4,183</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2,432</w:t>
            </w:r>
          </w:p>
        </w:tc>
      </w:tr>
      <w:tr>
        <w:trPr>
          <w:trHeight w:val="202"/>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auto"/>
              </w:rPr>
              <w:t>March 1, 2026</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9,741</w:t>
            </w:r>
          </w:p>
        </w:tc>
        <w:tc>
          <w:tcPr>
            <w:tcW w:w="118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5,198</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5,198</w:t>
            </w:r>
          </w:p>
        </w:tc>
        <w:tc>
          <w:tcPr>
            <w:tcW w:w="11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3,548</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2,028</w:t>
            </w:r>
          </w:p>
        </w:tc>
      </w:tr>
      <w:tr>
        <w:trPr>
          <w:trHeight w:val="202"/>
        </w:trPr>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March 1, 2027</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6,922</w:t>
            </w:r>
          </w:p>
        </w:tc>
        <w:tc>
          <w:tcPr>
            <w:tcW w:w="11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3,693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3,693</w:t>
            </w:r>
          </w:p>
        </w:tc>
        <w:tc>
          <w:tcPr>
            <w:tcW w:w="1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2,571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1,441</w:t>
            </w:r>
          </w:p>
        </w:tc>
      </w:tr>
      <w:tr>
        <w:trPr>
          <w:trHeight w:val="202"/>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auto"/>
              </w:rPr>
              <w:t>March 1, 2028</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4,002</w:t>
            </w:r>
          </w:p>
        </w:tc>
        <w:tc>
          <w:tcPr>
            <w:tcW w:w="118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2,136</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2,136</w:t>
            </w:r>
          </w:p>
        </w:tc>
        <w:tc>
          <w:tcPr>
            <w:tcW w:w="11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1,487</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833</w:t>
            </w:r>
          </w:p>
        </w:tc>
      </w:tr>
      <w:tr>
        <w:trPr>
          <w:trHeight w:val="202"/>
        </w:trPr>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March 1, 2029</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1,856</w:t>
            </w:r>
          </w:p>
        </w:tc>
        <w:tc>
          <w:tcPr>
            <w:tcW w:w="11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990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990</w:t>
            </w:r>
          </w:p>
        </w:tc>
        <w:tc>
          <w:tcPr>
            <w:tcW w:w="1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689</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w:t>
            </w:r>
          </w:p>
        </w:tc>
      </w:tr>
    </w:tbl>
    <w:p>
      <w:pPr>
        <w:spacing w:after="0" w:line="47" w:lineRule="exact"/>
        <w:rPr>
          <w:sz w:val="20"/>
          <w:szCs w:val="20"/>
          <w:color w:val="auto"/>
        </w:rPr>
      </w:pPr>
    </w:p>
    <w:p>
      <w:pPr>
        <w:ind w:left="900" w:right="99" w:hanging="527"/>
        <w:spacing w:after="0" w:line="308" w:lineRule="auto"/>
        <w:tabs>
          <w:tab w:leader="none" w:pos="90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market value of the unvested shares is equal to the number of shares listed multiplied by $163.80, which was the closing market price of our common stock on December 31, 2024, the last trading day of the last completed fiscal year.</w:t>
      </w: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335915</wp:posOffset>
            </wp:positionV>
            <wp:extent cx="5664835" cy="241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64835" cy="24130"/>
                    </a:xfrm>
                    <a:prstGeom prst="rect">
                      <a:avLst/>
                    </a:prstGeom>
                    <a:noFill/>
                  </pic:spPr>
                </pic:pic>
              </a:graphicData>
            </a:graphic>
          </wp:anchor>
        </w:drawing>
      </w:r>
    </w:p>
    <w:p>
      <w:pPr>
        <w:sectPr>
          <w:pgSz w:w="11900" w:h="16838" w:orient="portrait"/>
          <w:cols w:equalWidth="0" w:num="1">
            <w:col w:w="9019"/>
          </w:cols>
          <w:pgMar w:left="1440" w:top="490" w:right="1440" w:bottom="1440" w:gutter="0" w:footer="0" w:header="0"/>
        </w:sectPr>
      </w:pPr>
    </w:p>
    <w:bookmarkStart w:id="48" w:name="page49"/>
    <w:bookmarkEnd w:id="4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2024 Stock Vested</w:t>
      </w:r>
    </w:p>
    <w:p>
      <w:pPr>
        <w:spacing w:after="0" w:line="112" w:lineRule="exact"/>
        <w:rPr>
          <w:sz w:val="20"/>
          <w:szCs w:val="20"/>
          <w:color w:val="auto"/>
        </w:rPr>
      </w:pPr>
    </w:p>
    <w:p>
      <w:pPr>
        <w:ind w:left="40" w:right="699" w:firstLine="606"/>
        <w:spacing w:after="0" w:line="275" w:lineRule="auto"/>
        <w:rPr>
          <w:sz w:val="20"/>
          <w:szCs w:val="20"/>
          <w:color w:val="auto"/>
        </w:rPr>
      </w:pPr>
      <w:r>
        <w:rPr>
          <w:rFonts w:ascii="Times New Roman" w:cs="Times New Roman" w:eastAsia="Times New Roman" w:hAnsi="Times New Roman"/>
          <w:sz w:val="17"/>
          <w:szCs w:val="17"/>
          <w:color w:val="auto"/>
        </w:rPr>
        <w:t>The following table provides certain summary information concerning restricted stock awards made to our named executive officers that vested, during the fiscal year ended December 31, 2024.</w:t>
      </w:r>
    </w:p>
    <w:p>
      <w:pPr>
        <w:spacing w:after="0" w:line="62" w:lineRule="exact"/>
        <w:rPr>
          <w:sz w:val="20"/>
          <w:szCs w:val="20"/>
          <w:color w:val="auto"/>
        </w:rPr>
      </w:pPr>
    </w:p>
    <w:tbl>
      <w:tblPr>
        <w:tblLayout w:type="fixed"/>
        <w:tblInd w:w="160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00" w:type="dxa"/>
            <w:vAlign w:val="bottom"/>
            <w:tcBorders>
              <w:bottom w:val="single" w:sz="8" w:color="auto"/>
            </w:tcBorders>
            <w:gridSpan w:val="4"/>
          </w:tcPr>
          <w:p>
            <w:pPr>
              <w:jc w:val="right"/>
              <w:ind w:right="761"/>
              <w:spacing w:after="0"/>
              <w:rPr>
                <w:sz w:val="20"/>
                <w:szCs w:val="20"/>
                <w:color w:val="auto"/>
              </w:rPr>
            </w:pPr>
            <w:r>
              <w:rPr>
                <w:rFonts w:ascii="Times New Roman" w:cs="Times New Roman" w:eastAsia="Times New Roman" w:hAnsi="Times New Roman"/>
                <w:sz w:val="13"/>
                <w:szCs w:val="13"/>
                <w:b w:val="1"/>
                <w:bCs w:val="1"/>
                <w:color w:val="auto"/>
              </w:rPr>
              <w:t>Restricted Stock Awards</w:t>
            </w:r>
          </w:p>
        </w:tc>
        <w:tc>
          <w:tcPr>
            <w:tcW w:w="0" w:type="dxa"/>
            <w:vAlign w:val="bottom"/>
          </w:tcPr>
          <w:p>
            <w:pPr>
              <w:spacing w:after="0"/>
              <w:rPr>
                <w:sz w:val="1"/>
                <w:szCs w:val="1"/>
                <w:color w:val="auto"/>
              </w:rPr>
            </w:pPr>
          </w:p>
        </w:tc>
      </w:tr>
      <w:tr>
        <w:trPr>
          <w:trHeight w:val="107"/>
        </w:trPr>
        <w:tc>
          <w:tcPr>
            <w:tcW w:w="272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620" w:type="dxa"/>
            <w:vAlign w:val="bottom"/>
          </w:tcPr>
          <w:p>
            <w:pPr>
              <w:jc w:val="right"/>
              <w:ind w:right="222"/>
              <w:spacing w:after="0" w:line="107" w:lineRule="exact"/>
              <w:rPr>
                <w:sz w:val="20"/>
                <w:szCs w:val="20"/>
                <w:color w:val="auto"/>
              </w:rPr>
            </w:pPr>
            <w:r>
              <w:rPr>
                <w:rFonts w:ascii="Times New Roman" w:cs="Times New Roman" w:eastAsia="Times New Roman" w:hAnsi="Times New Roman"/>
                <w:sz w:val="12"/>
                <w:szCs w:val="12"/>
                <w:b w:val="1"/>
                <w:bCs w:val="1"/>
                <w:color w:val="auto"/>
              </w:rPr>
              <w:t>Number of Shares</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tcPr>
          <w:p>
            <w:pPr>
              <w:jc w:val="right"/>
              <w:ind w:right="181"/>
              <w:spacing w:after="0" w:line="107" w:lineRule="exact"/>
              <w:rPr>
                <w:sz w:val="20"/>
                <w:szCs w:val="20"/>
                <w:color w:val="auto"/>
              </w:rPr>
            </w:pPr>
            <w:r>
              <w:rPr>
                <w:rFonts w:ascii="Times New Roman" w:cs="Times New Roman" w:eastAsia="Times New Roman" w:hAnsi="Times New Roman"/>
                <w:sz w:val="12"/>
                <w:szCs w:val="12"/>
                <w:b w:val="1"/>
                <w:bCs w:val="1"/>
                <w:color w:val="auto"/>
              </w:rPr>
              <w:t>Value Realized</w:t>
            </w:r>
          </w:p>
        </w:tc>
        <w:tc>
          <w:tcPr>
            <w:tcW w:w="0" w:type="dxa"/>
            <w:vAlign w:val="bottom"/>
          </w:tcPr>
          <w:p>
            <w:pPr>
              <w:spacing w:after="0"/>
              <w:rPr>
                <w:sz w:val="1"/>
                <w:szCs w:val="1"/>
                <w:color w:val="auto"/>
              </w:rPr>
            </w:pPr>
          </w:p>
        </w:tc>
      </w:tr>
      <w:tr>
        <w:trPr>
          <w:trHeight w:val="163"/>
        </w:trPr>
        <w:tc>
          <w:tcPr>
            <w:tcW w:w="2720" w:type="dxa"/>
            <w:vAlign w:val="bottom"/>
            <w:gridSpan w:val="3"/>
            <w:vMerge w:val="continue"/>
          </w:tcPr>
          <w:p>
            <w:pPr>
              <w:spacing w:after="0"/>
              <w:rPr>
                <w:sz w:val="14"/>
                <w:szCs w:val="14"/>
                <w:color w:val="auto"/>
              </w:rPr>
            </w:pPr>
          </w:p>
        </w:tc>
        <w:tc>
          <w:tcPr>
            <w:tcW w:w="1620" w:type="dxa"/>
            <w:vAlign w:val="bottom"/>
          </w:tcPr>
          <w:p>
            <w:pPr>
              <w:jc w:val="right"/>
              <w:ind w:right="62"/>
              <w:spacing w:after="0"/>
              <w:rPr>
                <w:sz w:val="20"/>
                <w:szCs w:val="20"/>
                <w:color w:val="auto"/>
              </w:rPr>
            </w:pPr>
            <w:r>
              <w:rPr>
                <w:rFonts w:ascii="Times New Roman" w:cs="Times New Roman" w:eastAsia="Times New Roman" w:hAnsi="Times New Roman"/>
                <w:sz w:val="13"/>
                <w:szCs w:val="13"/>
                <w:b w:val="1"/>
                <w:bCs w:val="1"/>
                <w:color w:val="auto"/>
              </w:rPr>
              <w:t>Acquired on Vesting (#)</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right"/>
              <w:ind w:right="141"/>
              <w:spacing w:after="0"/>
              <w:rPr>
                <w:sz w:val="20"/>
                <w:szCs w:val="20"/>
                <w:color w:val="auto"/>
              </w:rPr>
            </w:pPr>
            <w:r>
              <w:rPr>
                <w:rFonts w:ascii="Times New Roman" w:cs="Times New Roman" w:eastAsia="Times New Roman" w:hAnsi="Times New Roman"/>
                <w:sz w:val="13"/>
                <w:szCs w:val="13"/>
                <w:b w:val="1"/>
                <w:bCs w:val="1"/>
                <w:color w:val="auto"/>
              </w:rPr>
              <w:t>on Vesting ($)(1)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Mr. Brian E. Mueller</w:t>
            </w:r>
          </w:p>
        </w:tc>
        <w:tc>
          <w:tcPr>
            <w:tcW w:w="140" w:type="dxa"/>
            <w:vAlign w:val="bottom"/>
            <w:tcBorders>
              <w:top w:val="single" w:sz="8" w:color="CCEEFF"/>
            </w:tcBorders>
            <w:shd w:val="clear" w:color="auto" w:fill="CCEEFF"/>
          </w:tcPr>
          <w:p>
            <w:pPr>
              <w:spacing w:after="0"/>
              <w:rPr>
                <w:sz w:val="16"/>
                <w:szCs w:val="16"/>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13,384</w:t>
            </w: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1,802,959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Dr. W. Stan Meyer</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7,142</w:t>
            </w:r>
          </w:p>
        </w:tc>
        <w:tc>
          <w:tcPr>
            <w:tcW w:w="260" w:type="dxa"/>
            <w:vAlign w:val="bottom"/>
            <w:gridSpan w:val="2"/>
          </w:tcPr>
          <w:p>
            <w:pPr>
              <w:jc w:val="right"/>
              <w:ind w:right="7"/>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962,099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Mr. Daniel E. Bachus</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7,142</w:t>
            </w:r>
          </w:p>
        </w:tc>
        <w:tc>
          <w:tcPr>
            <w:tcW w:w="260" w:type="dxa"/>
            <w:vAlign w:val="bottom"/>
            <w:gridSpan w:val="2"/>
            <w:shd w:val="clear" w:color="auto" w:fill="CCEEFF"/>
          </w:tcPr>
          <w:p>
            <w:pPr>
              <w:jc w:val="right"/>
              <w:ind w:right="7"/>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962,099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Ms. Dilek Marsh</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4,069</w:t>
            </w:r>
          </w:p>
        </w:tc>
        <w:tc>
          <w:tcPr>
            <w:tcW w:w="260" w:type="dxa"/>
            <w:vAlign w:val="bottom"/>
            <w:gridSpan w:val="2"/>
          </w:tcPr>
          <w:p>
            <w:pPr>
              <w:jc w:val="right"/>
              <w:ind w:right="7"/>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548,135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Ms. Kathy J. Claypatch</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2,412</w:t>
            </w:r>
          </w:p>
        </w:tc>
        <w:tc>
          <w:tcPr>
            <w:tcW w:w="260" w:type="dxa"/>
            <w:vAlign w:val="bottom"/>
            <w:gridSpan w:val="2"/>
            <w:shd w:val="clear" w:color="auto" w:fill="CCEEFF"/>
          </w:tcPr>
          <w:p>
            <w:pPr>
              <w:jc w:val="right"/>
              <w:ind w:right="7"/>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324,921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xml:space="preserve">Mr. Daniel J. Briggs </w:t>
            </w:r>
            <w:r>
              <w:rPr>
                <w:rFonts w:ascii="Times New Roman" w:cs="Times New Roman" w:eastAsia="Times New Roman" w:hAnsi="Times New Roman"/>
                <w:sz w:val="13"/>
                <w:szCs w:val="13"/>
                <w:b w:val="1"/>
                <w:bCs w:val="1"/>
                <w:color w:val="auto"/>
              </w:rPr>
              <w:t>(2)</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10,183</w:t>
            </w:r>
          </w:p>
        </w:tc>
        <w:tc>
          <w:tcPr>
            <w:tcW w:w="260" w:type="dxa"/>
            <w:vAlign w:val="bottom"/>
            <w:gridSpan w:val="2"/>
          </w:tcPr>
          <w:p>
            <w:pPr>
              <w:jc w:val="right"/>
              <w:ind w:right="7"/>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1,444,365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53975</wp:posOffset>
            </wp:positionV>
            <wp:extent cx="1420495" cy="158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420495" cy="15875"/>
                    </a:xfrm>
                    <a:prstGeom prst="rect">
                      <a:avLst/>
                    </a:prstGeom>
                    <a:noFill/>
                  </pic:spPr>
                </pic:pic>
              </a:graphicData>
            </a:graphic>
          </wp:anchor>
        </w:drawing>
      </w:r>
    </w:p>
    <w:p>
      <w:pPr>
        <w:spacing w:after="0" w:line="150" w:lineRule="exact"/>
        <w:rPr>
          <w:sz w:val="20"/>
          <w:szCs w:val="20"/>
          <w:color w:val="auto"/>
        </w:rPr>
      </w:pPr>
    </w:p>
    <w:p>
      <w:pPr>
        <w:ind w:left="680" w:right="339" w:hanging="307"/>
        <w:spacing w:after="0" w:line="262" w:lineRule="auto"/>
        <w:tabs>
          <w:tab w:leader="none" w:pos="68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value realized on vesting of restricted stock equals the closing trading price of our common stock on the date of vesting (or if such day is not a trading day, the immediately preceding trading day), multiplied by the number of shares vesting.</w:t>
      </w:r>
    </w:p>
    <w:p>
      <w:pPr>
        <w:spacing w:after="0" w:line="67" w:lineRule="exact"/>
        <w:rPr>
          <w:rFonts w:ascii="Times New Roman" w:cs="Times New Roman" w:eastAsia="Times New Roman" w:hAnsi="Times New Roman"/>
          <w:sz w:val="17"/>
          <w:szCs w:val="17"/>
          <w:color w:val="auto"/>
        </w:rPr>
      </w:pPr>
    </w:p>
    <w:p>
      <w:pPr>
        <w:ind w:left="680" w:right="139" w:hanging="307"/>
        <w:spacing w:after="0" w:line="308" w:lineRule="auto"/>
        <w:tabs>
          <w:tab w:leader="none" w:pos="68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a result of the resignation by Mr. Briggs for Good Reason on June 30, 2024, 5,209 shares were accelerated and vested, and the value realized was $774,318. On March 1, 2024, 4,974 shares vested and the value realized was $670,047.</w:t>
      </w: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Pay Ratio Disclosure</w:t>
      </w:r>
    </w:p>
    <w:p>
      <w:pPr>
        <w:spacing w:after="0" w:line="112" w:lineRule="exact"/>
        <w:rPr>
          <w:sz w:val="20"/>
          <w:szCs w:val="20"/>
          <w:color w:val="auto"/>
        </w:rPr>
      </w:pPr>
    </w:p>
    <w:p>
      <w:pPr>
        <w:jc w:val="both"/>
        <w:ind w:left="40" w:right="59" w:firstLine="606"/>
        <w:spacing w:after="0" w:line="262" w:lineRule="auto"/>
        <w:rPr>
          <w:sz w:val="20"/>
          <w:szCs w:val="20"/>
          <w:color w:val="auto"/>
        </w:rPr>
      </w:pPr>
      <w:r>
        <w:rPr>
          <w:rFonts w:ascii="Times New Roman" w:cs="Times New Roman" w:eastAsia="Times New Roman" w:hAnsi="Times New Roman"/>
          <w:sz w:val="17"/>
          <w:szCs w:val="17"/>
          <w:color w:val="auto"/>
        </w:rPr>
        <w:t>Under Section 953(b) of the Dodd-Frank Wall Street Reform and Consumer Protection Act and Item 402(u) of Regulation S-K, we are required to provide the ratio of the annual total compensation of Mr. Mueller, our Chief Executive Officer, to the annual total compensation of the median employee of the Company (the “Pay Ratio Disclosure”).</w:t>
      </w:r>
    </w:p>
    <w:p>
      <w:pPr>
        <w:spacing w:after="0" w:line="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For 2024, our last completed fiscal year:</w:t>
      </w:r>
    </w:p>
    <w:p>
      <w:pPr>
        <w:spacing w:after="0" w:line="108" w:lineRule="exact"/>
        <w:rPr>
          <w:sz w:val="20"/>
          <w:szCs w:val="20"/>
          <w:color w:val="auto"/>
        </w:rPr>
      </w:pPr>
    </w:p>
    <w:p>
      <w:pPr>
        <w:ind w:left="1280" w:hanging="300"/>
        <w:spacing w:after="0"/>
        <w:tabs>
          <w:tab w:leader="none" w:pos="128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annual total compensation of our median employee (other than the Chief Executive Officer) was $60,496: and</w:t>
      </w:r>
    </w:p>
    <w:p>
      <w:pPr>
        <w:spacing w:after="0" w:line="119" w:lineRule="exact"/>
        <w:rPr>
          <w:rFonts w:ascii="Times New Roman" w:cs="Times New Roman" w:eastAsia="Times New Roman" w:hAnsi="Times New Roman"/>
          <w:sz w:val="16"/>
          <w:szCs w:val="16"/>
          <w:color w:val="auto"/>
        </w:rPr>
      </w:pPr>
    </w:p>
    <w:p>
      <w:pPr>
        <w:ind w:left="1280" w:right="519" w:hanging="300"/>
        <w:spacing w:after="0" w:line="275" w:lineRule="auto"/>
        <w:tabs>
          <w:tab w:leader="none" w:pos="128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annual total compensation of Mr. Mueller, as reported above in the Summary Compensation Table, was $2,006,779.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46990</wp:posOffset>
            </wp:positionV>
            <wp:extent cx="4517390" cy="2806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517390" cy="280670"/>
                    </a:xfrm>
                    <a:prstGeom prst="rect">
                      <a:avLst/>
                    </a:prstGeom>
                    <a:noFill/>
                  </pic:spPr>
                </pic:pic>
              </a:graphicData>
            </a:graphic>
          </wp:anchor>
        </w:drawing>
      </w:r>
    </w:p>
    <w:p>
      <w:pPr>
        <w:spacing w:after="0" w:line="59" w:lineRule="exact"/>
        <w:rPr>
          <w:sz w:val="20"/>
          <w:szCs w:val="20"/>
          <w:color w:val="auto"/>
        </w:rPr>
      </w:pPr>
    </w:p>
    <w:p>
      <w:pPr>
        <w:ind w:left="1080" w:right="1339"/>
        <w:spacing w:after="0" w:line="313" w:lineRule="auto"/>
        <w:rPr>
          <w:sz w:val="20"/>
          <w:szCs w:val="20"/>
          <w:color w:val="auto"/>
        </w:rPr>
      </w:pPr>
      <w:r>
        <w:rPr>
          <w:rFonts w:ascii="Times New Roman" w:cs="Times New Roman" w:eastAsia="Times New Roman" w:hAnsi="Times New Roman"/>
          <w:sz w:val="16"/>
          <w:szCs w:val="16"/>
          <w:i w:val="1"/>
          <w:iCs w:val="1"/>
          <w:color w:val="auto"/>
        </w:rPr>
        <w:t>Based on this information, for 2024 the ratio of the annual total compensation of Mr. Mueller, our Chief Executive Officer, to the annual total compensation of our median employee was 33.2 to 1.</w:t>
      </w:r>
    </w:p>
    <w:p>
      <w:pPr>
        <w:spacing w:after="0" w:line="143" w:lineRule="exact"/>
        <w:rPr>
          <w:sz w:val="20"/>
          <w:szCs w:val="20"/>
          <w:color w:val="auto"/>
        </w:rPr>
      </w:pPr>
    </w:p>
    <w:p>
      <w:pPr>
        <w:ind w:left="40" w:right="279" w:firstLine="606"/>
        <w:spacing w:after="0" w:line="275" w:lineRule="auto"/>
        <w:rPr>
          <w:sz w:val="20"/>
          <w:szCs w:val="20"/>
          <w:color w:val="auto"/>
        </w:rPr>
      </w:pPr>
      <w:r>
        <w:rPr>
          <w:rFonts w:ascii="Times New Roman" w:cs="Times New Roman" w:eastAsia="Times New Roman" w:hAnsi="Times New Roman"/>
          <w:sz w:val="17"/>
          <w:szCs w:val="17"/>
          <w:color w:val="auto"/>
        </w:rPr>
        <w:t>To identify the annual total compensation of all our employees, as well as to determine the annual total compensation of our median employee, we took the following steps:</w:t>
      </w:r>
    </w:p>
    <w:p>
      <w:pPr>
        <w:spacing w:after="0" w:line="57" w:lineRule="exact"/>
        <w:rPr>
          <w:sz w:val="20"/>
          <w:szCs w:val="20"/>
          <w:color w:val="auto"/>
        </w:rPr>
      </w:pPr>
    </w:p>
    <w:p>
      <w:pPr>
        <w:ind w:left="980" w:right="79" w:hanging="303"/>
        <w:spacing w:after="0" w:line="255" w:lineRule="auto"/>
        <w:tabs>
          <w:tab w:leader="none" w:pos="98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determined that, as of December 31, 2024, our employee population consisted of 5,344 individuals, all of whom were located in the United States and of which 4,085, or 76.4% were full-time employees, 2,218 or 41.5%, were full-time salaried employees, 1,259 or 23.5%, were student employees or adjunct employees. We selected the last paycheck of the year for 2024 as the date upon which we would identify the “median employee” because it enabled us to make such identification in a reasonably efficient and economical manner.</w:t>
      </w:r>
    </w:p>
    <w:p>
      <w:pPr>
        <w:spacing w:after="0" w:line="73" w:lineRule="exact"/>
        <w:rPr>
          <w:rFonts w:ascii="Times New Roman" w:cs="Times New Roman" w:eastAsia="Times New Roman" w:hAnsi="Times New Roman"/>
          <w:sz w:val="17"/>
          <w:szCs w:val="17"/>
          <w:color w:val="auto"/>
        </w:rPr>
      </w:pPr>
    </w:p>
    <w:p>
      <w:pPr>
        <w:ind w:left="980" w:right="79" w:hanging="303"/>
        <w:spacing w:after="0" w:line="252" w:lineRule="auto"/>
        <w:tabs>
          <w:tab w:leader="none" w:pos="98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identify the “median employee” from our employee population, we compared the amount of base salary of our employees as reflected in our payroll records and included as part of the total compensation reported to the Internal Revenue Service on Form W-2 for 2024. In making this determination, we annualized the compensation of approximately 715 full-time employees who were hired after January 1, 2024 but did not work for us for the entire fiscal year. We identified our median employee using this compensation measure, which was consistently applied to all our employees included in the calculation. Since all our employees are located in the United States, as is our Chief Executive Officer, we did not make any cost-of-living adjustments in identifying the “median employee.”</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335915</wp:posOffset>
            </wp:positionV>
            <wp:extent cx="5664835" cy="241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64835" cy="24130"/>
                    </a:xfrm>
                    <a:prstGeom prst="rect">
                      <a:avLst/>
                    </a:prstGeom>
                    <a:noFill/>
                  </pic:spPr>
                </pic:pic>
              </a:graphicData>
            </a:graphic>
          </wp:anchor>
        </w:drawing>
      </w:r>
    </w:p>
    <w:p>
      <w:pPr>
        <w:sectPr>
          <w:pgSz w:w="11900" w:h="16838" w:orient="portrait"/>
          <w:cols w:equalWidth="0" w:num="1">
            <w:col w:w="9019"/>
          </w:cols>
          <w:pgMar w:left="1440" w:top="490" w:right="1440" w:bottom="1440" w:gutter="0" w:footer="0" w:header="0"/>
        </w:sectPr>
      </w:pPr>
    </w:p>
    <w:bookmarkStart w:id="49" w:name="page50"/>
    <w:bookmarkEnd w:id="4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980" w:right="79" w:hanging="303"/>
        <w:spacing w:after="0" w:line="252" w:lineRule="auto"/>
        <w:tabs>
          <w:tab w:leader="none" w:pos="98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then combined all of the elements of such employee’s compensation for 2024 in accordance with the requirements of Item 402(c)(2)(x) of Regulation S-K, resulting in annual total compensation of $60,496. The difference between such employee’s base salary and the employee’s annual total compensation represents the employee’s overtime pay, annual bonus and company matching contributions on behalf of the employee to our 401(k) plan. Since we do not maintain a defined benefit or other actuarial plan for our employees, and do not otherwise provide a plan for payments or other benefits at, following, or in connection with retirement, the “median employee’s” annual total compensation did not include amounts attributable to those types of arrangements.</w:t>
      </w:r>
    </w:p>
    <w:p>
      <w:pPr>
        <w:spacing w:after="0" w:line="79" w:lineRule="exact"/>
        <w:rPr>
          <w:sz w:val="20"/>
          <w:szCs w:val="20"/>
          <w:color w:val="auto"/>
        </w:rPr>
      </w:pPr>
    </w:p>
    <w:p>
      <w:pPr>
        <w:ind w:left="40" w:right="119" w:firstLine="606"/>
        <w:spacing w:after="0" w:line="253" w:lineRule="auto"/>
        <w:rPr>
          <w:sz w:val="20"/>
          <w:szCs w:val="20"/>
          <w:color w:val="auto"/>
        </w:rPr>
      </w:pPr>
      <w:r>
        <w:rPr>
          <w:rFonts w:ascii="Times New Roman" w:cs="Times New Roman" w:eastAsia="Times New Roman" w:hAnsi="Times New Roman"/>
          <w:sz w:val="17"/>
          <w:szCs w:val="17"/>
          <w:color w:val="auto"/>
        </w:rPr>
        <w:t>Because the SEC rules for identifying the “median employee” and calculating the pay ratio based on that employee’s annual total compensation allow companies to adopt a variety of methodologies, to apply certain exclusions, and to make reasonable estimates and assumptions that reflect their compensation practices, the pay ratio reported by other companies including companies in our peer group may not be comparable to the pay ratio reported above. Other companies may have different employment and compensation practices, different geographic breadth, perform different types of work, and may utilize different methodologies, exclusions, estimates and assumptions in calculating their own pay ratios.</w:t>
      </w:r>
    </w:p>
    <w:p>
      <w:pPr>
        <w:spacing w:after="0" w:line="78" w:lineRule="exact"/>
        <w:rPr>
          <w:sz w:val="20"/>
          <w:szCs w:val="20"/>
          <w:color w:val="auto"/>
        </w:rPr>
      </w:pPr>
    </w:p>
    <w:p>
      <w:pPr>
        <w:ind w:left="40" w:right="139" w:firstLine="606"/>
        <w:spacing w:after="0" w:line="275" w:lineRule="auto"/>
        <w:rPr>
          <w:sz w:val="20"/>
          <w:szCs w:val="20"/>
          <w:color w:val="auto"/>
        </w:rPr>
      </w:pPr>
      <w:r>
        <w:rPr>
          <w:rFonts w:ascii="Times New Roman" w:cs="Times New Roman" w:eastAsia="Times New Roman" w:hAnsi="Times New Roman"/>
          <w:sz w:val="17"/>
          <w:szCs w:val="17"/>
          <w:color w:val="auto"/>
        </w:rPr>
        <w:t>This information is being provided for compliance purposes only. Neither the Compensation Committee nor management of the Company used the pay ratio measure in making compensation decisions.</w:t>
      </w:r>
    </w:p>
    <w:p>
      <w:pPr>
        <w:spacing w:after="0" w:line="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Executive Employment Agreements</w:t>
      </w:r>
    </w:p>
    <w:p>
      <w:pPr>
        <w:spacing w:after="0" w:line="112" w:lineRule="exact"/>
        <w:rPr>
          <w:sz w:val="20"/>
          <w:szCs w:val="20"/>
          <w:color w:val="auto"/>
        </w:rPr>
      </w:pPr>
    </w:p>
    <w:p>
      <w:pPr>
        <w:ind w:left="40" w:right="79" w:firstLine="606"/>
        <w:spacing w:after="0" w:line="254" w:lineRule="auto"/>
        <w:rPr>
          <w:sz w:val="20"/>
          <w:szCs w:val="20"/>
          <w:color w:val="auto"/>
        </w:rPr>
      </w:pPr>
      <w:r>
        <w:rPr>
          <w:rFonts w:ascii="Times New Roman" w:cs="Times New Roman" w:eastAsia="Times New Roman" w:hAnsi="Times New Roman"/>
          <w:sz w:val="17"/>
          <w:szCs w:val="17"/>
          <w:color w:val="auto"/>
        </w:rPr>
        <w:t>We are party to employment agreements with each of our named executive officers. Each of the agreements has a five-year term from the effective date. Prior to his resignation, Mr. Briggs had an employment agreement with a three-year term that automatically renewed for one-year periods after the initial term unless either party provided written</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notice that it would not renew. Mr. Briggs received the severance payments described below upon termination of his</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employment for good reason. The terms of each agreement are similar in all material respects and, among other things, provide for</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each executive to:</w:t>
      </w:r>
    </w:p>
    <w:p>
      <w:pPr>
        <w:spacing w:after="0" w:line="92" w:lineRule="exact"/>
        <w:rPr>
          <w:sz w:val="20"/>
          <w:szCs w:val="20"/>
          <w:color w:val="auto"/>
        </w:rPr>
      </w:pPr>
    </w:p>
    <w:p>
      <w:pPr>
        <w:ind w:left="980" w:hanging="303"/>
        <w:spacing w:after="0"/>
        <w:tabs>
          <w:tab w:leader="none" w:pos="98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Receive a base salary and a target incentive bonus;</w:t>
      </w:r>
    </w:p>
    <w:p>
      <w:pPr>
        <w:spacing w:after="0" w:line="107" w:lineRule="exact"/>
        <w:rPr>
          <w:rFonts w:ascii="Times New Roman" w:cs="Times New Roman" w:eastAsia="Times New Roman" w:hAnsi="Times New Roman"/>
          <w:sz w:val="17"/>
          <w:szCs w:val="17"/>
          <w:color w:val="auto"/>
        </w:rPr>
      </w:pPr>
    </w:p>
    <w:p>
      <w:pPr>
        <w:ind w:left="980" w:right="199" w:hanging="303"/>
        <w:spacing w:after="0" w:line="275" w:lineRule="auto"/>
        <w:tabs>
          <w:tab w:leader="none" w:pos="98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Receive customary and usual fringe benefits generally available to our senior management, and to be reimbursed for reasonable out-of-pocket business expenses; and</w:t>
      </w:r>
    </w:p>
    <w:p>
      <w:pPr>
        <w:spacing w:after="0" w:line="57" w:lineRule="exact"/>
        <w:rPr>
          <w:rFonts w:ascii="Times New Roman" w:cs="Times New Roman" w:eastAsia="Times New Roman" w:hAnsi="Times New Roman"/>
          <w:sz w:val="17"/>
          <w:szCs w:val="17"/>
          <w:color w:val="auto"/>
        </w:rPr>
      </w:pPr>
    </w:p>
    <w:p>
      <w:pPr>
        <w:ind w:left="980" w:hanging="303"/>
        <w:spacing w:after="0"/>
        <w:tabs>
          <w:tab w:leader="none" w:pos="98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Receive certain benefits upon his or her termination of employment under specified circumstances.</w:t>
      </w:r>
    </w:p>
    <w:p>
      <w:pPr>
        <w:spacing w:after="0" w:line="108" w:lineRule="exact"/>
        <w:rPr>
          <w:sz w:val="20"/>
          <w:szCs w:val="20"/>
          <w:color w:val="auto"/>
        </w:rPr>
      </w:pPr>
    </w:p>
    <w:p>
      <w:pPr>
        <w:ind w:left="40" w:right="139" w:firstLine="606"/>
        <w:spacing w:after="0" w:line="275" w:lineRule="auto"/>
        <w:rPr>
          <w:sz w:val="20"/>
          <w:szCs w:val="20"/>
          <w:color w:val="auto"/>
        </w:rPr>
      </w:pPr>
      <w:r>
        <w:rPr>
          <w:rFonts w:ascii="Times New Roman" w:cs="Times New Roman" w:eastAsia="Times New Roman" w:hAnsi="Times New Roman"/>
          <w:sz w:val="17"/>
          <w:szCs w:val="17"/>
          <w:color w:val="auto"/>
        </w:rPr>
        <w:t>In addition, each of the above employment agreements provides for payments upon certain terminations of the executive’s employment, as described below.</w:t>
      </w:r>
    </w:p>
    <w:p>
      <w:pPr>
        <w:spacing w:after="0" w:line="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Termination for Cause</w:t>
      </w:r>
    </w:p>
    <w:p>
      <w:pPr>
        <w:spacing w:after="0" w:line="112" w:lineRule="exact"/>
        <w:rPr>
          <w:sz w:val="20"/>
          <w:szCs w:val="20"/>
          <w:color w:val="auto"/>
        </w:rPr>
      </w:pPr>
    </w:p>
    <w:p>
      <w:pPr>
        <w:ind w:left="40" w:right="59" w:firstLine="606"/>
        <w:spacing w:after="0" w:line="250" w:lineRule="auto"/>
        <w:rPr>
          <w:sz w:val="20"/>
          <w:szCs w:val="20"/>
          <w:color w:val="auto"/>
        </w:rPr>
      </w:pPr>
      <w:r>
        <w:rPr>
          <w:rFonts w:ascii="Times New Roman" w:cs="Times New Roman" w:eastAsia="Times New Roman" w:hAnsi="Times New Roman"/>
          <w:sz w:val="17"/>
          <w:szCs w:val="17"/>
          <w:color w:val="auto"/>
        </w:rPr>
        <w:t>Each of the employment agreements provides that if the named executive officer is terminated by us for “Cause,” the named executive officer will be entitled to receive only his or her base salary then in effect, prorated to the date of termination, and all fringe benefits through the date of termination, and all of such officer’s unvested options and unvested restricted stock awards will terminate. For purposes of each of the employment agreements, “Cause” is defined as (a) acts or omissions constituting gross negligence, recklessness or willful misconduct on the part of the executive with respect to the executive’s obligations or otherwise relating to the business of the Company; (b) the executive’s material breach of the employment agreement; (c) the executive’s breach of the Company’s employee nondisclosure and assignment agreement; (d) the executive’s conviction or entry of a plea of nolo contendere for fraud, misappropriation or embezzlement, or any felony or crime of moral turpitude; (e) the executive’s inability to perform the essential functions of the executive’s position, with or without reasonable accommodation, due to a mental or physical disability; (f) the executive’s willful neglect of duties as determined in the sole and exclusive discretion of the Board of Directors, provided that the executive has received written notice of the action or omission giving rise to such determination and has failed to remedy such situation to the satisfaction of the Board of Directors within thirty (30) days following receipt of such written notice, unless the executive’s action or omission is not subject to cure, in which case no such notice shall be required; or (g) the executive’s death.</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335915</wp:posOffset>
            </wp:positionV>
            <wp:extent cx="5664835" cy="241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64835" cy="24130"/>
                    </a:xfrm>
                    <a:prstGeom prst="rect">
                      <a:avLst/>
                    </a:prstGeom>
                    <a:noFill/>
                  </pic:spPr>
                </pic:pic>
              </a:graphicData>
            </a:graphic>
          </wp:anchor>
        </w:drawing>
      </w:r>
    </w:p>
    <w:p>
      <w:pPr>
        <w:sectPr>
          <w:pgSz w:w="11900" w:h="16838" w:orient="portrait"/>
          <w:cols w:equalWidth="0" w:num="1">
            <w:col w:w="9019"/>
          </w:cols>
          <w:pgMar w:left="1440" w:top="490" w:right="1440" w:bottom="1440" w:gutter="0" w:footer="0" w:header="0"/>
        </w:sectPr>
      </w:pPr>
    </w:p>
    <w:bookmarkStart w:id="50" w:name="page51"/>
    <w:bookmarkEnd w:id="5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Termination Without Cause or Termination for Good Reason</w:t>
      </w:r>
    </w:p>
    <w:p>
      <w:pPr>
        <w:spacing w:after="0" w:line="112" w:lineRule="exact"/>
        <w:rPr>
          <w:sz w:val="20"/>
          <w:szCs w:val="20"/>
          <w:color w:val="auto"/>
        </w:rPr>
      </w:pPr>
    </w:p>
    <w:p>
      <w:pPr>
        <w:ind w:left="40" w:right="119" w:firstLine="606"/>
        <w:spacing w:after="0" w:line="262" w:lineRule="auto"/>
        <w:rPr>
          <w:sz w:val="20"/>
          <w:szCs w:val="20"/>
          <w:color w:val="auto"/>
        </w:rPr>
      </w:pPr>
      <w:r>
        <w:rPr>
          <w:rFonts w:ascii="Times New Roman" w:cs="Times New Roman" w:eastAsia="Times New Roman" w:hAnsi="Times New Roman"/>
          <w:sz w:val="17"/>
          <w:szCs w:val="17"/>
          <w:color w:val="auto"/>
        </w:rPr>
        <w:t>Each of the employment agreements provides that if the named executive officer’s employment is terminated by us without Cause, or by the executive for “Good Reason,” the named executive officer will be entitled to receive his or her base salary then in effect, pro-rated to the date of termination, as well as a severance package consisting of the following:</w:t>
      </w:r>
    </w:p>
    <w:p>
      <w:pPr>
        <w:spacing w:after="0" w:line="67" w:lineRule="exact"/>
        <w:rPr>
          <w:sz w:val="20"/>
          <w:szCs w:val="20"/>
          <w:color w:val="auto"/>
        </w:rPr>
      </w:pPr>
    </w:p>
    <w:p>
      <w:pPr>
        <w:ind w:left="980" w:right="79" w:hanging="303"/>
        <w:spacing w:after="0" w:line="255" w:lineRule="auto"/>
        <w:tabs>
          <w:tab w:leader="none" w:pos="98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severance payment in an amount equal to the sum of (i) twelve (12) months of the executive’s base salary then in effect on the date of termination, and (ii) 100% of the executive’s target bonus for the fiscal year in which the termination occurs, with the total of such amounts to be payable over twelve (12) months in equal installments in accordance with the Company’s regular payroll cycle, commencing with the first payroll date occurring on or after the sixtieth (60th) day following the date of the executive’s termination of employment;</w:t>
      </w:r>
    </w:p>
    <w:p>
      <w:pPr>
        <w:spacing w:after="0" w:line="73" w:lineRule="exact"/>
        <w:rPr>
          <w:rFonts w:ascii="Times New Roman" w:cs="Times New Roman" w:eastAsia="Times New Roman" w:hAnsi="Times New Roman"/>
          <w:sz w:val="17"/>
          <w:szCs w:val="17"/>
          <w:color w:val="auto"/>
        </w:rPr>
      </w:pPr>
    </w:p>
    <w:p>
      <w:pPr>
        <w:ind w:left="980" w:right="99" w:hanging="303"/>
        <w:spacing w:after="0" w:line="257" w:lineRule="auto"/>
        <w:tabs>
          <w:tab w:leader="none" w:pos="98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by us of the premiums required to continue the executive’s group health care coverage for a period of twelve (12) months following the executive’s termination under the applicable provisions of the COBRA, provided that the executive timely elects to continue and remains eligible for these benefits under COBRA, and does not become eligible for health coverage through another employer during this period; and</w:t>
      </w:r>
    </w:p>
    <w:p>
      <w:pPr>
        <w:spacing w:after="0" w:line="72" w:lineRule="exact"/>
        <w:rPr>
          <w:rFonts w:ascii="Times New Roman" w:cs="Times New Roman" w:eastAsia="Times New Roman" w:hAnsi="Times New Roman"/>
          <w:sz w:val="17"/>
          <w:szCs w:val="17"/>
          <w:color w:val="auto"/>
        </w:rPr>
      </w:pPr>
    </w:p>
    <w:p>
      <w:pPr>
        <w:ind w:left="980" w:right="119" w:hanging="303"/>
        <w:spacing w:after="0" w:line="275" w:lineRule="auto"/>
        <w:tabs>
          <w:tab w:leader="none" w:pos="98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Acceleration of the vesting of the next annual installment under any outstanding restricted stock award that otherwise would have vested on the next annual vesting date following the named executive officer’s termination.</w:t>
      </w:r>
    </w:p>
    <w:p>
      <w:pPr>
        <w:spacing w:after="0" w:line="57" w:lineRule="exact"/>
        <w:rPr>
          <w:sz w:val="20"/>
          <w:szCs w:val="20"/>
          <w:color w:val="auto"/>
        </w:rPr>
      </w:pPr>
    </w:p>
    <w:p>
      <w:pPr>
        <w:ind w:left="40" w:right="339" w:firstLine="606"/>
        <w:spacing w:after="0" w:line="274" w:lineRule="auto"/>
        <w:rPr>
          <w:sz w:val="20"/>
          <w:szCs w:val="20"/>
          <w:color w:val="auto"/>
        </w:rPr>
      </w:pPr>
      <w:r>
        <w:rPr>
          <w:rFonts w:ascii="Times New Roman" w:cs="Times New Roman" w:eastAsia="Times New Roman" w:hAnsi="Times New Roman"/>
          <w:sz w:val="16"/>
          <w:szCs w:val="16"/>
          <w:color w:val="auto"/>
        </w:rPr>
        <w:t>To receive the severance package, the executive must: (i) comply with all surviving provisions of his or her agreement, including the non-competition, non-solicitation, and confidentiality provisions described below, and (ii) execute a full general release, releasing all claims, known or unknown, that executive may have against us arising out of or in any way related to executive’s employment or termination of employment with us. In addition, for options that previously vested, the executive has until the earlier of three months from the date of separation and the expiration of the applicable option to exercise such options.</w:t>
      </w:r>
    </w:p>
    <w:p>
      <w:pPr>
        <w:spacing w:after="0" w:line="62" w:lineRule="exact"/>
        <w:rPr>
          <w:sz w:val="20"/>
          <w:szCs w:val="20"/>
          <w:color w:val="auto"/>
        </w:rPr>
      </w:pPr>
    </w:p>
    <w:p>
      <w:pPr>
        <w:ind w:left="40" w:right="79" w:firstLine="606"/>
        <w:spacing w:after="0" w:line="270" w:lineRule="auto"/>
        <w:rPr>
          <w:sz w:val="20"/>
          <w:szCs w:val="20"/>
          <w:color w:val="auto"/>
        </w:rPr>
      </w:pPr>
      <w:r>
        <w:rPr>
          <w:rFonts w:ascii="Times New Roman" w:cs="Times New Roman" w:eastAsia="Times New Roman" w:hAnsi="Times New Roman"/>
          <w:sz w:val="16"/>
          <w:szCs w:val="16"/>
          <w:color w:val="auto"/>
        </w:rPr>
        <w:t>For purposes of each of the employment agreements, “Good Reason” is defined as the occurrence of any of the following conditions without the executive’s written consent, which condition remains in effect ninety (90) days after the executive provides written notice to us of such condition: (a) a material reduction in the executive’s base salary as then in effect prior to such reduction, other than as part of a salary reduction program among similar management employees, (b) a material diminution in the executive’s authority, duties or responsibilities as an employee of the Company as they existed prior to such change; or (c) a relocation of the executive’s principal place of work that increases the executive’s one-way commute distance by more than fifty (50) miles; provided that the executive will be deemed to have given consent to any such condition if the executive does not provide written notice to us of his or her intent to exercise such rights within thirty (30) days following the first occurrence of such condition.</w:t>
      </w:r>
    </w:p>
    <w:p>
      <w:pPr>
        <w:spacing w:after="0" w:line="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Termination Upon a Change in Control</w:t>
      </w:r>
    </w:p>
    <w:p>
      <w:pPr>
        <w:spacing w:after="0" w:line="112" w:lineRule="exact"/>
        <w:rPr>
          <w:sz w:val="20"/>
          <w:szCs w:val="20"/>
          <w:color w:val="auto"/>
        </w:rPr>
      </w:pPr>
    </w:p>
    <w:p>
      <w:pPr>
        <w:ind w:left="40" w:right="239" w:firstLine="606"/>
        <w:spacing w:after="0" w:line="266" w:lineRule="auto"/>
        <w:rPr>
          <w:sz w:val="20"/>
          <w:szCs w:val="20"/>
          <w:color w:val="auto"/>
        </w:rPr>
      </w:pPr>
      <w:r>
        <w:rPr>
          <w:rFonts w:ascii="Times New Roman" w:cs="Times New Roman" w:eastAsia="Times New Roman" w:hAnsi="Times New Roman"/>
          <w:sz w:val="16"/>
          <w:szCs w:val="16"/>
          <w:color w:val="auto"/>
        </w:rPr>
        <w:t>Each of the employment agreements provides that if the named executive officer’s employment is terminated by us without Cause or by the executive for Good Reason, in each case upon or within twelve (12) months following a “Change in Control,” then, in addition to receiving his or her base salary then in effect, pro-rated to the date of termination, and the severance package described above, the named executive officer will also be entitled to acceleration of the vesting of all stock option and restricted stock awards held by such executive that have not yet vested as of the date of such termination. For purposes of each of the employment agreements, “Change in Control” is defined as any one of the following occurrences: (a) any “person” (as such term is used in Sections 13(d) and 14(d) of the Exchange Act), becomes the “beneficial owner” (as such term is defined in</w:t>
      </w:r>
    </w:p>
    <w:p>
      <w:pPr>
        <w:spacing w:after="0" w:line="4" w:lineRule="exact"/>
        <w:rPr>
          <w:sz w:val="20"/>
          <w:szCs w:val="20"/>
          <w:color w:val="auto"/>
        </w:rPr>
      </w:pPr>
    </w:p>
    <w:p>
      <w:pPr>
        <w:ind w:left="40" w:right="119"/>
        <w:spacing w:after="0" w:line="249" w:lineRule="auto"/>
        <w:rPr>
          <w:sz w:val="20"/>
          <w:szCs w:val="20"/>
          <w:color w:val="auto"/>
        </w:rPr>
      </w:pPr>
      <w:r>
        <w:rPr>
          <w:rFonts w:ascii="Times New Roman" w:cs="Times New Roman" w:eastAsia="Times New Roman" w:hAnsi="Times New Roman"/>
          <w:sz w:val="17"/>
          <w:szCs w:val="17"/>
          <w:color w:val="auto"/>
        </w:rPr>
        <w:t>Rule 13d-3 promulgated under the Exchange Act), directly or indirectly, of securities of the Company representing more than 50% of the total fair market value or total combined voting power of our then-outstanding securities entitled to vote generally in the election of directors, provided, however, that a Change in Control shall not be deemed to have occurred if such degree of beneficial ownership results from any of the following: (i) an acquisition of securities by any person who on the effective date of the employment agreement was the beneficial owner of more than 50% of such voting power, (ii) any acquisition of securities directly from us including, without limitation, pursuant to or in connection with a public offering of securities, (iii) any acquisition of securities by us, (iv) any acquisition of securities by a trustee or other fiduciary under a Company</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335915</wp:posOffset>
            </wp:positionV>
            <wp:extent cx="5664835" cy="241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64835"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51" w:name="page52"/>
    <w:bookmarkEnd w:id="5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0" w:right="79"/>
        <w:spacing w:after="0" w:line="252" w:lineRule="auto"/>
        <w:rPr>
          <w:sz w:val="20"/>
          <w:szCs w:val="20"/>
          <w:color w:val="auto"/>
        </w:rPr>
      </w:pPr>
      <w:r>
        <w:rPr>
          <w:rFonts w:ascii="Times New Roman" w:cs="Times New Roman" w:eastAsia="Times New Roman" w:hAnsi="Times New Roman"/>
          <w:sz w:val="17"/>
          <w:szCs w:val="17"/>
          <w:color w:val="auto"/>
        </w:rPr>
        <w:t>employee benefit plan, or (v) any acquisition of securities by an entity owned directly or indirectly by stockholders of the Company in substantially the same proportions as their ownership of the voting securities of the Company; (b) the sale or disposition of all or substantially all of the Company’s assets (other than a sale or disposition to one or more subsidiaries of the Company), or any transaction having similar effect is consummated; (c) the Company is party to a merger or consolidation that results in the holders of voting securities of the Company outstanding immediately prior thereto failing to continue to represent (either by remaining outstanding or by being converted into voting securities of the surviving entity) more than 50% of the combined voting power of the voting securities of the Company or such surviving entity outstanding immediately after such merger or consolidation; or (d) the dissolution or liquidation of the Company.</w:t>
      </w:r>
    </w:p>
    <w:p>
      <w:pPr>
        <w:spacing w:after="0" w:line="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Non-Competition and Non-Solicitation Obligations</w:t>
      </w:r>
    </w:p>
    <w:p>
      <w:pPr>
        <w:spacing w:after="0" w:line="112" w:lineRule="exact"/>
        <w:rPr>
          <w:sz w:val="20"/>
          <w:szCs w:val="20"/>
          <w:color w:val="auto"/>
        </w:rPr>
      </w:pPr>
    </w:p>
    <w:p>
      <w:pPr>
        <w:ind w:left="40" w:right="99" w:firstLine="606"/>
        <w:spacing w:after="0" w:line="250" w:lineRule="auto"/>
        <w:rPr>
          <w:sz w:val="20"/>
          <w:szCs w:val="20"/>
          <w:color w:val="auto"/>
        </w:rPr>
      </w:pPr>
      <w:r>
        <w:rPr>
          <w:rFonts w:ascii="Times New Roman" w:cs="Times New Roman" w:eastAsia="Times New Roman" w:hAnsi="Times New Roman"/>
          <w:sz w:val="17"/>
          <w:szCs w:val="17"/>
          <w:color w:val="auto"/>
        </w:rPr>
        <w:t>Each of the employment agreements prohibits the executives from engaging in any work that creates an actual conflict of interest with us, and includes customary non-competition and non-solicitation covenants that prohibit the executives, during their employment with us and for a period of twelve (12) months thereafter, from (a) owning (except ownership of less than 1% of any class of securities which are listed for trading on any securities exchange or which are traded in the over-the-counter market), managing, controlling, participating in, consulting with, rendering services for, being employed by, or in any manner engaging in the operation of (i) any business that develops or administers services to degree-granting institutions of higher education, or (ii) any other business of the Company in which the executive had significant involvement prior to the executive’s separation; (b) inducing or attempting to induce any employee of the Company to leave the employ of the Company, or in any way interfering with the relationship between the Company and any employee thereof; or (c) inducing or attempting to induce any customer, supplier, licensee or other business relation of the Company to cease doing business with, or modify its business relationship with, the Company, or in any way interfering with or hindering the relationship between any such customer, supplier, licensee or business relation and the Company. Each of the executives has separately entered into a confidentiality agreement with us.</w:t>
      </w:r>
    </w:p>
    <w:p>
      <w:pPr>
        <w:spacing w:after="0" w:line="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Potential Payments upon Termination or Change in Control</w:t>
      </w:r>
    </w:p>
    <w:p>
      <w:pPr>
        <w:spacing w:after="0" w:line="112" w:lineRule="exact"/>
        <w:rPr>
          <w:sz w:val="20"/>
          <w:szCs w:val="20"/>
          <w:color w:val="auto"/>
        </w:rPr>
      </w:pPr>
    </w:p>
    <w:p>
      <w:pPr>
        <w:ind w:left="40" w:right="119" w:firstLine="606"/>
        <w:spacing w:after="0" w:line="253" w:lineRule="auto"/>
        <w:rPr>
          <w:sz w:val="20"/>
          <w:szCs w:val="20"/>
          <w:color w:val="auto"/>
        </w:rPr>
      </w:pPr>
      <w:r>
        <w:rPr>
          <w:rFonts w:ascii="Times New Roman" w:cs="Times New Roman" w:eastAsia="Times New Roman" w:hAnsi="Times New Roman"/>
          <w:sz w:val="17"/>
          <w:szCs w:val="17"/>
          <w:color w:val="auto"/>
        </w:rPr>
        <w:t>The following table provides information regarding the potential payments upon termination without Cause or for Good Reason, as well as upon termination without Cause or for Good Reason after a Change in Control of the Company, which would have been paid to each executive in the event he or she had been terminated as of December 31, 2024, the last business day of fiscal year 2024. All payments in connection with any such termination will comply with Section 409A of the Code, to the extent Section 409A applies. The actual amounts to be paid out can only be determined at the time of such executive’s separation from the Company.</w:t>
      </w:r>
    </w:p>
    <w:p>
      <w:pPr>
        <w:spacing w:after="0" w:line="72"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0" w:type="dxa"/>
            <w:vAlign w:val="bottom"/>
            <w:gridSpan w:val="7"/>
            <w:vMerge w:val="restart"/>
          </w:tcPr>
          <w:p>
            <w:pPr>
              <w:jc w:val="right"/>
              <w:ind w:right="122"/>
              <w:spacing w:after="0"/>
              <w:rPr>
                <w:sz w:val="20"/>
                <w:szCs w:val="20"/>
                <w:color w:val="auto"/>
              </w:rPr>
            </w:pPr>
            <w:r>
              <w:rPr>
                <w:rFonts w:ascii="Times New Roman" w:cs="Times New Roman" w:eastAsia="Times New Roman" w:hAnsi="Times New Roman"/>
                <w:sz w:val="13"/>
                <w:szCs w:val="13"/>
                <w:b w:val="1"/>
                <w:bCs w:val="1"/>
                <w:color w:val="auto"/>
              </w:rPr>
              <w:t>Termination without Cause or for Good Reason</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0" w:type="dxa"/>
            <w:vAlign w:val="bottom"/>
            <w:gridSpan w:val="7"/>
          </w:tcPr>
          <w:p>
            <w:pPr>
              <w:jc w:val="right"/>
              <w:ind w:right="363"/>
              <w:spacing w:after="0"/>
              <w:rPr>
                <w:sz w:val="20"/>
                <w:szCs w:val="20"/>
                <w:color w:val="auto"/>
              </w:rPr>
            </w:pPr>
            <w:r>
              <w:rPr>
                <w:rFonts w:ascii="Times New Roman" w:cs="Times New Roman" w:eastAsia="Times New Roman" w:hAnsi="Times New Roman"/>
                <w:sz w:val="13"/>
                <w:szCs w:val="13"/>
                <w:b w:val="1"/>
                <w:bCs w:val="1"/>
                <w:color w:val="auto"/>
              </w:rPr>
              <w:t>Termination without Cause or for Good Reason</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7"/>
            <w:vMerge w:val="continue"/>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400" w:type="dxa"/>
            <w:vAlign w:val="bottom"/>
            <w:tcBorders>
              <w:bottom w:val="single" w:sz="8" w:color="auto"/>
            </w:tcBorders>
            <w:gridSpan w:val="7"/>
          </w:tcPr>
          <w:p>
            <w:pPr>
              <w:jc w:val="right"/>
              <w:ind w:right="863"/>
              <w:spacing w:after="0"/>
              <w:rPr>
                <w:sz w:val="20"/>
                <w:szCs w:val="20"/>
                <w:color w:val="auto"/>
              </w:rPr>
            </w:pPr>
            <w:r>
              <w:rPr>
                <w:rFonts w:ascii="Times New Roman" w:cs="Times New Roman" w:eastAsia="Times New Roman" w:hAnsi="Times New Roman"/>
                <w:sz w:val="13"/>
                <w:szCs w:val="13"/>
                <w:b w:val="1"/>
                <w:bCs w:val="1"/>
                <w:color w:val="auto"/>
              </w:rPr>
              <w:t>following a Change in Control</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jc w:val="center"/>
              <w:ind w:right="43"/>
              <w:spacing w:after="0" w:line="107" w:lineRule="exact"/>
              <w:rPr>
                <w:sz w:val="20"/>
                <w:szCs w:val="20"/>
                <w:color w:val="auto"/>
              </w:rPr>
            </w:pPr>
            <w:r>
              <w:rPr>
                <w:rFonts w:ascii="Times New Roman" w:cs="Times New Roman" w:eastAsia="Times New Roman" w:hAnsi="Times New Roman"/>
                <w:sz w:val="12"/>
                <w:szCs w:val="12"/>
                <w:b w:val="1"/>
                <w:bCs w:val="1"/>
                <w:color w:val="auto"/>
              </w:rPr>
              <w:t>Cash</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vMerge w:val="restart"/>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Benefits</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jc w:val="center"/>
              <w:ind w:right="22"/>
              <w:spacing w:after="0" w:line="107" w:lineRule="exact"/>
              <w:rPr>
                <w:sz w:val="20"/>
                <w:szCs w:val="20"/>
                <w:color w:val="auto"/>
              </w:rPr>
            </w:pPr>
            <w:r>
              <w:rPr>
                <w:rFonts w:ascii="Times New Roman" w:cs="Times New Roman" w:eastAsia="Times New Roman" w:hAnsi="Times New Roman"/>
                <w:sz w:val="12"/>
                <w:szCs w:val="12"/>
                <w:b w:val="1"/>
                <w:bCs w:val="1"/>
                <w:color w:val="auto"/>
              </w:rPr>
              <w:t>Acceleration of</w:t>
            </w:r>
          </w:p>
        </w:tc>
        <w:tc>
          <w:tcPr>
            <w:tcW w:w="160" w:type="dxa"/>
            <w:vAlign w:val="bottom"/>
          </w:tcPr>
          <w:p>
            <w:pPr>
              <w:spacing w:after="0"/>
              <w:rPr>
                <w:sz w:val="9"/>
                <w:szCs w:val="9"/>
                <w:color w:val="auto"/>
              </w:rPr>
            </w:pPr>
          </w:p>
        </w:tc>
        <w:tc>
          <w:tcPr>
            <w:tcW w:w="980" w:type="dxa"/>
            <w:vAlign w:val="bottom"/>
            <w:gridSpan w:val="2"/>
            <w:vMerge w:val="restart"/>
          </w:tcPr>
          <w:p>
            <w:pPr>
              <w:jc w:val="right"/>
              <w:ind w:right="2"/>
              <w:spacing w:after="0"/>
              <w:rPr>
                <w:sz w:val="20"/>
                <w:szCs w:val="20"/>
                <w:color w:val="auto"/>
              </w:rPr>
            </w:pPr>
            <w:r>
              <w:rPr>
                <w:rFonts w:ascii="Times New Roman" w:cs="Times New Roman" w:eastAsia="Times New Roman" w:hAnsi="Times New Roman"/>
                <w:sz w:val="13"/>
                <w:szCs w:val="13"/>
                <w:b w:val="1"/>
                <w:bCs w:val="1"/>
                <w:color w:val="auto"/>
              </w:rPr>
              <w:t>Cash Payment</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vMerge w:val="restart"/>
          </w:tcPr>
          <w:p>
            <w:pPr>
              <w:jc w:val="right"/>
              <w:ind w:right="101"/>
              <w:spacing w:after="0"/>
              <w:rPr>
                <w:sz w:val="20"/>
                <w:szCs w:val="20"/>
                <w:color w:val="auto"/>
              </w:rPr>
            </w:pPr>
            <w:r>
              <w:rPr>
                <w:rFonts w:ascii="Times New Roman" w:cs="Times New Roman" w:eastAsia="Times New Roman" w:hAnsi="Times New Roman"/>
                <w:sz w:val="13"/>
                <w:szCs w:val="13"/>
                <w:b w:val="1"/>
                <w:bCs w:val="1"/>
                <w:color w:val="auto"/>
              </w:rPr>
              <w:t>Benefits</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20" w:type="dxa"/>
            <w:vAlign w:val="bottom"/>
          </w:tcPr>
          <w:p>
            <w:pPr>
              <w:jc w:val="center"/>
              <w:ind w:right="83"/>
              <w:spacing w:after="0" w:line="107" w:lineRule="exact"/>
              <w:rPr>
                <w:sz w:val="20"/>
                <w:szCs w:val="20"/>
                <w:color w:val="auto"/>
              </w:rPr>
            </w:pPr>
            <w:r>
              <w:rPr>
                <w:rFonts w:ascii="Times New Roman" w:cs="Times New Roman" w:eastAsia="Times New Roman" w:hAnsi="Times New Roman"/>
                <w:sz w:val="12"/>
                <w:szCs w:val="12"/>
                <w:b w:val="1"/>
                <w:bCs w:val="1"/>
                <w:color w:val="auto"/>
              </w:rPr>
              <w:t>Acceleration of</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43"/>
              <w:spacing w:after="0" w:line="139" w:lineRule="exact"/>
              <w:rPr>
                <w:sz w:val="20"/>
                <w:szCs w:val="20"/>
                <w:color w:val="auto"/>
              </w:rPr>
            </w:pPr>
            <w:r>
              <w:rPr>
                <w:rFonts w:ascii="Times New Roman" w:cs="Times New Roman" w:eastAsia="Times New Roman" w:hAnsi="Times New Roman"/>
                <w:sz w:val="13"/>
                <w:szCs w:val="13"/>
                <w:b w:val="1"/>
                <w:bCs w:val="1"/>
                <w:color w:val="auto"/>
              </w:rPr>
              <w:t>Payment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ind w:right="2"/>
              <w:spacing w:after="0" w:line="139" w:lineRule="exact"/>
              <w:rPr>
                <w:sz w:val="20"/>
                <w:szCs w:val="20"/>
                <w:color w:val="auto"/>
              </w:rPr>
            </w:pPr>
            <w:r>
              <w:rPr>
                <w:rFonts w:ascii="Times New Roman" w:cs="Times New Roman" w:eastAsia="Times New Roman" w:hAnsi="Times New Roman"/>
                <w:sz w:val="13"/>
                <w:szCs w:val="13"/>
                <w:b w:val="1"/>
                <w:bCs w:val="1"/>
                <w:color w:val="auto"/>
              </w:rPr>
              <w:t>Vesting of Shares</w:t>
            </w: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center"/>
              <w:ind w:right="83"/>
              <w:spacing w:after="0" w:line="139" w:lineRule="exact"/>
              <w:rPr>
                <w:sz w:val="20"/>
                <w:szCs w:val="20"/>
                <w:color w:val="auto"/>
              </w:rPr>
            </w:pPr>
            <w:r>
              <w:rPr>
                <w:rFonts w:ascii="Times New Roman" w:cs="Times New Roman" w:eastAsia="Times New Roman" w:hAnsi="Times New Roman"/>
                <w:sz w:val="13"/>
                <w:szCs w:val="13"/>
                <w:b w:val="1"/>
                <w:bCs w:val="1"/>
                <w:color w:val="auto"/>
              </w:rPr>
              <w:t>Vesting of Shares</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66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3"/>
              <w:spacing w:after="0"/>
              <w:rPr>
                <w:sz w:val="20"/>
                <w:szCs w:val="20"/>
                <w:color w:val="auto"/>
              </w:rPr>
            </w:pPr>
            <w:r>
              <w:rPr>
                <w:rFonts w:ascii="Times New Roman" w:cs="Times New Roman" w:eastAsia="Times New Roman" w:hAnsi="Times New Roman"/>
                <w:sz w:val="13"/>
                <w:szCs w:val="13"/>
                <w:b w:val="1"/>
                <w:bCs w:val="1"/>
                <w:color w:val="auto"/>
              </w:rPr>
              <w:t>($)(1)</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($)(2)</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3"/>
                <w:szCs w:val="13"/>
                <w:b w:val="1"/>
                <w:bCs w:val="1"/>
                <w:color w:val="auto"/>
              </w:rPr>
              <w:t>($)(3)</w:t>
            </w: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3"/>
                <w:szCs w:val="13"/>
                <w:b w:val="1"/>
                <w:bCs w:val="1"/>
                <w:color w:val="auto"/>
              </w:rPr>
              <w:t>($)(1)</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3"/>
                <w:szCs w:val="13"/>
                <w:b w:val="1"/>
                <w:bCs w:val="1"/>
                <w:color w:val="auto"/>
              </w:rPr>
              <w:t>($)(2)</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3"/>
                <w:szCs w:val="13"/>
                <w:b w:val="1"/>
                <w:bCs w:val="1"/>
                <w:color w:val="auto"/>
              </w:rPr>
              <w:t>($)(3)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Brian E. Mueller</w:t>
            </w: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642,000</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21,354</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2,067,484</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642,000</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21,354</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5,756,423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7"/>
                <w:szCs w:val="17"/>
                <w:color w:val="auto"/>
              </w:rPr>
              <w:t>Dr. W. Stan Meyer</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682,500</w:t>
            </w:r>
          </w:p>
        </w:tc>
        <w:tc>
          <w:tcPr>
            <w:tcW w:w="300" w:type="dxa"/>
            <w:vAlign w:val="bottom"/>
            <w:gridSpan w:val="2"/>
          </w:tcPr>
          <w:p>
            <w:pPr>
              <w:jc w:val="right"/>
              <w:ind w:right="7"/>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17,742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1,103,193</w:t>
            </w:r>
          </w:p>
        </w:tc>
        <w:tc>
          <w:tcPr>
            <w:tcW w:w="360" w:type="dxa"/>
            <w:vAlign w:val="bottom"/>
            <w:gridSpan w:val="2"/>
          </w:tcPr>
          <w:p>
            <w:pPr>
              <w:jc w:val="right"/>
              <w:ind w:right="4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682,500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17,742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3,071,578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Daniel E. Bachus</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682,500</w:t>
            </w:r>
          </w:p>
        </w:tc>
        <w:tc>
          <w:tcPr>
            <w:tcW w:w="300" w:type="dxa"/>
            <w:vAlign w:val="bottom"/>
            <w:gridSpan w:val="2"/>
            <w:shd w:val="clear" w:color="auto" w:fill="CCEEFF"/>
          </w:tcPr>
          <w:p>
            <w:pPr>
              <w:jc w:val="right"/>
              <w:ind w:right="7"/>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25,807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1,103,193</w:t>
            </w:r>
          </w:p>
        </w:tc>
        <w:tc>
          <w:tcPr>
            <w:tcW w:w="36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682,500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25,807</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3,071,578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7"/>
                <w:szCs w:val="17"/>
                <w:color w:val="auto"/>
              </w:rPr>
              <w:t>Dilek Marsh</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432,821</w:t>
            </w:r>
          </w:p>
        </w:tc>
        <w:tc>
          <w:tcPr>
            <w:tcW w:w="300" w:type="dxa"/>
            <w:vAlign w:val="bottom"/>
            <w:gridSpan w:val="2"/>
          </w:tcPr>
          <w:p>
            <w:pPr>
              <w:jc w:val="right"/>
              <w:ind w:right="7"/>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25,807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685,175</w:t>
            </w:r>
          </w:p>
        </w:tc>
        <w:tc>
          <w:tcPr>
            <w:tcW w:w="360" w:type="dxa"/>
            <w:vAlign w:val="bottom"/>
            <w:gridSpan w:val="2"/>
          </w:tcPr>
          <w:p>
            <w:pPr>
              <w:jc w:val="right"/>
              <w:ind w:right="4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432,821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25,807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2,043,896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Kathy J. Claypatch</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392,821</w:t>
            </w:r>
          </w:p>
        </w:tc>
        <w:tc>
          <w:tcPr>
            <w:tcW w:w="300" w:type="dxa"/>
            <w:vAlign w:val="bottom"/>
            <w:gridSpan w:val="2"/>
            <w:shd w:val="clear" w:color="auto" w:fill="CCEEFF"/>
          </w:tcPr>
          <w:p>
            <w:pPr>
              <w:jc w:val="right"/>
              <w:ind w:right="7"/>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9,708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398,362</w:t>
            </w:r>
          </w:p>
        </w:tc>
        <w:tc>
          <w:tcPr>
            <w:tcW w:w="36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392,821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9,708</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1,166,420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7"/>
                <w:szCs w:val="17"/>
                <w:color w:val="auto"/>
              </w:rPr>
              <w:t>Daniel J. Briggs</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527,904</w:t>
            </w:r>
          </w:p>
        </w:tc>
        <w:tc>
          <w:tcPr>
            <w:tcW w:w="300" w:type="dxa"/>
            <w:vAlign w:val="bottom"/>
            <w:gridSpan w:val="2"/>
          </w:tcPr>
          <w:p>
            <w:pPr>
              <w:jc w:val="right"/>
              <w:ind w:right="7"/>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17,218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774,318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53975</wp:posOffset>
            </wp:positionV>
            <wp:extent cx="1420495" cy="158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420495" cy="15875"/>
                    </a:xfrm>
                    <a:prstGeom prst="rect">
                      <a:avLst/>
                    </a:prstGeom>
                    <a:noFill/>
                  </pic:spPr>
                </pic:pic>
              </a:graphicData>
            </a:graphic>
          </wp:anchor>
        </w:drawing>
      </w:r>
    </w:p>
    <w:p>
      <w:pPr>
        <w:spacing w:after="0" w:line="150" w:lineRule="exact"/>
        <w:rPr>
          <w:sz w:val="20"/>
          <w:szCs w:val="20"/>
          <w:color w:val="auto"/>
        </w:rPr>
      </w:pPr>
    </w:p>
    <w:p>
      <w:pPr>
        <w:ind w:left="340" w:right="379" w:hanging="295"/>
        <w:spacing w:after="0" w:line="275" w:lineRule="auto"/>
        <w:tabs>
          <w:tab w:leader="none" w:pos="34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Assumes a termination date of December 31, 2024, and is based on the executive’s salary and target bonus in effect at such date.</w:t>
      </w:r>
    </w:p>
    <w:p>
      <w:pPr>
        <w:spacing w:after="0" w:line="57" w:lineRule="exact"/>
        <w:rPr>
          <w:rFonts w:ascii="Times New Roman" w:cs="Times New Roman" w:eastAsia="Times New Roman" w:hAnsi="Times New Roman"/>
          <w:sz w:val="17"/>
          <w:szCs w:val="17"/>
          <w:color w:val="auto"/>
        </w:rPr>
      </w:pPr>
    </w:p>
    <w:p>
      <w:pPr>
        <w:ind w:left="340" w:hanging="295"/>
        <w:spacing w:after="0"/>
        <w:tabs>
          <w:tab w:leader="none" w:pos="34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cost related to the continuation of the executive’s health benefits for the period specified.</w:t>
      </w:r>
    </w:p>
    <w:p>
      <w:pPr>
        <w:spacing w:after="0" w:line="107" w:lineRule="exact"/>
        <w:rPr>
          <w:rFonts w:ascii="Times New Roman" w:cs="Times New Roman" w:eastAsia="Times New Roman" w:hAnsi="Times New Roman"/>
          <w:sz w:val="17"/>
          <w:szCs w:val="17"/>
          <w:color w:val="auto"/>
        </w:rPr>
      </w:pPr>
    </w:p>
    <w:p>
      <w:pPr>
        <w:ind w:left="340" w:right="159" w:hanging="295"/>
        <w:spacing w:after="0" w:line="275" w:lineRule="auto"/>
        <w:tabs>
          <w:tab w:leader="none" w:pos="34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Calculated based on an assumed termination date of December 31, 2024 and the closing market price of our common stock on the Nasdaq Global Market on such date.</w:t>
      </w:r>
    </w:p>
    <w:p>
      <w:pPr>
        <w:spacing w:after="0" w:line="57" w:lineRule="exact"/>
        <w:rPr>
          <w:rFonts w:ascii="Times New Roman" w:cs="Times New Roman" w:eastAsia="Times New Roman" w:hAnsi="Times New Roman"/>
          <w:sz w:val="17"/>
          <w:szCs w:val="17"/>
          <w:color w:val="auto"/>
        </w:rPr>
      </w:pPr>
    </w:p>
    <w:p>
      <w:pPr>
        <w:ind w:left="340" w:right="139" w:hanging="295"/>
        <w:spacing w:after="0" w:line="275" w:lineRule="auto"/>
        <w:tabs>
          <w:tab w:leader="none" w:pos="34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Briggs resigned his employment with us for Good Reason effective June 30, 2024 and received the cash payment, benefits and acceleration of vesting of shares set forth in this table.</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335915</wp:posOffset>
            </wp:positionV>
            <wp:extent cx="5664835" cy="241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64835"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52" w:name="page53"/>
    <w:bookmarkEnd w:id="5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Pay vs. Performance Comparison</w:t>
      </w:r>
    </w:p>
    <w:p>
      <w:pPr>
        <w:spacing w:after="0" w:line="112" w:lineRule="exact"/>
        <w:rPr>
          <w:sz w:val="20"/>
          <w:szCs w:val="20"/>
          <w:color w:val="auto"/>
        </w:rPr>
      </w:pPr>
    </w:p>
    <w:p>
      <w:pPr>
        <w:ind w:left="40" w:right="179" w:firstLine="606"/>
        <w:spacing w:after="0" w:line="255" w:lineRule="auto"/>
        <w:rPr>
          <w:sz w:val="20"/>
          <w:szCs w:val="20"/>
          <w:color w:val="auto"/>
        </w:rPr>
      </w:pPr>
      <w:r>
        <w:rPr>
          <w:rFonts w:ascii="Times New Roman" w:cs="Times New Roman" w:eastAsia="Times New Roman" w:hAnsi="Times New Roman"/>
          <w:sz w:val="17"/>
          <w:szCs w:val="17"/>
          <w:color w:val="auto"/>
        </w:rPr>
        <w:t>As discussed in the Compensation Discussion and Analysis above, our Compensation Committee has implemented an executive compensation program designed to align a substantial portion of our named executive officers’ realized compensation to the achievement of GCE’s financial, operational, and strategic objectives, and to align our executive pay with changes in the value of our stockholders’ investments. The following table set forth additional compensation information for our named executive officers, calculated in accordance with SEC regulations, for fiscal years 2024, 2023, 2022, 2021 and 2020.</w:t>
      </w:r>
    </w:p>
    <w:p>
      <w:pPr>
        <w:spacing w:after="0" w:line="80"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Average</w:t>
            </w:r>
          </w:p>
        </w:tc>
        <w:tc>
          <w:tcPr>
            <w:tcW w:w="80" w:type="dxa"/>
            <w:vAlign w:val="bottom"/>
          </w:tcPr>
          <w:p>
            <w:pPr>
              <w:spacing w:after="0"/>
              <w:rPr>
                <w:sz w:val="12"/>
                <w:szCs w:val="12"/>
                <w:color w:val="auto"/>
              </w:rPr>
            </w:pPr>
          </w:p>
        </w:tc>
        <w:tc>
          <w:tcPr>
            <w:tcW w:w="10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9"/>
              </w:rPr>
              <w:t>Average</w:t>
            </w:r>
          </w:p>
        </w:tc>
        <w:tc>
          <w:tcPr>
            <w:tcW w:w="100" w:type="dxa"/>
            <w:vAlign w:val="bottom"/>
          </w:tcPr>
          <w:p>
            <w:pPr>
              <w:spacing w:after="0"/>
              <w:rPr>
                <w:sz w:val="12"/>
                <w:szCs w:val="12"/>
                <w:color w:val="auto"/>
              </w:rPr>
            </w:pPr>
          </w:p>
        </w:tc>
        <w:tc>
          <w:tcPr>
            <w:tcW w:w="1880" w:type="dxa"/>
            <w:vAlign w:val="bottom"/>
            <w:gridSpan w:val="5"/>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Value of Initial Fixed $100</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Investment Based on:</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2"/>
          </w:tcPr>
          <w:p>
            <w:pPr>
              <w:jc w:val="center"/>
              <w:ind w:right="220"/>
              <w:spacing w:after="0" w:line="107" w:lineRule="exact"/>
              <w:rPr>
                <w:sz w:val="20"/>
                <w:szCs w:val="20"/>
                <w:color w:val="auto"/>
              </w:rPr>
            </w:pPr>
            <w:r>
              <w:rPr>
                <w:rFonts w:ascii="Times New Roman" w:cs="Times New Roman" w:eastAsia="Times New Roman" w:hAnsi="Times New Roman"/>
                <w:sz w:val="12"/>
                <w:szCs w:val="12"/>
                <w:b w:val="1"/>
                <w:bCs w:val="1"/>
                <w:color w:val="auto"/>
              </w:rPr>
              <w:t>Summary</w:t>
            </w:r>
          </w:p>
        </w:tc>
        <w:tc>
          <w:tcPr>
            <w:tcW w:w="80" w:type="dxa"/>
            <w:vAlign w:val="bottom"/>
          </w:tcPr>
          <w:p>
            <w:pPr>
              <w:spacing w:after="0"/>
              <w:rPr>
                <w:sz w:val="9"/>
                <w:szCs w:val="9"/>
                <w:color w:val="auto"/>
              </w:rPr>
            </w:pPr>
          </w:p>
        </w:tc>
        <w:tc>
          <w:tcPr>
            <w:tcW w:w="102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160" w:type="dxa"/>
            <w:vAlign w:val="bottom"/>
          </w:tcPr>
          <w:p>
            <w:pPr>
              <w:spacing w:after="0"/>
              <w:rPr>
                <w:sz w:val="9"/>
                <w:szCs w:val="9"/>
                <w:color w:val="auto"/>
              </w:rPr>
            </w:pPr>
          </w:p>
        </w:tc>
        <w:tc>
          <w:tcPr>
            <w:tcW w:w="1200" w:type="dxa"/>
            <w:vAlign w:val="bottom"/>
            <w:gridSpan w:val="2"/>
          </w:tcPr>
          <w:p>
            <w:pPr>
              <w:jc w:val="center"/>
              <w:ind w:right="240"/>
              <w:spacing w:after="0" w:line="107" w:lineRule="exact"/>
              <w:rPr>
                <w:sz w:val="20"/>
                <w:szCs w:val="20"/>
                <w:color w:val="auto"/>
              </w:rPr>
            </w:pPr>
            <w:r>
              <w:rPr>
                <w:rFonts w:ascii="Times New Roman" w:cs="Times New Roman" w:eastAsia="Times New Roman" w:hAnsi="Times New Roman"/>
                <w:sz w:val="12"/>
                <w:szCs w:val="12"/>
                <w:b w:val="1"/>
                <w:bCs w:val="1"/>
                <w:color w:val="auto"/>
              </w:rPr>
              <w:t>Summary</w:t>
            </w:r>
          </w:p>
        </w:tc>
        <w:tc>
          <w:tcPr>
            <w:tcW w:w="80" w:type="dxa"/>
            <w:vAlign w:val="bottom"/>
          </w:tcPr>
          <w:p>
            <w:pPr>
              <w:spacing w:after="0"/>
              <w:rPr>
                <w:sz w:val="9"/>
                <w:szCs w:val="9"/>
                <w:color w:val="auto"/>
              </w:rPr>
            </w:pPr>
          </w:p>
        </w:tc>
        <w:tc>
          <w:tcPr>
            <w:tcW w:w="1020" w:type="dxa"/>
            <w:vAlign w:val="bottom"/>
            <w:gridSpan w:val="2"/>
          </w:tcPr>
          <w:p>
            <w:pPr>
              <w:jc w:val="center"/>
              <w:ind w:right="160"/>
              <w:spacing w:after="0" w:line="107" w:lineRule="exact"/>
              <w:rPr>
                <w:sz w:val="20"/>
                <w:szCs w:val="20"/>
                <w:color w:val="auto"/>
              </w:rPr>
            </w:pPr>
            <w:r>
              <w:rPr>
                <w:rFonts w:ascii="Times New Roman" w:cs="Times New Roman" w:eastAsia="Times New Roman" w:hAnsi="Times New Roman"/>
                <w:sz w:val="12"/>
                <w:szCs w:val="12"/>
                <w:b w:val="1"/>
                <w:bCs w:val="1"/>
                <w:color w:val="auto"/>
              </w:rPr>
              <w:t>Compensation</w:t>
            </w:r>
          </w:p>
        </w:tc>
        <w:tc>
          <w:tcPr>
            <w:tcW w:w="100" w:type="dxa"/>
            <w:vAlign w:val="bottom"/>
            <w:tcBorders>
              <w:top w:val="single" w:sz="8" w:color="auto"/>
            </w:tcBorders>
          </w:tcPr>
          <w:p>
            <w:pPr>
              <w:spacing w:after="0"/>
              <w:rPr>
                <w:sz w:val="9"/>
                <w:szCs w:val="9"/>
                <w:color w:val="auto"/>
              </w:rPr>
            </w:pPr>
          </w:p>
        </w:tc>
        <w:tc>
          <w:tcPr>
            <w:tcW w:w="900" w:type="dxa"/>
            <w:vAlign w:val="bottom"/>
            <w:tcBorders>
              <w:top w:val="single" w:sz="8" w:color="auto"/>
            </w:tcBorders>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jc w:val="center"/>
              <w:ind w:right="13"/>
              <w:spacing w:after="0" w:line="107" w:lineRule="exact"/>
              <w:rPr>
                <w:sz w:val="20"/>
                <w:szCs w:val="20"/>
                <w:color w:val="auto"/>
              </w:rPr>
            </w:pPr>
            <w:r>
              <w:rPr>
                <w:rFonts w:ascii="Times New Roman" w:cs="Times New Roman" w:eastAsia="Times New Roman" w:hAnsi="Times New Roman"/>
                <w:sz w:val="12"/>
                <w:szCs w:val="12"/>
                <w:b w:val="1"/>
                <w:bCs w:val="1"/>
                <w:color w:val="auto"/>
              </w:rPr>
              <w:t>Peer Group</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20"/>
              <w:spacing w:after="0" w:line="139"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40"/>
              <w:spacing w:after="0" w:line="139"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80" w:type="dxa"/>
            <w:vAlign w:val="bottom"/>
          </w:tcPr>
          <w:p>
            <w:pPr>
              <w:spacing w:after="0"/>
              <w:rPr>
                <w:sz w:val="12"/>
                <w:szCs w:val="12"/>
                <w:color w:val="auto"/>
              </w:rPr>
            </w:pPr>
          </w:p>
        </w:tc>
        <w:tc>
          <w:tcPr>
            <w:tcW w:w="1020" w:type="dxa"/>
            <w:vAlign w:val="bottom"/>
            <w:gridSpan w:val="2"/>
          </w:tcPr>
          <w:p>
            <w:pPr>
              <w:jc w:val="center"/>
              <w:ind w:right="160"/>
              <w:spacing w:after="0" w:line="139" w:lineRule="exact"/>
              <w:rPr>
                <w:sz w:val="20"/>
                <w:szCs w:val="20"/>
                <w:color w:val="auto"/>
              </w:rPr>
            </w:pPr>
            <w:r>
              <w:rPr>
                <w:rFonts w:ascii="Times New Roman" w:cs="Times New Roman" w:eastAsia="Times New Roman" w:hAnsi="Times New Roman"/>
                <w:sz w:val="13"/>
                <w:szCs w:val="13"/>
                <w:b w:val="1"/>
                <w:bCs w:val="1"/>
                <w:color w:val="auto"/>
              </w:rPr>
              <w:t>Actually Paid</w:t>
            </w: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80"/>
              <w:spacing w:after="0" w:line="139"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120" w:type="dxa"/>
            <w:vAlign w:val="bottom"/>
          </w:tcPr>
          <w:p>
            <w:pPr>
              <w:spacing w:after="0"/>
              <w:rPr>
                <w:sz w:val="12"/>
                <w:szCs w:val="12"/>
                <w:color w:val="auto"/>
              </w:rPr>
            </w:pPr>
          </w:p>
        </w:tc>
        <w:tc>
          <w:tcPr>
            <w:tcW w:w="6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Net</w:t>
            </w:r>
          </w:p>
        </w:tc>
        <w:tc>
          <w:tcPr>
            <w:tcW w:w="120" w:type="dxa"/>
            <w:vAlign w:val="bottom"/>
          </w:tcPr>
          <w:p>
            <w:pPr>
              <w:spacing w:after="0"/>
              <w:rPr>
                <w:sz w:val="12"/>
                <w:szCs w:val="12"/>
                <w:color w:val="auto"/>
              </w:rPr>
            </w:pPr>
          </w:p>
        </w:tc>
        <w:tc>
          <w:tcPr>
            <w:tcW w:w="700" w:type="dxa"/>
            <w:vAlign w:val="bottom"/>
            <w:vMerge w:val="restart"/>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Adjusted</w:t>
            </w:r>
          </w:p>
        </w:tc>
        <w:tc>
          <w:tcPr>
            <w:tcW w:w="0" w:type="dxa"/>
            <w:vAlign w:val="bottom"/>
          </w:tcPr>
          <w:p>
            <w:pPr>
              <w:spacing w:after="0"/>
              <w:rPr>
                <w:sz w:val="1"/>
                <w:szCs w:val="1"/>
                <w:color w:val="auto"/>
              </w:rPr>
            </w:pPr>
          </w:p>
        </w:tc>
      </w:tr>
      <w:tr>
        <w:trPr>
          <w:trHeight w:val="139"/>
        </w:trPr>
        <w:tc>
          <w:tcPr>
            <w:tcW w:w="6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Year</w:t>
            </w:r>
          </w:p>
        </w:tc>
        <w:tc>
          <w:tcPr>
            <w:tcW w:w="120" w:type="dxa"/>
            <w:vAlign w:val="bottom"/>
          </w:tcPr>
          <w:p>
            <w:pPr>
              <w:spacing w:after="0"/>
              <w:rPr>
                <w:sz w:val="12"/>
                <w:szCs w:val="12"/>
                <w:color w:val="auto"/>
              </w:rPr>
            </w:pPr>
          </w:p>
        </w:tc>
        <w:tc>
          <w:tcPr>
            <w:tcW w:w="1080" w:type="dxa"/>
            <w:vAlign w:val="bottom"/>
            <w:gridSpan w:val="2"/>
          </w:tcPr>
          <w:p>
            <w:pPr>
              <w:jc w:val="center"/>
              <w:ind w:right="200"/>
              <w:spacing w:after="0" w:line="139" w:lineRule="exact"/>
              <w:rPr>
                <w:sz w:val="20"/>
                <w:szCs w:val="20"/>
                <w:color w:val="auto"/>
              </w:rPr>
            </w:pPr>
            <w:r>
              <w:rPr>
                <w:rFonts w:ascii="Times New Roman" w:cs="Times New Roman" w:eastAsia="Times New Roman" w:hAnsi="Times New Roman"/>
                <w:sz w:val="13"/>
                <w:szCs w:val="13"/>
                <w:b w:val="1"/>
                <w:bCs w:val="1"/>
                <w:color w:val="auto"/>
              </w:rPr>
              <w:t>Table</w:t>
            </w:r>
          </w:p>
        </w:tc>
        <w:tc>
          <w:tcPr>
            <w:tcW w:w="80" w:type="dxa"/>
            <w:vAlign w:val="bottom"/>
          </w:tcPr>
          <w:p>
            <w:pPr>
              <w:spacing w:after="0"/>
              <w:rPr>
                <w:sz w:val="12"/>
                <w:szCs w:val="12"/>
                <w:color w:val="auto"/>
              </w:rPr>
            </w:pPr>
          </w:p>
        </w:tc>
        <w:tc>
          <w:tcPr>
            <w:tcW w:w="1020" w:type="dxa"/>
            <w:vAlign w:val="bottom"/>
            <w:gridSpan w:val="3"/>
          </w:tcPr>
          <w:p>
            <w:pPr>
              <w:jc w:val="center"/>
              <w:ind w:right="160"/>
              <w:spacing w:after="0" w:line="139" w:lineRule="exact"/>
              <w:rPr>
                <w:sz w:val="20"/>
                <w:szCs w:val="20"/>
                <w:color w:val="auto"/>
              </w:rPr>
            </w:pPr>
            <w:r>
              <w:rPr>
                <w:rFonts w:ascii="Times New Roman" w:cs="Times New Roman" w:eastAsia="Times New Roman" w:hAnsi="Times New Roman"/>
                <w:sz w:val="13"/>
                <w:szCs w:val="13"/>
                <w:b w:val="1"/>
                <w:bCs w:val="1"/>
                <w:color w:val="auto"/>
              </w:rPr>
              <w:t>Actually Paid</w:t>
            </w:r>
          </w:p>
        </w:tc>
        <w:tc>
          <w:tcPr>
            <w:tcW w:w="160" w:type="dxa"/>
            <w:vAlign w:val="bottom"/>
          </w:tcPr>
          <w:p>
            <w:pPr>
              <w:spacing w:after="0"/>
              <w:rPr>
                <w:sz w:val="12"/>
                <w:szCs w:val="12"/>
                <w:color w:val="auto"/>
              </w:rPr>
            </w:pPr>
          </w:p>
        </w:tc>
        <w:tc>
          <w:tcPr>
            <w:tcW w:w="1200" w:type="dxa"/>
            <w:vAlign w:val="bottom"/>
            <w:gridSpan w:val="2"/>
          </w:tcPr>
          <w:p>
            <w:pPr>
              <w:jc w:val="center"/>
              <w:ind w:right="240"/>
              <w:spacing w:after="0" w:line="139" w:lineRule="exact"/>
              <w:rPr>
                <w:sz w:val="20"/>
                <w:szCs w:val="20"/>
                <w:color w:val="auto"/>
              </w:rPr>
            </w:pPr>
            <w:r>
              <w:rPr>
                <w:rFonts w:ascii="Times New Roman" w:cs="Times New Roman" w:eastAsia="Times New Roman" w:hAnsi="Times New Roman"/>
                <w:sz w:val="13"/>
                <w:szCs w:val="13"/>
                <w:b w:val="1"/>
                <w:bCs w:val="1"/>
                <w:color w:val="auto"/>
                <w:w w:val="99"/>
              </w:rPr>
              <w:t>Table Total for</w:t>
            </w:r>
          </w:p>
        </w:tc>
        <w:tc>
          <w:tcPr>
            <w:tcW w:w="80" w:type="dxa"/>
            <w:vAlign w:val="bottom"/>
          </w:tcPr>
          <w:p>
            <w:pPr>
              <w:spacing w:after="0"/>
              <w:rPr>
                <w:sz w:val="12"/>
                <w:szCs w:val="12"/>
                <w:color w:val="auto"/>
              </w:rPr>
            </w:pPr>
          </w:p>
        </w:tc>
        <w:tc>
          <w:tcPr>
            <w:tcW w:w="1020" w:type="dxa"/>
            <w:vAlign w:val="bottom"/>
            <w:gridSpan w:val="2"/>
          </w:tcPr>
          <w:p>
            <w:pPr>
              <w:jc w:val="center"/>
              <w:ind w:right="180"/>
              <w:spacing w:after="0" w:line="139" w:lineRule="exact"/>
              <w:rPr>
                <w:sz w:val="20"/>
                <w:szCs w:val="20"/>
                <w:color w:val="auto"/>
              </w:rPr>
            </w:pPr>
            <w:r>
              <w:rPr>
                <w:rFonts w:ascii="Times New Roman" w:cs="Times New Roman" w:eastAsia="Times New Roman" w:hAnsi="Times New Roman"/>
                <w:sz w:val="13"/>
                <w:szCs w:val="13"/>
                <w:b w:val="1"/>
                <w:bCs w:val="1"/>
                <w:color w:val="auto"/>
              </w:rPr>
              <w:t>to Non-CEO</w:t>
            </w:r>
          </w:p>
        </w:tc>
        <w:tc>
          <w:tcPr>
            <w:tcW w:w="100" w:type="dxa"/>
            <w:vAlign w:val="bottom"/>
          </w:tcPr>
          <w:p>
            <w:pPr>
              <w:spacing w:after="0"/>
              <w:rPr>
                <w:sz w:val="12"/>
                <w:szCs w:val="12"/>
                <w:color w:val="auto"/>
              </w:rPr>
            </w:pPr>
          </w:p>
        </w:tc>
        <w:tc>
          <w:tcPr>
            <w:tcW w:w="900" w:type="dxa"/>
            <w:vAlign w:val="bottom"/>
            <w:gridSpan w:val="2"/>
          </w:tcPr>
          <w:p>
            <w:pPr>
              <w:jc w:val="center"/>
              <w:ind w:right="180"/>
              <w:spacing w:after="0" w:line="139" w:lineRule="exact"/>
              <w:rPr>
                <w:sz w:val="20"/>
                <w:szCs w:val="20"/>
                <w:color w:val="auto"/>
              </w:rPr>
            </w:pPr>
            <w:r>
              <w:rPr>
                <w:rFonts w:ascii="Times New Roman" w:cs="Times New Roman" w:eastAsia="Times New Roman" w:hAnsi="Times New Roman"/>
                <w:sz w:val="13"/>
                <w:szCs w:val="13"/>
                <w:b w:val="1"/>
                <w:bCs w:val="1"/>
                <w:color w:val="auto"/>
              </w:rPr>
              <w:t>Shareholder</w:t>
            </w:r>
          </w:p>
        </w:tc>
        <w:tc>
          <w:tcPr>
            <w:tcW w:w="80" w:type="dxa"/>
            <w:vAlign w:val="bottom"/>
          </w:tcPr>
          <w:p>
            <w:pPr>
              <w:spacing w:after="0"/>
              <w:rPr>
                <w:sz w:val="12"/>
                <w:szCs w:val="12"/>
                <w:color w:val="auto"/>
              </w:rPr>
            </w:pPr>
          </w:p>
        </w:tc>
        <w:tc>
          <w:tcPr>
            <w:tcW w:w="900" w:type="dxa"/>
            <w:vAlign w:val="bottom"/>
            <w:gridSpan w:val="2"/>
          </w:tcPr>
          <w:p>
            <w:pPr>
              <w:jc w:val="center"/>
              <w:ind w:right="180"/>
              <w:spacing w:after="0" w:line="139" w:lineRule="exact"/>
              <w:rPr>
                <w:sz w:val="20"/>
                <w:szCs w:val="20"/>
                <w:color w:val="auto"/>
              </w:rPr>
            </w:pPr>
            <w:r>
              <w:rPr>
                <w:rFonts w:ascii="Times New Roman" w:cs="Times New Roman" w:eastAsia="Times New Roman" w:hAnsi="Times New Roman"/>
                <w:sz w:val="13"/>
                <w:szCs w:val="13"/>
                <w:b w:val="1"/>
                <w:bCs w:val="1"/>
                <w:color w:val="auto"/>
              </w:rPr>
              <w:t>Shareholder</w:t>
            </w:r>
          </w:p>
        </w:tc>
        <w:tc>
          <w:tcPr>
            <w:tcW w:w="12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620" w:type="dxa"/>
            <w:vAlign w:val="bottom"/>
            <w:gridSpan w:val="2"/>
            <w:vMerge w:val="continue"/>
          </w:tcPr>
          <w:p>
            <w:pPr>
              <w:spacing w:after="0"/>
              <w:rPr>
                <w:sz w:val="14"/>
                <w:szCs w:val="14"/>
                <w:color w:val="auto"/>
              </w:rPr>
            </w:pP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Total for CEO (1)</w:t>
            </w:r>
          </w:p>
        </w:tc>
        <w:tc>
          <w:tcPr>
            <w:tcW w:w="80" w:type="dxa"/>
            <w:vAlign w:val="bottom"/>
          </w:tcPr>
          <w:p>
            <w:pPr>
              <w:spacing w:after="0"/>
              <w:rPr>
                <w:sz w:val="14"/>
                <w:szCs w:val="14"/>
                <w:color w:val="auto"/>
              </w:rPr>
            </w:pPr>
          </w:p>
        </w:tc>
        <w:tc>
          <w:tcPr>
            <w:tcW w:w="102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to CEO (2)</w:t>
            </w: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Non-CEO NEOs (3)</w:t>
            </w:r>
          </w:p>
        </w:tc>
        <w:tc>
          <w:tcPr>
            <w:tcW w:w="8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NEOs (2) (3)</w:t>
            </w:r>
          </w:p>
        </w:tc>
        <w:tc>
          <w:tcPr>
            <w:tcW w:w="10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Return</w:t>
            </w:r>
          </w:p>
        </w:tc>
        <w:tc>
          <w:tcPr>
            <w:tcW w:w="8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Return (4)</w:t>
            </w:r>
          </w:p>
        </w:tc>
        <w:tc>
          <w:tcPr>
            <w:tcW w:w="74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Income (5)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EBITDA (6)</w:t>
            </w:r>
          </w:p>
        </w:tc>
        <w:tc>
          <w:tcPr>
            <w:tcW w:w="0" w:type="dxa"/>
            <w:vAlign w:val="bottom"/>
          </w:tcPr>
          <w:p>
            <w:pPr>
              <w:spacing w:after="0"/>
              <w:rPr>
                <w:sz w:val="1"/>
                <w:szCs w:val="1"/>
                <w:color w:val="auto"/>
              </w:rPr>
            </w:pPr>
          </w:p>
        </w:tc>
      </w:tr>
      <w:tr>
        <w:trPr>
          <w:trHeight w:val="132"/>
        </w:trPr>
        <w:tc>
          <w:tcPr>
            <w:tcW w:w="520" w:type="dxa"/>
            <w:vAlign w:val="bottom"/>
            <w:tcBorders>
              <w:top w:val="single" w:sz="8" w:color="auto"/>
            </w:tcBorders>
            <w:shd w:val="clear" w:color="auto" w:fill="CCEEFF"/>
          </w:tcPr>
          <w:p>
            <w:pPr>
              <w:ind w:left="120"/>
              <w:spacing w:after="0" w:line="132" w:lineRule="exact"/>
              <w:rPr>
                <w:sz w:val="20"/>
                <w:szCs w:val="20"/>
                <w:color w:val="auto"/>
              </w:rPr>
            </w:pPr>
            <w:r>
              <w:rPr>
                <w:rFonts w:ascii="Times New Roman" w:cs="Times New Roman" w:eastAsia="Times New Roman" w:hAnsi="Times New Roman"/>
                <w:sz w:val="13"/>
                <w:szCs w:val="13"/>
                <w:color w:val="auto"/>
              </w:rPr>
              <w:t>2024</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ind w:left="20"/>
              <w:spacing w:after="0" w:line="132"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top w:val="single" w:sz="8" w:color="auto"/>
            </w:tcBorders>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2,006,779</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tcBorders>
            <w:gridSpan w:val="2"/>
            <w:shd w:val="clear" w:color="auto" w:fill="CCEEFF"/>
          </w:tcPr>
          <w:p>
            <w:pPr>
              <w:jc w:val="right"/>
              <w:ind w:right="40"/>
              <w:spacing w:after="0" w:line="132" w:lineRule="exact"/>
              <w:rPr>
                <w:sz w:val="20"/>
                <w:szCs w:val="20"/>
                <w:color w:val="auto"/>
              </w:rPr>
            </w:pPr>
            <w:r>
              <w:rPr>
                <w:rFonts w:ascii="Times New Roman" w:cs="Times New Roman" w:eastAsia="Times New Roman" w:hAnsi="Times New Roman"/>
                <w:sz w:val="13"/>
                <w:szCs w:val="13"/>
                <w:color w:val="auto"/>
              </w:rPr>
              <w:t>3,172,108</w:t>
            </w: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top w:val="single" w:sz="8" w:color="auto"/>
            </w:tcBorders>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1,162,069</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tcBorders>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1,448,731</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tcBorders>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171.00</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tcBorders>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113.82</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tcBorders>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226,234</w:t>
            </w: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tcBorders>
            <w:shd w:val="clear" w:color="auto" w:fill="CCEEFF"/>
          </w:tcPr>
          <w:p>
            <w:pPr>
              <w:jc w:val="right"/>
              <w:ind w:right="73"/>
              <w:spacing w:after="0" w:line="132" w:lineRule="exact"/>
              <w:rPr>
                <w:sz w:val="20"/>
                <w:szCs w:val="20"/>
                <w:color w:val="auto"/>
              </w:rPr>
            </w:pPr>
            <w:r>
              <w:rPr>
                <w:rFonts w:ascii="Times New Roman" w:cs="Times New Roman" w:eastAsia="Times New Roman" w:hAnsi="Times New Roman"/>
                <w:sz w:val="13"/>
                <w:szCs w:val="13"/>
                <w:color w:val="auto"/>
              </w:rPr>
              <w:t>340,013</w:t>
            </w:r>
          </w:p>
        </w:tc>
        <w:tc>
          <w:tcPr>
            <w:tcW w:w="0" w:type="dxa"/>
            <w:vAlign w:val="bottom"/>
          </w:tcPr>
          <w:p>
            <w:pPr>
              <w:spacing w:after="0"/>
              <w:rPr>
                <w:sz w:val="1"/>
                <w:szCs w:val="1"/>
                <w:color w:val="auto"/>
              </w:rPr>
            </w:pPr>
          </w:p>
        </w:tc>
      </w:tr>
      <w:tr>
        <w:trPr>
          <w:trHeight w:val="139"/>
        </w:trPr>
        <w:tc>
          <w:tcPr>
            <w:tcW w:w="520" w:type="dxa"/>
            <w:vAlign w:val="bottom"/>
          </w:tcPr>
          <w:p>
            <w:pPr>
              <w:ind w:left="120"/>
              <w:spacing w:after="0" w:line="139" w:lineRule="exact"/>
              <w:rPr>
                <w:sz w:val="20"/>
                <w:szCs w:val="20"/>
                <w:color w:val="auto"/>
              </w:rPr>
            </w:pPr>
            <w:r>
              <w:rPr>
                <w:rFonts w:ascii="Times New Roman" w:cs="Times New Roman" w:eastAsia="Times New Roman" w:hAnsi="Times New Roman"/>
                <w:sz w:val="13"/>
                <w:szCs w:val="13"/>
                <w:color w:val="auto"/>
              </w:rPr>
              <w:t>2023</w:t>
            </w:r>
          </w:p>
        </w:tc>
        <w:tc>
          <w:tcPr>
            <w:tcW w:w="100" w:type="dxa"/>
            <w:vAlign w:val="bottom"/>
          </w:tcPr>
          <w:p>
            <w:pPr>
              <w:spacing w:after="0"/>
              <w:rPr>
                <w:sz w:val="12"/>
                <w:szCs w:val="12"/>
                <w:color w:val="auto"/>
              </w:rPr>
            </w:pPr>
          </w:p>
        </w:tc>
        <w:tc>
          <w:tcPr>
            <w:tcW w:w="120" w:type="dxa"/>
            <w:vAlign w:val="bottom"/>
          </w:tcPr>
          <w:p>
            <w:pPr>
              <w:ind w:left="20"/>
              <w:spacing w:after="0" w:line="139"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2,016,887</w:t>
            </w:r>
          </w:p>
        </w:tc>
        <w:tc>
          <w:tcPr>
            <w:tcW w:w="80" w:type="dxa"/>
            <w:vAlign w:val="bottom"/>
          </w:tcPr>
          <w:p>
            <w:pPr>
              <w:spacing w:after="0"/>
              <w:rPr>
                <w:sz w:val="12"/>
                <w:szCs w:val="12"/>
                <w:color w:val="auto"/>
              </w:rPr>
            </w:pPr>
          </w:p>
        </w:tc>
        <w:tc>
          <w:tcPr>
            <w:tcW w:w="8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tcPr>
          <w:p>
            <w:pPr>
              <w:jc w:val="right"/>
              <w:ind w:right="40"/>
              <w:spacing w:after="0" w:line="139" w:lineRule="exact"/>
              <w:rPr>
                <w:sz w:val="20"/>
                <w:szCs w:val="20"/>
                <w:color w:val="auto"/>
              </w:rPr>
            </w:pPr>
            <w:r>
              <w:rPr>
                <w:rFonts w:ascii="Times New Roman" w:cs="Times New Roman" w:eastAsia="Times New Roman" w:hAnsi="Times New Roman"/>
                <w:sz w:val="13"/>
                <w:szCs w:val="13"/>
                <w:color w:val="auto"/>
              </w:rPr>
              <w:t>3,085,751</w:t>
            </w:r>
          </w:p>
        </w:tc>
        <w:tc>
          <w:tcPr>
            <w:tcW w:w="80" w:type="dxa"/>
            <w:vAlign w:val="bottom"/>
          </w:tcPr>
          <w:p>
            <w:pPr>
              <w:spacing w:after="0"/>
              <w:rPr>
                <w:sz w:val="12"/>
                <w:szCs w:val="12"/>
                <w:color w:val="auto"/>
              </w:rPr>
            </w:pPr>
          </w:p>
        </w:tc>
        <w:tc>
          <w:tcPr>
            <w:tcW w:w="16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1,196,944</w:t>
            </w:r>
          </w:p>
        </w:tc>
        <w:tc>
          <w:tcPr>
            <w:tcW w:w="100" w:type="dxa"/>
            <w:vAlign w:val="bottom"/>
          </w:tcPr>
          <w:p>
            <w:pPr>
              <w:spacing w:after="0"/>
              <w:rPr>
                <w:sz w:val="12"/>
                <w:szCs w:val="12"/>
                <w:color w:val="auto"/>
              </w:rPr>
            </w:pPr>
          </w:p>
        </w:tc>
        <w:tc>
          <w:tcPr>
            <w:tcW w:w="80" w:type="dxa"/>
            <w:vAlign w:val="bottom"/>
          </w:tcPr>
          <w:p>
            <w:pPr>
              <w:spacing w:after="0" w:line="139" w:lineRule="exact"/>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1,672,392</w:t>
            </w:r>
          </w:p>
        </w:tc>
        <w:tc>
          <w:tcPr>
            <w:tcW w:w="80" w:type="dxa"/>
            <w:vAlign w:val="bottom"/>
          </w:tcPr>
          <w:p>
            <w:pPr>
              <w:spacing w:after="0"/>
              <w:rPr>
                <w:sz w:val="12"/>
                <w:szCs w:val="12"/>
                <w:color w:val="auto"/>
              </w:rPr>
            </w:pPr>
          </w:p>
        </w:tc>
        <w:tc>
          <w:tcPr>
            <w:tcW w:w="10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137.84</w:t>
            </w:r>
          </w:p>
        </w:tc>
        <w:tc>
          <w:tcPr>
            <w:tcW w:w="100" w:type="dxa"/>
            <w:vAlign w:val="bottom"/>
          </w:tcPr>
          <w:p>
            <w:pPr>
              <w:spacing w:after="0"/>
              <w:rPr>
                <w:sz w:val="12"/>
                <w:szCs w:val="12"/>
                <w:color w:val="auto"/>
              </w:rPr>
            </w:pPr>
          </w:p>
        </w:tc>
        <w:tc>
          <w:tcPr>
            <w:tcW w:w="80" w:type="dxa"/>
            <w:vAlign w:val="bottom"/>
          </w:tcPr>
          <w:p>
            <w:pPr>
              <w:spacing w:after="0" w:line="139" w:lineRule="exact"/>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100.46</w:t>
            </w:r>
          </w:p>
        </w:tc>
        <w:tc>
          <w:tcPr>
            <w:tcW w:w="100" w:type="dxa"/>
            <w:vAlign w:val="bottom"/>
          </w:tcPr>
          <w:p>
            <w:pPr>
              <w:spacing w:after="0"/>
              <w:rPr>
                <w:sz w:val="12"/>
                <w:szCs w:val="12"/>
                <w:color w:val="auto"/>
              </w:rPr>
            </w:pPr>
          </w:p>
        </w:tc>
        <w:tc>
          <w:tcPr>
            <w:tcW w:w="12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204,985</w:t>
            </w:r>
          </w:p>
        </w:tc>
        <w:tc>
          <w:tcPr>
            <w:tcW w:w="80" w:type="dxa"/>
            <w:vAlign w:val="bottom"/>
          </w:tcPr>
          <w:p>
            <w:pPr>
              <w:spacing w:after="0"/>
              <w:rPr>
                <w:sz w:val="12"/>
                <w:szCs w:val="12"/>
                <w:color w:val="auto"/>
              </w:rPr>
            </w:pPr>
          </w:p>
        </w:tc>
        <w:tc>
          <w:tcPr>
            <w:tcW w:w="12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302,302</w:t>
            </w:r>
          </w:p>
        </w:tc>
        <w:tc>
          <w:tcPr>
            <w:tcW w:w="0" w:type="dxa"/>
            <w:vAlign w:val="bottom"/>
          </w:tcPr>
          <w:p>
            <w:pPr>
              <w:spacing w:after="0"/>
              <w:rPr>
                <w:sz w:val="1"/>
                <w:szCs w:val="1"/>
                <w:color w:val="auto"/>
              </w:rPr>
            </w:pPr>
          </w:p>
        </w:tc>
      </w:tr>
      <w:tr>
        <w:trPr>
          <w:trHeight w:val="139"/>
        </w:trPr>
        <w:tc>
          <w:tcPr>
            <w:tcW w:w="520" w:type="dxa"/>
            <w:vAlign w:val="bottom"/>
            <w:shd w:val="clear" w:color="auto" w:fill="CCEEFF"/>
          </w:tcPr>
          <w:p>
            <w:pPr>
              <w:ind w:left="120"/>
              <w:spacing w:after="0" w:line="139" w:lineRule="exact"/>
              <w:rPr>
                <w:sz w:val="20"/>
                <w:szCs w:val="20"/>
                <w:color w:val="auto"/>
              </w:rPr>
            </w:pPr>
            <w:r>
              <w:rPr>
                <w:rFonts w:ascii="Times New Roman" w:cs="Times New Roman" w:eastAsia="Times New Roman" w:hAnsi="Times New Roman"/>
                <w:sz w:val="13"/>
                <w:szCs w:val="13"/>
                <w:color w:val="auto"/>
              </w:rPr>
              <w:t>2022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1,997,113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shd w:val="clear" w:color="auto" w:fill="CCEEFF"/>
          </w:tcPr>
          <w:p>
            <w:pPr>
              <w:jc w:val="right"/>
              <w:ind w:right="40"/>
              <w:spacing w:after="0" w:line="139" w:lineRule="exact"/>
              <w:rPr>
                <w:sz w:val="20"/>
                <w:szCs w:val="20"/>
                <w:color w:val="auto"/>
              </w:rPr>
            </w:pPr>
            <w:r>
              <w:rPr>
                <w:rFonts w:ascii="Times New Roman" w:cs="Times New Roman" w:eastAsia="Times New Roman" w:hAnsi="Times New Roman"/>
                <w:sz w:val="13"/>
                <w:szCs w:val="13"/>
                <w:color w:val="auto"/>
              </w:rPr>
              <w:t>2,919,364</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13"/>
              <w:spacing w:after="0" w:line="139" w:lineRule="exact"/>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1,205,110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1,604,033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110.30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90.83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184,675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291,336</w:t>
            </w:r>
          </w:p>
        </w:tc>
        <w:tc>
          <w:tcPr>
            <w:tcW w:w="0" w:type="dxa"/>
            <w:vAlign w:val="bottom"/>
          </w:tcPr>
          <w:p>
            <w:pPr>
              <w:spacing w:after="0"/>
              <w:rPr>
                <w:sz w:val="1"/>
                <w:szCs w:val="1"/>
                <w:color w:val="auto"/>
              </w:rPr>
            </w:pPr>
          </w:p>
        </w:tc>
      </w:tr>
      <w:tr>
        <w:trPr>
          <w:trHeight w:val="139"/>
        </w:trPr>
        <w:tc>
          <w:tcPr>
            <w:tcW w:w="520" w:type="dxa"/>
            <w:vAlign w:val="bottom"/>
          </w:tcPr>
          <w:p>
            <w:pPr>
              <w:ind w:left="120"/>
              <w:spacing w:after="0" w:line="139" w:lineRule="exact"/>
              <w:rPr>
                <w:sz w:val="20"/>
                <w:szCs w:val="20"/>
                <w:color w:val="auto"/>
              </w:rPr>
            </w:pPr>
            <w:r>
              <w:rPr>
                <w:rFonts w:ascii="Times New Roman" w:cs="Times New Roman" w:eastAsia="Times New Roman" w:hAnsi="Times New Roman"/>
                <w:sz w:val="13"/>
                <w:szCs w:val="13"/>
                <w:color w:val="auto"/>
              </w:rPr>
              <w:t>2021</w:t>
            </w:r>
          </w:p>
        </w:tc>
        <w:tc>
          <w:tcPr>
            <w:tcW w:w="100" w:type="dxa"/>
            <w:vAlign w:val="bottom"/>
          </w:tcPr>
          <w:p>
            <w:pPr>
              <w:spacing w:after="0"/>
              <w:rPr>
                <w:sz w:val="12"/>
                <w:szCs w:val="12"/>
                <w:color w:val="auto"/>
              </w:rPr>
            </w:pPr>
          </w:p>
        </w:tc>
        <w:tc>
          <w:tcPr>
            <w:tcW w:w="120" w:type="dxa"/>
            <w:vAlign w:val="bottom"/>
          </w:tcPr>
          <w:p>
            <w:pPr>
              <w:spacing w:after="0" w:line="139"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1,843,058</w:t>
            </w:r>
          </w:p>
        </w:tc>
        <w:tc>
          <w:tcPr>
            <w:tcW w:w="80" w:type="dxa"/>
            <w:vAlign w:val="bottom"/>
          </w:tcPr>
          <w:p>
            <w:pPr>
              <w:spacing w:after="0"/>
              <w:rPr>
                <w:sz w:val="12"/>
                <w:szCs w:val="12"/>
                <w:color w:val="auto"/>
              </w:rPr>
            </w:pPr>
          </w:p>
        </w:tc>
        <w:tc>
          <w:tcPr>
            <w:tcW w:w="8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tcPr>
          <w:p>
            <w:pPr>
              <w:jc w:val="right"/>
              <w:ind w:right="40"/>
              <w:spacing w:after="0" w:line="139" w:lineRule="exact"/>
              <w:rPr>
                <w:sz w:val="20"/>
                <w:szCs w:val="20"/>
                <w:color w:val="auto"/>
              </w:rPr>
            </w:pPr>
            <w:r>
              <w:rPr>
                <w:rFonts w:ascii="Times New Roman" w:cs="Times New Roman" w:eastAsia="Times New Roman" w:hAnsi="Times New Roman"/>
                <w:sz w:val="13"/>
                <w:szCs w:val="13"/>
                <w:color w:val="auto"/>
              </w:rPr>
              <w:t>1,864,868</w:t>
            </w:r>
          </w:p>
        </w:tc>
        <w:tc>
          <w:tcPr>
            <w:tcW w:w="80" w:type="dxa"/>
            <w:vAlign w:val="bottom"/>
          </w:tcPr>
          <w:p>
            <w:pPr>
              <w:spacing w:after="0"/>
              <w:rPr>
                <w:sz w:val="12"/>
                <w:szCs w:val="12"/>
                <w:color w:val="auto"/>
              </w:rPr>
            </w:pPr>
          </w:p>
        </w:tc>
        <w:tc>
          <w:tcPr>
            <w:tcW w:w="160" w:type="dxa"/>
            <w:vAlign w:val="bottom"/>
          </w:tcPr>
          <w:p>
            <w:pPr>
              <w:jc w:val="right"/>
              <w:ind w:right="13"/>
              <w:spacing w:after="0" w:line="139" w:lineRule="exact"/>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1,099,912</w:t>
            </w:r>
          </w:p>
        </w:tc>
        <w:tc>
          <w:tcPr>
            <w:tcW w:w="100" w:type="dxa"/>
            <w:vAlign w:val="bottom"/>
          </w:tcPr>
          <w:p>
            <w:pPr>
              <w:spacing w:after="0"/>
              <w:rPr>
                <w:sz w:val="12"/>
                <w:szCs w:val="12"/>
                <w:color w:val="auto"/>
              </w:rPr>
            </w:pPr>
          </w:p>
        </w:tc>
        <w:tc>
          <w:tcPr>
            <w:tcW w:w="80" w:type="dxa"/>
            <w:vAlign w:val="bottom"/>
          </w:tcPr>
          <w:p>
            <w:pPr>
              <w:spacing w:after="0" w:line="139" w:lineRule="exact"/>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1,100,530</w:t>
            </w:r>
          </w:p>
        </w:tc>
        <w:tc>
          <w:tcPr>
            <w:tcW w:w="80" w:type="dxa"/>
            <w:vAlign w:val="bottom"/>
          </w:tcPr>
          <w:p>
            <w:pPr>
              <w:spacing w:after="0"/>
              <w:rPr>
                <w:sz w:val="12"/>
                <w:szCs w:val="12"/>
                <w:color w:val="auto"/>
              </w:rPr>
            </w:pPr>
          </w:p>
        </w:tc>
        <w:tc>
          <w:tcPr>
            <w:tcW w:w="10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89.48</w:t>
            </w:r>
          </w:p>
        </w:tc>
        <w:tc>
          <w:tcPr>
            <w:tcW w:w="100" w:type="dxa"/>
            <w:vAlign w:val="bottom"/>
          </w:tcPr>
          <w:p>
            <w:pPr>
              <w:spacing w:after="0"/>
              <w:rPr>
                <w:sz w:val="12"/>
                <w:szCs w:val="12"/>
                <w:color w:val="auto"/>
              </w:rPr>
            </w:pPr>
          </w:p>
        </w:tc>
        <w:tc>
          <w:tcPr>
            <w:tcW w:w="80" w:type="dxa"/>
            <w:vAlign w:val="bottom"/>
          </w:tcPr>
          <w:p>
            <w:pPr>
              <w:spacing w:after="0" w:line="139" w:lineRule="exact"/>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92.11</w:t>
            </w:r>
          </w:p>
        </w:tc>
        <w:tc>
          <w:tcPr>
            <w:tcW w:w="10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260,344</w:t>
            </w:r>
          </w:p>
        </w:tc>
        <w:tc>
          <w:tcPr>
            <w:tcW w:w="80" w:type="dxa"/>
            <w:vAlign w:val="bottom"/>
          </w:tcPr>
          <w:p>
            <w:pPr>
              <w:spacing w:after="0"/>
              <w:rPr>
                <w:sz w:val="12"/>
                <w:szCs w:val="12"/>
                <w:color w:val="auto"/>
              </w:rPr>
            </w:pPr>
          </w:p>
        </w:tc>
        <w:tc>
          <w:tcPr>
            <w:tcW w:w="12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327,354</w:t>
            </w:r>
          </w:p>
        </w:tc>
        <w:tc>
          <w:tcPr>
            <w:tcW w:w="0" w:type="dxa"/>
            <w:vAlign w:val="bottom"/>
          </w:tcPr>
          <w:p>
            <w:pPr>
              <w:spacing w:after="0"/>
              <w:rPr>
                <w:sz w:val="1"/>
                <w:szCs w:val="1"/>
                <w:color w:val="auto"/>
              </w:rPr>
            </w:pPr>
          </w:p>
        </w:tc>
      </w:tr>
      <w:tr>
        <w:trPr>
          <w:trHeight w:val="139"/>
        </w:trPr>
        <w:tc>
          <w:tcPr>
            <w:tcW w:w="520" w:type="dxa"/>
            <w:vAlign w:val="bottom"/>
            <w:shd w:val="clear" w:color="auto" w:fill="CCEEFF"/>
          </w:tcPr>
          <w:p>
            <w:pPr>
              <w:ind w:left="120"/>
              <w:spacing w:after="0" w:line="139" w:lineRule="exact"/>
              <w:rPr>
                <w:sz w:val="20"/>
                <w:szCs w:val="20"/>
                <w:color w:val="auto"/>
              </w:rPr>
            </w:pPr>
            <w:r>
              <w:rPr>
                <w:rFonts w:ascii="Times New Roman" w:cs="Times New Roman" w:eastAsia="Times New Roman" w:hAnsi="Times New Roman"/>
                <w:sz w:val="13"/>
                <w:szCs w:val="13"/>
                <w:color w:val="auto"/>
              </w:rPr>
              <w:t>2020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2,105,208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shd w:val="clear" w:color="auto" w:fill="CCEEFF"/>
          </w:tcPr>
          <w:p>
            <w:pPr>
              <w:jc w:val="right"/>
              <w:ind w:right="40"/>
              <w:spacing w:after="0" w:line="139" w:lineRule="exact"/>
              <w:rPr>
                <w:sz w:val="20"/>
                <w:szCs w:val="20"/>
                <w:color w:val="auto"/>
              </w:rPr>
            </w:pPr>
            <w:r>
              <w:rPr>
                <w:rFonts w:ascii="Times New Roman" w:cs="Times New Roman" w:eastAsia="Times New Roman" w:hAnsi="Times New Roman"/>
                <w:sz w:val="13"/>
                <w:szCs w:val="13"/>
                <w:color w:val="auto"/>
              </w:rPr>
              <w:t>1,830,647</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13"/>
              <w:spacing w:after="0" w:line="139" w:lineRule="exact"/>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1,322,165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1,222,327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97.20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122.18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257,196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323,830</w:t>
            </w:r>
          </w:p>
        </w:tc>
        <w:tc>
          <w:tcPr>
            <w:tcW w:w="0" w:type="dxa"/>
            <w:vAlign w:val="bottom"/>
          </w:tcPr>
          <w:p>
            <w:pPr>
              <w:spacing w:after="0"/>
              <w:rPr>
                <w:sz w:val="1"/>
                <w:szCs w:val="1"/>
                <w:color w:val="auto"/>
              </w:rPr>
            </w:pPr>
          </w:p>
        </w:tc>
      </w:tr>
      <w:tr>
        <w:trPr>
          <w:trHeight w:val="106"/>
        </w:trPr>
        <w:tc>
          <w:tcPr>
            <w:tcW w:w="5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340" w:right="539" w:hanging="295"/>
        <w:spacing w:after="0" w:line="262" w:lineRule="auto"/>
        <w:tabs>
          <w:tab w:leader="none" w:pos="34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dollar amounts reported are the amounts of total compensation reported for our CEO, Mr. Mueller, in the Summary Compensation Table for fiscal years 2024, 2023, 2022, 2021 and 2020. Mr. Mueller served as CEO for each of the years presented.</w:t>
      </w:r>
    </w:p>
    <w:p>
      <w:pPr>
        <w:spacing w:after="0" w:line="67" w:lineRule="exact"/>
        <w:rPr>
          <w:rFonts w:ascii="Times New Roman" w:cs="Times New Roman" w:eastAsia="Times New Roman" w:hAnsi="Times New Roman"/>
          <w:sz w:val="17"/>
          <w:szCs w:val="17"/>
          <w:color w:val="auto"/>
        </w:rPr>
      </w:pPr>
    </w:p>
    <w:p>
      <w:pPr>
        <w:ind w:left="340" w:right="139" w:hanging="295"/>
        <w:spacing w:after="0" w:line="255" w:lineRule="auto"/>
        <w:tabs>
          <w:tab w:leader="none" w:pos="34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dollar amounts reported represent the amount of “compensation actually paid” or “CAP”, as computed in accordance with SEC rules. The dollar amounts do not reflect the actual amounts of compensation paid to our CEO or other named executive officers during the applicable years, but include (i) the year-end value of equity awards granted during the reported year, and (ii) the change in the value of equity awards that were unvested at the end of the prior year, measured through the date the awards vested or were forfeited, or through the end of the reported fiscal year.</w:t>
      </w:r>
    </w:p>
    <w:p>
      <w:pPr>
        <w:spacing w:after="0" w:line="73" w:lineRule="exact"/>
        <w:rPr>
          <w:rFonts w:ascii="Times New Roman" w:cs="Times New Roman" w:eastAsia="Times New Roman" w:hAnsi="Times New Roman"/>
          <w:sz w:val="17"/>
          <w:szCs w:val="17"/>
          <w:color w:val="auto"/>
        </w:rPr>
      </w:pPr>
    </w:p>
    <w:p>
      <w:pPr>
        <w:ind w:left="340" w:right="139" w:hanging="295"/>
        <w:spacing w:after="0" w:line="255" w:lineRule="auto"/>
        <w:tabs>
          <w:tab w:leader="none" w:pos="34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2024, reflects compensation information for our 2024 named executive officers, other than our Chief Executive Officer, as described in the Compensation Discussion and Analysis of this Proxy Statement. For 2023, 2022 and 2021, reflects compensation information for Dr. Meyer, Mr. Bachus, Ms. Marsh and Mr. Briggs, our prior chief executive officer for Orbis Education (each of whom served as named executive officers for 2023, 2022 and 2021). For 2020, reflects compensation information for Dr. Meyer, Mr. Bachus, Mr. Briggs and Mr. Joseph Mildenhall, our prior chief information officer.</w:t>
      </w:r>
    </w:p>
    <w:p>
      <w:pPr>
        <w:spacing w:after="0" w:line="48" w:lineRule="exact"/>
        <w:rPr>
          <w:rFonts w:ascii="Times New Roman" w:cs="Times New Roman" w:eastAsia="Times New Roman" w:hAnsi="Times New Roman"/>
          <w:sz w:val="17"/>
          <w:szCs w:val="17"/>
          <w:color w:val="auto"/>
        </w:rPr>
      </w:pPr>
    </w:p>
    <w:p>
      <w:pPr>
        <w:ind w:left="340" w:right="99" w:hanging="295"/>
        <w:spacing w:after="0" w:line="257" w:lineRule="auto"/>
        <w:tabs>
          <w:tab w:leader="none" w:pos="34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cumulative total shareholder return for the seven companies included in the customized peer group used by GCE for purposes of Item 201 (e) of Regulation S-K under the Exchange Act in GCE’s Annual Report on Form 10-K for the year ended December 31, 2024. Those seven companies are: Adtalem Global Education, Inc, Chegg Inc, Coursera Inc, John Wiley &amp; Sons Inc, Laureate Education Inc, Pearson Plc and Strategic Education Inc.</w:t>
      </w:r>
    </w:p>
    <w:p>
      <w:pPr>
        <w:spacing w:after="0" w:line="72" w:lineRule="exact"/>
        <w:rPr>
          <w:rFonts w:ascii="Times New Roman" w:cs="Times New Roman" w:eastAsia="Times New Roman" w:hAnsi="Times New Roman"/>
          <w:sz w:val="17"/>
          <w:szCs w:val="17"/>
          <w:color w:val="auto"/>
        </w:rPr>
      </w:pPr>
    </w:p>
    <w:p>
      <w:pPr>
        <w:ind w:left="340" w:right="519" w:hanging="295"/>
        <w:spacing w:after="0" w:line="275" w:lineRule="auto"/>
        <w:tabs>
          <w:tab w:leader="none" w:pos="34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decline in net income between 2021 and 2022 is partially due to the lower interest income achieved as a result of the repayment to us by GCU of a secured note payable that had been in place since 2018.</w:t>
      </w:r>
    </w:p>
    <w:p>
      <w:pPr>
        <w:spacing w:after="0" w:line="57" w:lineRule="exact"/>
        <w:rPr>
          <w:rFonts w:ascii="Times New Roman" w:cs="Times New Roman" w:eastAsia="Times New Roman" w:hAnsi="Times New Roman"/>
          <w:sz w:val="17"/>
          <w:szCs w:val="17"/>
          <w:color w:val="auto"/>
        </w:rPr>
      </w:pPr>
    </w:p>
    <w:p>
      <w:pPr>
        <w:ind w:left="340" w:right="279" w:hanging="295"/>
        <w:spacing w:after="0" w:line="268" w:lineRule="auto"/>
        <w:tabs>
          <w:tab w:leader="none" w:pos="34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We defined Adjusted EBITDA for purposes of the Annual Cash Incentive Plan in a manner consistent with the definition we use when reporting our financial results. See </w:t>
      </w:r>
      <w:r>
        <w:rPr>
          <w:rFonts w:ascii="Times New Roman" w:cs="Times New Roman" w:eastAsia="Times New Roman" w:hAnsi="Times New Roman"/>
          <w:sz w:val="16"/>
          <w:szCs w:val="16"/>
          <w:i w:val="1"/>
          <w:iCs w:val="1"/>
          <w:color w:val="auto"/>
        </w:rPr>
        <w:t>Item 7, Management’s Discussion and Analysis of Financial Condition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Results of Operations – Adjusted EBITDA (Non- GAAP Financial Measure)</w:t>
      </w:r>
      <w:r>
        <w:rPr>
          <w:rFonts w:ascii="Times New Roman" w:cs="Times New Roman" w:eastAsia="Times New Roman" w:hAnsi="Times New Roman"/>
          <w:sz w:val="16"/>
          <w:szCs w:val="16"/>
          <w:color w:val="auto"/>
        </w:rPr>
        <w:t>, beginning on page 55 of our Annual Report 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Form 10-K for the fiscal year ended December 31, 2024, for information regarding our use and calculation of Adjusted</w:t>
      </w:r>
    </w:p>
    <w:p>
      <w:pPr>
        <w:spacing w:after="0" w:line="2" w:lineRule="exact"/>
        <w:rPr>
          <w:rFonts w:ascii="Times New Roman" w:cs="Times New Roman" w:eastAsia="Times New Roman" w:hAnsi="Times New Roman"/>
          <w:sz w:val="16"/>
          <w:szCs w:val="16"/>
          <w:color w:val="auto"/>
        </w:rPr>
      </w:pPr>
    </w:p>
    <w:p>
      <w:pPr>
        <w:ind w:left="3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EBITDA.</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335915</wp:posOffset>
            </wp:positionV>
            <wp:extent cx="5664835" cy="158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64835" cy="1587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53" w:name="page54"/>
    <w:bookmarkEnd w:id="5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40" w:right="199" w:firstLine="606"/>
        <w:spacing w:after="0" w:line="262" w:lineRule="auto"/>
        <w:rPr>
          <w:sz w:val="20"/>
          <w:szCs w:val="20"/>
          <w:color w:val="auto"/>
        </w:rPr>
      </w:pPr>
      <w:r>
        <w:rPr>
          <w:rFonts w:ascii="Times New Roman" w:cs="Times New Roman" w:eastAsia="Times New Roman" w:hAnsi="Times New Roman"/>
          <w:sz w:val="17"/>
          <w:szCs w:val="17"/>
          <w:color w:val="auto"/>
        </w:rPr>
        <w:t>To calculate the amounts in the “Compensation Actually Paid to CEO” column in the table above, the following amounts were deducted from and added to (as applicable) our Chief Executive Officer’s “Total” compensation as reported in the Summary Compensation Table:</w:t>
      </w:r>
    </w:p>
    <w:p>
      <w:pPr>
        <w:spacing w:after="0" w:line="76" w:lineRule="exact"/>
        <w:rPr>
          <w:sz w:val="20"/>
          <w:szCs w:val="20"/>
          <w:color w:val="auto"/>
        </w:rPr>
      </w:pPr>
    </w:p>
    <w:tbl>
      <w:tblPr>
        <w:tblLayout w:type="fixed"/>
        <w:tblInd w:w="40" w:type="dxa"/>
        <w:tblCellMar>
          <w:top w:w="0" w:type="dxa"/>
          <w:left w:w="0" w:type="dxa"/>
          <w:bottom w:w="0" w:type="dxa"/>
          <w:right w:w="0" w:type="dxa"/>
        </w:tblCellMar>
      </w:tblPr>
      <w:tr>
        <w:trPr>
          <w:trHeight w:val="202"/>
        </w:trPr>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gridSpan w:val="3"/>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7"/>
              </w:rPr>
              <w:t>Summary</w:t>
            </w: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02"/>
        </w:trPr>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gridSpan w:val="3"/>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9"/>
              </w:rPr>
              <w:t>Compensation</w:t>
            </w:r>
          </w:p>
        </w:tc>
        <w:tc>
          <w:tcPr>
            <w:tcW w:w="160" w:type="dxa"/>
            <w:vAlign w:val="bottom"/>
          </w:tcPr>
          <w:p>
            <w:pPr>
              <w:spacing w:after="0"/>
              <w:rPr>
                <w:sz w:val="17"/>
                <w:szCs w:val="17"/>
                <w:color w:val="auto"/>
              </w:rPr>
            </w:pPr>
          </w:p>
        </w:tc>
        <w:tc>
          <w:tcPr>
            <w:tcW w:w="19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7"/>
              </w:rPr>
              <w:t>Reported</w:t>
            </w:r>
          </w:p>
        </w:tc>
        <w:tc>
          <w:tcPr>
            <w:tcW w:w="280" w:type="dxa"/>
            <w:vAlign w:val="bottom"/>
          </w:tcPr>
          <w:p>
            <w:pPr>
              <w:spacing w:after="0"/>
              <w:rPr>
                <w:sz w:val="17"/>
                <w:szCs w:val="17"/>
                <w:color w:val="auto"/>
              </w:rPr>
            </w:pPr>
          </w:p>
        </w:tc>
        <w:tc>
          <w:tcPr>
            <w:tcW w:w="1840" w:type="dxa"/>
            <w:vAlign w:val="bottom"/>
            <w:gridSpan w:val="2"/>
          </w:tcPr>
          <w:p>
            <w:pPr>
              <w:jc w:val="center"/>
              <w:ind w:right="440"/>
              <w:spacing w:after="0"/>
              <w:rPr>
                <w:sz w:val="20"/>
                <w:szCs w:val="20"/>
                <w:color w:val="auto"/>
              </w:rPr>
            </w:pPr>
            <w:r>
              <w:rPr>
                <w:rFonts w:ascii="Times New Roman" w:cs="Times New Roman" w:eastAsia="Times New Roman" w:hAnsi="Times New Roman"/>
                <w:sz w:val="17"/>
                <w:szCs w:val="17"/>
                <w:b w:val="1"/>
                <w:bCs w:val="1"/>
                <w:color w:val="auto"/>
                <w:w w:val="96"/>
              </w:rPr>
              <w:t>Equity Award</w:t>
            </w:r>
          </w:p>
        </w:tc>
        <w:tc>
          <w:tcPr>
            <w:tcW w:w="20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02"/>
        </w:trPr>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gridSpan w:val="3"/>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5"/>
              </w:rPr>
              <w:t>Table Total for</w:t>
            </w:r>
          </w:p>
        </w:tc>
        <w:tc>
          <w:tcPr>
            <w:tcW w:w="160" w:type="dxa"/>
            <w:vAlign w:val="bottom"/>
          </w:tcPr>
          <w:p>
            <w:pPr>
              <w:spacing w:after="0"/>
              <w:rPr>
                <w:sz w:val="17"/>
                <w:szCs w:val="17"/>
                <w:color w:val="auto"/>
              </w:rPr>
            </w:pPr>
          </w:p>
        </w:tc>
        <w:tc>
          <w:tcPr>
            <w:tcW w:w="19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6"/>
              </w:rPr>
              <w:t>Value of Equity</w:t>
            </w:r>
          </w:p>
        </w:tc>
        <w:tc>
          <w:tcPr>
            <w:tcW w:w="280" w:type="dxa"/>
            <w:vAlign w:val="bottom"/>
          </w:tcPr>
          <w:p>
            <w:pPr>
              <w:spacing w:after="0"/>
              <w:rPr>
                <w:sz w:val="17"/>
                <w:szCs w:val="17"/>
                <w:color w:val="auto"/>
              </w:rPr>
            </w:pPr>
          </w:p>
        </w:tc>
        <w:tc>
          <w:tcPr>
            <w:tcW w:w="1840" w:type="dxa"/>
            <w:vAlign w:val="bottom"/>
            <w:gridSpan w:val="2"/>
          </w:tcPr>
          <w:p>
            <w:pPr>
              <w:jc w:val="center"/>
              <w:ind w:right="440"/>
              <w:spacing w:after="0"/>
              <w:rPr>
                <w:sz w:val="20"/>
                <w:szCs w:val="20"/>
                <w:color w:val="auto"/>
              </w:rPr>
            </w:pPr>
            <w:r>
              <w:rPr>
                <w:rFonts w:ascii="Times New Roman" w:cs="Times New Roman" w:eastAsia="Times New Roman" w:hAnsi="Times New Roman"/>
                <w:sz w:val="17"/>
                <w:szCs w:val="17"/>
                <w:b w:val="1"/>
                <w:bCs w:val="1"/>
                <w:color w:val="auto"/>
                <w:w w:val="99"/>
              </w:rPr>
              <w:t>Adjustments</w:t>
            </w:r>
          </w:p>
        </w:tc>
        <w:tc>
          <w:tcPr>
            <w:tcW w:w="200" w:type="dxa"/>
            <w:vAlign w:val="bottom"/>
          </w:tcPr>
          <w:p>
            <w:pPr>
              <w:spacing w:after="0"/>
              <w:rPr>
                <w:sz w:val="17"/>
                <w:szCs w:val="17"/>
                <w:color w:val="auto"/>
              </w:rPr>
            </w:pPr>
          </w:p>
        </w:tc>
        <w:tc>
          <w:tcPr>
            <w:tcW w:w="1980" w:type="dxa"/>
            <w:vAlign w:val="bottom"/>
          </w:tcPr>
          <w:p>
            <w:pPr>
              <w:jc w:val="right"/>
              <w:ind w:right="496"/>
              <w:spacing w:after="0"/>
              <w:rPr>
                <w:sz w:val="20"/>
                <w:szCs w:val="20"/>
                <w:color w:val="auto"/>
              </w:rPr>
            </w:pPr>
            <w:r>
              <w:rPr>
                <w:rFonts w:ascii="Times New Roman" w:cs="Times New Roman" w:eastAsia="Times New Roman" w:hAnsi="Times New Roman"/>
                <w:sz w:val="17"/>
                <w:szCs w:val="17"/>
                <w:b w:val="1"/>
                <w:bCs w:val="1"/>
                <w:color w:val="auto"/>
              </w:rPr>
              <w:t>Compensation</w:t>
            </w:r>
          </w:p>
        </w:tc>
      </w:tr>
      <w:tr>
        <w:trPr>
          <w:trHeight w:val="222"/>
        </w:trPr>
        <w:tc>
          <w:tcPr>
            <w:tcW w:w="70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Year</w:t>
            </w:r>
          </w:p>
        </w:tc>
        <w:tc>
          <w:tcPr>
            <w:tcW w:w="200" w:type="dxa"/>
            <w:vAlign w:val="bottom"/>
          </w:tcPr>
          <w:p>
            <w:pPr>
              <w:spacing w:after="0"/>
              <w:rPr>
                <w:sz w:val="19"/>
                <w:szCs w:val="19"/>
                <w:color w:val="auto"/>
              </w:rPr>
            </w:pPr>
          </w:p>
        </w:tc>
        <w:tc>
          <w:tcPr>
            <w:tcW w:w="1660" w:type="dxa"/>
            <w:vAlign w:val="bottom"/>
            <w:gridSpan w:val="3"/>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7"/>
              </w:rPr>
              <w:t>CEO</w:t>
            </w:r>
          </w:p>
        </w:tc>
        <w:tc>
          <w:tcPr>
            <w:tcW w:w="160" w:type="dxa"/>
            <w:vAlign w:val="bottom"/>
          </w:tcPr>
          <w:p>
            <w:pPr>
              <w:spacing w:after="0"/>
              <w:rPr>
                <w:sz w:val="19"/>
                <w:szCs w:val="19"/>
                <w:color w:val="auto"/>
              </w:rPr>
            </w:pPr>
          </w:p>
        </w:tc>
        <w:tc>
          <w:tcPr>
            <w:tcW w:w="19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8"/>
              </w:rPr>
              <w:t>Awards for CEO (1)</w:t>
            </w:r>
          </w:p>
        </w:tc>
        <w:tc>
          <w:tcPr>
            <w:tcW w:w="280" w:type="dxa"/>
            <w:vAlign w:val="bottom"/>
          </w:tcPr>
          <w:p>
            <w:pPr>
              <w:spacing w:after="0"/>
              <w:rPr>
                <w:sz w:val="19"/>
                <w:szCs w:val="19"/>
                <w:color w:val="auto"/>
              </w:rPr>
            </w:pPr>
          </w:p>
        </w:tc>
        <w:tc>
          <w:tcPr>
            <w:tcW w:w="1840" w:type="dxa"/>
            <w:vAlign w:val="bottom"/>
            <w:gridSpan w:val="2"/>
          </w:tcPr>
          <w:p>
            <w:pPr>
              <w:jc w:val="center"/>
              <w:ind w:right="460"/>
              <w:spacing w:after="0"/>
              <w:rPr>
                <w:sz w:val="20"/>
                <w:szCs w:val="20"/>
                <w:color w:val="auto"/>
              </w:rPr>
            </w:pPr>
            <w:r>
              <w:rPr>
                <w:rFonts w:ascii="Times New Roman" w:cs="Times New Roman" w:eastAsia="Times New Roman" w:hAnsi="Times New Roman"/>
                <w:sz w:val="17"/>
                <w:szCs w:val="17"/>
                <w:b w:val="1"/>
                <w:bCs w:val="1"/>
                <w:color w:val="auto"/>
                <w:w w:val="98"/>
              </w:rPr>
              <w:t>for CEO (2)</w:t>
            </w:r>
          </w:p>
        </w:tc>
        <w:tc>
          <w:tcPr>
            <w:tcW w:w="200" w:type="dxa"/>
            <w:vAlign w:val="bottom"/>
          </w:tcPr>
          <w:p>
            <w:pPr>
              <w:spacing w:after="0"/>
              <w:rPr>
                <w:sz w:val="19"/>
                <w:szCs w:val="19"/>
                <w:color w:val="auto"/>
              </w:rPr>
            </w:pPr>
          </w:p>
        </w:tc>
        <w:tc>
          <w:tcPr>
            <w:tcW w:w="1980" w:type="dxa"/>
            <w:vAlign w:val="bottom"/>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rPr>
              <w:t>Actually Paid to CEO</w:t>
            </w:r>
          </w:p>
        </w:tc>
      </w:tr>
      <w:tr>
        <w:trPr>
          <w:trHeight w:val="195"/>
        </w:trPr>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1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2,006,779</w:t>
            </w: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(1,211,483)</w:t>
            </w:r>
          </w:p>
        </w:tc>
        <w:tc>
          <w:tcPr>
            <w:tcW w:w="16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2,376,812</w:t>
            </w:r>
          </w:p>
        </w:tc>
        <w:tc>
          <w:tcPr>
            <w:tcW w:w="1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3,172,108</w:t>
            </w:r>
          </w:p>
        </w:tc>
      </w:tr>
      <w:tr>
        <w:trPr>
          <w:trHeight w:val="202"/>
        </w:trPr>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2023</w:t>
            </w:r>
          </w:p>
        </w:tc>
        <w:tc>
          <w:tcPr>
            <w:tcW w:w="160" w:type="dxa"/>
            <w:vAlign w:val="bottom"/>
          </w:tcPr>
          <w:p>
            <w:pPr>
              <w:spacing w:after="0"/>
              <w:rPr>
                <w:sz w:val="17"/>
                <w:szCs w:val="17"/>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2,016,887</w:t>
            </w:r>
          </w:p>
        </w:tc>
        <w:tc>
          <w:tcPr>
            <w:tcW w:w="1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(1,211,643)</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2,280,507</w:t>
            </w:r>
          </w:p>
        </w:tc>
        <w:tc>
          <w:tcPr>
            <w:tcW w:w="160" w:type="dxa"/>
            <w:vAlign w:val="bottom"/>
          </w:tcPr>
          <w:p>
            <w:pPr>
              <w:spacing w:after="0"/>
              <w:rPr>
                <w:sz w:val="17"/>
                <w:szCs w:val="17"/>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3,085,751</w:t>
            </w:r>
          </w:p>
        </w:tc>
      </w:tr>
      <w:tr>
        <w:trPr>
          <w:trHeight w:val="202"/>
        </w:trPr>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2022</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1,997,113</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(1,211,488)</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2,133,739</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2,919,364</w:t>
            </w:r>
          </w:p>
        </w:tc>
      </w:tr>
      <w:tr>
        <w:trPr>
          <w:trHeight w:val="202"/>
        </w:trPr>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2021</w:t>
            </w:r>
          </w:p>
        </w:tc>
        <w:tc>
          <w:tcPr>
            <w:tcW w:w="160" w:type="dxa"/>
            <w:vAlign w:val="bottom"/>
          </w:tcPr>
          <w:p>
            <w:pPr>
              <w:spacing w:after="0"/>
              <w:rPr>
                <w:sz w:val="17"/>
                <w:szCs w:val="17"/>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1,843,058</w:t>
            </w:r>
          </w:p>
        </w:tc>
        <w:tc>
          <w:tcPr>
            <w:tcW w:w="1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(1,211,575)</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1,233,385</w:t>
            </w:r>
          </w:p>
        </w:tc>
        <w:tc>
          <w:tcPr>
            <w:tcW w:w="160" w:type="dxa"/>
            <w:vAlign w:val="bottom"/>
          </w:tcPr>
          <w:p>
            <w:pPr>
              <w:spacing w:after="0"/>
              <w:rPr>
                <w:sz w:val="17"/>
                <w:szCs w:val="17"/>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1,864,868</w:t>
            </w:r>
          </w:p>
        </w:tc>
      </w:tr>
      <w:tr>
        <w:trPr>
          <w:trHeight w:val="202"/>
        </w:trPr>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2020</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2,105,208</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(1,211,533)</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936,972</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1,830,647</w:t>
            </w:r>
          </w:p>
        </w:tc>
      </w:tr>
      <w:tr>
        <w:trPr>
          <w:trHeight w:val="106"/>
        </w:trPr>
        <w:tc>
          <w:tcPr>
            <w:tcW w:w="5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980" w:type="dxa"/>
            <w:vAlign w:val="bottom"/>
          </w:tcPr>
          <w:p>
            <w:pPr>
              <w:spacing w:after="0"/>
              <w:rPr>
                <w:sz w:val="9"/>
                <w:szCs w:val="9"/>
                <w:color w:val="auto"/>
              </w:rPr>
            </w:pPr>
          </w:p>
        </w:tc>
      </w:tr>
    </w:tbl>
    <w:p>
      <w:pPr>
        <w:spacing w:after="0" w:line="59" w:lineRule="exact"/>
        <w:rPr>
          <w:sz w:val="20"/>
          <w:szCs w:val="20"/>
          <w:color w:val="auto"/>
        </w:rPr>
      </w:pPr>
    </w:p>
    <w:p>
      <w:pPr>
        <w:ind w:left="340" w:right="419" w:hanging="295"/>
        <w:spacing w:after="0" w:line="275" w:lineRule="auto"/>
        <w:tabs>
          <w:tab w:leader="none" w:pos="34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grant date fair value of the equity awards to our Chief Executive Officer, as reported in the “Stock Awards” column in the Summary Compensation Table for each applicable year.</w:t>
      </w:r>
    </w:p>
    <w:p>
      <w:pPr>
        <w:spacing w:after="0" w:line="57" w:lineRule="exact"/>
        <w:rPr>
          <w:rFonts w:ascii="Times New Roman" w:cs="Times New Roman" w:eastAsia="Times New Roman" w:hAnsi="Times New Roman"/>
          <w:sz w:val="17"/>
          <w:szCs w:val="17"/>
          <w:color w:val="auto"/>
        </w:rPr>
      </w:pPr>
    </w:p>
    <w:p>
      <w:pPr>
        <w:ind w:left="340" w:right="279" w:hanging="295"/>
        <w:spacing w:after="0" w:line="275" w:lineRule="auto"/>
        <w:tabs>
          <w:tab w:leader="none" w:pos="34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adjustments to equity awards granted to our Chief Executive Officer to arrive at CAP, as itemized in the table below. No awards vested in the year they were granted.</w:t>
      </w:r>
    </w:p>
    <w:p>
      <w:pPr>
        <w:spacing w:after="0" w:line="79" w:lineRule="exact"/>
        <w:rPr>
          <w:sz w:val="20"/>
          <w:szCs w:val="20"/>
          <w:color w:val="auto"/>
        </w:rPr>
      </w:pPr>
    </w:p>
    <w:tbl>
      <w:tblPr>
        <w:tblLayout w:type="fixed"/>
        <w:tblInd w:w="40" w:type="dxa"/>
        <w:tblCellMar>
          <w:top w:w="0" w:type="dxa"/>
          <w:left w:w="0" w:type="dxa"/>
          <w:bottom w:w="0" w:type="dxa"/>
          <w:right w:w="0" w:type="dxa"/>
        </w:tblCellMar>
      </w:tblPr>
      <w:tr>
        <w:trPr>
          <w:trHeight w:val="222"/>
        </w:trPr>
        <w:tc>
          <w:tcPr>
            <w:tcW w:w="4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color w:val="auto"/>
              </w:rPr>
              <w:t>Fair Value of Equity Awards for CEO</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rPr>
              <w:t>2024</w:t>
            </w: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b w:val="1"/>
                <w:bCs w:val="1"/>
                <w:color w:val="auto"/>
              </w:rPr>
              <w:t>2023</w:t>
            </w: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rPr>
              <w:t>2022</w:t>
            </w: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rPr>
              <w:t>2021</w:t>
            </w: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b w:val="1"/>
                <w:bCs w:val="1"/>
                <w:color w:val="auto"/>
              </w:rPr>
              <w:t>2020</w:t>
            </w:r>
          </w:p>
        </w:tc>
      </w:tr>
      <w:tr>
        <w:trPr>
          <w:trHeight w:val="195"/>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As of year-end for awards granted during the year</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1,519,573</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1,417,053</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1,542,425</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1,207,911</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1,341,808</w:t>
            </w:r>
          </w:p>
        </w:tc>
      </w:tr>
      <w:tr>
        <w:trPr>
          <w:trHeight w:val="186"/>
        </w:trPr>
        <w:tc>
          <w:tcPr>
            <w:tcW w:w="4000" w:type="dxa"/>
            <w:vAlign w:val="bottom"/>
          </w:tcPr>
          <w:p>
            <w:pPr>
              <w:spacing w:after="0" w:line="186" w:lineRule="exact"/>
              <w:rPr>
                <w:sz w:val="20"/>
                <w:szCs w:val="20"/>
                <w:color w:val="auto"/>
              </w:rPr>
            </w:pPr>
            <w:r>
              <w:rPr>
                <w:rFonts w:ascii="Times New Roman" w:cs="Times New Roman" w:eastAsia="Times New Roman" w:hAnsi="Times New Roman"/>
                <w:sz w:val="17"/>
                <w:szCs w:val="17"/>
                <w:color w:val="auto"/>
              </w:rPr>
              <w:t>Year-over-year increase (decrease) of unvested awards</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18"/>
        </w:trPr>
        <w:tc>
          <w:tcPr>
            <w:tcW w:w="4000" w:type="dxa"/>
            <w:vAlign w:val="bottom"/>
          </w:tcPr>
          <w:p>
            <w:pPr>
              <w:spacing w:after="0"/>
              <w:rPr>
                <w:sz w:val="20"/>
                <w:szCs w:val="20"/>
                <w:color w:val="auto"/>
              </w:rPr>
            </w:pPr>
            <w:r>
              <w:rPr>
                <w:rFonts w:ascii="Times New Roman" w:cs="Times New Roman" w:eastAsia="Times New Roman" w:hAnsi="Times New Roman"/>
                <w:sz w:val="17"/>
                <w:szCs w:val="17"/>
                <w:color w:val="auto"/>
              </w:rPr>
              <w:t>granted in prior years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821,504</w:t>
            </w:r>
          </w:p>
        </w:tc>
        <w:tc>
          <w:tcPr>
            <w:tcW w:w="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752,305</w:t>
            </w:r>
          </w:p>
        </w:tc>
        <w:tc>
          <w:tcPr>
            <w:tcW w:w="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555,228</w:t>
            </w:r>
          </w:p>
        </w:tc>
        <w:tc>
          <w:tcPr>
            <w:tcW w:w="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(209,339)</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(83,431)</w:t>
            </w:r>
          </w:p>
        </w:tc>
      </w:tr>
      <w:tr>
        <w:trPr>
          <w:trHeight w:val="186"/>
        </w:trPr>
        <w:tc>
          <w:tcPr>
            <w:tcW w:w="400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auto"/>
              </w:rPr>
              <w:t>Increase (decrease) from prior fiscal year-end for awards</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219"/>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that vested during the year</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35,735</w:t>
            </w: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111,149</w:t>
            </w: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36,086</w:t>
            </w: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234,813</w:t>
            </w: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(321,405)</w:t>
            </w:r>
          </w:p>
        </w:tc>
      </w:tr>
      <w:tr>
        <w:trPr>
          <w:trHeight w:val="195"/>
        </w:trPr>
        <w:tc>
          <w:tcPr>
            <w:tcW w:w="4000" w:type="dxa"/>
            <w:vAlign w:val="bottom"/>
          </w:tcPr>
          <w:p>
            <w:pPr>
              <w:spacing w:after="0"/>
              <w:rPr>
                <w:sz w:val="20"/>
                <w:szCs w:val="20"/>
                <w:color w:val="auto"/>
              </w:rPr>
            </w:pPr>
            <w:r>
              <w:rPr>
                <w:rFonts w:ascii="Times New Roman" w:cs="Times New Roman" w:eastAsia="Times New Roman" w:hAnsi="Times New Roman"/>
                <w:sz w:val="17"/>
                <w:szCs w:val="17"/>
                <w:color w:val="auto"/>
              </w:rPr>
              <w:t>Total Equity Award Adjustments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2,376,812</w:t>
            </w:r>
          </w:p>
        </w:tc>
        <w:tc>
          <w:tcPr>
            <w:tcW w:w="6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2,280,507</w:t>
            </w:r>
          </w:p>
        </w:tc>
        <w:tc>
          <w:tcPr>
            <w:tcW w:w="6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2,133,739</w:t>
            </w:r>
          </w:p>
        </w:tc>
        <w:tc>
          <w:tcPr>
            <w:tcW w:w="6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1,233,385</w:t>
            </w:r>
          </w:p>
        </w:tc>
        <w:tc>
          <w:tcPr>
            <w:tcW w:w="6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936,972</w:t>
            </w:r>
          </w:p>
        </w:tc>
      </w:tr>
      <w:tr>
        <w:trPr>
          <w:trHeight w:val="20"/>
        </w:trPr>
        <w:tc>
          <w:tcPr>
            <w:tcW w:w="4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40" w:right="99" w:firstLine="606"/>
        <w:spacing w:after="0" w:line="253" w:lineRule="auto"/>
        <w:rPr>
          <w:sz w:val="20"/>
          <w:szCs w:val="20"/>
          <w:color w:val="auto"/>
        </w:rPr>
      </w:pPr>
      <w:r>
        <w:rPr>
          <w:rFonts w:ascii="Times New Roman" w:cs="Times New Roman" w:eastAsia="Times New Roman" w:hAnsi="Times New Roman"/>
          <w:sz w:val="17"/>
          <w:szCs w:val="17"/>
          <w:color w:val="auto"/>
        </w:rPr>
        <w:t>To calculate the amounts in the “Average Compensation Actually Paid to Non-Chief Executive Officer NEOs” column in the table above, the following amounts were deducted from and added to (as applicable) the average of the “Total” compensation of our non-Chief Executive Officer named executive officers for each applicable year, as reported in the Summary Compensation Table for that year:</w:t>
      </w:r>
    </w:p>
    <w:tbl>
      <w:tblPr>
        <w:tblLayout w:type="fixed"/>
        <w:tblInd w:w="40" w:type="dxa"/>
        <w:tblCellMar>
          <w:top w:w="0" w:type="dxa"/>
          <w:left w:w="0" w:type="dxa"/>
          <w:bottom w:w="0" w:type="dxa"/>
          <w:right w:w="0" w:type="dxa"/>
        </w:tblCellMar>
      </w:tblPr>
      <w:tr>
        <w:trPr>
          <w:trHeight w:val="195"/>
        </w:trPr>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3"/>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8"/>
              </w:rPr>
              <w:t>Average Summary</w:t>
            </w:r>
          </w:p>
        </w:tc>
        <w:tc>
          <w:tcPr>
            <w:tcW w:w="160" w:type="dxa"/>
            <w:vAlign w:val="bottom"/>
          </w:tcPr>
          <w:p>
            <w:pPr>
              <w:spacing w:after="0"/>
              <w:rPr>
                <w:sz w:val="16"/>
                <w:szCs w:val="16"/>
                <w:color w:val="auto"/>
              </w:rPr>
            </w:pPr>
          </w:p>
        </w:tc>
        <w:tc>
          <w:tcPr>
            <w:tcW w:w="19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5"/>
              </w:rPr>
              <w:t>Average</w:t>
            </w:r>
          </w:p>
        </w:tc>
        <w:tc>
          <w:tcPr>
            <w:tcW w:w="100" w:type="dxa"/>
            <w:vAlign w:val="bottom"/>
          </w:tcPr>
          <w:p>
            <w:pPr>
              <w:spacing w:after="0"/>
              <w:rPr>
                <w:sz w:val="16"/>
                <w:szCs w:val="16"/>
                <w:color w:val="auto"/>
              </w:rPr>
            </w:pPr>
          </w:p>
        </w:tc>
        <w:tc>
          <w:tcPr>
            <w:tcW w:w="202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5"/>
              </w:rPr>
              <w:t>Average</w:t>
            </w:r>
          </w:p>
        </w:tc>
        <w:tc>
          <w:tcPr>
            <w:tcW w:w="140" w:type="dxa"/>
            <w:vAlign w:val="bottom"/>
          </w:tcPr>
          <w:p>
            <w:pPr>
              <w:spacing w:after="0"/>
              <w:rPr>
                <w:sz w:val="16"/>
                <w:szCs w:val="16"/>
                <w:color w:val="auto"/>
              </w:rPr>
            </w:pPr>
          </w:p>
        </w:tc>
        <w:tc>
          <w:tcPr>
            <w:tcW w:w="2040" w:type="dxa"/>
            <w:vAlign w:val="bottom"/>
          </w:tcPr>
          <w:p>
            <w:pPr>
              <w:spacing w:after="0"/>
              <w:rPr>
                <w:sz w:val="16"/>
                <w:szCs w:val="16"/>
                <w:color w:val="auto"/>
              </w:rPr>
            </w:pPr>
          </w:p>
        </w:tc>
      </w:tr>
      <w:tr>
        <w:trPr>
          <w:trHeight w:val="202"/>
        </w:trPr>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gridSpan w:val="3"/>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9"/>
              </w:rPr>
              <w:t>Compensation</w:t>
            </w:r>
          </w:p>
        </w:tc>
        <w:tc>
          <w:tcPr>
            <w:tcW w:w="160" w:type="dxa"/>
            <w:vAlign w:val="bottom"/>
          </w:tcPr>
          <w:p>
            <w:pPr>
              <w:spacing w:after="0"/>
              <w:rPr>
                <w:sz w:val="17"/>
                <w:szCs w:val="17"/>
                <w:color w:val="auto"/>
              </w:rPr>
            </w:pPr>
          </w:p>
        </w:tc>
        <w:tc>
          <w:tcPr>
            <w:tcW w:w="19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7"/>
              </w:rPr>
              <w:t>Reported Value of</w:t>
            </w:r>
          </w:p>
        </w:tc>
        <w:tc>
          <w:tcPr>
            <w:tcW w:w="100" w:type="dxa"/>
            <w:vAlign w:val="bottom"/>
          </w:tcPr>
          <w:p>
            <w:pPr>
              <w:spacing w:after="0"/>
              <w:rPr>
                <w:sz w:val="17"/>
                <w:szCs w:val="17"/>
                <w:color w:val="auto"/>
              </w:rPr>
            </w:pPr>
          </w:p>
        </w:tc>
        <w:tc>
          <w:tcPr>
            <w:tcW w:w="202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6"/>
              </w:rPr>
              <w:t>Equity Award</w:t>
            </w:r>
          </w:p>
        </w:tc>
        <w:tc>
          <w:tcPr>
            <w:tcW w:w="140" w:type="dxa"/>
            <w:vAlign w:val="bottom"/>
          </w:tcPr>
          <w:p>
            <w:pPr>
              <w:spacing w:after="0"/>
              <w:rPr>
                <w:sz w:val="17"/>
                <w:szCs w:val="17"/>
                <w:color w:val="auto"/>
              </w:rPr>
            </w:pPr>
          </w:p>
        </w:tc>
        <w:tc>
          <w:tcPr>
            <w:tcW w:w="2040" w:type="dxa"/>
            <w:vAlign w:val="bottom"/>
          </w:tcPr>
          <w:p>
            <w:pPr>
              <w:jc w:val="center"/>
              <w:ind w:right="56"/>
              <w:spacing w:after="0"/>
              <w:rPr>
                <w:sz w:val="20"/>
                <w:szCs w:val="20"/>
                <w:color w:val="auto"/>
              </w:rPr>
            </w:pPr>
            <w:r>
              <w:rPr>
                <w:rFonts w:ascii="Times New Roman" w:cs="Times New Roman" w:eastAsia="Times New Roman" w:hAnsi="Times New Roman"/>
                <w:sz w:val="17"/>
                <w:szCs w:val="17"/>
                <w:b w:val="1"/>
                <w:bCs w:val="1"/>
                <w:color w:val="auto"/>
                <w:w w:val="95"/>
              </w:rPr>
              <w:t>Average</w:t>
            </w:r>
          </w:p>
        </w:tc>
      </w:tr>
      <w:tr>
        <w:trPr>
          <w:trHeight w:val="202"/>
        </w:trPr>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gridSpan w:val="3"/>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5"/>
              </w:rPr>
              <w:t>Table Total for</w:t>
            </w:r>
          </w:p>
        </w:tc>
        <w:tc>
          <w:tcPr>
            <w:tcW w:w="160" w:type="dxa"/>
            <w:vAlign w:val="bottom"/>
          </w:tcPr>
          <w:p>
            <w:pPr>
              <w:spacing w:after="0"/>
              <w:rPr>
                <w:sz w:val="17"/>
                <w:szCs w:val="17"/>
                <w:color w:val="auto"/>
              </w:rPr>
            </w:pPr>
          </w:p>
        </w:tc>
        <w:tc>
          <w:tcPr>
            <w:tcW w:w="19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8"/>
              </w:rPr>
              <w:t>Equity Awards for</w:t>
            </w:r>
          </w:p>
        </w:tc>
        <w:tc>
          <w:tcPr>
            <w:tcW w:w="100" w:type="dxa"/>
            <w:vAlign w:val="bottom"/>
          </w:tcPr>
          <w:p>
            <w:pPr>
              <w:spacing w:after="0"/>
              <w:rPr>
                <w:sz w:val="17"/>
                <w:szCs w:val="17"/>
                <w:color w:val="auto"/>
              </w:rPr>
            </w:pPr>
          </w:p>
        </w:tc>
        <w:tc>
          <w:tcPr>
            <w:tcW w:w="202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9"/>
              </w:rPr>
              <w:t>Adjustments</w:t>
            </w:r>
          </w:p>
        </w:tc>
        <w:tc>
          <w:tcPr>
            <w:tcW w:w="140" w:type="dxa"/>
            <w:vAlign w:val="bottom"/>
          </w:tcPr>
          <w:p>
            <w:pPr>
              <w:spacing w:after="0"/>
              <w:rPr>
                <w:sz w:val="17"/>
                <w:szCs w:val="17"/>
                <w:color w:val="auto"/>
              </w:rPr>
            </w:pPr>
          </w:p>
        </w:tc>
        <w:tc>
          <w:tcPr>
            <w:tcW w:w="2040" w:type="dxa"/>
            <w:vAlign w:val="bottom"/>
          </w:tcPr>
          <w:p>
            <w:pPr>
              <w:jc w:val="center"/>
              <w:ind w:right="56"/>
              <w:spacing w:after="0"/>
              <w:rPr>
                <w:sz w:val="20"/>
                <w:szCs w:val="20"/>
                <w:color w:val="auto"/>
              </w:rPr>
            </w:pPr>
            <w:r>
              <w:rPr>
                <w:rFonts w:ascii="Times New Roman" w:cs="Times New Roman" w:eastAsia="Times New Roman" w:hAnsi="Times New Roman"/>
                <w:sz w:val="17"/>
                <w:szCs w:val="17"/>
                <w:b w:val="1"/>
                <w:bCs w:val="1"/>
                <w:color w:val="auto"/>
                <w:w w:val="99"/>
              </w:rPr>
              <w:t>Compensation Actually</w:t>
            </w:r>
          </w:p>
        </w:tc>
      </w:tr>
      <w:tr>
        <w:trPr>
          <w:trHeight w:val="222"/>
        </w:trPr>
        <w:tc>
          <w:tcPr>
            <w:tcW w:w="70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Year</w:t>
            </w:r>
          </w:p>
        </w:tc>
        <w:tc>
          <w:tcPr>
            <w:tcW w:w="140" w:type="dxa"/>
            <w:vAlign w:val="bottom"/>
          </w:tcPr>
          <w:p>
            <w:pPr>
              <w:spacing w:after="0"/>
              <w:rPr>
                <w:sz w:val="19"/>
                <w:szCs w:val="19"/>
                <w:color w:val="auto"/>
              </w:rPr>
            </w:pPr>
          </w:p>
        </w:tc>
        <w:tc>
          <w:tcPr>
            <w:tcW w:w="1720" w:type="dxa"/>
            <w:vAlign w:val="bottom"/>
            <w:gridSpan w:val="3"/>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7"/>
              </w:rPr>
              <w:t>Non-CEO NEOs</w:t>
            </w:r>
          </w:p>
        </w:tc>
        <w:tc>
          <w:tcPr>
            <w:tcW w:w="160" w:type="dxa"/>
            <w:vAlign w:val="bottom"/>
          </w:tcPr>
          <w:p>
            <w:pPr>
              <w:spacing w:after="0"/>
              <w:rPr>
                <w:sz w:val="19"/>
                <w:szCs w:val="19"/>
                <w:color w:val="auto"/>
              </w:rPr>
            </w:pPr>
          </w:p>
        </w:tc>
        <w:tc>
          <w:tcPr>
            <w:tcW w:w="19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8"/>
              </w:rPr>
              <w:t>Non-CEO NEOs (1)</w:t>
            </w:r>
          </w:p>
        </w:tc>
        <w:tc>
          <w:tcPr>
            <w:tcW w:w="100" w:type="dxa"/>
            <w:vAlign w:val="bottom"/>
          </w:tcPr>
          <w:p>
            <w:pPr>
              <w:spacing w:after="0"/>
              <w:rPr>
                <w:sz w:val="19"/>
                <w:szCs w:val="19"/>
                <w:color w:val="auto"/>
              </w:rPr>
            </w:pPr>
          </w:p>
        </w:tc>
        <w:tc>
          <w:tcPr>
            <w:tcW w:w="202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8"/>
              </w:rPr>
              <w:t>for Non-CEO NEOs (2)</w:t>
            </w:r>
          </w:p>
        </w:tc>
        <w:tc>
          <w:tcPr>
            <w:tcW w:w="140" w:type="dxa"/>
            <w:vAlign w:val="bottom"/>
          </w:tcPr>
          <w:p>
            <w:pPr>
              <w:spacing w:after="0"/>
              <w:rPr>
                <w:sz w:val="19"/>
                <w:szCs w:val="19"/>
                <w:color w:val="auto"/>
              </w:rPr>
            </w:pPr>
          </w:p>
        </w:tc>
        <w:tc>
          <w:tcPr>
            <w:tcW w:w="2040" w:type="dxa"/>
            <w:vAlign w:val="bottom"/>
          </w:tcPr>
          <w:p>
            <w:pPr>
              <w:jc w:val="center"/>
              <w:ind w:right="56"/>
              <w:spacing w:after="0"/>
              <w:rPr>
                <w:sz w:val="20"/>
                <w:szCs w:val="20"/>
                <w:color w:val="auto"/>
              </w:rPr>
            </w:pPr>
            <w:r>
              <w:rPr>
                <w:rFonts w:ascii="Times New Roman" w:cs="Times New Roman" w:eastAsia="Times New Roman" w:hAnsi="Times New Roman"/>
                <w:sz w:val="17"/>
                <w:szCs w:val="17"/>
                <w:b w:val="1"/>
                <w:bCs w:val="1"/>
                <w:color w:val="auto"/>
                <w:w w:val="98"/>
              </w:rPr>
              <w:t>Paid to Non-CEO NEOs</w:t>
            </w:r>
          </w:p>
        </w:tc>
      </w:tr>
      <w:tr>
        <w:trPr>
          <w:trHeight w:val="195"/>
        </w:trPr>
        <w:tc>
          <w:tcPr>
            <w:tcW w:w="54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2024</w:t>
            </w: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1,162,069</w:t>
            </w: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(498,959)</w:t>
            </w: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785,621</w:t>
            </w: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1,448,731</w:t>
            </w:r>
          </w:p>
        </w:tc>
      </w:tr>
      <w:tr>
        <w:trPr>
          <w:trHeight w:val="202"/>
        </w:trPr>
        <w:tc>
          <w:tcPr>
            <w:tcW w:w="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2023</w:t>
            </w:r>
          </w:p>
        </w:tc>
        <w:tc>
          <w:tcPr>
            <w:tcW w:w="1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1,196,944</w:t>
            </w:r>
          </w:p>
        </w:tc>
        <w:tc>
          <w:tcPr>
            <w:tcW w:w="1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(560,802)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1,036,250</w:t>
            </w:r>
          </w:p>
        </w:tc>
        <w:tc>
          <w:tcPr>
            <w:tcW w:w="1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1,672,392</w:t>
            </w:r>
          </w:p>
        </w:tc>
      </w:tr>
      <w:tr>
        <w:trPr>
          <w:trHeight w:val="202"/>
        </w:trPr>
        <w:tc>
          <w:tcPr>
            <w:tcW w:w="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2022</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1,205,110</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(560,722)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959,645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1,604,033</w:t>
            </w:r>
          </w:p>
        </w:tc>
      </w:tr>
      <w:tr>
        <w:trPr>
          <w:trHeight w:val="202"/>
        </w:trPr>
        <w:tc>
          <w:tcPr>
            <w:tcW w:w="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2021</w:t>
            </w:r>
          </w:p>
        </w:tc>
        <w:tc>
          <w:tcPr>
            <w:tcW w:w="1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1,099,912</w:t>
            </w:r>
          </w:p>
        </w:tc>
        <w:tc>
          <w:tcPr>
            <w:tcW w:w="1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(553,324)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553,942</w:t>
            </w:r>
          </w:p>
        </w:tc>
        <w:tc>
          <w:tcPr>
            <w:tcW w:w="1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1,100,530</w:t>
            </w:r>
          </w:p>
        </w:tc>
      </w:tr>
      <w:tr>
        <w:trPr>
          <w:trHeight w:val="202"/>
        </w:trPr>
        <w:tc>
          <w:tcPr>
            <w:tcW w:w="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2020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1,322,165</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(609,865)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510,027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1,222,327</w:t>
            </w:r>
          </w:p>
        </w:tc>
      </w:tr>
      <w:tr>
        <w:trPr>
          <w:trHeight w:val="106"/>
        </w:trPr>
        <w:tc>
          <w:tcPr>
            <w:tcW w:w="5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40" w:type="dxa"/>
            <w:vAlign w:val="bottom"/>
          </w:tcPr>
          <w:p>
            <w:pPr>
              <w:spacing w:after="0"/>
              <w:rPr>
                <w:sz w:val="9"/>
                <w:szCs w:val="9"/>
                <w:color w:val="auto"/>
              </w:rPr>
            </w:pPr>
          </w:p>
        </w:tc>
      </w:tr>
    </w:tbl>
    <w:p>
      <w:pPr>
        <w:spacing w:after="0" w:line="59" w:lineRule="exact"/>
        <w:rPr>
          <w:sz w:val="20"/>
          <w:szCs w:val="20"/>
          <w:color w:val="auto"/>
        </w:rPr>
      </w:pPr>
    </w:p>
    <w:p>
      <w:pPr>
        <w:jc w:val="both"/>
        <w:ind w:left="340" w:right="259" w:hanging="295"/>
        <w:spacing w:after="0" w:line="308" w:lineRule="auto"/>
        <w:tabs>
          <w:tab w:leader="none" w:pos="34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average of the grant date fair value of the equity awards to our named executive officers (other than our Chief Executive Officer), as reported in the “Stock Awards” column in the Summary Compensation Table for each applicable year.</w:t>
      </w:r>
    </w:p>
    <w:p>
      <w:pPr>
        <w:spacing w:after="0" w:line="33" w:lineRule="exact"/>
        <w:rPr>
          <w:rFonts w:ascii="Times New Roman" w:cs="Times New Roman" w:eastAsia="Times New Roman" w:hAnsi="Times New Roman"/>
          <w:sz w:val="16"/>
          <w:szCs w:val="16"/>
          <w:color w:val="auto"/>
        </w:rPr>
      </w:pPr>
    </w:p>
    <w:p>
      <w:pPr>
        <w:ind w:left="340" w:right="139" w:hanging="295"/>
        <w:spacing w:after="0" w:line="275" w:lineRule="auto"/>
        <w:tabs>
          <w:tab w:leader="none" w:pos="34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adjustments for the equity awards granted to our named executive officers (other than our Chief Executive Officer) to arrive at CAP, as itemized in the table below. No awards vested in the year they were granted.</w:t>
      </w:r>
    </w:p>
    <w:p>
      <w:pPr>
        <w:spacing w:after="0" w:line="66" w:lineRule="exact"/>
        <w:rPr>
          <w:sz w:val="20"/>
          <w:szCs w:val="20"/>
          <w:color w:val="auto"/>
        </w:rPr>
      </w:pPr>
    </w:p>
    <w:tbl>
      <w:tblPr>
        <w:tblLayout w:type="fixed"/>
        <w:tblInd w:w="40" w:type="dxa"/>
        <w:tblCellMar>
          <w:top w:w="0" w:type="dxa"/>
          <w:left w:w="0" w:type="dxa"/>
          <w:bottom w:w="0" w:type="dxa"/>
          <w:right w:w="0" w:type="dxa"/>
        </w:tblCellMar>
      </w:tblPr>
      <w:tr>
        <w:trPr>
          <w:trHeight w:val="222"/>
        </w:trPr>
        <w:tc>
          <w:tcPr>
            <w:tcW w:w="4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color w:val="auto"/>
              </w:rPr>
              <w:t>Fair Value of Equity Awards for Non-CEO NEOs</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b w:val="1"/>
                <w:bCs w:val="1"/>
                <w:color w:val="auto"/>
              </w:rPr>
              <w:t>2020</w:t>
            </w:r>
          </w:p>
        </w:tc>
      </w:tr>
      <w:tr>
        <w:trPr>
          <w:trHeight w:val="195"/>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As of year-end for awards granted during the year</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500,442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655,876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713,892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551,651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675,443</w:t>
            </w:r>
          </w:p>
        </w:tc>
      </w:tr>
      <w:tr>
        <w:trPr>
          <w:trHeight w:val="186"/>
        </w:trPr>
        <w:tc>
          <w:tcPr>
            <w:tcW w:w="4040" w:type="dxa"/>
            <w:vAlign w:val="bottom"/>
          </w:tcPr>
          <w:p>
            <w:pPr>
              <w:spacing w:after="0" w:line="186" w:lineRule="exact"/>
              <w:rPr>
                <w:sz w:val="20"/>
                <w:szCs w:val="20"/>
                <w:color w:val="auto"/>
              </w:rPr>
            </w:pPr>
            <w:r>
              <w:rPr>
                <w:rFonts w:ascii="Times New Roman" w:cs="Times New Roman" w:eastAsia="Times New Roman" w:hAnsi="Times New Roman"/>
                <w:sz w:val="17"/>
                <w:szCs w:val="17"/>
                <w:color w:val="auto"/>
              </w:rPr>
              <w:t>Year-over-year increase (decrease) of unvested awards</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18"/>
        </w:trPr>
        <w:tc>
          <w:tcPr>
            <w:tcW w:w="4040" w:type="dxa"/>
            <w:vAlign w:val="bottom"/>
          </w:tcPr>
          <w:p>
            <w:pPr>
              <w:spacing w:after="0"/>
              <w:rPr>
                <w:sz w:val="20"/>
                <w:szCs w:val="20"/>
                <w:color w:val="auto"/>
              </w:rPr>
            </w:pPr>
            <w:r>
              <w:rPr>
                <w:rFonts w:ascii="Times New Roman" w:cs="Times New Roman" w:eastAsia="Times New Roman" w:hAnsi="Times New Roman"/>
                <w:sz w:val="17"/>
                <w:szCs w:val="17"/>
                <w:color w:val="auto"/>
              </w:rPr>
              <w:t>granted in prior years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255,876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334,835</w:t>
            </w:r>
          </w:p>
        </w:tc>
        <w:tc>
          <w:tcPr>
            <w:tcW w:w="10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232,133</w:t>
            </w:r>
          </w:p>
        </w:tc>
        <w:tc>
          <w:tcPr>
            <w:tcW w:w="10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(79,117)</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(34,816)</w:t>
            </w:r>
          </w:p>
        </w:tc>
      </w:tr>
      <w:tr>
        <w:trPr>
          <w:trHeight w:val="186"/>
        </w:trPr>
        <w:tc>
          <w:tcPr>
            <w:tcW w:w="404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auto"/>
              </w:rPr>
              <w:t>Increase (decrease) from prior fiscal year-end for awards</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219"/>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that vested during the year</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29,303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45,539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13,620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81,408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(130,600)</w:t>
            </w:r>
          </w:p>
        </w:tc>
      </w:tr>
      <w:tr>
        <w:trPr>
          <w:trHeight w:val="195"/>
        </w:trPr>
        <w:tc>
          <w:tcPr>
            <w:tcW w:w="4040" w:type="dxa"/>
            <w:vAlign w:val="bottom"/>
          </w:tcPr>
          <w:p>
            <w:pPr>
              <w:spacing w:after="0"/>
              <w:rPr>
                <w:sz w:val="20"/>
                <w:szCs w:val="20"/>
                <w:color w:val="auto"/>
              </w:rPr>
            </w:pPr>
            <w:r>
              <w:rPr>
                <w:rFonts w:ascii="Times New Roman" w:cs="Times New Roman" w:eastAsia="Times New Roman" w:hAnsi="Times New Roman"/>
                <w:sz w:val="17"/>
                <w:szCs w:val="17"/>
                <w:color w:val="auto"/>
              </w:rPr>
              <w:t>Total Equity Award Adjustments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785,621</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1,036,250</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959,645</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553,942</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510,027</w:t>
            </w:r>
          </w:p>
        </w:tc>
      </w:tr>
      <w:tr>
        <w:trPr>
          <w:trHeight w:val="20"/>
        </w:trPr>
        <w:tc>
          <w:tcPr>
            <w:tcW w:w="4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584"/>
        </w:trPr>
        <w:tc>
          <w:tcPr>
            <w:tcW w:w="4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524"/>
        </w:trPr>
        <w:tc>
          <w:tcPr>
            <w:tcW w:w="40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90" w:right="1440" w:bottom="1440" w:gutter="0" w:footer="0" w:header="0"/>
        </w:sectPr>
      </w:pPr>
    </w:p>
    <w:bookmarkStart w:id="54" w:name="page55"/>
    <w:bookmarkEnd w:id="5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Pay-for-Performance Alignment</w:t>
      </w:r>
    </w:p>
    <w:p>
      <w:pPr>
        <w:spacing w:after="0" w:line="112" w:lineRule="exact"/>
        <w:rPr>
          <w:sz w:val="20"/>
          <w:szCs w:val="20"/>
          <w:color w:val="auto"/>
        </w:rPr>
      </w:pPr>
    </w:p>
    <w:p>
      <w:pPr>
        <w:ind w:left="40" w:right="339" w:firstLine="606"/>
        <w:spacing w:after="0" w:line="262" w:lineRule="auto"/>
        <w:rPr>
          <w:sz w:val="20"/>
          <w:szCs w:val="20"/>
          <w:color w:val="auto"/>
        </w:rPr>
      </w:pPr>
      <w:r>
        <w:rPr>
          <w:rFonts w:ascii="Times New Roman" w:cs="Times New Roman" w:eastAsia="Times New Roman" w:hAnsi="Times New Roman"/>
          <w:sz w:val="17"/>
          <w:szCs w:val="17"/>
          <w:color w:val="auto"/>
        </w:rPr>
        <w:t>The following table identifies the seven most important financial performance measures used by our Compensation Committee to link the CAP to our Chief Executive Officer and other named executive officers in 2024, calculated in accordance with SEC regulations, to company performance.</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Most Important Financial Performance Measures</w:t>
      </w:r>
    </w:p>
    <w:p>
      <w:pPr>
        <w:spacing w:after="0" w:line="112" w:lineRule="exact"/>
        <w:rPr>
          <w:sz w:val="20"/>
          <w:szCs w:val="20"/>
          <w:color w:val="auto"/>
        </w:rPr>
      </w:pPr>
    </w:p>
    <w:p>
      <w:pPr>
        <w:ind w:left="680" w:hanging="307"/>
        <w:spacing w:after="0"/>
        <w:tabs>
          <w:tab w:leader="none" w:pos="68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w:t>
      </w:r>
    </w:p>
    <w:p>
      <w:pPr>
        <w:spacing w:after="0" w:line="107"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Service Revenue</w:t>
      </w:r>
    </w:p>
    <w:p>
      <w:pPr>
        <w:spacing w:after="0" w:line="107"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Return on Equity</w:t>
      </w:r>
    </w:p>
    <w:p>
      <w:pPr>
        <w:spacing w:after="0" w:line="107"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Free Cash Flow</w:t>
      </w:r>
    </w:p>
    <w:p>
      <w:pPr>
        <w:spacing w:after="0" w:line="107"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Shareholder Return</w:t>
      </w:r>
    </w:p>
    <w:p>
      <w:pPr>
        <w:spacing w:after="0" w:line="107"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Adjusted Non-GAAP Diluted EPS</w:t>
      </w:r>
    </w:p>
    <w:p>
      <w:pPr>
        <w:spacing w:after="0" w:line="107"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Income</w:t>
      </w:r>
    </w:p>
    <w:p>
      <w:pPr>
        <w:spacing w:after="0" w:line="1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Company Selected Metric</w:t>
      </w:r>
    </w:p>
    <w:p>
      <w:pPr>
        <w:spacing w:after="0" w:line="112" w:lineRule="exact"/>
        <w:rPr>
          <w:sz w:val="20"/>
          <w:szCs w:val="20"/>
          <w:color w:val="auto"/>
        </w:rPr>
      </w:pPr>
    </w:p>
    <w:p>
      <w:pPr>
        <w:ind w:left="40" w:right="99" w:firstLine="606"/>
        <w:spacing w:after="0" w:line="252" w:lineRule="auto"/>
        <w:rPr>
          <w:sz w:val="20"/>
          <w:szCs w:val="20"/>
          <w:color w:val="auto"/>
        </w:rPr>
      </w:pPr>
      <w:r>
        <w:rPr>
          <w:rFonts w:ascii="Times New Roman" w:cs="Times New Roman" w:eastAsia="Times New Roman" w:hAnsi="Times New Roman"/>
          <w:sz w:val="17"/>
          <w:szCs w:val="17"/>
          <w:color w:val="auto"/>
        </w:rPr>
        <w:t>We present Adjusted EBITDA because we consider it to be an important supplemental measure of our operating performance. We also make certain compensation decisions based, in part, on our operating performance, as measured by Adjusted EBITDA. All of the adjustments made in our calculation of Adjusted EBITDA are adjustments to items that management does not consider to be reflective of our core operating performance. Management considers our core operating performance to be that which can be affected by our managers in any particular period through their management of the resources that affect our underlying revenue and profit generating operations during that period and does not consider the items for which we make adjustments (as listed above) to be reflective of our core performance.</w:t>
      </w:r>
    </w:p>
    <w:p>
      <w:pPr>
        <w:spacing w:after="0" w:line="79" w:lineRule="exact"/>
        <w:rPr>
          <w:sz w:val="20"/>
          <w:szCs w:val="20"/>
          <w:color w:val="auto"/>
        </w:rPr>
      </w:pPr>
    </w:p>
    <w:p>
      <w:pPr>
        <w:ind w:left="40" w:right="59" w:firstLine="606"/>
        <w:spacing w:after="0" w:line="271" w:lineRule="auto"/>
        <w:rPr>
          <w:sz w:val="20"/>
          <w:szCs w:val="20"/>
          <w:color w:val="auto"/>
        </w:rPr>
      </w:pPr>
      <w:r>
        <w:rPr>
          <w:rFonts w:ascii="Times New Roman" w:cs="Times New Roman" w:eastAsia="Times New Roman" w:hAnsi="Times New Roman"/>
          <w:sz w:val="16"/>
          <w:szCs w:val="16"/>
          <w:color w:val="auto"/>
        </w:rPr>
        <w:t>We believe Adjusted EBITDA allows us to compare our current operating results with corresponding historical periods and with the operational performance of other companies in our industry because it does not give effect to potential differences caused by variations in capital structures (affecting relative interest expense, including the impact of write-offs of deferred financing costs when companies refinance their indebtedness), tax positions (such as the impact on periods or companies of changes in effective tax rates or net operating losses), the book amortization of intangibles (affecting relative amortization expense), and other items that we do not consider reflective of underlying operating performance. We also present Adjusted EBITDA because we believe it is frequently used by securities analysts, investors, and other interest parties as a measure of performance.</w:t>
      </w: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335915</wp:posOffset>
            </wp:positionV>
            <wp:extent cx="5664835" cy="241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64835" cy="24130"/>
                    </a:xfrm>
                    <a:prstGeom prst="rect">
                      <a:avLst/>
                    </a:prstGeom>
                    <a:noFill/>
                  </pic:spPr>
                </pic:pic>
              </a:graphicData>
            </a:graphic>
          </wp:anchor>
        </w:drawing>
      </w:r>
    </w:p>
    <w:p>
      <w:pPr>
        <w:sectPr>
          <w:pgSz w:w="11900" w:h="16838" w:orient="portrait"/>
          <w:cols w:equalWidth="0" w:num="1">
            <w:col w:w="9019"/>
          </w:cols>
          <w:pgMar w:left="1440" w:top="490" w:right="1440" w:bottom="1440" w:gutter="0" w:footer="0" w:header="0"/>
        </w:sectPr>
      </w:pPr>
    </w:p>
    <w:bookmarkStart w:id="55" w:name="page56"/>
    <w:bookmarkEnd w:id="5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648335</wp:posOffset>
            </wp:positionV>
            <wp:extent cx="4813935" cy="60178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813935" cy="6017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342900</wp:posOffset>
            </wp:positionV>
            <wp:extent cx="5664835" cy="241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64835" cy="24130"/>
                    </a:xfrm>
                    <a:prstGeom prst="rect">
                      <a:avLst/>
                    </a:prstGeom>
                    <a:noFill/>
                  </pic:spPr>
                </pic:pic>
              </a:graphicData>
            </a:graphic>
          </wp:anchor>
        </w:drawing>
      </w:r>
    </w:p>
    <w:p>
      <w:pPr>
        <w:sectPr>
          <w:pgSz w:w="11900" w:h="16838" w:orient="portrait"/>
          <w:cols w:equalWidth="0" w:num="1">
            <w:col w:w="9019"/>
          </w:cols>
          <w:pgMar w:left="1440" w:top="490" w:right="1440" w:bottom="1440" w:gutter="0" w:footer="0" w:header="0"/>
        </w:sectPr>
      </w:pPr>
    </w:p>
    <w:bookmarkStart w:id="56" w:name="page57"/>
    <w:bookmarkEnd w:id="5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648335</wp:posOffset>
            </wp:positionV>
            <wp:extent cx="4813935" cy="33058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813935" cy="3305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Compensation Committee Report</w:t>
      </w:r>
    </w:p>
    <w:p>
      <w:pPr>
        <w:spacing w:after="0" w:line="112" w:lineRule="exact"/>
        <w:rPr>
          <w:sz w:val="20"/>
          <w:szCs w:val="20"/>
          <w:color w:val="auto"/>
        </w:rPr>
      </w:pPr>
    </w:p>
    <w:p>
      <w:pPr>
        <w:ind w:left="40" w:right="159" w:firstLine="606"/>
        <w:spacing w:after="0" w:line="262" w:lineRule="auto"/>
        <w:rPr>
          <w:sz w:val="20"/>
          <w:szCs w:val="20"/>
          <w:color w:val="auto"/>
        </w:rPr>
      </w:pPr>
      <w:r>
        <w:rPr>
          <w:rFonts w:ascii="Times New Roman" w:cs="Times New Roman" w:eastAsia="Times New Roman" w:hAnsi="Times New Roman"/>
          <w:sz w:val="17"/>
          <w:szCs w:val="17"/>
          <w:color w:val="auto"/>
        </w:rPr>
        <w:t>The Compensation Committee has discussed and reviewed the Compensation Discussion and Analysis with management. Based upon this review and discussion, the Compensation Committee recommended to the Board of Directors that the Compensation Discussion and Analysis be included in this Proxy Statement.</w:t>
      </w:r>
    </w:p>
    <w:p>
      <w:pPr>
        <w:spacing w:after="0" w:line="8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Compensation Committee:</w:t>
      </w:r>
    </w:p>
    <w:p>
      <w:pPr>
        <w:spacing w:after="0" w:line="20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i w:val="1"/>
          <w:iCs w:val="1"/>
          <w:color w:val="auto"/>
        </w:rPr>
        <w:t>Chevy Humphrey (Chair)</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i w:val="1"/>
          <w:iCs w:val="1"/>
          <w:color w:val="auto"/>
        </w:rPr>
        <w:t>Jack A. Henry</w:t>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i w:val="1"/>
          <w:iCs w:val="1"/>
          <w:color w:val="auto"/>
        </w:rPr>
        <w:t>Sara Ward</w:t>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i w:val="1"/>
          <w:iCs w:val="1"/>
          <w:color w:val="auto"/>
        </w:rPr>
        <w:t>Lisa Graham Keegan</w:t>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i w:val="1"/>
          <w:iCs w:val="1"/>
          <w:color w:val="auto"/>
        </w:rPr>
        <w:t>Kevin F. Warren</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335915</wp:posOffset>
            </wp:positionV>
            <wp:extent cx="5664835" cy="241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64835" cy="24130"/>
                    </a:xfrm>
                    <a:prstGeom prst="rect">
                      <a:avLst/>
                    </a:prstGeom>
                    <a:noFill/>
                  </pic:spPr>
                </pic:pic>
              </a:graphicData>
            </a:graphic>
          </wp:anchor>
        </w:drawing>
      </w:r>
    </w:p>
    <w:p>
      <w:pPr>
        <w:sectPr>
          <w:pgSz w:w="11900" w:h="16838" w:orient="portrait"/>
          <w:cols w:equalWidth="0" w:num="1">
            <w:col w:w="9019"/>
          </w:cols>
          <w:pgMar w:left="1440" w:top="490" w:right="1440" w:bottom="1440" w:gutter="0" w:footer="0" w:header="0"/>
        </w:sectPr>
      </w:pPr>
    </w:p>
    <w:bookmarkStart w:id="57" w:name="page58"/>
    <w:bookmarkEnd w:id="5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PROPOSAL NO. 3</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RATIFICATION OF INDEPENDENT REGISTERED PUBLIC ACCOUNTING FIRM</w:t>
      </w:r>
    </w:p>
    <w:p>
      <w:pPr>
        <w:spacing w:after="0" w:line="189" w:lineRule="exact"/>
        <w:rPr>
          <w:sz w:val="20"/>
          <w:szCs w:val="20"/>
          <w:color w:val="auto"/>
        </w:rPr>
      </w:pPr>
    </w:p>
    <w:tbl>
      <w:tblPr>
        <w:tblLayout w:type="fixed"/>
        <w:tblInd w:w="70" w:type="dxa"/>
        <w:tblCellMar>
          <w:top w:w="0" w:type="dxa"/>
          <w:left w:w="0" w:type="dxa"/>
          <w:bottom w:w="0" w:type="dxa"/>
          <w:right w:w="0" w:type="dxa"/>
        </w:tblCellMar>
      </w:tblPr>
      <w:tr>
        <w:trPr>
          <w:trHeight w:val="198"/>
        </w:trPr>
        <w:tc>
          <w:tcPr>
            <w:tcW w:w="2480" w:type="dxa"/>
            <w:vAlign w:val="bottom"/>
            <w:tcBorders>
              <w:top w:val="single" w:sz="8" w:color="auto"/>
              <w:left w:val="single" w:sz="8" w:color="auto"/>
            </w:tcBorders>
            <w:gridSpan w:val="2"/>
          </w:tcPr>
          <w:p>
            <w:pPr>
              <w:ind w:left="180"/>
              <w:spacing w:after="0" w:line="196" w:lineRule="exact"/>
              <w:rPr>
                <w:sz w:val="20"/>
                <w:szCs w:val="20"/>
                <w:color w:val="auto"/>
              </w:rPr>
            </w:pPr>
            <w:r>
              <w:rPr>
                <w:rFonts w:ascii="MS PGothic" w:cs="MS PGothic" w:eastAsia="MS PGothic" w:hAnsi="MS PGothic"/>
                <w:sz w:val="15"/>
                <w:szCs w:val="15"/>
                <w:color w:val="auto"/>
              </w:rPr>
              <w:t>☐</w:t>
            </w:r>
            <w:r>
              <w:rPr>
                <w:rFonts w:ascii="Times New Roman" w:cs="Times New Roman" w:eastAsia="Times New Roman" w:hAnsi="Times New Roman"/>
                <w:sz w:val="17"/>
                <w:szCs w:val="17"/>
                <w:b w:val="1"/>
                <w:bCs w:val="1"/>
                <w:i w:val="1"/>
                <w:iCs w:val="1"/>
                <w:color w:val="auto"/>
              </w:rPr>
              <w:t xml:space="preserve">  What am I voting on?</w:t>
            </w:r>
          </w:p>
        </w:tc>
        <w:tc>
          <w:tcPr>
            <w:tcW w:w="6440" w:type="dxa"/>
            <w:vAlign w:val="bottom"/>
            <w:tcBorders>
              <w:top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Stockholders are being asked to ratify the appointment of KPMG LLP, a registered public</w:t>
            </w:r>
          </w:p>
        </w:tc>
      </w:tr>
      <w:tr>
        <w:trPr>
          <w:trHeight w:val="202"/>
        </w:trPr>
        <w:tc>
          <w:tcPr>
            <w:tcW w:w="420" w:type="dxa"/>
            <w:vAlign w:val="bottom"/>
            <w:tcBorders>
              <w:left w:val="single" w:sz="8" w:color="auto"/>
            </w:tcBorders>
          </w:tcPr>
          <w:p>
            <w:pPr>
              <w:spacing w:after="0"/>
              <w:rPr>
                <w:sz w:val="17"/>
                <w:szCs w:val="17"/>
                <w:color w:val="auto"/>
              </w:rPr>
            </w:pPr>
          </w:p>
        </w:tc>
        <w:tc>
          <w:tcPr>
            <w:tcW w:w="2060" w:type="dxa"/>
            <w:vAlign w:val="bottom"/>
          </w:tcPr>
          <w:p>
            <w:pPr>
              <w:spacing w:after="0"/>
              <w:rPr>
                <w:sz w:val="17"/>
                <w:szCs w:val="17"/>
                <w:color w:val="auto"/>
              </w:rPr>
            </w:pPr>
          </w:p>
        </w:tc>
        <w:tc>
          <w:tcPr>
            <w:tcW w:w="64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accounting firm, to serve as the Company’s independent registered public accounting firm</w:t>
            </w:r>
          </w:p>
        </w:tc>
      </w:tr>
      <w:tr>
        <w:trPr>
          <w:trHeight w:val="218"/>
        </w:trPr>
        <w:tc>
          <w:tcPr>
            <w:tcW w:w="420" w:type="dxa"/>
            <w:vAlign w:val="bottom"/>
            <w:tcBorders>
              <w:left w:val="single" w:sz="8" w:color="auto"/>
            </w:tcBorders>
          </w:tcPr>
          <w:p>
            <w:pPr>
              <w:spacing w:after="0"/>
              <w:rPr>
                <w:sz w:val="18"/>
                <w:szCs w:val="18"/>
                <w:color w:val="auto"/>
              </w:rPr>
            </w:pPr>
          </w:p>
        </w:tc>
        <w:tc>
          <w:tcPr>
            <w:tcW w:w="2060" w:type="dxa"/>
            <w:vAlign w:val="bottom"/>
          </w:tcPr>
          <w:p>
            <w:pPr>
              <w:spacing w:after="0"/>
              <w:rPr>
                <w:sz w:val="18"/>
                <w:szCs w:val="18"/>
                <w:color w:val="auto"/>
              </w:rPr>
            </w:pPr>
          </w:p>
        </w:tc>
        <w:tc>
          <w:tcPr>
            <w:tcW w:w="64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for the fiscal year ending December 31, 2025.</w:t>
            </w:r>
          </w:p>
        </w:tc>
      </w:tr>
      <w:tr>
        <w:trPr>
          <w:trHeight w:val="388"/>
        </w:trPr>
        <w:tc>
          <w:tcPr>
            <w:tcW w:w="420" w:type="dxa"/>
            <w:vAlign w:val="bottom"/>
            <w:tcBorders>
              <w:left w:val="single" w:sz="8" w:color="auto"/>
            </w:tcBorders>
          </w:tcPr>
          <w:p>
            <w:pPr>
              <w:ind w:left="180"/>
              <w:spacing w:after="0" w:line="151" w:lineRule="exact"/>
              <w:rPr>
                <w:sz w:val="20"/>
                <w:szCs w:val="20"/>
                <w:color w:val="auto"/>
              </w:rPr>
            </w:pPr>
            <w:r>
              <w:rPr>
                <w:rFonts w:ascii="MS PGothic" w:cs="MS PGothic" w:eastAsia="MS PGothic" w:hAnsi="MS PGothic"/>
                <w:sz w:val="15"/>
                <w:szCs w:val="15"/>
                <w:color w:val="auto"/>
              </w:rPr>
              <w:t>☐</w:t>
            </w:r>
          </w:p>
        </w:tc>
        <w:tc>
          <w:tcPr>
            <w:tcW w:w="2060" w:type="dxa"/>
            <w:vAlign w:val="bottom"/>
          </w:tcPr>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Voting recommendation:</w:t>
            </w:r>
          </w:p>
        </w:tc>
        <w:tc>
          <w:tcPr>
            <w:tcW w:w="64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Our Board of Directors unanimously recommends that you vote “FOR” the ratification of</w:t>
            </w:r>
          </w:p>
        </w:tc>
      </w:tr>
      <w:tr>
        <w:trPr>
          <w:trHeight w:val="202"/>
        </w:trPr>
        <w:tc>
          <w:tcPr>
            <w:tcW w:w="420" w:type="dxa"/>
            <w:vAlign w:val="bottom"/>
            <w:tcBorders>
              <w:left w:val="single" w:sz="8" w:color="auto"/>
            </w:tcBorders>
          </w:tcPr>
          <w:p>
            <w:pPr>
              <w:spacing w:after="0"/>
              <w:rPr>
                <w:sz w:val="17"/>
                <w:szCs w:val="17"/>
                <w:color w:val="auto"/>
              </w:rPr>
            </w:pPr>
          </w:p>
        </w:tc>
        <w:tc>
          <w:tcPr>
            <w:tcW w:w="2060" w:type="dxa"/>
            <w:vAlign w:val="bottom"/>
          </w:tcPr>
          <w:p>
            <w:pPr>
              <w:spacing w:after="0"/>
              <w:rPr>
                <w:sz w:val="17"/>
                <w:szCs w:val="17"/>
                <w:color w:val="auto"/>
              </w:rPr>
            </w:pPr>
          </w:p>
        </w:tc>
        <w:tc>
          <w:tcPr>
            <w:tcW w:w="64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the appointment of KPMG LLP as our independent registered public accounting firm for</w:t>
            </w:r>
          </w:p>
        </w:tc>
      </w:tr>
      <w:tr>
        <w:trPr>
          <w:trHeight w:val="218"/>
        </w:trPr>
        <w:tc>
          <w:tcPr>
            <w:tcW w:w="420" w:type="dxa"/>
            <w:vAlign w:val="bottom"/>
            <w:tcBorders>
              <w:left w:val="single" w:sz="8" w:color="auto"/>
            </w:tcBorders>
          </w:tcPr>
          <w:p>
            <w:pPr>
              <w:spacing w:after="0"/>
              <w:rPr>
                <w:sz w:val="18"/>
                <w:szCs w:val="18"/>
                <w:color w:val="auto"/>
              </w:rPr>
            </w:pPr>
          </w:p>
        </w:tc>
        <w:tc>
          <w:tcPr>
            <w:tcW w:w="2060" w:type="dxa"/>
            <w:vAlign w:val="bottom"/>
          </w:tcPr>
          <w:p>
            <w:pPr>
              <w:spacing w:after="0"/>
              <w:rPr>
                <w:sz w:val="18"/>
                <w:szCs w:val="18"/>
                <w:color w:val="auto"/>
              </w:rPr>
            </w:pPr>
          </w:p>
        </w:tc>
        <w:tc>
          <w:tcPr>
            <w:tcW w:w="64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the fiscal year ending December 31, 2025.</w:t>
            </w:r>
          </w:p>
        </w:tc>
      </w:tr>
      <w:tr>
        <w:trPr>
          <w:trHeight w:val="388"/>
        </w:trPr>
        <w:tc>
          <w:tcPr>
            <w:tcW w:w="420" w:type="dxa"/>
            <w:vAlign w:val="bottom"/>
            <w:tcBorders>
              <w:left w:val="single" w:sz="8" w:color="auto"/>
            </w:tcBorders>
          </w:tcPr>
          <w:p>
            <w:pPr>
              <w:ind w:left="180"/>
              <w:spacing w:after="0" w:line="151" w:lineRule="exact"/>
              <w:rPr>
                <w:sz w:val="20"/>
                <w:szCs w:val="20"/>
                <w:color w:val="auto"/>
              </w:rPr>
            </w:pPr>
            <w:r>
              <w:rPr>
                <w:rFonts w:ascii="MS PGothic" w:cs="MS PGothic" w:eastAsia="MS PGothic" w:hAnsi="MS PGothic"/>
                <w:sz w:val="15"/>
                <w:szCs w:val="15"/>
                <w:color w:val="auto"/>
              </w:rPr>
              <w:t>☐</w:t>
            </w:r>
          </w:p>
        </w:tc>
        <w:tc>
          <w:tcPr>
            <w:tcW w:w="2060" w:type="dxa"/>
            <w:vAlign w:val="bottom"/>
          </w:tcPr>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Vote required:</w:t>
            </w:r>
          </w:p>
        </w:tc>
        <w:tc>
          <w:tcPr>
            <w:tcW w:w="64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The affirmative vote of the majority of shares present in person or represented by proxy at</w:t>
            </w:r>
          </w:p>
        </w:tc>
      </w:tr>
      <w:tr>
        <w:trPr>
          <w:trHeight w:val="202"/>
        </w:trPr>
        <w:tc>
          <w:tcPr>
            <w:tcW w:w="420" w:type="dxa"/>
            <w:vAlign w:val="bottom"/>
            <w:tcBorders>
              <w:left w:val="single" w:sz="8" w:color="auto"/>
            </w:tcBorders>
          </w:tcPr>
          <w:p>
            <w:pPr>
              <w:spacing w:after="0"/>
              <w:rPr>
                <w:sz w:val="17"/>
                <w:szCs w:val="17"/>
                <w:color w:val="auto"/>
              </w:rPr>
            </w:pPr>
          </w:p>
        </w:tc>
        <w:tc>
          <w:tcPr>
            <w:tcW w:w="2060" w:type="dxa"/>
            <w:vAlign w:val="bottom"/>
          </w:tcPr>
          <w:p>
            <w:pPr>
              <w:spacing w:after="0"/>
              <w:rPr>
                <w:sz w:val="17"/>
                <w:szCs w:val="17"/>
                <w:color w:val="auto"/>
              </w:rPr>
            </w:pPr>
          </w:p>
        </w:tc>
        <w:tc>
          <w:tcPr>
            <w:tcW w:w="64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the Annual Meeting and entitled to vote. Brokers have discretion to vote on the ratification</w:t>
            </w:r>
          </w:p>
        </w:tc>
      </w:tr>
      <w:tr>
        <w:trPr>
          <w:trHeight w:val="202"/>
        </w:trPr>
        <w:tc>
          <w:tcPr>
            <w:tcW w:w="420" w:type="dxa"/>
            <w:vAlign w:val="bottom"/>
            <w:tcBorders>
              <w:left w:val="single" w:sz="8" w:color="auto"/>
            </w:tcBorders>
          </w:tcPr>
          <w:p>
            <w:pPr>
              <w:spacing w:after="0"/>
              <w:rPr>
                <w:sz w:val="17"/>
                <w:szCs w:val="17"/>
                <w:color w:val="auto"/>
              </w:rPr>
            </w:pPr>
          </w:p>
        </w:tc>
        <w:tc>
          <w:tcPr>
            <w:tcW w:w="2060" w:type="dxa"/>
            <w:vAlign w:val="bottom"/>
          </w:tcPr>
          <w:p>
            <w:pPr>
              <w:spacing w:after="0"/>
              <w:rPr>
                <w:sz w:val="17"/>
                <w:szCs w:val="17"/>
                <w:color w:val="auto"/>
              </w:rPr>
            </w:pPr>
          </w:p>
        </w:tc>
        <w:tc>
          <w:tcPr>
            <w:tcW w:w="64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of our independent auditors and, as such, no votes on this proposal will be considered</w:t>
            </w:r>
          </w:p>
        </w:tc>
      </w:tr>
      <w:tr>
        <w:trPr>
          <w:trHeight w:val="218"/>
        </w:trPr>
        <w:tc>
          <w:tcPr>
            <w:tcW w:w="420" w:type="dxa"/>
            <w:vAlign w:val="bottom"/>
            <w:tcBorders>
              <w:left w:val="single" w:sz="8" w:color="auto"/>
              <w:bottom w:val="single" w:sz="8" w:color="auto"/>
            </w:tcBorders>
          </w:tcPr>
          <w:p>
            <w:pPr>
              <w:spacing w:after="0"/>
              <w:rPr>
                <w:sz w:val="18"/>
                <w:szCs w:val="18"/>
                <w:color w:val="auto"/>
              </w:rPr>
            </w:pPr>
          </w:p>
        </w:tc>
        <w:tc>
          <w:tcPr>
            <w:tcW w:w="2060" w:type="dxa"/>
            <w:vAlign w:val="bottom"/>
            <w:tcBorders>
              <w:bottom w:val="single" w:sz="8" w:color="auto"/>
            </w:tcBorders>
          </w:tcPr>
          <w:p>
            <w:pPr>
              <w:spacing w:after="0"/>
              <w:rPr>
                <w:sz w:val="18"/>
                <w:szCs w:val="18"/>
                <w:color w:val="auto"/>
              </w:rPr>
            </w:pPr>
          </w:p>
        </w:tc>
        <w:tc>
          <w:tcPr>
            <w:tcW w:w="644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broker non-votes. Abstentions will have the effect of a vote “against” this proposal.</w:t>
            </w:r>
          </w:p>
        </w:tc>
      </w:tr>
    </w:tbl>
    <w:p>
      <w:pPr>
        <w:spacing w:after="0" w:line="186" w:lineRule="exact"/>
        <w:rPr>
          <w:sz w:val="20"/>
          <w:szCs w:val="20"/>
          <w:color w:val="auto"/>
        </w:rPr>
      </w:pPr>
    </w:p>
    <w:p>
      <w:pPr>
        <w:ind w:left="40" w:right="59" w:firstLine="606"/>
        <w:spacing w:after="0" w:line="250" w:lineRule="auto"/>
        <w:rPr>
          <w:sz w:val="20"/>
          <w:szCs w:val="20"/>
          <w:color w:val="auto"/>
        </w:rPr>
      </w:pPr>
      <w:r>
        <w:rPr>
          <w:rFonts w:ascii="Times New Roman" w:cs="Times New Roman" w:eastAsia="Times New Roman" w:hAnsi="Times New Roman"/>
          <w:sz w:val="17"/>
          <w:szCs w:val="17"/>
          <w:color w:val="auto"/>
        </w:rPr>
        <w:t>The Audit Committee of the Board of Directors has selected KPMG LLP (“KPMG”), an independent registered public accounting firm, to audit our consolidated financial statements for the year ending December 31, 2025. While it is not required to do so, our Audit Committee is submitting the selection of that firm for ratification in order to ascertain the view of our stockholders. In the event the stockholders fail to ratify the selection of KPMG, the adverse vote will be considered a direction to the Audit Committee to consider other auditors for next year. However, because of the difficulty in making any substitution so long after the beginning of the current year, the appointment of KPMG for fiscal 2025 will stand, unless the Audit Committee finds other good reason for making a change. Even if the selection is ratified, the Audit Committee, in its discretion, may direct the appointment of a different independent registered public accounting firm at any time during the year if the Audit Committee determines that such a change would be in the Company’s and its stockholders’ best interests. Proxies solicited by our Board of Directors will, unless otherwise directed, be voted to ratify the appointment of KPMG as our independent registered public accounting firm for the fiscal year ending December 31, 2025.</w:t>
      </w:r>
    </w:p>
    <w:p>
      <w:pPr>
        <w:spacing w:after="0" w:line="85" w:lineRule="exact"/>
        <w:rPr>
          <w:sz w:val="20"/>
          <w:szCs w:val="20"/>
          <w:color w:val="auto"/>
        </w:rPr>
      </w:pPr>
    </w:p>
    <w:p>
      <w:pPr>
        <w:ind w:left="40" w:right="559" w:firstLine="606"/>
        <w:spacing w:after="0" w:line="275" w:lineRule="auto"/>
        <w:rPr>
          <w:sz w:val="20"/>
          <w:szCs w:val="20"/>
          <w:color w:val="auto"/>
        </w:rPr>
      </w:pPr>
      <w:r>
        <w:rPr>
          <w:rFonts w:ascii="Times New Roman" w:cs="Times New Roman" w:eastAsia="Times New Roman" w:hAnsi="Times New Roman"/>
          <w:sz w:val="17"/>
          <w:szCs w:val="17"/>
          <w:color w:val="auto"/>
        </w:rPr>
        <w:t>A representative of KPMG will be present at the meeting, will be afforded an opportunity to make a statement if the representative so desires, and will be available to respond to appropriate questions during the meeting.</w:t>
      </w:r>
    </w:p>
    <w:p>
      <w:pPr>
        <w:spacing w:after="0" w:line="53" w:lineRule="exact"/>
        <w:rPr>
          <w:sz w:val="20"/>
          <w:szCs w:val="20"/>
          <w:color w:val="auto"/>
        </w:rPr>
      </w:pPr>
    </w:p>
    <w:p>
      <w:pPr>
        <w:jc w:val="both"/>
        <w:ind w:left="40" w:right="179" w:firstLine="606"/>
        <w:spacing w:after="0" w:line="313" w:lineRule="auto"/>
        <w:rPr>
          <w:sz w:val="20"/>
          <w:szCs w:val="20"/>
          <w:color w:val="auto"/>
        </w:rPr>
      </w:pPr>
      <w:r>
        <w:rPr>
          <w:rFonts w:ascii="Times New Roman" w:cs="Times New Roman" w:eastAsia="Times New Roman" w:hAnsi="Times New Roman"/>
          <w:sz w:val="16"/>
          <w:szCs w:val="16"/>
          <w:b w:val="1"/>
          <w:bCs w:val="1"/>
          <w:color w:val="auto"/>
        </w:rPr>
        <w:t>Our Board of Directors unanimously recommends that the stockholders vote “</w:t>
      </w:r>
      <w:r>
        <w:rPr>
          <w:rFonts w:ascii="Times New Roman" w:cs="Times New Roman" w:eastAsia="Times New Roman" w:hAnsi="Times New Roman"/>
          <w:sz w:val="16"/>
          <w:szCs w:val="16"/>
          <w:b w:val="1"/>
          <w:bCs w:val="1"/>
          <w:u w:val="single" w:color="auto"/>
          <w:color w:val="auto"/>
        </w:rPr>
        <w:t>FOR</w:t>
      </w:r>
      <w:r>
        <w:rPr>
          <w:rFonts w:ascii="Times New Roman" w:cs="Times New Roman" w:eastAsia="Times New Roman" w:hAnsi="Times New Roman"/>
          <w:sz w:val="16"/>
          <w:szCs w:val="16"/>
          <w:b w:val="1"/>
          <w:bCs w:val="1"/>
          <w:color w:val="auto"/>
        </w:rPr>
        <w:t>” the ratification of the appointment of KPMG as our independent registered public accounting firm for the fiscal year ending December 31, 2025.</w:t>
      </w:r>
    </w:p>
    <w:p>
      <w:pPr>
        <w:spacing w:after="0" w:line="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Fees</w:t>
      </w:r>
    </w:p>
    <w:p>
      <w:pPr>
        <w:spacing w:after="0" w:line="112" w:lineRule="exact"/>
        <w:rPr>
          <w:sz w:val="20"/>
          <w:szCs w:val="20"/>
          <w:color w:val="auto"/>
        </w:rPr>
      </w:pPr>
    </w:p>
    <w:p>
      <w:pPr>
        <w:jc w:val="both"/>
        <w:ind w:left="40" w:right="199" w:firstLine="606"/>
        <w:spacing w:after="0" w:line="257" w:lineRule="auto"/>
        <w:rPr>
          <w:sz w:val="20"/>
          <w:szCs w:val="20"/>
          <w:color w:val="auto"/>
        </w:rPr>
      </w:pPr>
      <w:r>
        <w:rPr>
          <w:rFonts w:ascii="Times New Roman" w:cs="Times New Roman" w:eastAsia="Times New Roman" w:hAnsi="Times New Roman"/>
          <w:sz w:val="17"/>
          <w:szCs w:val="17"/>
          <w:color w:val="auto"/>
        </w:rPr>
        <w:t>For the years ended December 31, 2024 and 2023, KPMG billed us the amounts set forth below for professional services rendered in connection with audit, audit-related, tax and other professional services. All of the fees for audit, audit-related, tax and other services performed by KPMG were pre-approved by the Audit Committee in accordance with the pre-approval policies and procedures described below.</w:t>
      </w:r>
    </w:p>
    <w:p>
      <w:pPr>
        <w:spacing w:after="0" w:line="77" w:lineRule="exact"/>
        <w:rPr>
          <w:sz w:val="20"/>
          <w:szCs w:val="20"/>
          <w:color w:val="auto"/>
        </w:rPr>
      </w:pPr>
    </w:p>
    <w:tbl>
      <w:tblPr>
        <w:tblLayout w:type="fixed"/>
        <w:tblInd w:w="40" w:type="dxa"/>
        <w:tblCellMar>
          <w:top w:w="0" w:type="dxa"/>
          <w:left w:w="0" w:type="dxa"/>
          <w:bottom w:w="0" w:type="dxa"/>
          <w:right w:w="0" w:type="dxa"/>
        </w:tblCellMar>
      </w:tblPr>
      <w:tr>
        <w:trPr>
          <w:trHeight w:val="163"/>
        </w:trPr>
        <w:tc>
          <w:tcPr>
            <w:tcW w:w="900" w:type="dxa"/>
            <w:vAlign w:val="bottom"/>
          </w:tcPr>
          <w:p>
            <w:pPr>
              <w:spacing w:after="0"/>
              <w:rPr>
                <w:sz w:val="14"/>
                <w:szCs w:val="14"/>
                <w:color w:val="auto"/>
              </w:rPr>
            </w:pPr>
          </w:p>
        </w:tc>
        <w:tc>
          <w:tcPr>
            <w:tcW w:w="55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Services Rendered</w:t>
            </w:r>
          </w:p>
        </w:tc>
        <w:tc>
          <w:tcPr>
            <w:tcW w:w="720" w:type="dxa"/>
            <w:vAlign w:val="bottom"/>
          </w:tcPr>
          <w:p>
            <w:pPr>
              <w:jc w:val="right"/>
              <w:ind w:right="139"/>
              <w:spacing w:after="0"/>
              <w:rPr>
                <w:sz w:val="20"/>
                <w:szCs w:val="20"/>
                <w:color w:val="auto"/>
              </w:rPr>
            </w:pPr>
            <w:r>
              <w:rPr>
                <w:rFonts w:ascii="Times New Roman" w:cs="Times New Roman" w:eastAsia="Times New Roman" w:hAnsi="Times New Roman"/>
                <w:sz w:val="13"/>
                <w:szCs w:val="13"/>
                <w:b w:val="1"/>
                <w:bCs w:val="1"/>
                <w:color w:val="auto"/>
              </w:rPr>
              <w:t>2024</w:t>
            </w:r>
          </w:p>
        </w:tc>
        <w:tc>
          <w:tcPr>
            <w:tcW w:w="860" w:type="dxa"/>
            <w:vAlign w:val="bottom"/>
            <w:gridSpan w:val="2"/>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95"/>
        </w:trPr>
        <w:tc>
          <w:tcPr>
            <w:tcW w:w="900" w:type="dxa"/>
            <w:vAlign w:val="bottom"/>
          </w:tcPr>
          <w:p>
            <w:pPr>
              <w:spacing w:after="0"/>
              <w:rPr>
                <w:sz w:val="16"/>
                <w:szCs w:val="16"/>
                <w:color w:val="auto"/>
              </w:rPr>
            </w:pPr>
          </w:p>
        </w:tc>
        <w:tc>
          <w:tcPr>
            <w:tcW w:w="5400" w:type="dxa"/>
            <w:vAlign w:val="bottom"/>
            <w:tcBorders>
              <w:top w:val="single" w:sz="8" w:color="auto"/>
            </w:tcBorders>
            <w:gridSpan w:val="2"/>
            <w:shd w:val="clear" w:color="auto" w:fill="CCEEFF"/>
          </w:tcPr>
          <w:p>
            <w:pPr>
              <w:spacing w:after="0" w:line="194" w:lineRule="exact"/>
              <w:rPr>
                <w:sz w:val="20"/>
                <w:szCs w:val="20"/>
                <w:color w:val="auto"/>
              </w:rPr>
            </w:pPr>
            <w:r>
              <w:rPr>
                <w:rFonts w:ascii="Times New Roman" w:cs="Times New Roman" w:eastAsia="Times New Roman" w:hAnsi="Times New Roman"/>
                <w:sz w:val="15"/>
                <w:szCs w:val="15"/>
                <w:color w:val="auto"/>
              </w:rPr>
              <w:t>Audit Fees</w:t>
            </w:r>
            <w:r>
              <w:rPr>
                <w:rFonts w:ascii="Times New Roman" w:cs="Times New Roman" w:eastAsia="Times New Roman" w:hAnsi="Times New Roman"/>
                <w:sz w:val="22"/>
                <w:szCs w:val="22"/>
                <w:color w:val="auto"/>
                <w:vertAlign w:val="superscript"/>
              </w:rPr>
              <w:t>(1)</w:t>
            </w:r>
          </w:p>
        </w:tc>
        <w:tc>
          <w:tcPr>
            <w:tcW w:w="14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6"/>
              </w:rPr>
              <w:t>$ 805,000</w:t>
            </w:r>
          </w:p>
        </w:tc>
        <w:tc>
          <w:tcPr>
            <w:tcW w:w="14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6"/>
              </w:rPr>
              <w:t>$ 772,000</w:t>
            </w:r>
          </w:p>
        </w:tc>
      </w:tr>
      <w:tr>
        <w:trPr>
          <w:trHeight w:val="202"/>
        </w:trPr>
        <w:tc>
          <w:tcPr>
            <w:tcW w:w="900" w:type="dxa"/>
            <w:vAlign w:val="bottom"/>
          </w:tcPr>
          <w:p>
            <w:pPr>
              <w:spacing w:after="0"/>
              <w:rPr>
                <w:sz w:val="17"/>
                <w:szCs w:val="17"/>
                <w:color w:val="auto"/>
              </w:rPr>
            </w:pPr>
          </w:p>
        </w:tc>
        <w:tc>
          <w:tcPr>
            <w:tcW w:w="55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Audit-Related Fees</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2"/>
        </w:trPr>
        <w:tc>
          <w:tcPr>
            <w:tcW w:w="900" w:type="dxa"/>
            <w:vAlign w:val="bottom"/>
          </w:tcPr>
          <w:p>
            <w:pPr>
              <w:spacing w:after="0"/>
              <w:rPr>
                <w:sz w:val="17"/>
                <w:szCs w:val="17"/>
                <w:color w:val="auto"/>
              </w:rPr>
            </w:pPr>
          </w:p>
        </w:tc>
        <w:tc>
          <w:tcPr>
            <w:tcW w:w="5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Tax Fees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2"/>
        </w:trPr>
        <w:tc>
          <w:tcPr>
            <w:tcW w:w="900" w:type="dxa"/>
            <w:vAlign w:val="bottom"/>
          </w:tcPr>
          <w:p>
            <w:pPr>
              <w:spacing w:after="0"/>
              <w:rPr>
                <w:sz w:val="17"/>
                <w:szCs w:val="17"/>
                <w:color w:val="auto"/>
              </w:rPr>
            </w:pPr>
          </w:p>
        </w:tc>
        <w:tc>
          <w:tcPr>
            <w:tcW w:w="5540" w:type="dxa"/>
            <w:vAlign w:val="bottom"/>
            <w:gridSpan w:val="3"/>
          </w:tcPr>
          <w:p>
            <w:pPr>
              <w:spacing w:after="0" w:line="202" w:lineRule="exact"/>
              <w:rPr>
                <w:sz w:val="20"/>
                <w:szCs w:val="20"/>
                <w:color w:val="auto"/>
              </w:rPr>
            </w:pPr>
            <w:r>
              <w:rPr>
                <w:rFonts w:ascii="Times New Roman" w:cs="Times New Roman" w:eastAsia="Times New Roman" w:hAnsi="Times New Roman"/>
                <w:sz w:val="16"/>
                <w:szCs w:val="16"/>
                <w:color w:val="auto"/>
              </w:rPr>
              <w:t>All Other Fees</w:t>
            </w:r>
            <w:r>
              <w:rPr>
                <w:rFonts w:ascii="Times New Roman" w:cs="Times New Roman" w:eastAsia="Times New Roman" w:hAnsi="Times New Roman"/>
                <w:sz w:val="23"/>
                <w:szCs w:val="23"/>
                <w:color w:val="auto"/>
                <w:vertAlign w:val="superscript"/>
              </w:rPr>
              <w:t>(2)</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61,716</w:t>
            </w:r>
          </w:p>
        </w:tc>
      </w:tr>
      <w:tr>
        <w:trPr>
          <w:trHeight w:val="195"/>
        </w:trPr>
        <w:tc>
          <w:tcPr>
            <w:tcW w:w="900" w:type="dxa"/>
            <w:vAlign w:val="bottom"/>
          </w:tcPr>
          <w:p>
            <w:pPr>
              <w:spacing w:after="0"/>
              <w:rPr>
                <w:sz w:val="16"/>
                <w:szCs w:val="16"/>
                <w:color w:val="auto"/>
              </w:rPr>
            </w:pPr>
          </w:p>
        </w:tc>
        <w:tc>
          <w:tcPr>
            <w:tcW w:w="554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Fees</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6"/>
              </w:rPr>
              <w:t>$ 805,000</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6"/>
              </w:rPr>
              <w:t>$ 833,716</w:t>
            </w:r>
          </w:p>
        </w:tc>
      </w:tr>
      <w:tr>
        <w:trPr>
          <w:trHeight w:val="20"/>
        </w:trPr>
        <w:tc>
          <w:tcPr>
            <w:tcW w:w="9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84"/>
        </w:trPr>
        <w:tc>
          <w:tcPr>
            <w:tcW w:w="90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40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r>
    </w:tbl>
    <w:p>
      <w:pPr>
        <w:spacing w:after="0" w:line="59" w:lineRule="exact"/>
        <w:rPr>
          <w:sz w:val="20"/>
          <w:szCs w:val="20"/>
          <w:color w:val="auto"/>
        </w:rPr>
      </w:pPr>
    </w:p>
    <w:p>
      <w:pPr>
        <w:ind w:left="340" w:right="79" w:hanging="295"/>
        <w:spacing w:after="0" w:line="262" w:lineRule="auto"/>
        <w:tabs>
          <w:tab w:leader="none" w:pos="34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Audit Fees in 2024 and 2023 relate to services rendered for the audits of our annual consolidated financial statements including accounting and reporting consultations, for the review of our quarterly financial statements, and for services that are normally provided by the auditor in connection with statutory and regulatory filings or engagements.</w:t>
      </w:r>
    </w:p>
    <w:p>
      <w:pPr>
        <w:spacing w:after="0" w:line="67" w:lineRule="exact"/>
        <w:rPr>
          <w:rFonts w:ascii="Times New Roman" w:cs="Times New Roman" w:eastAsia="Times New Roman" w:hAnsi="Times New Roman"/>
          <w:sz w:val="17"/>
          <w:szCs w:val="17"/>
          <w:color w:val="auto"/>
        </w:rPr>
      </w:pPr>
    </w:p>
    <w:p>
      <w:pPr>
        <w:ind w:left="340" w:hanging="295"/>
        <w:spacing w:after="0"/>
        <w:tabs>
          <w:tab w:leader="none" w:pos="34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Fees in 2023 relate to reimbursement for costs associated with legal requests.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335915</wp:posOffset>
            </wp:positionV>
            <wp:extent cx="5664835" cy="241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64835" cy="24130"/>
                    </a:xfrm>
                    <a:prstGeom prst="rect">
                      <a:avLst/>
                    </a:prstGeom>
                    <a:noFill/>
                  </pic:spPr>
                </pic:pic>
              </a:graphicData>
            </a:graphic>
          </wp:anchor>
        </w:drawing>
      </w:r>
    </w:p>
    <w:p>
      <w:pPr>
        <w:sectPr>
          <w:pgSz w:w="11900" w:h="16838" w:orient="portrait"/>
          <w:cols w:equalWidth="0" w:num="1">
            <w:col w:w="9019"/>
          </w:cols>
          <w:pgMar w:left="1440" w:top="490" w:right="1440" w:bottom="1440" w:gutter="0" w:footer="0" w:header="0"/>
        </w:sectPr>
      </w:pPr>
    </w:p>
    <w:bookmarkStart w:id="58" w:name="page59"/>
    <w:bookmarkEnd w:id="5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Approval of Independent Registered Public Accounting Firm Services and Fees</w:t>
      </w:r>
    </w:p>
    <w:p>
      <w:pPr>
        <w:spacing w:after="0" w:line="112" w:lineRule="exact"/>
        <w:rPr>
          <w:sz w:val="20"/>
          <w:szCs w:val="20"/>
          <w:color w:val="auto"/>
        </w:rPr>
      </w:pPr>
    </w:p>
    <w:p>
      <w:pPr>
        <w:ind w:left="40" w:right="259" w:firstLine="606"/>
        <w:spacing w:after="0" w:line="255" w:lineRule="auto"/>
        <w:rPr>
          <w:sz w:val="20"/>
          <w:szCs w:val="20"/>
          <w:color w:val="auto"/>
        </w:rPr>
      </w:pPr>
      <w:r>
        <w:rPr>
          <w:rFonts w:ascii="Times New Roman" w:cs="Times New Roman" w:eastAsia="Times New Roman" w:hAnsi="Times New Roman"/>
          <w:sz w:val="17"/>
          <w:szCs w:val="17"/>
          <w:color w:val="auto"/>
        </w:rPr>
        <w:t>The Audit Committee has adopted a policy regarding pre-approval of audit and non-audit services performed by our independent registered public accounting firm. The Audit Committee is responsible for pre-approving all engagements of our independent registered public accounting firm. The policy also highlights services the Audit Committee will and will not approve for audit and non-audit services. The policy requires that written documentation be provided by the independent registered accounting firm to the Audit Committee for all tax services.</w:t>
      </w:r>
    </w:p>
    <w:p>
      <w:pPr>
        <w:spacing w:after="0" w:line="73" w:lineRule="exact"/>
        <w:rPr>
          <w:sz w:val="20"/>
          <w:szCs w:val="20"/>
          <w:color w:val="auto"/>
        </w:rPr>
      </w:pPr>
    </w:p>
    <w:p>
      <w:pPr>
        <w:ind w:left="40" w:right="119" w:firstLine="606"/>
        <w:spacing w:after="0" w:line="255" w:lineRule="auto"/>
        <w:rPr>
          <w:sz w:val="20"/>
          <w:szCs w:val="20"/>
          <w:color w:val="auto"/>
        </w:rPr>
      </w:pPr>
      <w:r>
        <w:rPr>
          <w:rFonts w:ascii="Times New Roman" w:cs="Times New Roman" w:eastAsia="Times New Roman" w:hAnsi="Times New Roman"/>
          <w:sz w:val="17"/>
          <w:szCs w:val="17"/>
          <w:color w:val="auto"/>
        </w:rPr>
        <w:t>The Audit Committee may, annually or from time to time, set fee levels for certain non-audit services, as defined in the policy, or for all non-audit services. Any engagements that exceed those fee levels must receive specific pre-approval from the Audit Committee. The Audit Committee may delegate to the Audit Committee chair authority to grant pre-approvals of permissible audit and non-audit services, provided that any pre-approvals by the chair must be reported to the full Audit Committee at the next scheduled meeting.</w:t>
      </w:r>
    </w:p>
    <w:p>
      <w:pPr>
        <w:spacing w:after="0" w:line="73" w:lineRule="exact"/>
        <w:rPr>
          <w:sz w:val="20"/>
          <w:szCs w:val="20"/>
          <w:color w:val="auto"/>
        </w:rPr>
      </w:pPr>
    </w:p>
    <w:p>
      <w:pPr>
        <w:jc w:val="both"/>
        <w:ind w:left="40" w:right="179" w:firstLine="606"/>
        <w:spacing w:after="0" w:line="262" w:lineRule="auto"/>
        <w:rPr>
          <w:sz w:val="20"/>
          <w:szCs w:val="20"/>
          <w:color w:val="auto"/>
        </w:rPr>
      </w:pPr>
      <w:r>
        <w:rPr>
          <w:rFonts w:ascii="Times New Roman" w:cs="Times New Roman" w:eastAsia="Times New Roman" w:hAnsi="Times New Roman"/>
          <w:sz w:val="17"/>
          <w:szCs w:val="17"/>
          <w:color w:val="auto"/>
        </w:rPr>
        <w:t>On a regular basis, management provides written updates to the Audit Committee regarding the amount of audit and non-audit service fees incurred to date. All of the services described above for fiscal years 2024 and 2023 were approved by our Audit Committee.</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AUDIT COMMITTEE REPORT</w:t>
      </w:r>
    </w:p>
    <w:p>
      <w:pPr>
        <w:spacing w:after="0" w:line="112" w:lineRule="exact"/>
        <w:rPr>
          <w:sz w:val="20"/>
          <w:szCs w:val="20"/>
          <w:color w:val="auto"/>
        </w:rPr>
      </w:pPr>
    </w:p>
    <w:p>
      <w:pPr>
        <w:ind w:left="40" w:right="319" w:firstLine="606"/>
        <w:spacing w:after="0" w:line="255" w:lineRule="auto"/>
        <w:rPr>
          <w:sz w:val="20"/>
          <w:szCs w:val="20"/>
          <w:color w:val="auto"/>
        </w:rPr>
      </w:pPr>
      <w:r>
        <w:rPr>
          <w:rFonts w:ascii="Times New Roman" w:cs="Times New Roman" w:eastAsia="Times New Roman" w:hAnsi="Times New Roman"/>
          <w:sz w:val="17"/>
          <w:szCs w:val="17"/>
          <w:color w:val="auto"/>
        </w:rPr>
        <w:t xml:space="preserve">The Audit Committee operates under a written charter adopted by the Board that outlines its responsibilities and the practices it follows. You can view the charter on the Company’s website, </w:t>
      </w:r>
      <w:r>
        <w:rPr>
          <w:rFonts w:ascii="Times New Roman" w:cs="Times New Roman" w:eastAsia="Times New Roman" w:hAnsi="Times New Roman"/>
          <w:sz w:val="17"/>
          <w:szCs w:val="17"/>
          <w:i w:val="1"/>
          <w:iCs w:val="1"/>
          <w:u w:val="single" w:color="auto"/>
          <w:color w:val="auto"/>
        </w:rPr>
        <w:t>www.investors.gce.com</w:t>
      </w:r>
      <w:r>
        <w:rPr>
          <w:rFonts w:ascii="Times New Roman" w:cs="Times New Roman" w:eastAsia="Times New Roman" w:hAnsi="Times New Roman"/>
          <w:sz w:val="17"/>
          <w:szCs w:val="17"/>
          <w:color w:val="auto"/>
        </w:rPr>
        <w:t xml:space="preserve">. The Audit Committee reviews and assesses the adequacy of its charter at least annually and, when appropriate, recommends changes to the Board to reflect the evolving role of the Audit Committee. The duties of the Audit Committee as set forth in its charter are summarized in this Proxy Statement under the section titled </w:t>
      </w:r>
      <w:r>
        <w:rPr>
          <w:rFonts w:ascii="Times New Roman" w:cs="Times New Roman" w:eastAsia="Times New Roman" w:hAnsi="Times New Roman"/>
          <w:sz w:val="17"/>
          <w:szCs w:val="17"/>
          <w:i w:val="1"/>
          <w:iCs w:val="1"/>
          <w:color w:val="auto"/>
        </w:rPr>
        <w:t>“Committees of Our Board of Directors.”</w:t>
      </w:r>
    </w:p>
    <w:p>
      <w:pPr>
        <w:spacing w:after="0" w:line="73" w:lineRule="exact"/>
        <w:rPr>
          <w:sz w:val="20"/>
          <w:szCs w:val="20"/>
          <w:color w:val="auto"/>
        </w:rPr>
      </w:pPr>
    </w:p>
    <w:p>
      <w:pPr>
        <w:ind w:left="40" w:right="59" w:firstLine="606"/>
        <w:spacing w:after="0" w:line="257" w:lineRule="auto"/>
        <w:rPr>
          <w:sz w:val="20"/>
          <w:szCs w:val="20"/>
          <w:color w:val="auto"/>
        </w:rPr>
      </w:pPr>
      <w:r>
        <w:rPr>
          <w:rFonts w:ascii="Times New Roman" w:cs="Times New Roman" w:eastAsia="Times New Roman" w:hAnsi="Times New Roman"/>
          <w:sz w:val="17"/>
          <w:szCs w:val="17"/>
          <w:color w:val="auto"/>
        </w:rPr>
        <w:t>The Audit Committee is composed of five, non-employee directors, each of whom the Board has determined meet the independence and financial literacy requirements of Nasdaq and additional, heightened independence criteria applicable to members of the Audit Committee under SEC and Nasdaq Rules. The Board has designated each of Mr. Henry, Dr. Humphrey and Mr. Warren as “audit committee financial experts” under the SEC rules.</w:t>
      </w:r>
    </w:p>
    <w:p>
      <w:pPr>
        <w:spacing w:after="0" w:line="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Primary Responsibilities of the Audit Committee and the Audit Committee’s Activities in 2024</w:t>
      </w:r>
    </w:p>
    <w:p>
      <w:pPr>
        <w:spacing w:after="0" w:line="112" w:lineRule="exact"/>
        <w:rPr>
          <w:sz w:val="20"/>
          <w:szCs w:val="20"/>
          <w:color w:val="auto"/>
        </w:rPr>
      </w:pPr>
    </w:p>
    <w:p>
      <w:pPr>
        <w:ind w:left="40" w:right="139" w:firstLine="606"/>
        <w:spacing w:after="0" w:line="251" w:lineRule="auto"/>
        <w:rPr>
          <w:sz w:val="20"/>
          <w:szCs w:val="20"/>
          <w:color w:val="auto"/>
        </w:rPr>
      </w:pPr>
      <w:r>
        <w:rPr>
          <w:rFonts w:ascii="Times New Roman" w:cs="Times New Roman" w:eastAsia="Times New Roman" w:hAnsi="Times New Roman"/>
          <w:sz w:val="17"/>
          <w:szCs w:val="17"/>
          <w:color w:val="auto"/>
        </w:rPr>
        <w:t>The Audit Committee represents and assists the Board in fulfilling its oversight responsibility relating to the integrity of the Company’s financial statements and the financial reporting process, the systems of internal accounting and financial controls, the internal audit function and the annual independent audit of the Company’s financial statements. The Audit Committee oversees the Company’s compliance with legal and regulatory requirements, the independent auditors’ qualifications and independence, the performance of the Company’s internal audit function and the independent auditors, and the Company’s ethical compliance programs, including the Company’s codes of conduct. The Audit Committee’s process includes working with the Company’s Chief Risk Officer and other members of the Company’s enterprise risk management team, meeting periodically with the Chief Risk Officer and other members of management and receiving reports on enterprise risk management, including management’s assessment of risk exposures (including risks related to liquidity, credit, operations, regulatory compliance and cybersecurity, among others), and the processes in place to monitor and control such exposures.</w:t>
      </w:r>
    </w:p>
    <w:p>
      <w:pPr>
        <w:spacing w:after="0" w:line="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During 2024, among other things, the Audit Committee:</w:t>
      </w:r>
    </w:p>
    <w:p>
      <w:pPr>
        <w:spacing w:after="0" w:line="108" w:lineRule="exact"/>
        <w:rPr>
          <w:sz w:val="20"/>
          <w:szCs w:val="20"/>
          <w:color w:val="auto"/>
        </w:rPr>
      </w:pPr>
    </w:p>
    <w:p>
      <w:pPr>
        <w:ind w:left="980" w:hanging="303"/>
        <w:spacing w:after="0"/>
        <w:tabs>
          <w:tab w:leader="none" w:pos="98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Engaged KPMG as our independent auditors;</w:t>
      </w:r>
    </w:p>
    <w:p>
      <w:pPr>
        <w:spacing w:after="0" w:line="107" w:lineRule="exact"/>
        <w:rPr>
          <w:rFonts w:ascii="Times New Roman" w:cs="Times New Roman" w:eastAsia="Times New Roman" w:hAnsi="Times New Roman"/>
          <w:sz w:val="17"/>
          <w:szCs w:val="17"/>
          <w:color w:val="auto"/>
        </w:rPr>
      </w:pPr>
    </w:p>
    <w:p>
      <w:pPr>
        <w:ind w:left="980" w:hanging="303"/>
        <w:spacing w:after="0"/>
        <w:tabs>
          <w:tab w:leader="none" w:pos="98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Was involved in the selection of the lead engagement partner and negotiation of audit fees;</w:t>
      </w:r>
    </w:p>
    <w:p>
      <w:pPr>
        <w:spacing w:after="0" w:line="107" w:lineRule="exact"/>
        <w:rPr>
          <w:rFonts w:ascii="Times New Roman" w:cs="Times New Roman" w:eastAsia="Times New Roman" w:hAnsi="Times New Roman"/>
          <w:sz w:val="17"/>
          <w:szCs w:val="17"/>
          <w:color w:val="auto"/>
        </w:rPr>
      </w:pPr>
    </w:p>
    <w:p>
      <w:pPr>
        <w:ind w:left="980" w:hanging="303"/>
        <w:spacing w:after="0"/>
        <w:tabs>
          <w:tab w:leader="none" w:pos="98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tenure of the independent audit firm;</w:t>
      </w:r>
    </w:p>
    <w:p>
      <w:pPr>
        <w:spacing w:after="0" w:line="107" w:lineRule="exact"/>
        <w:rPr>
          <w:rFonts w:ascii="Times New Roman" w:cs="Times New Roman" w:eastAsia="Times New Roman" w:hAnsi="Times New Roman"/>
          <w:sz w:val="17"/>
          <w:szCs w:val="17"/>
          <w:color w:val="auto"/>
        </w:rPr>
      </w:pPr>
    </w:p>
    <w:p>
      <w:pPr>
        <w:ind w:left="980" w:hanging="303"/>
        <w:spacing w:after="0"/>
        <w:tabs>
          <w:tab w:leader="none" w:pos="98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Met with the senior members of the Company’s financial management team at each regularly scheduled meeting;</w:t>
      </w:r>
    </w:p>
    <w:p>
      <w:pPr>
        <w:spacing w:after="0" w:line="107" w:lineRule="exact"/>
        <w:rPr>
          <w:rFonts w:ascii="Times New Roman" w:cs="Times New Roman" w:eastAsia="Times New Roman" w:hAnsi="Times New Roman"/>
          <w:sz w:val="17"/>
          <w:szCs w:val="17"/>
          <w:color w:val="auto"/>
        </w:rPr>
      </w:pPr>
    </w:p>
    <w:p>
      <w:pPr>
        <w:ind w:left="980" w:right="159" w:hanging="303"/>
        <w:spacing w:after="0" w:line="262" w:lineRule="auto"/>
        <w:tabs>
          <w:tab w:leader="none" w:pos="98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Held separate private sessions, during its regularly scheduled meetings, with each of KPMG and our Chief Risk Officer, at which candid discussions regarding financial management, legal, accounting, auditing and internal control issues took place;</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335915</wp:posOffset>
            </wp:positionV>
            <wp:extent cx="5664835" cy="241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64835" cy="24130"/>
                    </a:xfrm>
                    <a:prstGeom prst="rect">
                      <a:avLst/>
                    </a:prstGeom>
                    <a:noFill/>
                  </pic:spPr>
                </pic:pic>
              </a:graphicData>
            </a:graphic>
          </wp:anchor>
        </w:drawing>
      </w:r>
    </w:p>
    <w:p>
      <w:pPr>
        <w:sectPr>
          <w:pgSz w:w="11900" w:h="16838" w:orient="portrait"/>
          <w:cols w:equalWidth="0" w:num="1">
            <w:col w:w="9019"/>
          </w:cols>
          <w:pgMar w:left="1440" w:top="490" w:right="1440" w:bottom="1440" w:gutter="0" w:footer="0" w:header="0"/>
        </w:sectPr>
      </w:pPr>
    </w:p>
    <w:bookmarkStart w:id="59" w:name="page60"/>
    <w:bookmarkEnd w:id="5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980" w:right="299" w:hanging="303"/>
        <w:spacing w:after="0" w:line="262" w:lineRule="auto"/>
        <w:tabs>
          <w:tab w:leader="none" w:pos="98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Received periodic updates on management’s process to assess the adequacy of the Company’s system of internal control over financial reporting, the framework used to make the assessment and management’s conclusions on the effectiveness of the Company’s internal control over financial reporting;</w:t>
      </w:r>
    </w:p>
    <w:p>
      <w:pPr>
        <w:spacing w:after="0" w:line="67" w:lineRule="exact"/>
        <w:rPr>
          <w:rFonts w:ascii="Times New Roman" w:cs="Times New Roman" w:eastAsia="Times New Roman" w:hAnsi="Times New Roman"/>
          <w:sz w:val="17"/>
          <w:szCs w:val="17"/>
          <w:color w:val="auto"/>
        </w:rPr>
      </w:pPr>
    </w:p>
    <w:p>
      <w:pPr>
        <w:ind w:left="980" w:right="299" w:hanging="303"/>
        <w:spacing w:after="0" w:line="275" w:lineRule="auto"/>
        <w:tabs>
          <w:tab w:leader="none" w:pos="98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Discussed with KPMG the Company’s internal control assessment process, management’s assessment with respect thereto and KPMG’s evaluation of the Company’s system of internal control over financial reporting;</w:t>
      </w:r>
    </w:p>
    <w:p>
      <w:pPr>
        <w:spacing w:after="0" w:line="57" w:lineRule="exact"/>
        <w:rPr>
          <w:rFonts w:ascii="Times New Roman" w:cs="Times New Roman" w:eastAsia="Times New Roman" w:hAnsi="Times New Roman"/>
          <w:sz w:val="17"/>
          <w:szCs w:val="17"/>
          <w:color w:val="auto"/>
        </w:rPr>
      </w:pPr>
    </w:p>
    <w:p>
      <w:pPr>
        <w:ind w:left="980" w:right="239" w:hanging="303"/>
        <w:spacing w:after="0" w:line="308" w:lineRule="auto"/>
        <w:tabs>
          <w:tab w:leader="none" w:pos="98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Reviewed and discussed with management and KPMG the Company’s periodic reports prior to filing with the SEC, including matters such as significant accounting policies, management judgements and accounting estimates;</w:t>
      </w:r>
    </w:p>
    <w:p>
      <w:pPr>
        <w:spacing w:after="0" w:line="33" w:lineRule="exact"/>
        <w:rPr>
          <w:rFonts w:ascii="Times New Roman" w:cs="Times New Roman" w:eastAsia="Times New Roman" w:hAnsi="Times New Roman"/>
          <w:sz w:val="16"/>
          <w:szCs w:val="16"/>
          <w:color w:val="auto"/>
        </w:rPr>
      </w:pPr>
    </w:p>
    <w:p>
      <w:pPr>
        <w:ind w:left="980" w:hanging="303"/>
        <w:spacing w:after="0"/>
        <w:tabs>
          <w:tab w:leader="none" w:pos="98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Reviewed the Company’s internal audit plan and the performance of the Company’s internal audit function;</w:t>
      </w:r>
    </w:p>
    <w:p>
      <w:pPr>
        <w:spacing w:after="0" w:line="107" w:lineRule="exact"/>
        <w:rPr>
          <w:rFonts w:ascii="Times New Roman" w:cs="Times New Roman" w:eastAsia="Times New Roman" w:hAnsi="Times New Roman"/>
          <w:sz w:val="17"/>
          <w:szCs w:val="17"/>
          <w:color w:val="auto"/>
        </w:rPr>
      </w:pPr>
    </w:p>
    <w:p>
      <w:pPr>
        <w:ind w:left="980" w:right="319" w:hanging="303"/>
        <w:spacing w:after="0" w:line="257" w:lineRule="auto"/>
        <w:tabs>
          <w:tab w:leader="none" w:pos="98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Reviewed with senior members of the Company’s financial management team, KPMG, and our Chief Risk Officer the overall audit scope and plans, the results of internal and external audits, evaluations by management and the independent auditors of the Company’s internal controls over financial reporting and the quality of the Company’s financial reporting; and</w:t>
      </w:r>
    </w:p>
    <w:p>
      <w:pPr>
        <w:spacing w:after="0" w:line="72" w:lineRule="exact"/>
        <w:rPr>
          <w:rFonts w:ascii="Times New Roman" w:cs="Times New Roman" w:eastAsia="Times New Roman" w:hAnsi="Times New Roman"/>
          <w:sz w:val="17"/>
          <w:szCs w:val="17"/>
          <w:color w:val="auto"/>
        </w:rPr>
      </w:pPr>
    </w:p>
    <w:p>
      <w:pPr>
        <w:ind w:left="980" w:right="179" w:hanging="303"/>
        <w:spacing w:after="0" w:line="257" w:lineRule="auto"/>
        <w:tabs>
          <w:tab w:leader="none" w:pos="98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Reviewed with management, including our Chief Risk Officer, Chief Information Security Officer and General Counsel, and KPMG significant risks and exposures identified by management, the overall adequacy and effectiveness of the Company’s legal, regulatory and ethical compliance programs, including the Company’s code of conduct, cybersecurity programs and climate-related risks for the Company.</w:t>
      </w:r>
    </w:p>
    <w:p>
      <w:pPr>
        <w:spacing w:after="0" w:line="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2024 Audited Financial Statements</w:t>
      </w:r>
    </w:p>
    <w:p>
      <w:pPr>
        <w:spacing w:after="0" w:line="112" w:lineRule="exact"/>
        <w:rPr>
          <w:sz w:val="20"/>
          <w:szCs w:val="20"/>
          <w:color w:val="auto"/>
        </w:rPr>
      </w:pPr>
    </w:p>
    <w:p>
      <w:pPr>
        <w:ind w:left="40" w:right="59" w:firstLine="606"/>
        <w:spacing w:after="0" w:line="257" w:lineRule="auto"/>
        <w:rPr>
          <w:sz w:val="20"/>
          <w:szCs w:val="20"/>
          <w:color w:val="auto"/>
        </w:rPr>
      </w:pPr>
      <w:r>
        <w:rPr>
          <w:rFonts w:ascii="Times New Roman" w:cs="Times New Roman" w:eastAsia="Times New Roman" w:hAnsi="Times New Roman"/>
          <w:sz w:val="17"/>
          <w:szCs w:val="17"/>
          <w:color w:val="auto"/>
        </w:rPr>
        <w:t>One of the Audit Committee’s primary responsibilities is to assist the Board in overseeing the Company’s management and independent registered public accounting firm in regard to our financial reporting and internal controls over financial reporting. In performing our oversight function, we relied upon advice and information received in our discussions with management and the independent registered public accounting firm.</w:t>
      </w:r>
    </w:p>
    <w:p>
      <w:pPr>
        <w:spacing w:after="0" w:line="72" w:lineRule="exact"/>
        <w:rPr>
          <w:sz w:val="20"/>
          <w:szCs w:val="20"/>
          <w:color w:val="auto"/>
        </w:rPr>
      </w:pPr>
    </w:p>
    <w:p>
      <w:pPr>
        <w:ind w:left="40" w:right="199" w:firstLine="606"/>
        <w:spacing w:after="0" w:line="252" w:lineRule="auto"/>
        <w:rPr>
          <w:sz w:val="20"/>
          <w:szCs w:val="20"/>
          <w:color w:val="auto"/>
        </w:rPr>
      </w:pPr>
      <w:r>
        <w:rPr>
          <w:rFonts w:ascii="Times New Roman" w:cs="Times New Roman" w:eastAsia="Times New Roman" w:hAnsi="Times New Roman"/>
          <w:sz w:val="17"/>
          <w:szCs w:val="17"/>
          <w:color w:val="auto"/>
        </w:rPr>
        <w:t xml:space="preserve">We have (a) reviewed and discussed our Company’s audited financial statements for the fiscal year ended December 31, 2024, with management; (b) discussed with our Company’s independent registered public accounting firm the matters required to be discussed by Public Company Oversight Board (PCAOB) Auditing Standard Number 1301, </w:t>
      </w:r>
      <w:r>
        <w:rPr>
          <w:rFonts w:ascii="Times New Roman" w:cs="Times New Roman" w:eastAsia="Times New Roman" w:hAnsi="Times New Roman"/>
          <w:sz w:val="17"/>
          <w:szCs w:val="17"/>
          <w:i w:val="1"/>
          <w:iCs w:val="1"/>
          <w:color w:val="auto"/>
        </w:rPr>
        <w:t>Communications with Audit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Committees </w:t>
      </w:r>
      <w:r>
        <w:rPr>
          <w:rFonts w:ascii="Times New Roman" w:cs="Times New Roman" w:eastAsia="Times New Roman" w:hAnsi="Times New Roman"/>
          <w:sz w:val="17"/>
          <w:szCs w:val="17"/>
          <w:color w:val="auto"/>
        </w:rPr>
        <w:t>(PCAOB General Auditing Standards 1300,</w:t>
      </w:r>
      <w:r>
        <w:rPr>
          <w:rFonts w:ascii="Times New Roman" w:cs="Times New Roman" w:eastAsia="Times New Roman" w:hAnsi="Times New Roman"/>
          <w:sz w:val="17"/>
          <w:szCs w:val="17"/>
          <w:i w:val="1"/>
          <w:iCs w:val="1"/>
          <w:color w:val="auto"/>
        </w:rPr>
        <w:t xml:space="preserve"> Auditor Communications</w:t>
      </w:r>
      <w:r>
        <w:rPr>
          <w:rFonts w:ascii="Times New Roman" w:cs="Times New Roman" w:eastAsia="Times New Roman" w:hAnsi="Times New Roman"/>
          <w:sz w:val="17"/>
          <w:szCs w:val="17"/>
          <w:color w:val="auto"/>
        </w:rPr>
        <w:t>); (c) received the written disclosures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presentation from the independent registered public accounting firm required by applicable requirements of the PCAOB regarding the independent registered public accounting firm’s communications with the Audit Committee concerning independence; and (d) discussed with the independent registered public accounting firm its independence.</w:t>
      </w:r>
    </w:p>
    <w:p>
      <w:pPr>
        <w:spacing w:after="0" w:line="79" w:lineRule="exact"/>
        <w:rPr>
          <w:sz w:val="20"/>
          <w:szCs w:val="20"/>
          <w:color w:val="auto"/>
        </w:rPr>
      </w:pPr>
    </w:p>
    <w:p>
      <w:pPr>
        <w:ind w:left="40" w:right="219" w:firstLine="606"/>
        <w:spacing w:after="0" w:line="285" w:lineRule="auto"/>
        <w:rPr>
          <w:sz w:val="20"/>
          <w:szCs w:val="20"/>
          <w:color w:val="auto"/>
        </w:rPr>
      </w:pPr>
      <w:r>
        <w:rPr>
          <w:rFonts w:ascii="Times New Roman" w:cs="Times New Roman" w:eastAsia="Times New Roman" w:hAnsi="Times New Roman"/>
          <w:sz w:val="16"/>
          <w:szCs w:val="16"/>
          <w:color w:val="auto"/>
        </w:rPr>
        <w:t>Based on the review and discussions with management and our independent registered public accounting firm referred to above, we recommended to our Board of Directors that the audited financial statements be included in our Company’s Annual Report on Form 10-K for the fiscal year ended December 31, 2024, for filing with the Securities and Exchange Commission.</w:t>
      </w:r>
    </w:p>
    <w:p>
      <w:pPr>
        <w:spacing w:after="0" w:line="5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Audit Committee:</w:t>
      </w:r>
    </w:p>
    <w:p>
      <w:pPr>
        <w:spacing w:after="0" w:line="20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i w:val="1"/>
          <w:iCs w:val="1"/>
          <w:color w:val="auto"/>
        </w:rPr>
        <w:t>Jack A. Henry (Chair)</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i w:val="1"/>
          <w:iCs w:val="1"/>
          <w:color w:val="auto"/>
        </w:rPr>
        <w:t>Sara Ward</w:t>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i w:val="1"/>
          <w:iCs w:val="1"/>
          <w:color w:val="auto"/>
        </w:rPr>
        <w:t>Lisa Graham Keegan</w:t>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i w:val="1"/>
          <w:iCs w:val="1"/>
          <w:color w:val="auto"/>
        </w:rPr>
        <w:t>Chevy Humphrey</w:t>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i w:val="1"/>
          <w:iCs w:val="1"/>
          <w:color w:val="auto"/>
        </w:rPr>
        <w:t>Kevin F. Warren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335915</wp:posOffset>
            </wp:positionV>
            <wp:extent cx="5664835" cy="241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64835"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60" w:name="page61"/>
    <w:bookmarkEnd w:id="6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7"/>
          <w:szCs w:val="17"/>
          <w:b w:val="1"/>
          <w:bCs w:val="1"/>
          <w:color w:val="auto"/>
        </w:rPr>
        <w:t>BENEFICIAL OWNERSHIP OF COMMON STOCK</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following table sets forth information regarding the beneficial ownership of our common stock as of March 31, 2025</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for:</w:t>
      </w:r>
    </w:p>
    <w:p>
      <w:pPr>
        <w:spacing w:after="0" w:line="92" w:lineRule="exact"/>
        <w:rPr>
          <w:sz w:val="20"/>
          <w:szCs w:val="20"/>
          <w:color w:val="auto"/>
        </w:rPr>
      </w:pPr>
    </w:p>
    <w:p>
      <w:pPr>
        <w:ind w:left="980" w:right="199" w:hanging="303"/>
        <w:spacing w:after="0" w:line="275" w:lineRule="auto"/>
        <w:tabs>
          <w:tab w:leader="none" w:pos="98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person, or group of affiliated persons, known to us to own beneficially 5% or more of our outstanding common stock;</w:t>
      </w:r>
    </w:p>
    <w:p>
      <w:pPr>
        <w:spacing w:after="0" w:line="57" w:lineRule="exact"/>
        <w:rPr>
          <w:rFonts w:ascii="Times New Roman" w:cs="Times New Roman" w:eastAsia="Times New Roman" w:hAnsi="Times New Roman"/>
          <w:sz w:val="17"/>
          <w:szCs w:val="17"/>
          <w:color w:val="auto"/>
        </w:rPr>
      </w:pPr>
    </w:p>
    <w:p>
      <w:pPr>
        <w:ind w:left="980" w:hanging="303"/>
        <w:spacing w:after="0"/>
        <w:tabs>
          <w:tab w:leader="none" w:pos="98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our directors;</w:t>
      </w:r>
    </w:p>
    <w:p>
      <w:pPr>
        <w:spacing w:after="0" w:line="107" w:lineRule="exact"/>
        <w:rPr>
          <w:rFonts w:ascii="Times New Roman" w:cs="Times New Roman" w:eastAsia="Times New Roman" w:hAnsi="Times New Roman"/>
          <w:sz w:val="17"/>
          <w:szCs w:val="17"/>
          <w:color w:val="auto"/>
        </w:rPr>
      </w:pPr>
    </w:p>
    <w:p>
      <w:pPr>
        <w:ind w:left="980" w:hanging="303"/>
        <w:spacing w:after="0"/>
        <w:tabs>
          <w:tab w:leader="none" w:pos="98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our named executive officers; and</w:t>
      </w:r>
    </w:p>
    <w:p>
      <w:pPr>
        <w:spacing w:after="0" w:line="107" w:lineRule="exact"/>
        <w:rPr>
          <w:rFonts w:ascii="Times New Roman" w:cs="Times New Roman" w:eastAsia="Times New Roman" w:hAnsi="Times New Roman"/>
          <w:sz w:val="17"/>
          <w:szCs w:val="17"/>
          <w:color w:val="auto"/>
        </w:rPr>
      </w:pPr>
    </w:p>
    <w:p>
      <w:pPr>
        <w:ind w:left="980" w:hanging="303"/>
        <w:spacing w:after="0"/>
        <w:tabs>
          <w:tab w:leader="none" w:pos="98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of our directors and named executive officers as a group.</w:t>
      </w:r>
    </w:p>
    <w:p>
      <w:pPr>
        <w:spacing w:after="0" w:line="108" w:lineRule="exact"/>
        <w:rPr>
          <w:sz w:val="20"/>
          <w:szCs w:val="20"/>
          <w:color w:val="auto"/>
        </w:rPr>
      </w:pPr>
    </w:p>
    <w:p>
      <w:pPr>
        <w:ind w:left="40" w:right="179" w:firstLine="606"/>
        <w:spacing w:after="0" w:line="251" w:lineRule="auto"/>
        <w:rPr>
          <w:sz w:val="20"/>
          <w:szCs w:val="20"/>
          <w:color w:val="auto"/>
        </w:rPr>
      </w:pPr>
      <w:r>
        <w:rPr>
          <w:rFonts w:ascii="Times New Roman" w:cs="Times New Roman" w:eastAsia="Times New Roman" w:hAnsi="Times New Roman"/>
          <w:sz w:val="17"/>
          <w:szCs w:val="17"/>
          <w:color w:val="auto"/>
        </w:rPr>
        <w:t>The information in the following table has been presented in accordance with the rules of the SEC. Under SEC rules, beneficial ownership of a class of capital stock includes any shares of such class as to which a person, directly or indirectly, has or shares voting power or investment power and also includes any shares as to which a person has the right to acquire such voting or investment power within 60 days of the date set forth above through the exercise of any stock option, warrant or other right. If two or more persons share voting power or investment power with respect to specific securities, each such person is deemed to be the beneficial owner of such securities. Except as we otherwise indicate below and under applicable community property laws, we believe that the beneficial owners of the common stock listed below, based on information they have furnished to us, have sole voting and investment power with respect to the shares shown. Unless otherwise noted below, the address for each holder listed below is 2600 W. Camelback Road, Phoenix, Arizona 85017.</w:t>
      </w:r>
    </w:p>
    <w:p>
      <w:pPr>
        <w:spacing w:after="0" w:line="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calculations of beneficial ownership in this table are based on 28,496,165 shares outstanding at March 31, 2025</w:t>
      </w:r>
      <w:r>
        <w:rPr>
          <w:rFonts w:ascii="Times New Roman" w:cs="Times New Roman" w:eastAsia="Times New Roman" w:hAnsi="Times New Roman"/>
          <w:sz w:val="17"/>
          <w:szCs w:val="17"/>
          <w:b w:val="1"/>
          <w:bCs w:val="1"/>
          <w:color w:val="auto"/>
        </w:rPr>
        <w:t>.</w:t>
      </w:r>
    </w:p>
    <w:p>
      <w:pPr>
        <w:spacing w:after="0" w:line="117" w:lineRule="exact"/>
        <w:rPr>
          <w:sz w:val="20"/>
          <w:szCs w:val="20"/>
          <w:color w:val="auto"/>
        </w:rPr>
      </w:pPr>
    </w:p>
    <w:tbl>
      <w:tblPr>
        <w:tblLayout w:type="fixed"/>
        <w:tblInd w:w="4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3040" w:type="dxa"/>
            <w:vAlign w:val="bottom"/>
            <w:tcBorders>
              <w:bottom w:val="single" w:sz="8" w:color="auto"/>
            </w:tcBorders>
            <w:gridSpan w:val="3"/>
          </w:tcPr>
          <w:p>
            <w:pPr>
              <w:jc w:val="right"/>
              <w:ind w:right="99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3500" w:type="dxa"/>
            <w:vAlign w:val="bottom"/>
          </w:tcPr>
          <w:p>
            <w:pPr>
              <w:spacing w:after="0"/>
              <w:rPr>
                <w:sz w:val="9"/>
                <w:szCs w:val="9"/>
                <w:color w:val="auto"/>
              </w:rPr>
            </w:pPr>
          </w:p>
        </w:tc>
        <w:tc>
          <w:tcPr>
            <w:tcW w:w="1600" w:type="dxa"/>
            <w:vAlign w:val="bottom"/>
            <w:gridSpan w:val="2"/>
          </w:tcPr>
          <w:p>
            <w:pPr>
              <w:jc w:val="center"/>
              <w:ind w:right="180"/>
              <w:spacing w:after="0" w:line="107" w:lineRule="exact"/>
              <w:rPr>
                <w:sz w:val="20"/>
                <w:szCs w:val="20"/>
                <w:color w:val="auto"/>
              </w:rPr>
            </w:pPr>
            <w:r>
              <w:rPr>
                <w:rFonts w:ascii="Times New Roman" w:cs="Times New Roman" w:eastAsia="Times New Roman" w:hAnsi="Times New Roman"/>
                <w:sz w:val="12"/>
                <w:szCs w:val="12"/>
                <w:b w:val="1"/>
                <w:bCs w:val="1"/>
                <w:color w:val="auto"/>
              </w:rPr>
              <w:t>Amount and Nature of</w:t>
            </w:r>
          </w:p>
        </w:tc>
        <w:tc>
          <w:tcPr>
            <w:tcW w:w="158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Percent of Class</w:t>
            </w:r>
            <w:r>
              <w:rPr>
                <w:rFonts w:ascii="Times New Roman" w:cs="Times New Roman" w:eastAsia="Times New Roman" w:hAnsi="Times New Roman"/>
                <w:sz w:val="20"/>
                <w:szCs w:val="20"/>
                <w:b w:val="1"/>
                <w:bCs w:val="1"/>
                <w:color w:val="auto"/>
                <w:vertAlign w:val="superscript"/>
              </w:rPr>
              <w:t>(1)</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6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Beneficial Ownership</w:t>
            </w:r>
          </w:p>
        </w:tc>
        <w:tc>
          <w:tcPr>
            <w:tcW w:w="1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7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Principal Stockholders:</w:t>
            </w:r>
          </w:p>
        </w:tc>
        <w:tc>
          <w:tcPr>
            <w:tcW w:w="14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20" w:type="dxa"/>
            <w:vAlign w:val="bottom"/>
            <w:gridSpan w:val="2"/>
          </w:tcPr>
          <w:p>
            <w:pPr>
              <w:spacing w:after="0" w:line="202" w:lineRule="exact"/>
              <w:rPr>
                <w:sz w:val="20"/>
                <w:szCs w:val="20"/>
                <w:color w:val="auto"/>
              </w:rPr>
            </w:pPr>
            <w:r>
              <w:rPr>
                <w:rFonts w:ascii="Times New Roman" w:cs="Times New Roman" w:eastAsia="Times New Roman" w:hAnsi="Times New Roman"/>
                <w:sz w:val="16"/>
                <w:szCs w:val="16"/>
                <w:color w:val="auto"/>
              </w:rPr>
              <w:t>BlackRock, Inc.</w:t>
            </w:r>
            <w:r>
              <w:rPr>
                <w:rFonts w:ascii="Times New Roman" w:cs="Times New Roman" w:eastAsia="Times New Roman" w:hAnsi="Times New Roman"/>
                <w:sz w:val="23"/>
                <w:szCs w:val="23"/>
                <w:color w:val="auto"/>
                <w:vertAlign w:val="superscript"/>
              </w:rPr>
              <w:t>(2)</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3,011,895</w:t>
            </w:r>
          </w:p>
        </w:tc>
        <w:tc>
          <w:tcPr>
            <w:tcW w:w="180" w:type="dxa"/>
            <w:vAlign w:val="bottom"/>
          </w:tcPr>
          <w:p>
            <w:pPr>
              <w:spacing w:after="0"/>
              <w:rPr>
                <w:sz w:val="17"/>
                <w:szCs w:val="17"/>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10.6 %</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2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6"/>
                <w:szCs w:val="16"/>
                <w:color w:val="auto"/>
              </w:rPr>
              <w:t>The Vanguard Group – 23-1945930</w:t>
            </w:r>
            <w:r>
              <w:rPr>
                <w:rFonts w:ascii="Times New Roman" w:cs="Times New Roman" w:eastAsia="Times New Roman" w:hAnsi="Times New Roman"/>
                <w:sz w:val="23"/>
                <w:szCs w:val="23"/>
                <w:color w:val="auto"/>
                <w:vertAlign w:val="superscript"/>
              </w:rPr>
              <w:t>(3)</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3,003,213</w:t>
            </w:r>
          </w:p>
        </w:tc>
        <w:tc>
          <w:tcPr>
            <w:tcW w:w="18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10.5 %</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20" w:type="dxa"/>
            <w:vAlign w:val="bottom"/>
            <w:gridSpan w:val="2"/>
          </w:tcPr>
          <w:p>
            <w:pPr>
              <w:spacing w:after="0" w:line="202" w:lineRule="exact"/>
              <w:rPr>
                <w:sz w:val="20"/>
                <w:szCs w:val="20"/>
                <w:color w:val="auto"/>
              </w:rPr>
            </w:pPr>
            <w:r>
              <w:rPr>
                <w:rFonts w:ascii="Times New Roman" w:cs="Times New Roman" w:eastAsia="Times New Roman" w:hAnsi="Times New Roman"/>
                <w:sz w:val="16"/>
                <w:szCs w:val="16"/>
                <w:color w:val="auto"/>
              </w:rPr>
              <w:t>FMR LLC</w:t>
            </w:r>
            <w:r>
              <w:rPr>
                <w:rFonts w:ascii="Times New Roman" w:cs="Times New Roman" w:eastAsia="Times New Roman" w:hAnsi="Times New Roman"/>
                <w:sz w:val="23"/>
                <w:szCs w:val="23"/>
                <w:color w:val="auto"/>
                <w:vertAlign w:val="superscript"/>
              </w:rPr>
              <w:t>(4)</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1,513,249</w:t>
            </w:r>
          </w:p>
        </w:tc>
        <w:tc>
          <w:tcPr>
            <w:tcW w:w="180" w:type="dxa"/>
            <w:vAlign w:val="bottom"/>
          </w:tcPr>
          <w:p>
            <w:pPr>
              <w:spacing w:after="0"/>
              <w:rPr>
                <w:sz w:val="17"/>
                <w:szCs w:val="17"/>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5.3 %</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2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6"/>
                <w:szCs w:val="16"/>
                <w:color w:val="auto"/>
              </w:rPr>
              <w:t>Riverbridge Partners LLC</w:t>
            </w:r>
            <w:r>
              <w:rPr>
                <w:rFonts w:ascii="Times New Roman" w:cs="Times New Roman" w:eastAsia="Times New Roman" w:hAnsi="Times New Roman"/>
                <w:sz w:val="23"/>
                <w:szCs w:val="23"/>
                <w:color w:val="auto"/>
                <w:vertAlign w:val="superscript"/>
              </w:rPr>
              <w:t>(5)</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1,428,922</w:t>
            </w:r>
          </w:p>
        </w:tc>
        <w:tc>
          <w:tcPr>
            <w:tcW w:w="18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5.0 %</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Directors and Named Executive Officers:</w:t>
            </w: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Brian E. Mueller</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293,413</w:t>
            </w:r>
          </w:p>
        </w:tc>
        <w:tc>
          <w:tcPr>
            <w:tcW w:w="18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1.0 %</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Dr. W. Stan Meyer</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104,703</w:t>
            </w:r>
          </w:p>
        </w:tc>
        <w:tc>
          <w:tcPr>
            <w:tcW w:w="180" w:type="dxa"/>
            <w:vAlign w:val="bottom"/>
          </w:tcPr>
          <w:p>
            <w:pPr>
              <w:spacing w:after="0"/>
              <w:rPr>
                <w:sz w:val="17"/>
                <w:szCs w:val="17"/>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0.4 %</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Daniel E. Bachus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110,253</w:t>
            </w:r>
          </w:p>
        </w:tc>
        <w:tc>
          <w:tcPr>
            <w:tcW w:w="18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0.4 %</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Dilek Marsh</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22,068</w:t>
            </w:r>
          </w:p>
        </w:tc>
        <w:tc>
          <w:tcPr>
            <w:tcW w:w="180" w:type="dxa"/>
            <w:vAlign w:val="bottom"/>
          </w:tcPr>
          <w:p>
            <w:pPr>
              <w:spacing w:after="0"/>
              <w:rPr>
                <w:sz w:val="17"/>
                <w:szCs w:val="17"/>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0.1 %</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Kathy J. Claypatch</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7,618</w:t>
            </w: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Sara Ward</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5,248</w:t>
            </w:r>
          </w:p>
        </w:tc>
        <w:tc>
          <w:tcPr>
            <w:tcW w:w="1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Jack A. Henry</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13,759</w:t>
            </w: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Lisa Graham Keegan</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3,172</w:t>
            </w:r>
          </w:p>
        </w:tc>
        <w:tc>
          <w:tcPr>
            <w:tcW w:w="1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Chevy Humphrey</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3,322</w:t>
            </w: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Kevin F. Warren</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693</w:t>
            </w:r>
          </w:p>
        </w:tc>
        <w:tc>
          <w:tcPr>
            <w:tcW w:w="1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All directors and executive officers as a group (10 persons)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564,249</w:t>
            </w:r>
          </w:p>
        </w:tc>
        <w:tc>
          <w:tcPr>
            <w:tcW w:w="18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2.0 %</w:t>
            </w:r>
          </w:p>
        </w:tc>
        <w:tc>
          <w:tcPr>
            <w:tcW w:w="0" w:type="dxa"/>
            <w:vAlign w:val="bottom"/>
          </w:tcPr>
          <w:p>
            <w:pPr>
              <w:spacing w:after="0"/>
              <w:rPr>
                <w:sz w:val="1"/>
                <w:szCs w:val="1"/>
                <w:color w:val="auto"/>
              </w:rPr>
            </w:pPr>
          </w:p>
        </w:tc>
      </w:tr>
      <w:tr>
        <w:trPr>
          <w:trHeight w:val="106"/>
        </w:trPr>
        <w:tc>
          <w:tcPr>
            <w:tcW w:w="2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35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340" w:hanging="295"/>
        <w:spacing w:after="0"/>
        <w:tabs>
          <w:tab w:leader="none" w:pos="34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beneficial ownership of less than 0.1%</w:t>
      </w:r>
    </w:p>
    <w:p>
      <w:pPr>
        <w:spacing w:after="0" w:line="108" w:lineRule="exact"/>
        <w:rPr>
          <w:sz w:val="20"/>
          <w:szCs w:val="20"/>
          <w:color w:val="auto"/>
        </w:rPr>
      </w:pPr>
    </w:p>
    <w:p>
      <w:pPr>
        <w:ind w:left="340" w:right="79" w:hanging="295"/>
        <w:spacing w:after="0" w:line="274" w:lineRule="auto"/>
        <w:tabs>
          <w:tab w:leader="none" w:pos="34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percentage of beneficial ownership as to any person as of a particular date is calculated by dividing the number of shares beneficially owned by such person, which includes the number of shares as to which such person has the right to acquire voting or investment power within 60 days after such date, by the sum of the number of shares outstanding as of such date plus the number of shares as to which such person has the right to acquire voting or investment power within 60 days after such date. Consequently, the denominator for calculating beneficial ownership percentages may be different for each beneficial owner.</w:t>
      </w: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335915</wp:posOffset>
            </wp:positionV>
            <wp:extent cx="5664835" cy="241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64835"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61" w:name="page62"/>
    <w:bookmarkEnd w:id="6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40" w:right="159" w:hanging="295"/>
        <w:spacing w:after="0" w:line="257" w:lineRule="auto"/>
        <w:tabs>
          <w:tab w:leader="none" w:pos="34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information for the BlackRock, Inc. (“BlackRock”) is based on a Schedule 13G/A filed with the Securities and Exchange Commission on August 7, 2024. The address for BlackRock is 50 Hudson Yards, New York, NY 10001. BlackRock reported that it had sole voting power over 2,791,578 shares, shared voting power over 0 shares, sole dispositive power over 3,011,895 shares, and shared dispositive power over 0 shares.</w:t>
      </w:r>
    </w:p>
    <w:p>
      <w:pPr>
        <w:spacing w:after="0" w:line="72" w:lineRule="exact"/>
        <w:rPr>
          <w:rFonts w:ascii="Times New Roman" w:cs="Times New Roman" w:eastAsia="Times New Roman" w:hAnsi="Times New Roman"/>
          <w:sz w:val="17"/>
          <w:szCs w:val="17"/>
          <w:color w:val="auto"/>
        </w:rPr>
      </w:pPr>
    </w:p>
    <w:p>
      <w:pPr>
        <w:ind w:left="340" w:right="179" w:hanging="295"/>
        <w:spacing w:after="0" w:line="257" w:lineRule="auto"/>
        <w:tabs>
          <w:tab w:leader="none" w:pos="34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information for the Vanguard Group – 23-1945930 (“Vanguard”) is based on a Schedule 13G/A filed with the Securities and Exchange Commission on March 11, 2024. The address for Vanguard is 100 Vanguard Blvd., Malvern, PA 19355. Vanguard reported that it had sole voting power over 0 shares, shared voting power over 11,657 shares, sole dispositive power over 2,959,976 shares, and shared dispositive power over 43,237 shares.</w:t>
      </w:r>
    </w:p>
    <w:p>
      <w:pPr>
        <w:spacing w:after="0" w:line="72" w:lineRule="exact"/>
        <w:rPr>
          <w:rFonts w:ascii="Times New Roman" w:cs="Times New Roman" w:eastAsia="Times New Roman" w:hAnsi="Times New Roman"/>
          <w:sz w:val="17"/>
          <w:szCs w:val="17"/>
          <w:color w:val="auto"/>
        </w:rPr>
      </w:pPr>
    </w:p>
    <w:p>
      <w:pPr>
        <w:ind w:left="340" w:right="59" w:hanging="295"/>
        <w:spacing w:after="0" w:line="257" w:lineRule="auto"/>
        <w:tabs>
          <w:tab w:leader="none" w:pos="34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information for FMR LLC (“FMR”) is based on a Schedule 13G/A filed with the Securities and Exchange Commission on February 12, 2025. The address for FMR is 245 Summer Street, Boston, Massachusetts 02210. FMR reported that it had sole voting power over 1,509,989 shares, shared voting power over 0 shares, sole dispositive power over 1,513,249 shares, and shared dispositive power over 0 shares.</w:t>
      </w:r>
    </w:p>
    <w:p>
      <w:pPr>
        <w:spacing w:after="0" w:line="72" w:lineRule="exact"/>
        <w:rPr>
          <w:rFonts w:ascii="Times New Roman" w:cs="Times New Roman" w:eastAsia="Times New Roman" w:hAnsi="Times New Roman"/>
          <w:sz w:val="17"/>
          <w:szCs w:val="17"/>
          <w:color w:val="auto"/>
        </w:rPr>
      </w:pPr>
    </w:p>
    <w:p>
      <w:pPr>
        <w:ind w:left="340" w:right="79" w:hanging="295"/>
        <w:spacing w:after="0" w:line="257" w:lineRule="auto"/>
        <w:tabs>
          <w:tab w:leader="none" w:pos="34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information for Riverbridge Partners LLC (“Riverbridge”) is based on a Schedule 13G/A filed with the Securities and Exchange Commission on January 16, 2025. The address for Riverbridge is 80 South Eighth St., Suite 1500, Minneapolis, MN 55402. Riverbridge reported that it had sole voting power over 1,181,518 shares, shared voting power over 0 shares, sole dispositive power over 1,428,922 shares, and shared dispositive power over 0 shares.</w:t>
      </w:r>
    </w:p>
    <w:p>
      <w:pPr>
        <w:spacing w:after="0" w:line="68" w:lineRule="exact"/>
        <w:rPr>
          <w:sz w:val="20"/>
          <w:szCs w:val="20"/>
          <w:color w:val="auto"/>
        </w:rPr>
      </w:pPr>
    </w:p>
    <w:p>
      <w:pPr>
        <w:ind w:left="40" w:right="2119" w:firstLine="2057"/>
        <w:spacing w:after="0" w:line="374" w:lineRule="auto"/>
        <w:rPr>
          <w:sz w:val="20"/>
          <w:szCs w:val="20"/>
          <w:color w:val="auto"/>
        </w:rPr>
      </w:pPr>
      <w:r>
        <w:rPr>
          <w:rFonts w:ascii="Times New Roman" w:cs="Times New Roman" w:eastAsia="Times New Roman" w:hAnsi="Times New Roman"/>
          <w:sz w:val="17"/>
          <w:szCs w:val="17"/>
          <w:b w:val="1"/>
          <w:bCs w:val="1"/>
          <w:color w:val="auto"/>
        </w:rPr>
        <w:t>CERTAIN RELATIONSHIPS AND RELATED TRANSACTIONS Policies and Procedures for Related Party Transactions</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We have adopted a written related party transactions policy, pursuant to which our executive officers, directors and</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principal stockholders, including their immediate family members, are not permitted to enter into a related party transaction with us</w:t>
      </w:r>
    </w:p>
    <w:p>
      <w:pPr>
        <w:spacing w:after="0" w:line="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without the prior consent of our Audit Committee. Any request for us to enter into a transaction with an executive officer, director,</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principal stockholder or any of such persons’ immediate family members or affiliates, in which the amount involved exceeds</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$120,000, must be presented to our Audit Committee for review, consideration and approval. All of our directors, executive officers</w:t>
      </w:r>
    </w:p>
    <w:p>
      <w:pPr>
        <w:spacing w:after="0" w:line="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and employees are required to report to our Audit Committee any such related party transaction. In approving or rejecting the</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proposed agreement, our Audit Committee will take into account, among other factors it deems appropriate, whether the transaction</w:t>
      </w:r>
    </w:p>
    <w:p>
      <w:pPr>
        <w:spacing w:after="0" w:line="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is on terms no less favorable than terms generally available to an unaffiliated third-party under the same or similar circumstances</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and the extent of the related party’s interest in the transaction. Under the policy, should discover related party transactions that have</w:t>
      </w:r>
    </w:p>
    <w:p>
      <w:pPr>
        <w:spacing w:after="0" w:line="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not been pre-approved, the Audit Committee will be notified and will determine the appropriate action, including ratification,</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rescission or amendment of the transaction. In addition, under the policy, certain types of transactions have been pre-approved by</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Audit Committee, including employment arrangements with executive officers, director compensation, transactions where all</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stockholders receive proportional benefits, transactions involving competitive bids, regulated transactions, and banking-related</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service transactions.</w:t>
      </w:r>
    </w:p>
    <w:p>
      <w:pPr>
        <w:spacing w:after="0" w:line="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Relationship to Grand Canyon University</w:t>
      </w:r>
    </w:p>
    <w:p>
      <w:pPr>
        <w:spacing w:after="0" w:line="112" w:lineRule="exact"/>
        <w:rPr>
          <w:sz w:val="20"/>
          <w:szCs w:val="20"/>
          <w:color w:val="auto"/>
        </w:rPr>
      </w:pPr>
    </w:p>
    <w:p>
      <w:pPr>
        <w:ind w:left="40" w:right="99" w:firstLine="606"/>
        <w:spacing w:after="0" w:line="250" w:lineRule="auto"/>
        <w:rPr>
          <w:sz w:val="20"/>
          <w:szCs w:val="20"/>
          <w:color w:val="auto"/>
        </w:rPr>
      </w:pPr>
      <w:r>
        <w:rPr>
          <w:rFonts w:ascii="Times New Roman" w:cs="Times New Roman" w:eastAsia="Times New Roman" w:hAnsi="Times New Roman"/>
          <w:sz w:val="17"/>
          <w:szCs w:val="17"/>
          <w:color w:val="auto"/>
        </w:rPr>
        <w:t>Mr. Brian E. Mueller has served as the Chief Executive Officer of the Company since 2008 and the Chairman of the Board since 2017 and has also served as the President of GCU since 2012. In connection with the sale of GCU to Grand Canyon University, an Arizona non-profit corporation, in 2018, the Board of Directors of the Company and the board of trustees of GCU each independently determined that Mr. Mueller should retain those roles. Accordingly, Mr. Mueller remains the Chairman of the Board and Chief Executive Officer of the Company and as the President of GCU, although he is prohibited from serving on the board of trustees of GCU. Our Board and the board of trustees of GCU each recognized that Mr. Mueller’s dual role could raise conflict of interest issues. Accordingly, at the time of the sale of GCU, GCU adopted governance provisions that prohibit Mr. Mueller from serving on the board of trustees of GCU. We also jointly imposed a structure, through GCU’s governance documents and through express provisions of our Master Services Agreement with GCU, which prevent Mr. Mueller from participating in day-to-day management of, or negotiations between the Company and GCU relating to, the Master Services Agreement. Aside from Mr. Mueller, no other employee of GCU or GCE has a dual role in both organizations. Beginning July 1, 2018, the base salary under Mr. Mueller’s employment agreement with the Company was decreased by 50% to $321,000, reflecting his dual employment by GCE and GCU.</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335915</wp:posOffset>
            </wp:positionV>
            <wp:extent cx="5664835" cy="241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64835"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62" w:name="page63"/>
    <w:bookmarkEnd w:id="6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0" w:right="59" w:firstLine="606"/>
        <w:spacing w:after="0" w:line="250" w:lineRule="auto"/>
        <w:rPr>
          <w:sz w:val="20"/>
          <w:szCs w:val="20"/>
          <w:color w:val="auto"/>
        </w:rPr>
      </w:pPr>
      <w:r>
        <w:rPr>
          <w:rFonts w:ascii="Times New Roman" w:cs="Times New Roman" w:eastAsia="Times New Roman" w:hAnsi="Times New Roman"/>
          <w:sz w:val="17"/>
          <w:szCs w:val="17"/>
          <w:color w:val="auto"/>
        </w:rPr>
        <w:t>GCU is a separate non-profit entity under the control of an independent board of trustees, none of whose members have ever served in a management or corporate board role at the Company. GCU’s board of trustees has adopted bylaws and a related conflict of interest policy that, among other things, (i) prevents any trustee of GCU from attending any meeting, or voting on any matter, as to which such trustee has a conflict of interest, (ii) establishes a special committee of independent trustees to oversee on behalf of GCU all matters related to GCU’s relationship with the Company, and (iii) prohibits any trustee from having any financial interest in, or role with, the Company. In addition, an operational structure has been put in place that prevents Mr. Mueller from participating in operational matters involving the Company and GCU. Accordingly, the Company’s relationship with GCU, both pursuant to the Master Services Agreement between the two companies and operationally, is no longer as owner and operator, but as a third-party service provider to an independent customer. While the Company believes that its relationship with GCU will remain strong, GCU’s board of trustees and management have fiduciary and other duties that require them to focus on the best interests of GCU and over time those interests could diverge from those of the Company.</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HOUSEHOLDING OF PROXY MATERIALS</w:t>
      </w:r>
    </w:p>
    <w:p>
      <w:pPr>
        <w:spacing w:after="0" w:line="112" w:lineRule="exact"/>
        <w:rPr>
          <w:sz w:val="20"/>
          <w:szCs w:val="20"/>
          <w:color w:val="auto"/>
        </w:rPr>
      </w:pPr>
    </w:p>
    <w:p>
      <w:pPr>
        <w:ind w:left="40" w:right="99" w:firstLine="606"/>
        <w:spacing w:after="0" w:line="250" w:lineRule="auto"/>
        <w:rPr>
          <w:sz w:val="20"/>
          <w:szCs w:val="20"/>
          <w:color w:val="auto"/>
        </w:rPr>
      </w:pPr>
      <w:r>
        <w:rPr>
          <w:rFonts w:ascii="Times New Roman" w:cs="Times New Roman" w:eastAsia="Times New Roman" w:hAnsi="Times New Roman"/>
          <w:sz w:val="17"/>
          <w:szCs w:val="17"/>
          <w:color w:val="auto"/>
        </w:rPr>
        <w:t>The SEC has adopted rules that permit companies and intermediaries such as brokers to satisfy delivery requirements for annual reports, proxy statements, and Notices of Internet Availability of Proxy Materials with respect to two or more stockholders sharing the same address by delivering a single annual report, proxy statement, or Notice of Internet Availability of Proxy Materials addressed to those stockholders. This process, which is commonly referred to as “householding,” potentially provides extra convenience for stockholders and cost savings for companies. Brokers with account holders who are stockholders of the Company may be householding the Company’s proxy materials. Once you have received notice from your broker that it will be householding materials to your address, householding will continue until you are notified otherwise or until you revoke your consent. If, at any time, you no longer wish to participate in householding and would prefer to receive a separate annual report, proxy statement, or Notice of Internet Availability of Proxy Materials or if you are receiving multiple copies thereof and wish to receive only one, please notify your broker or notify the Company by sending a written request to Grand Canyon Education, Inc., 2600 W. Camelback Road, Phoenix, Arizona, 85017, Attn: Investor Relations, or by calling (602) 247-4400.</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335915</wp:posOffset>
            </wp:positionV>
            <wp:extent cx="5664835" cy="241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64835" cy="24130"/>
                    </a:xfrm>
                    <a:prstGeom prst="rect">
                      <a:avLst/>
                    </a:prstGeom>
                    <a:noFill/>
                  </pic:spPr>
                </pic:pic>
              </a:graphicData>
            </a:graphic>
          </wp:anchor>
        </w:drawing>
      </w:r>
    </w:p>
    <w:p>
      <w:pPr>
        <w:sectPr>
          <w:pgSz w:w="11900" w:h="16838" w:orient="portrait"/>
          <w:cols w:equalWidth="0" w:num="1">
            <w:col w:w="9019"/>
          </w:cols>
          <w:pgMar w:left="1440" w:top="490" w:right="1440" w:bottom="1440" w:gutter="0" w:footer="0" w:header="0"/>
        </w:sectPr>
      </w:pPr>
    </w:p>
    <w:bookmarkStart w:id="63" w:name="page64"/>
    <w:bookmarkEnd w:id="6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ADDITIONAL INFORMATION</w:t>
      </w:r>
    </w:p>
    <w:p>
      <w:pPr>
        <w:spacing w:after="0" w:line="112" w:lineRule="exact"/>
        <w:rPr>
          <w:sz w:val="20"/>
          <w:szCs w:val="20"/>
          <w:color w:val="auto"/>
        </w:rPr>
      </w:pPr>
    </w:p>
    <w:p>
      <w:pPr>
        <w:ind w:left="40" w:right="139" w:firstLine="606"/>
        <w:spacing w:after="0" w:line="253" w:lineRule="auto"/>
        <w:rPr>
          <w:sz w:val="20"/>
          <w:szCs w:val="20"/>
          <w:color w:val="auto"/>
        </w:rPr>
      </w:pPr>
      <w:r>
        <w:rPr>
          <w:rFonts w:ascii="Times New Roman" w:cs="Times New Roman" w:eastAsia="Times New Roman" w:hAnsi="Times New Roman"/>
          <w:sz w:val="17"/>
          <w:szCs w:val="17"/>
          <w:color w:val="auto"/>
        </w:rPr>
        <w:t xml:space="preserve">Our 2024 annual report and our Annual Report on Form 10-K for the year ended December 31, 2024, including financial statements, are available electronically along with our Proxy Statement to all stockholders of record as of April 16, 2025, including those stockholders whose shares are held in a brokerage, bank or similar account, who will receive the same mailing from the organization holding the account. </w:t>
      </w:r>
      <w:r>
        <w:rPr>
          <w:rFonts w:ascii="Times New Roman" w:cs="Times New Roman" w:eastAsia="Times New Roman" w:hAnsi="Times New Roman"/>
          <w:sz w:val="17"/>
          <w:szCs w:val="17"/>
          <w:b w:val="1"/>
          <w:bCs w:val="1"/>
          <w:color w:val="auto"/>
        </w:rPr>
        <w:t>Stockholders who wish to obtain a copy of our Annual Report on Form 10-K, for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fiscal year ended December 31, 2024, and our Proxy Statement may do so without charge by writing to Investor Relations, Grand Canyon Education, Inc., 2600 W. Camelback Road, Phoenix, Arizona 85017.</w:t>
      </w:r>
    </w:p>
    <w:p>
      <w:pPr>
        <w:spacing w:after="0" w:line="78" w:lineRule="exact"/>
        <w:rPr>
          <w:sz w:val="20"/>
          <w:szCs w:val="20"/>
          <w:color w:val="auto"/>
        </w:rPr>
      </w:pPr>
    </w:p>
    <w:p>
      <w:pPr>
        <w:ind w:left="40" w:right="79" w:firstLine="606"/>
        <w:spacing w:after="0" w:line="257" w:lineRule="auto"/>
        <w:rPr>
          <w:sz w:val="20"/>
          <w:szCs w:val="20"/>
          <w:color w:val="auto"/>
        </w:rPr>
      </w:pPr>
      <w:r>
        <w:rPr>
          <w:rFonts w:ascii="Times New Roman" w:cs="Times New Roman" w:eastAsia="Times New Roman" w:hAnsi="Times New Roman"/>
          <w:sz w:val="17"/>
          <w:szCs w:val="17"/>
          <w:color w:val="auto"/>
        </w:rPr>
        <w:t>As of the date of this Proxy Statement, management knows of no matters that will be presented for determination at the Annual Meeting other than those referred to herein. If any other matters properly come before the Annual Meeting calling for a vote of stockholders, it is intended that the persons named in the proxies solicited by our Board of Directors, in accordance with their best judgment, will vote the shares represented by these proxies.</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By Order of the Board of Directors,</w:t>
      </w:r>
    </w:p>
    <w:p>
      <w:pPr>
        <w:spacing w:after="0" w:line="1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Brian E. Mueller</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Chief Executive Officer and Chairman</w:t>
      </w:r>
    </w:p>
    <w:p>
      <w:pPr>
        <w:spacing w:after="0" w:line="1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Dated: April 24,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335915</wp:posOffset>
            </wp:positionV>
            <wp:extent cx="5664835" cy="241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64835" cy="24130"/>
                    </a:xfrm>
                    <a:prstGeom prst="rect">
                      <a:avLst/>
                    </a:prstGeom>
                    <a:noFill/>
                  </pic:spPr>
                </pic:pic>
              </a:graphicData>
            </a:graphic>
          </wp:anchor>
        </w:drawing>
      </w:r>
    </w:p>
    <w:p>
      <w:pPr>
        <w:sectPr>
          <w:pgSz w:w="11900" w:h="16838" w:orient="portrait"/>
          <w:cols w:equalWidth="0" w:num="1">
            <w:col w:w="9019"/>
          </w:cols>
          <w:pgMar w:left="1440" w:top="490" w:right="1440" w:bottom="1440"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88900</wp:posOffset>
            </wp:positionV>
            <wp:extent cx="6884035" cy="91713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84035" cy="9171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88900</wp:posOffset>
            </wp:positionV>
            <wp:extent cx="6884035" cy="91713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84035" cy="91713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 w:name="Arial">
    <w:panose1 w:val="020B0604020202020204"/>
    <w:charset w:val="8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
      <w:numFmt w:val="bullet"/>
      <w:start w:val="1"/>
    </w:lvl>
  </w:abstractNum>
  <w:abstractNum w:abstractNumId="3">
    <w:nsid w:val="7724C67E"/>
    <w:multiLevelType w:val="hybridMultilevel"/>
    <w:lvl w:ilvl="0">
      <w:lvlJc w:val="left"/>
      <w:lvlText w:val="%1."/>
      <w:numFmt w:val="decimal"/>
      <w:start w:val="1"/>
    </w:lvl>
  </w:abstractNum>
  <w:abstractNum w:abstractNumId="4">
    <w:nsid w:val="5C482A97"/>
    <w:multiLevelType w:val="hybridMultilevel"/>
    <w:lvl w:ilvl="0">
      <w:lvlJc w:val="left"/>
      <w:lvlText w:val="2"/>
      <w:numFmt w:val="bullet"/>
      <w:start w:val="1"/>
    </w:lvl>
  </w:abstractNum>
  <w:abstractNum w:abstractNumId="5">
    <w:nsid w:val="2463B9EA"/>
    <w:multiLevelType w:val="hybridMultilevel"/>
    <w:lvl w:ilvl="0">
      <w:lvlJc w:val="left"/>
      <w:lvlText w:val="3"/>
      <w:numFmt w:val="bullet"/>
      <w:start w:val="1"/>
    </w:lvl>
  </w:abstractNum>
  <w:abstractNum w:abstractNumId="6">
    <w:nsid w:val="5E884ADC"/>
    <w:multiLevelType w:val="hybridMultilevel"/>
    <w:lvl w:ilvl="0">
      <w:lvlJc w:val="left"/>
      <w:lvlText w:val="*"/>
      <w:numFmt w:val="bullet"/>
      <w:start w:val="1"/>
    </w:lvl>
  </w:abstractNum>
  <w:abstractNum w:abstractNumId="7">
    <w:nsid w:val="51EAD36B"/>
    <w:multiLevelType w:val="hybridMultilevel"/>
    <w:lvl w:ilvl="0">
      <w:lvlJc w:val="left"/>
      <w:lvlText w:val="+"/>
      <w:numFmt w:val="bullet"/>
      <w:start w:val="1"/>
    </w:lvl>
  </w:abstractNum>
  <w:abstractNum w:abstractNumId="8">
    <w:nsid w:val="2D517796"/>
    <w:multiLevelType w:val="hybridMultilevel"/>
    <w:lvl w:ilvl="0">
      <w:lvlJc w:val="left"/>
      <w:lvlText w:val="≠"/>
      <w:numFmt w:val="bullet"/>
      <w:start w:val="1"/>
    </w:lvl>
  </w:abstractNum>
  <w:abstractNum w:abstractNumId="9">
    <w:nsid w:val="580BD78F"/>
    <w:multiLevelType w:val="hybridMultilevel"/>
    <w:lvl w:ilvl="0">
      <w:lvlJc w:val="left"/>
      <w:lvlText w:val="(%1)"/>
      <w:numFmt w:val="decimal"/>
      <w:start w:val="1"/>
    </w:lvl>
  </w:abstractNum>
  <w:abstractNum w:abstractNumId="10">
    <w:nsid w:val="153EA438"/>
    <w:multiLevelType w:val="hybridMultilevel"/>
    <w:lvl w:ilvl="0">
      <w:lvlJc w:val="left"/>
      <w:lvlText w:val="☐"/>
      <w:numFmt w:val="bullet"/>
      <w:start w:val="1"/>
    </w:lvl>
  </w:abstractNum>
  <w:abstractNum w:abstractNumId="11">
    <w:nsid w:val="3855585C"/>
    <w:multiLevelType w:val="hybridMultilevel"/>
    <w:lvl w:ilvl="0">
      <w:lvlJc w:val="left"/>
      <w:lvlText w:val="☐"/>
      <w:numFmt w:val="bullet"/>
      <w:start w:val="1"/>
    </w:lvl>
  </w:abstractNum>
  <w:abstractNum w:abstractNumId="12">
    <w:nsid w:val="70A64E2A"/>
    <w:multiLevelType w:val="hybridMultilevel"/>
    <w:lvl w:ilvl="0">
      <w:lvlJc w:val="left"/>
      <w:lvlText w:val="●"/>
      <w:numFmt w:val="bullet"/>
      <w:start w:val="1"/>
    </w:lvl>
  </w:abstractNum>
  <w:abstractNum w:abstractNumId="13">
    <w:nsid w:val="6A2342EC"/>
    <w:multiLevelType w:val="hybridMultilevel"/>
    <w:lvl w:ilvl="0">
      <w:lvlJc w:val="left"/>
      <w:lvlText w:val="●"/>
      <w:numFmt w:val="bullet"/>
      <w:start w:val="1"/>
    </w:lvl>
  </w:abstractNum>
  <w:abstractNum w:abstractNumId="14">
    <w:nsid w:val="2A487CB0"/>
    <w:multiLevelType w:val="hybridMultilevel"/>
    <w:lvl w:ilvl="0">
      <w:lvlJc w:val="left"/>
      <w:lvlText w:val="●"/>
      <w:numFmt w:val="bullet"/>
      <w:start w:val="1"/>
    </w:lvl>
  </w:abstractNum>
  <w:abstractNum w:abstractNumId="15">
    <w:nsid w:val="1D4ED43B"/>
    <w:multiLevelType w:val="hybridMultilevel"/>
    <w:lvl w:ilvl="0">
      <w:lvlJc w:val="left"/>
      <w:lvlText w:val="●"/>
      <w:numFmt w:val="bullet"/>
      <w:start w:val="1"/>
    </w:lvl>
  </w:abstractNum>
  <w:abstractNum w:abstractNumId="16">
    <w:nsid w:val="725A06FB"/>
    <w:multiLevelType w:val="hybridMultilevel"/>
    <w:lvl w:ilvl="0">
      <w:lvlJc w:val="left"/>
      <w:lvlText w:val="●"/>
      <w:numFmt w:val="bullet"/>
      <w:start w:val="1"/>
    </w:lvl>
  </w:abstractNum>
  <w:abstractNum w:abstractNumId="17">
    <w:nsid w:val="2CD89A32"/>
    <w:multiLevelType w:val="hybridMultilevel"/>
    <w:lvl w:ilvl="0">
      <w:lvlJc w:val="left"/>
      <w:lvlText w:val="●"/>
      <w:numFmt w:val="bullet"/>
      <w:start w:val="1"/>
    </w:lvl>
  </w:abstractNum>
  <w:abstractNum w:abstractNumId="18">
    <w:nsid w:val="57E4CCAF"/>
    <w:multiLevelType w:val="hybridMultilevel"/>
    <w:lvl w:ilvl="0">
      <w:lvlJc w:val="left"/>
      <w:lvlText w:val="☐"/>
      <w:numFmt w:val="bullet"/>
      <w:start w:val="1"/>
    </w:lvl>
  </w:abstractNum>
  <w:abstractNum w:abstractNumId="19">
    <w:nsid w:val="7A6D8D3C"/>
    <w:multiLevelType w:val="hybridMultilevel"/>
    <w:lvl w:ilvl="0">
      <w:lvlJc w:val="left"/>
      <w:lvlText w:val="☐"/>
      <w:numFmt w:val="bullet"/>
      <w:start w:val="1"/>
    </w:lvl>
  </w:abstractNum>
  <w:abstractNum w:abstractNumId="20">
    <w:nsid w:val="4B588F54"/>
    <w:multiLevelType w:val="hybridMultilevel"/>
    <w:lvl w:ilvl="0">
      <w:lvlJc w:val="left"/>
      <w:lvlText w:val="☐"/>
      <w:numFmt w:val="bullet"/>
      <w:start w:val="1"/>
    </w:lvl>
  </w:abstractNum>
  <w:abstractNum w:abstractNumId="21">
    <w:nsid w:val="542289EC"/>
    <w:multiLevelType w:val="hybridMultilevel"/>
    <w:lvl w:ilvl="0">
      <w:lvlJc w:val="left"/>
      <w:lvlText w:val="☐"/>
      <w:numFmt w:val="bullet"/>
      <w:start w:val="1"/>
    </w:lvl>
  </w:abstractNum>
  <w:abstractNum w:abstractNumId="22">
    <w:nsid w:val="6DE91B18"/>
    <w:multiLevelType w:val="hybridMultilevel"/>
    <w:lvl w:ilvl="0">
      <w:lvlJc w:val="left"/>
      <w:lvlText w:val="●"/>
      <w:numFmt w:val="bullet"/>
      <w:start w:val="1"/>
    </w:lvl>
  </w:abstractNum>
  <w:abstractNum w:abstractNumId="23">
    <w:nsid w:val="38437FDB"/>
    <w:multiLevelType w:val="hybridMultilevel"/>
    <w:lvl w:ilvl="0">
      <w:lvlJc w:val="left"/>
      <w:lvlText w:val="●"/>
      <w:numFmt w:val="bullet"/>
      <w:start w:val="1"/>
    </w:lvl>
  </w:abstractNum>
  <w:abstractNum w:abstractNumId="24">
    <w:nsid w:val="7644A45C"/>
    <w:multiLevelType w:val="hybridMultilevel"/>
    <w:lvl w:ilvl="0">
      <w:lvlJc w:val="left"/>
      <w:lvlText w:val="●"/>
      <w:numFmt w:val="bullet"/>
      <w:start w:val="1"/>
    </w:lvl>
  </w:abstractNum>
  <w:abstractNum w:abstractNumId="25">
    <w:nsid w:val="32FFF902"/>
    <w:multiLevelType w:val="hybridMultilevel"/>
    <w:lvl w:ilvl="0">
      <w:lvlJc w:val="left"/>
      <w:lvlText w:val="●"/>
      <w:numFmt w:val="bullet"/>
      <w:start w:val="1"/>
    </w:lvl>
  </w:abstractNum>
  <w:abstractNum w:abstractNumId="26">
    <w:nsid w:val="684A481A"/>
    <w:multiLevelType w:val="hybridMultilevel"/>
    <w:lvl w:ilvl="0">
      <w:lvlJc w:val="left"/>
      <w:lvlText w:val="●"/>
      <w:numFmt w:val="bullet"/>
      <w:start w:val="1"/>
    </w:lvl>
  </w:abstractNum>
  <w:abstractNum w:abstractNumId="27">
    <w:nsid w:val="579478FE"/>
    <w:multiLevelType w:val="hybridMultilevel"/>
    <w:lvl w:ilvl="0">
      <w:lvlJc w:val="left"/>
      <w:lvlText w:val="●"/>
      <w:numFmt w:val="bullet"/>
      <w:start w:val="1"/>
    </w:lvl>
  </w:abstractNum>
  <w:abstractNum w:abstractNumId="28">
    <w:nsid w:val="749ABB43"/>
    <w:multiLevelType w:val="hybridMultilevel"/>
    <w:lvl w:ilvl="0">
      <w:lvlJc w:val="left"/>
      <w:lvlText w:val="(%1)"/>
      <w:numFmt w:val="decimal"/>
      <w:start w:val="3"/>
    </w:lvl>
  </w:abstractNum>
  <w:abstractNum w:abstractNumId="29">
    <w:nsid w:val="3DC240FB"/>
    <w:multiLevelType w:val="hybridMultilevel"/>
    <w:lvl w:ilvl="0">
      <w:lvlJc w:val="left"/>
      <w:lvlText w:val="●"/>
      <w:numFmt w:val="bullet"/>
      <w:start w:val="1"/>
    </w:lvl>
  </w:abstractNum>
  <w:abstractNum w:abstractNumId="30">
    <w:nsid w:val="1BA026FA"/>
    <w:multiLevelType w:val="hybridMultilevel"/>
    <w:lvl w:ilvl="0">
      <w:lvlJc w:val="left"/>
      <w:lvlText w:val="(%1)"/>
      <w:numFmt w:val="decimal"/>
      <w:start w:val="1"/>
    </w:lvl>
  </w:abstractNum>
  <w:abstractNum w:abstractNumId="31">
    <w:nsid w:val="79A1DEAA"/>
    <w:multiLevelType w:val="hybridMultilevel"/>
    <w:lvl w:ilvl="0">
      <w:lvlJc w:val="left"/>
      <w:lvlText w:val=" "/>
      <w:numFmt w:val="bullet"/>
      <w:start w:val="1"/>
    </w:lvl>
    <w:lvl w:ilvl="1">
      <w:lvlJc w:val="left"/>
      <w:lvlText w:val=" "/>
      <w:numFmt w:val="bullet"/>
      <w:start w:val="1"/>
    </w:lvl>
  </w:abstractNum>
  <w:abstractNum w:abstractNumId="32">
    <w:nsid w:val="75C6C33A"/>
    <w:multiLevelType w:val="hybridMultilevel"/>
    <w:lvl w:ilvl="0">
      <w:lvlJc w:val="left"/>
      <w:lvlText w:val="☐"/>
      <w:numFmt w:val="bullet"/>
      <w:start w:val="1"/>
    </w:lvl>
  </w:abstractNum>
  <w:abstractNum w:abstractNumId="33">
    <w:nsid w:val="12E685FB"/>
    <w:multiLevelType w:val="hybridMultilevel"/>
    <w:lvl w:ilvl="0">
      <w:lvlJc w:val="left"/>
      <w:lvlText w:val="☐"/>
      <w:numFmt w:val="bullet"/>
      <w:start w:val="1"/>
    </w:lvl>
  </w:abstractNum>
  <w:abstractNum w:abstractNumId="34">
    <w:nsid w:val="70C6A529"/>
    <w:multiLevelType w:val="hybridMultilevel"/>
    <w:lvl w:ilvl="0">
      <w:lvlJc w:val="left"/>
      <w:lvlText w:val="☐"/>
      <w:numFmt w:val="bullet"/>
      <w:start w:val="1"/>
    </w:lvl>
  </w:abstractNum>
  <w:abstractNum w:abstractNumId="35">
    <w:nsid w:val="520EEDD1"/>
    <w:multiLevelType w:val="hybridMultilevel"/>
    <w:lvl w:ilvl="0">
      <w:lvlJc w:val="left"/>
      <w:lvlText w:val="☐"/>
      <w:numFmt w:val="bullet"/>
      <w:start w:val="1"/>
    </w:lvl>
  </w:abstractNum>
  <w:abstractNum w:abstractNumId="36">
    <w:nsid w:val="374A3FE6"/>
    <w:multiLevelType w:val="hybridMultilevel"/>
    <w:lvl w:ilvl="0">
      <w:lvlJc w:val="left"/>
      <w:lvlText w:val="●"/>
      <w:numFmt w:val="bullet"/>
      <w:start w:val="1"/>
    </w:lvl>
  </w:abstractNum>
  <w:abstractNum w:abstractNumId="37">
    <w:nsid w:val="4F4EF005"/>
    <w:multiLevelType w:val="hybridMultilevel"/>
    <w:lvl w:ilvl="0">
      <w:lvlJc w:val="left"/>
      <w:lvlText w:val="●"/>
      <w:numFmt w:val="bullet"/>
      <w:start w:val="1"/>
    </w:lvl>
  </w:abstractNum>
  <w:abstractNum w:abstractNumId="38">
    <w:nsid w:val="23F9C13C"/>
    <w:multiLevelType w:val="hybridMultilevel"/>
    <w:lvl w:ilvl="0">
      <w:lvlJc w:val="left"/>
      <w:lvlText w:val="●"/>
      <w:numFmt w:val="bullet"/>
      <w:start w:val="1"/>
    </w:lvl>
  </w:abstractNum>
  <w:abstractNum w:abstractNumId="39">
    <w:nsid w:val="649BB77C"/>
    <w:multiLevelType w:val="hybridMultilevel"/>
    <w:lvl w:ilvl="0">
      <w:lvlJc w:val="left"/>
      <w:lvlText w:val="●"/>
      <w:numFmt w:val="bullet"/>
      <w:start w:val="1"/>
    </w:lvl>
  </w:abstractNum>
  <w:abstractNum w:abstractNumId="40">
    <w:nsid w:val="275AC794"/>
    <w:multiLevelType w:val="hybridMultilevel"/>
    <w:lvl w:ilvl="0">
      <w:lvlJc w:val="left"/>
      <w:lvlText w:val="●"/>
      <w:numFmt w:val="bullet"/>
      <w:start w:val="1"/>
    </w:lvl>
  </w:abstractNum>
  <w:abstractNum w:abstractNumId="41">
    <w:nsid w:val="39386575"/>
    <w:multiLevelType w:val="hybridMultilevel"/>
    <w:lvl w:ilvl="0">
      <w:lvlJc w:val="left"/>
      <w:lvlText w:val="●"/>
      <w:numFmt w:val="bullet"/>
      <w:start w:val="1"/>
    </w:lvl>
  </w:abstractNum>
  <w:abstractNum w:abstractNumId="42">
    <w:nsid w:val="1CF10FD8"/>
    <w:multiLevelType w:val="hybridMultilevel"/>
    <w:lvl w:ilvl="0">
      <w:lvlJc w:val="left"/>
      <w:lvlText w:val="●"/>
      <w:numFmt w:val="bullet"/>
      <w:start w:val="1"/>
    </w:lvl>
  </w:abstractNum>
  <w:abstractNum w:abstractNumId="43">
    <w:nsid w:val="180115BE"/>
    <w:multiLevelType w:val="hybridMultilevel"/>
    <w:lvl w:ilvl="0">
      <w:lvlJc w:val="left"/>
      <w:lvlText w:val="●"/>
      <w:numFmt w:val="bullet"/>
      <w:start w:val="1"/>
    </w:lvl>
  </w:abstractNum>
  <w:abstractNum w:abstractNumId="44">
    <w:nsid w:val="235BA861"/>
    <w:multiLevelType w:val="hybridMultilevel"/>
    <w:lvl w:ilvl="0">
      <w:lvlJc w:val="left"/>
      <w:lvlText w:val="●"/>
      <w:numFmt w:val="bullet"/>
      <w:start w:val="1"/>
    </w:lvl>
  </w:abstractNum>
  <w:abstractNum w:abstractNumId="45">
    <w:nsid w:val="47398C89"/>
    <w:multiLevelType w:val="hybridMultilevel"/>
    <w:lvl w:ilvl="0">
      <w:lvlJc w:val="left"/>
      <w:lvlText w:val="●"/>
      <w:numFmt w:val="bullet"/>
      <w:start w:val="1"/>
    </w:lvl>
  </w:abstractNum>
  <w:abstractNum w:abstractNumId="46">
    <w:nsid w:val="354FE9F9"/>
    <w:multiLevelType w:val="hybridMultilevel"/>
    <w:lvl w:ilvl="0">
      <w:lvlJc w:val="left"/>
      <w:lvlText w:val="●"/>
      <w:numFmt w:val="bullet"/>
      <w:start w:val="1"/>
    </w:lvl>
  </w:abstractNum>
  <w:abstractNum w:abstractNumId="47">
    <w:nsid w:val="15B5AF5C"/>
    <w:multiLevelType w:val="hybridMultilevel"/>
    <w:lvl w:ilvl="0">
      <w:lvlJc w:val="left"/>
      <w:lvlText w:val="●"/>
      <w:numFmt w:val="bullet"/>
      <w:start w:val="1"/>
    </w:lvl>
  </w:abstractNum>
  <w:abstractNum w:abstractNumId="48">
    <w:nsid w:val="741226BB"/>
    <w:multiLevelType w:val="hybridMultilevel"/>
    <w:lvl w:ilvl="0">
      <w:lvlJc w:val="left"/>
      <w:lvlText w:val="●"/>
      <w:numFmt w:val="bullet"/>
      <w:start w:val="1"/>
    </w:lvl>
  </w:abstractNum>
  <w:abstractNum w:abstractNumId="49">
    <w:nsid w:val="D34B6A8"/>
    <w:multiLevelType w:val="hybridMultilevel"/>
    <w:lvl w:ilvl="0">
      <w:lvlJc w:val="left"/>
      <w:lvlText w:val="(%1)"/>
      <w:numFmt w:val="decimal"/>
      <w:start w:val="1"/>
    </w:lvl>
  </w:abstractNum>
  <w:abstractNum w:abstractNumId="50">
    <w:nsid w:val="10233C99"/>
    <w:multiLevelType w:val="hybridMultilevel"/>
    <w:lvl w:ilvl="0">
      <w:lvlJc w:val="left"/>
      <w:lvlText w:val="(%1)"/>
      <w:numFmt w:val="decimal"/>
      <w:start w:val="1"/>
    </w:lvl>
  </w:abstractNum>
  <w:abstractNum w:abstractNumId="51">
    <w:nsid w:val="3F6AB60F"/>
    <w:multiLevelType w:val="hybridMultilevel"/>
    <w:lvl w:ilvl="0">
      <w:lvlJc w:val="left"/>
      <w:lvlText w:val="(%1)"/>
      <w:numFmt w:val="decimal"/>
      <w:start w:val="1"/>
    </w:lvl>
  </w:abstractNum>
  <w:abstractNum w:abstractNumId="52">
    <w:nsid w:val="61574095"/>
    <w:multiLevelType w:val="hybridMultilevel"/>
    <w:lvl w:ilvl="0">
      <w:lvlJc w:val="left"/>
      <w:lvlText w:val="(%1)"/>
      <w:numFmt w:val="decimal"/>
      <w:start w:val="2"/>
    </w:lvl>
  </w:abstractNum>
  <w:abstractNum w:abstractNumId="53">
    <w:nsid w:val="7E0C57B1"/>
    <w:multiLevelType w:val="hybridMultilevel"/>
    <w:lvl w:ilvl="0">
      <w:lvlJc w:val="left"/>
      <w:lvlText w:val="(%1)"/>
      <w:numFmt w:val="decimal"/>
      <w:start w:val="1"/>
    </w:lvl>
  </w:abstractNum>
  <w:abstractNum w:abstractNumId="54">
    <w:nsid w:val="77AE35EB"/>
    <w:multiLevelType w:val="hybridMultilevel"/>
    <w:lvl w:ilvl="0">
      <w:lvlJc w:val="left"/>
      <w:lvlText w:val="●"/>
      <w:numFmt w:val="bullet"/>
      <w:start w:val="1"/>
    </w:lvl>
  </w:abstractNum>
  <w:abstractNum w:abstractNumId="55">
    <w:nsid w:val="579BE4F1"/>
    <w:multiLevelType w:val="hybridMultilevel"/>
    <w:lvl w:ilvl="0">
      <w:lvlJc w:val="left"/>
      <w:lvlText w:val="●"/>
      <w:numFmt w:val="bullet"/>
      <w:start w:val="1"/>
    </w:lvl>
  </w:abstractNum>
  <w:abstractNum w:abstractNumId="56">
    <w:nsid w:val="310C50B3"/>
    <w:multiLevelType w:val="hybridMultilevel"/>
    <w:lvl w:ilvl="0">
      <w:lvlJc w:val="left"/>
      <w:lvlText w:val="●"/>
      <w:numFmt w:val="bullet"/>
      <w:start w:val="1"/>
    </w:lvl>
  </w:abstractNum>
  <w:abstractNum w:abstractNumId="57">
    <w:nsid w:val="5FF87E05"/>
    <w:multiLevelType w:val="hybridMultilevel"/>
    <w:lvl w:ilvl="0">
      <w:lvlJc w:val="left"/>
      <w:lvlText w:val="●"/>
      <w:numFmt w:val="bullet"/>
      <w:start w:val="1"/>
    </w:lvl>
  </w:abstractNum>
  <w:abstractNum w:abstractNumId="58">
    <w:nsid w:val="2F305DEF"/>
    <w:multiLevelType w:val="hybridMultilevel"/>
    <w:lvl w:ilvl="0">
      <w:lvlJc w:val="left"/>
      <w:lvlText w:val="●"/>
      <w:numFmt w:val="bullet"/>
      <w:start w:val="1"/>
    </w:lvl>
  </w:abstractNum>
  <w:abstractNum w:abstractNumId="59">
    <w:nsid w:val="25A70BF7"/>
    <w:multiLevelType w:val="hybridMultilevel"/>
    <w:lvl w:ilvl="0">
      <w:lvlJc w:val="left"/>
      <w:lvlText w:val="(%1)"/>
      <w:numFmt w:val="decimal"/>
      <w:start w:val="1"/>
    </w:lvl>
  </w:abstractNum>
  <w:abstractNum w:abstractNumId="60">
    <w:nsid w:val="1DBABF00"/>
    <w:multiLevelType w:val="hybridMultilevel"/>
    <w:lvl w:ilvl="0">
      <w:lvlJc w:val="left"/>
      <w:lvlText w:val="(%1)"/>
      <w:numFmt w:val="decimal"/>
      <w:start w:val="1"/>
    </w:lvl>
  </w:abstractNum>
  <w:abstractNum w:abstractNumId="61">
    <w:nsid w:val="4AD084E9"/>
    <w:multiLevelType w:val="hybridMultilevel"/>
    <w:lvl w:ilvl="0">
      <w:lvlJc w:val="left"/>
      <w:lvlText w:val="(%1)"/>
      <w:numFmt w:val="decimal"/>
      <w:start w:val="1"/>
    </w:lvl>
  </w:abstractNum>
  <w:abstractNum w:abstractNumId="62">
    <w:nsid w:val="1F48EAA1"/>
    <w:multiLevelType w:val="hybridMultilevel"/>
    <w:lvl w:ilvl="0">
      <w:lvlJc w:val="left"/>
      <w:lvlText w:val="(%1)"/>
      <w:numFmt w:val="decimal"/>
      <w:start w:val="1"/>
    </w:lvl>
  </w:abstractNum>
  <w:abstractNum w:abstractNumId="63">
    <w:nsid w:val="1381823A"/>
    <w:multiLevelType w:val="hybridMultilevel"/>
    <w:lvl w:ilvl="0">
      <w:lvlJc w:val="left"/>
      <w:lvlText w:val="●"/>
      <w:numFmt w:val="bullet"/>
      <w:start w:val="1"/>
    </w:lvl>
  </w:abstractNum>
  <w:abstractNum w:abstractNumId="64">
    <w:nsid w:val="5DB70AE5"/>
    <w:multiLevelType w:val="hybridMultilevel"/>
    <w:lvl w:ilvl="0">
      <w:lvlJc w:val="left"/>
      <w:lvlText w:val="(%1)"/>
      <w:numFmt w:val="decimal"/>
      <w:start w:val="1"/>
    </w:lvl>
  </w:abstractNum>
  <w:abstractNum w:abstractNumId="65">
    <w:nsid w:val="100F8FCA"/>
    <w:multiLevelType w:val="hybridMultilevel"/>
    <w:lvl w:ilvl="0">
      <w:lvlJc w:val="left"/>
      <w:lvlText w:val="●"/>
      <w:numFmt w:val="bullet"/>
      <w:start w:val="1"/>
    </w:lvl>
  </w:abstractNum>
  <w:abstractNum w:abstractNumId="66">
    <w:nsid w:val="6590700B"/>
    <w:multiLevelType w:val="hybridMultilevel"/>
    <w:lvl w:ilvl="0">
      <w:lvlJc w:val="left"/>
      <w:lvlText w:val="●"/>
      <w:numFmt w:val="bullet"/>
      <w:start w:val="1"/>
    </w:lvl>
  </w:abstractNum>
  <w:abstractNum w:abstractNumId="67">
    <w:nsid w:val="15014ACB"/>
    <w:multiLevelType w:val="hybridMultilevel"/>
    <w:lvl w:ilvl="0">
      <w:lvlJc w:val="left"/>
      <w:lvlText w:val="●"/>
      <w:numFmt w:val="bullet"/>
      <w:start w:val="1"/>
    </w:lvl>
  </w:abstractNum>
  <w:abstractNum w:abstractNumId="68">
    <w:nsid w:val="5F5E7FD0"/>
    <w:multiLevelType w:val="hybridMultilevel"/>
    <w:lvl w:ilvl="0">
      <w:lvlJc w:val="left"/>
      <w:lvlText w:val="*"/>
      <w:numFmt w:val="bullet"/>
      <w:start w:val="1"/>
    </w:lvl>
  </w:abstractNum>
  <w:abstractNum w:abstractNumId="69">
    <w:nsid w:val="98A3148"/>
    <w:multiLevelType w:val="hybridMultilevel"/>
    <w:lvl w:ilvl="0">
      <w:lvlJc w:val="left"/>
      <w:lvlText w:val="(%1)"/>
      <w:numFmt w:val="decimal"/>
      <w:start w:val="1"/>
    </w:lvl>
  </w:abstractNum>
  <w:abstractNum w:abstractNumId="70">
    <w:nsid w:val="799D0247"/>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2025-04-24T08:20:19Z</dcterms:created>
  <dcterms:modified xsi:type="dcterms:W3CDTF">2025-04-24T08:20:19Z</dcterms:modified>
</cp:coreProperties>
</file>