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184785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203835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1" w:lineRule="exact"/>
        <w:rPr>
          <w:sz w:val="20"/>
          <w:szCs w:val="20"/>
          <w:color w:val="auto"/>
        </w:rPr>
      </w:pPr>
    </w:p>
    <w:p>
      <w:pPr>
        <w:jc w:val="right"/>
        <w:ind w:right="513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85" w:lineRule="exact"/>
        <w:rPr>
          <w:sz w:val="20"/>
          <w:szCs w:val="20"/>
          <w:color w:val="auto"/>
        </w:rPr>
      </w:pPr>
    </w:p>
    <w:p>
      <w:pPr>
        <w:jc w:val="right"/>
        <w:ind w:right="51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197485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184785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292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ind w:left="340" w:right="9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Large accelerated filer</w:t>
      </w:r>
    </w:p>
    <w:p>
      <w:pPr>
        <w:spacing w:after="0" w:line="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1960" w:space="320"/>
            <w:col w:w="1400" w:space="320"/>
            <w:col w:w="3360" w:space="200"/>
            <w:col w:w="2659"/>
          </w:cols>
          <w:pgMar w:left="240" w:top="122" w:right="1440" w:bottom="1440" w:gutter="0" w:footer="0" w:header="0"/>
          <w:type w:val="continuous"/>
        </w:sectPr>
      </w:pPr>
    </w:p>
    <w:p>
      <w:pPr>
        <w:ind w:left="340" w:right="133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number of shares of common stock outstanding as of April 30, 2010, was 45,702,415.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160655</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68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360" w:type="dxa"/>
            <w:vAlign w:val="bottom"/>
            <w:gridSpan w:val="2"/>
          </w:tcPr>
          <w:p>
            <w:pPr>
              <w:jc w:val="right"/>
              <w:ind w:right="196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8680" w:type="dxa"/>
            <w:vAlign w:val="bottom"/>
            <w:gridSpan w:val="17"/>
            <w:vMerge w:val="continue"/>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2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480" w:type="dxa"/>
            <w:vAlign w:val="bottom"/>
            <w:gridSpan w:val="4"/>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Item 4 Controls and Procedures</w:t>
              </w:r>
            </w:hyperlink>
          </w:p>
        </w:tc>
        <w:tc>
          <w:tcPr>
            <w:tcW w:w="6440" w:type="dxa"/>
            <w:vAlign w:val="bottom"/>
            <w:gridSpan w:val="7"/>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Item 1 Legal Proceedings</w:t>
              </w:r>
            </w:hyperlink>
          </w:p>
        </w:tc>
        <w:tc>
          <w:tcPr>
            <w:tcW w:w="1100" w:type="dxa"/>
            <w:vAlign w:val="bottom"/>
            <w:tcBorders>
              <w:top w:val="single" w:sz="8" w:color="0000EE"/>
            </w:tcBorders>
            <w:gridSpan w:val="4"/>
          </w:tcPr>
          <w:p>
            <w:pPr>
              <w:spacing w:after="0"/>
              <w:rPr>
                <w:sz w:val="24"/>
                <w:szCs w:val="24"/>
                <w:color w:val="auto"/>
              </w:rPr>
            </w:pPr>
          </w:p>
        </w:tc>
        <w:tc>
          <w:tcPr>
            <w:tcW w:w="5780" w:type="dxa"/>
            <w:vAlign w:val="bottom"/>
            <w:gridSpan w:val="5"/>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Item 1A Risk Factors</w:t>
              </w:r>
            </w:hyperlink>
          </w:p>
        </w:tc>
        <w:tc>
          <w:tcPr>
            <w:tcW w:w="7180" w:type="dxa"/>
            <w:vAlign w:val="bottom"/>
            <w:gridSpan w:val="11"/>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2 Unregistered Sales of Equity Securities and Use of Proceeds</w:t>
              </w:r>
            </w:hyperlink>
          </w:p>
        </w:tc>
        <w:tc>
          <w:tcPr>
            <w:tcW w:w="3860" w:type="dxa"/>
            <w:vAlign w:val="bottom"/>
            <w:gridSpan w:val="3"/>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Defaults Upon Senior Securities</w:t>
              </w:r>
            </w:hyperlink>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4"/>
              </w:rPr>
            </w:pPr>
            <w:hyperlink w:anchor="page30">
              <w:r>
                <w:rPr>
                  <w:rFonts w:ascii="Arial" w:cs="Arial" w:eastAsia="Arial" w:hAnsi="Arial"/>
                  <w:sz w:val="18"/>
                  <w:szCs w:val="18"/>
                  <w:color w:val="0000EE"/>
                  <w:w w:val="84"/>
                </w:rPr>
                <w:t>Item 4 Reserved</w:t>
              </w:r>
            </w:hyperlink>
          </w:p>
        </w:tc>
        <w:tc>
          <w:tcPr>
            <w:tcW w:w="1640" w:type="dxa"/>
            <w:vAlign w:val="bottom"/>
            <w:tcBorders>
              <w:top w:val="single" w:sz="8" w:color="0000EE"/>
            </w:tcBorders>
            <w:gridSpan w:val="6"/>
          </w:tcPr>
          <w:p>
            <w:pPr>
              <w:spacing w:after="0"/>
              <w:rPr>
                <w:sz w:val="24"/>
                <w:szCs w:val="24"/>
                <w:color w:val="auto"/>
              </w:rPr>
            </w:pPr>
          </w:p>
        </w:tc>
        <w:tc>
          <w:tcPr>
            <w:tcW w:w="5900" w:type="dxa"/>
            <w:vAlign w:val="bottom"/>
            <w:gridSpan w:val="6"/>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5 Other Information</w:t>
              </w:r>
            </w:hyperlink>
          </w:p>
        </w:tc>
        <w:tc>
          <w:tcPr>
            <w:tcW w:w="6900" w:type="dxa"/>
            <w:vAlign w:val="bottom"/>
            <w:gridSpan w:val="10"/>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6 Exhibits</w:t>
              </w:r>
            </w:hyperlink>
          </w:p>
        </w:tc>
        <w:tc>
          <w:tcPr>
            <w:tcW w:w="7600" w:type="dxa"/>
            <w:vAlign w:val="bottom"/>
            <w:gridSpan w:val="13"/>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SIGNATURES</w:t>
              </w:r>
            </w:hyperlink>
          </w:p>
        </w:tc>
        <w:tc>
          <w:tcPr>
            <w:tcW w:w="7620" w:type="dxa"/>
            <w:vAlign w:val="bottom"/>
            <w:gridSpan w:val="14"/>
          </w:tcPr>
          <w:p>
            <w:pPr>
              <w:spacing w:after="0"/>
              <w:rPr>
                <w:sz w:val="24"/>
                <w:szCs w:val="24"/>
                <w:color w:val="auto"/>
              </w:rPr>
            </w:pPr>
          </w:p>
        </w:tc>
        <w:tc>
          <w:tcPr>
            <w:tcW w:w="2360" w:type="dxa"/>
            <w:vAlign w:val="bottom"/>
            <w:gridSpan w:val="2"/>
          </w:tcPr>
          <w:p>
            <w:pPr>
              <w:jc w:val="right"/>
              <w:ind w:right="19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 31.1</w:t>
            </w:r>
          </w:p>
        </w:tc>
        <w:tc>
          <w:tcPr>
            <w:tcW w:w="780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31.2</w:t>
            </w:r>
          </w:p>
        </w:tc>
        <w:tc>
          <w:tcPr>
            <w:tcW w:w="780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32.1</w:t>
            </w:r>
          </w:p>
        </w:tc>
        <w:tc>
          <w:tcPr>
            <w:tcW w:w="780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680" w:type="dxa"/>
            <w:vAlign w:val="bottom"/>
            <w:gridSpan w:val="17"/>
          </w:tcPr>
          <w:p>
            <w:pPr>
              <w:spacing w:after="0" w:line="196" w:lineRule="exact"/>
              <w:rPr>
                <w:sz w:val="20"/>
                <w:szCs w:val="20"/>
                <w:color w:val="auto"/>
              </w:rPr>
            </w:pPr>
            <w:r>
              <w:rPr>
                <w:rFonts w:ascii="Arial" w:cs="Arial" w:eastAsia="Arial" w:hAnsi="Arial"/>
                <w:sz w:val="18"/>
                <w:szCs w:val="18"/>
                <w:color w:val="0000EE"/>
              </w:rPr>
              <w:t>Exhibit 32.2</w:t>
            </w: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960" w:type="dxa"/>
            <w:vAlign w:val="bottom"/>
            <w:gridSpan w:val="13"/>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89"/>
              </w:rPr>
              <w:t>Income Statements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2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Selling and promotional, including $2,347 and $1,516 to related parties for March 31,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2010 and 2009, respectively</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26,876</w:t>
            </w: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Exit costs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69,729</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19,597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19,314</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b w:val="1"/>
                <w:bCs w:val="1"/>
                <w:color w:val="auto"/>
              </w:rPr>
              <w:t>Basic income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Diluted income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Basic 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45,674</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Diluted weighted average shares outstanding</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46,325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640" w:type="dxa"/>
            <w:vAlign w:val="bottom"/>
          </w:tcPr>
          <w:p>
            <w:pPr>
              <w:jc w:val="center"/>
              <w:ind w:left="1550"/>
              <w:spacing w:after="0"/>
              <w:rPr>
                <w:sz w:val="20"/>
                <w:szCs w:val="20"/>
                <w:color w:val="auto"/>
              </w:rPr>
            </w:pPr>
            <w:r>
              <w:rPr>
                <w:rFonts w:ascii="Arial" w:cs="Arial" w:eastAsia="Arial" w:hAnsi="Arial"/>
                <w:sz w:val="18"/>
                <w:szCs w:val="18"/>
                <w:b w:val="1"/>
                <w:bCs w:val="1"/>
                <w:color w:val="auto"/>
              </w:rPr>
              <w:t>GRAND CANYON EDUCATION, INC.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tcPr>
          <w:p>
            <w:pPr>
              <w:jc w:val="center"/>
              <w:ind w:left="1550"/>
              <w:spacing w:after="0"/>
              <w:rPr>
                <w:sz w:val="20"/>
                <w:szCs w:val="20"/>
                <w:color w:val="auto"/>
              </w:rPr>
            </w:pPr>
            <w:r>
              <w:rPr>
                <w:rFonts w:ascii="Arial" w:cs="Arial" w:eastAsia="Arial" w:hAnsi="Arial"/>
                <w:sz w:val="18"/>
                <w:szCs w:val="18"/>
                <w:b w:val="1"/>
                <w:bCs w:val="1"/>
                <w:color w:val="auto"/>
                <w:w w:val="87"/>
              </w:rPr>
              <w:t>Balance Sheets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40" w:type="dxa"/>
            <w:vAlign w:val="bottom"/>
          </w:tcPr>
          <w:p>
            <w:pPr>
              <w:spacing w:after="0"/>
              <w:rPr>
                <w:sz w:val="20"/>
                <w:szCs w:val="20"/>
                <w:color w:val="auto"/>
              </w:rPr>
            </w:pPr>
          </w:p>
        </w:tc>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40" w:type="dxa"/>
            <w:vAlign w:val="bottom"/>
            <w:shd w:val="clear" w:color="auto" w:fill="CCEEFF"/>
          </w:tcPr>
          <w:p>
            <w:pPr>
              <w:jc w:val="center"/>
              <w:ind w:right="950"/>
              <w:spacing w:after="0"/>
              <w:rPr>
                <w:sz w:val="20"/>
                <w:szCs w:val="20"/>
                <w:color w:val="auto"/>
              </w:rPr>
            </w:pPr>
            <w:r>
              <w:rPr>
                <w:rFonts w:ascii="Arial" w:cs="Arial" w:eastAsia="Arial" w:hAnsi="Arial"/>
                <w:sz w:val="18"/>
                <w:szCs w:val="18"/>
                <w:b w:val="1"/>
                <w:bCs w:val="1"/>
                <w:color w:val="auto"/>
                <w:w w:val="92"/>
              </w:rPr>
              <w:t>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97,883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62,571</w:t>
            </w:r>
          </w:p>
        </w:tc>
      </w:tr>
      <w:tr>
        <w:trPr>
          <w:trHeight w:val="202"/>
        </w:trPr>
        <w:tc>
          <w:tcPr>
            <w:tcW w:w="340" w:type="dxa"/>
            <w:vAlign w:val="bottom"/>
          </w:tcPr>
          <w:p>
            <w:pPr>
              <w:spacing w:after="0"/>
              <w:rPr>
                <w:sz w:val="17"/>
                <w:szCs w:val="17"/>
                <w:color w:val="auto"/>
              </w:rPr>
            </w:pPr>
          </w:p>
        </w:tc>
        <w:tc>
          <w:tcPr>
            <w:tcW w:w="66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Restricted cash, cash equivalents and investments (of which $170 is unrestricted at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tcPr>
          <w:p>
            <w:pPr>
              <w:ind w:left="400"/>
              <w:spacing w:after="0"/>
              <w:rPr>
                <w:sz w:val="20"/>
                <w:szCs w:val="20"/>
                <w:color w:val="auto"/>
              </w:rPr>
            </w:pPr>
            <w:r>
              <w:rPr>
                <w:rFonts w:ascii="Arial" w:cs="Arial" w:eastAsia="Arial" w:hAnsi="Arial"/>
                <w:sz w:val="18"/>
                <w:szCs w:val="18"/>
                <w:color w:val="auto"/>
              </w:rPr>
              <w:t>December 31, 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3,403</w:t>
            </w:r>
          </w:p>
        </w:tc>
      </w:tr>
      <w:tr>
        <w:trPr>
          <w:trHeight w:val="202"/>
        </w:trPr>
        <w:tc>
          <w:tcPr>
            <w:tcW w:w="340" w:type="dxa"/>
            <w:vAlign w:val="bottom"/>
          </w:tcPr>
          <w:p>
            <w:pPr>
              <w:spacing w:after="0"/>
              <w:rPr>
                <w:sz w:val="17"/>
                <w:szCs w:val="17"/>
                <w:color w:val="auto"/>
              </w:rPr>
            </w:pPr>
          </w:p>
        </w:tc>
        <w:tc>
          <w:tcPr>
            <w:tcW w:w="66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$7,848 and $7,553 at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March 31, 2010 and December 31, 2009,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13,890</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13,802</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7,146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r>
      <w:tr>
        <w:trPr>
          <w:trHeight w:val="223"/>
        </w:trPr>
        <w:tc>
          <w:tcPr>
            <w:tcW w:w="34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129,391</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90,246</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75,127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67,370</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7,311</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2,941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221,969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40" w:type="dxa"/>
            <w:vAlign w:val="bottom"/>
          </w:tcPr>
          <w:p>
            <w:pPr>
              <w:jc w:val="center"/>
              <w:ind w:right="95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9,317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8,762</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Accrued estimated litigation loss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5,200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5,200</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exit costs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8,253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2,261</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23,204</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2,105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62,392</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25,450</w:t>
            </w:r>
          </w:p>
        </w:tc>
      </w:tr>
      <w:tr>
        <w:trPr>
          <w:trHeight w:val="230"/>
        </w:trPr>
        <w:tc>
          <w:tcPr>
            <w:tcW w:w="34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122,833</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Preferred stock, $0.01 par value, 10,000,000 shares authorized; 0 shares issued and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2010 and December 31, 2009</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660" w:type="dxa"/>
            <w:vAlign w:val="bottom"/>
            <w:gridSpan w:val="2"/>
          </w:tcPr>
          <w:p>
            <w:pPr>
              <w:spacing w:after="0" w:line="201" w:lineRule="exact"/>
              <w:rPr>
                <w:sz w:val="20"/>
                <w:szCs w:val="20"/>
                <w:color w:val="auto"/>
              </w:rPr>
            </w:pPr>
            <w:r>
              <w:rPr>
                <w:rFonts w:ascii="Arial" w:cs="Arial" w:eastAsia="Arial" w:hAnsi="Arial"/>
                <w:sz w:val="18"/>
                <w:szCs w:val="18"/>
                <w:color w:val="auto"/>
                <w:w w:val="89"/>
              </w:rPr>
              <w:t>Common stock, $0.01 par value, 100,000,000 shares authorized; 45,702,415 and 45,657,946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w w:val="92"/>
              </w:rPr>
              <w:t>shares issued and outstanding at March 31, 2010 and December 31, 2009, respectively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70,100</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15,615</w:t>
            </w:r>
          </w:p>
        </w:tc>
      </w:tr>
      <w:tr>
        <w:trPr>
          <w:trHeight w:val="230"/>
        </w:trPr>
        <w:tc>
          <w:tcPr>
            <w:tcW w:w="34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99,136</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86,028</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221,969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174,738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418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rPr>
              <w:t>GRAND CANYON EDUCATION, INC.</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tcPr>
          <w:p>
            <w:pPr>
              <w:jc w:val="center"/>
              <w:ind w:right="470"/>
              <w:spacing w:after="0"/>
              <w:rPr>
                <w:sz w:val="20"/>
                <w:szCs w:val="20"/>
                <w:color w:val="auto"/>
              </w:rPr>
            </w:pPr>
            <w:r>
              <w:rPr>
                <w:rFonts w:ascii="Arial" w:cs="Arial" w:eastAsia="Arial" w:hAnsi="Arial"/>
                <w:sz w:val="18"/>
                <w:szCs w:val="18"/>
                <w:b w:val="1"/>
                <w:bCs w:val="1"/>
                <w:color w:val="auto"/>
                <w:w w:val="90"/>
              </w:rPr>
              <w:t>Statement of Stockholders’ Equity</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tcPr>
          <w:p>
            <w:pPr>
              <w:jc w:val="center"/>
              <w:ind w:right="470"/>
              <w:spacing w:after="0"/>
              <w:rPr>
                <w:sz w:val="20"/>
                <w:szCs w:val="20"/>
                <w:color w:val="auto"/>
              </w:rPr>
            </w:pPr>
            <w:r>
              <w:rPr>
                <w:rFonts w:ascii="Arial" w:cs="Arial" w:eastAsia="Arial" w:hAnsi="Arial"/>
                <w:sz w:val="18"/>
                <w:szCs w:val="18"/>
                <w:b w:val="1"/>
                <w:bCs w:val="1"/>
                <w:color w:val="auto"/>
                <w:w w:val="89"/>
              </w:rPr>
              <w:t>(In thousands, except share data)</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gridSpan w:val="4"/>
            <w:vMerge w:val="restart"/>
          </w:tcPr>
          <w:p>
            <w:pPr>
              <w:ind w:left="380"/>
              <w:spacing w:after="0"/>
              <w:rPr>
                <w:sz w:val="20"/>
                <w:szCs w:val="20"/>
                <w:color w:val="auto"/>
              </w:rPr>
            </w:pPr>
            <w:r>
              <w:rPr>
                <w:rFonts w:ascii="Arial" w:cs="Arial" w:eastAsia="Arial" w:hAnsi="Arial"/>
                <w:sz w:val="18"/>
                <w:szCs w:val="18"/>
                <w:b w:val="1"/>
                <w:bCs w:val="1"/>
                <w:color w:val="auto"/>
                <w:w w:val="92"/>
              </w:rPr>
              <w:t>Common Stock</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Paid-in</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Comprehensive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0"/>
              </w:rPr>
              <w:t>Par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Capital</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85"/>
              </w:rPr>
              <w:t>Loss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4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w:t>
            </w: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1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45,657,946</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70,100</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11,480</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 hedging</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 net of taxes of</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$98</w:t>
            </w:r>
          </w:p>
        </w:tc>
        <w:tc>
          <w:tcPr>
            <w:tcW w:w="1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w w:val="97"/>
              </w:rPr>
              <w:t>Unrealized losses on available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for-sale securities, net of</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taxes of $3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realized</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 on available for-sale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net of taxes of</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w:t>
            </w:r>
          </w:p>
        </w:tc>
        <w:tc>
          <w:tcPr>
            <w:tcW w:w="1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41,855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Excess tax benefits from</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259</w:t>
            </w:r>
          </w:p>
        </w:tc>
        <w:tc>
          <w:tcPr>
            <w:tcW w:w="84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1,037</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Balance at March 31, 2010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45,702,415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71,898</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(314)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7160"/>
        <w:spacing w:after="0"/>
        <w:rPr>
          <w:sz w:val="20"/>
          <w:szCs w:val="20"/>
          <w:color w:val="auto"/>
        </w:rPr>
      </w:pPr>
      <w:r>
        <w:rPr>
          <w:rFonts w:ascii="Arial" w:cs="Arial" w:eastAsia="Arial" w:hAnsi="Arial"/>
          <w:sz w:val="16"/>
          <w:szCs w:val="16"/>
          <w:b w:val="1"/>
          <w:bCs w:val="1"/>
          <w:u w:val="single" w:color="auto"/>
          <w:color w:val="auto"/>
        </w:rPr>
        <w:t>Three Months Ended March 31</w:t>
      </w:r>
      <w:r>
        <w:rPr>
          <w:rFonts w:ascii="Arial" w:cs="Arial" w:eastAsia="Arial" w:hAnsi="Arial"/>
          <w:sz w:val="16"/>
          <w:szCs w:val="16"/>
          <w:b w:val="1"/>
          <w:bCs w:val="1"/>
          <w:color w:val="auto"/>
        </w:rPr>
        <w:t>,</w:t>
      </w:r>
    </w:p>
    <w:p>
      <w:pPr>
        <w:spacing w:after="0" w:line="50" w:lineRule="exact"/>
        <w:rPr>
          <w:sz w:val="20"/>
          <w:szCs w:val="20"/>
          <w:color w:val="auto"/>
        </w:rPr>
      </w:pPr>
    </w:p>
    <w:p>
      <w:pPr>
        <w:ind w:left="7500" w:right="799" w:hanging="8409"/>
        <w:spacing w:after="0" w:line="266" w:lineRule="auto"/>
        <w:tabs>
          <w:tab w:leader="none" w:pos="7480" w:val="left"/>
        </w:tabs>
        <w:rPr>
          <w:sz w:val="20"/>
          <w:szCs w:val="20"/>
          <w:color w:val="auto"/>
        </w:rPr>
      </w:pPr>
      <w:r>
        <w:rPr>
          <w:rFonts w:ascii="Arial" w:cs="Arial" w:eastAsia="Arial" w:hAnsi="Arial"/>
          <w:sz w:val="18"/>
          <w:szCs w:val="18"/>
          <w:b w:val="1"/>
          <w:bCs w:val="1"/>
          <w:color w:val="auto"/>
        </w:rPr>
        <w:t>(In thousands)</w:t>
      </w:r>
      <w:r>
        <w:rPr>
          <w:sz w:val="20"/>
          <w:szCs w:val="20"/>
          <w:color w:val="auto"/>
        </w:rPr>
        <w:tab/>
      </w:r>
      <w:r>
        <w:rPr>
          <w:rFonts w:ascii="Arial" w:cs="Arial" w:eastAsia="Arial" w:hAnsi="Arial"/>
          <w:sz w:val="18"/>
          <w:szCs w:val="18"/>
          <w:b w:val="1"/>
          <w:bCs w:val="1"/>
          <w:color w:val="auto"/>
        </w:rPr>
        <w:t>2010 2009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58743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11,480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5,075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3,295</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2,661</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1,632</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(4,362)</w:t>
            </w:r>
          </w:p>
        </w:tc>
      </w:tr>
      <w:tr>
        <w:trPr>
          <w:trHeight w:val="216"/>
        </w:trPr>
        <w:tc>
          <w:tcPr>
            <w:tcW w:w="682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(1,655)</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r>
      <w:tr>
        <w:trPr>
          <w:trHeight w:val="216"/>
        </w:trPr>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w:t>
            </w:r>
          </w:p>
        </w:tc>
      </w:tr>
      <w:tr>
        <w:trPr>
          <w:trHeight w:val="216"/>
        </w:trPr>
        <w:tc>
          <w:tcPr>
            <w:tcW w:w="68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2,435</w:t>
            </w:r>
          </w:p>
        </w:tc>
      </w:tr>
      <w:tr>
        <w:trPr>
          <w:trHeight w:val="216"/>
        </w:trPr>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1,920</w:t>
            </w:r>
          </w:p>
        </w:tc>
      </w:tr>
      <w:tr>
        <w:trPr>
          <w:trHeight w:val="216"/>
        </w:trPr>
        <w:tc>
          <w:tcPr>
            <w:tcW w:w="682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6,251</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3,381</w:t>
            </w:r>
          </w:p>
        </w:tc>
      </w:tr>
      <w:tr>
        <w:trPr>
          <w:trHeight w:val="216"/>
        </w:trPr>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21,142</w:t>
            </w: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49,080</w:t>
            </w:r>
          </w:p>
        </w:tc>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36,575</w:t>
            </w:r>
          </w:p>
        </w:tc>
        <w:tc>
          <w:tcPr>
            <w:tcW w:w="8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(11,591)</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r>
      <w:tr>
        <w:trPr>
          <w:trHeight w:val="27"/>
        </w:trPr>
        <w:tc>
          <w:tcPr>
            <w:tcW w:w="6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35,312</w:t>
            </w:r>
          </w:p>
        </w:tc>
        <w:tc>
          <w:tcPr>
            <w:tcW w:w="4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33,123</w:t>
            </w:r>
          </w:p>
        </w:tc>
        <w:tc>
          <w:tcPr>
            <w:tcW w:w="8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62,571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97,883</w:t>
            </w:r>
          </w:p>
        </w:tc>
        <w:tc>
          <w:tcPr>
            <w:tcW w:w="4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68,275</w:t>
            </w: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(1,357)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4,107</w:t>
            </w: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819" w:firstLine="373"/>
        <w:spacing w:after="0" w:line="257" w:lineRule="auto"/>
        <w:rPr>
          <w:sz w:val="20"/>
          <w:szCs w:val="20"/>
          <w:color w:val="auto"/>
        </w:rPr>
      </w:pPr>
      <w:r>
        <w:rPr>
          <w:rFonts w:ascii="Arial" w:cs="Arial" w:eastAsia="Arial" w:hAnsi="Arial"/>
          <w:sz w:val="18"/>
          <w:szCs w:val="18"/>
          <w:color w:val="auto"/>
        </w:rPr>
        <w:t>Grand Canyon Education, Inc. (the “Company”) is a regionally accredited provider of online postsecondary education services focused on offering graduate and undergraduate degree programs in its core disciplines of education, business, healthcare, and liberal arts.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The accompanying unaudited interim financial statements of the Company have been prepared in accordance with U.S. generally accepted accounting principles, consistent in all material respects with those applied in its financial statements included in its Annual Report on Form 10-K for the fiscal year ended December 31, 2009.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Company’s audited financial statements and footnotes included in its Annual Report on Form 10-K for the fiscal year ended December 31, 2009 from where the December 31, 2009 balance sheet information was derived.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8"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32" w:lineRule="exact"/>
        <w:rPr>
          <w:sz w:val="20"/>
          <w:szCs w:val="20"/>
          <w:color w:val="auto"/>
        </w:rPr>
      </w:pPr>
    </w:p>
    <w:p>
      <w:pPr>
        <w:ind w:left="340" w:right="619" w:firstLine="373"/>
        <w:spacing w:after="0" w:line="290" w:lineRule="auto"/>
        <w:rPr>
          <w:sz w:val="20"/>
          <w:szCs w:val="20"/>
          <w:color w:val="auto"/>
        </w:rPr>
      </w:pPr>
      <w:r>
        <w:rPr>
          <w:rFonts w:ascii="Arial" w:cs="Arial" w:eastAsia="Arial" w:hAnsi="Arial"/>
          <w:sz w:val="16"/>
          <w:szCs w:val="16"/>
          <w:color w:val="auto"/>
        </w:rPr>
        <w:t>On June 30, 2009, the Company entered into two derivative agreements to manage its 30 Day LIBOR interest exposure related to its variable rate debt, which commenced in April 2009 and matures in April 2014. The fair value for the interest rate corridor was determined using a hypothetical derivative transaction and Level 2 of the hierarchy of valuation inputs. The fair value as of March 31, 2010 and December 31, 2009 was $73 and $113, respectively, and this derivative asset is included in other assets. The fair value of the forward starting interest rate swap is a liability of $432 and $228 as of March 31, 2010 and December 31, 2009, respectively, and is included in long term notes payable and other. These derivative instruments were designated as cash flow hedges of variable rate debt obligations. The adjustment of $246 in the first quarter of 2010 for the effective portion of the loss on the derivatives is included as a component of other comprehensive income, net of taxes.</w:t>
      </w:r>
    </w:p>
    <w:p>
      <w:pPr>
        <w:spacing w:after="0" w:line="139" w:lineRule="exact"/>
        <w:rPr>
          <w:sz w:val="20"/>
          <w:szCs w:val="20"/>
          <w:color w:val="auto"/>
        </w:rPr>
      </w:pPr>
    </w:p>
    <w:p>
      <w:pPr>
        <w:ind w:left="340" w:right="559" w:firstLine="373"/>
        <w:spacing w:after="0" w:line="297" w:lineRule="auto"/>
        <w:rPr>
          <w:sz w:val="20"/>
          <w:szCs w:val="20"/>
          <w:color w:val="auto"/>
        </w:rPr>
      </w:pPr>
      <w:r>
        <w:rPr>
          <w:rFonts w:ascii="Arial" w:cs="Arial" w:eastAsia="Arial" w:hAnsi="Arial"/>
          <w:sz w:val="16"/>
          <w:szCs w:val="16"/>
          <w:color w:val="auto"/>
        </w:rPr>
        <w:t>The interest rate corridor instrument hedges variable interest rate risk starting July 1, 2009 through April 30, 2014 with a notional amount of $12.1 million as of March 31, 2010. The corridor instrument permits the Company to hedge its interest rate risk at several thresholds; the Company will pay variable interest rates based on the 30 Day LIBOR rates monthly until that index reaches 4%. If 30 Day LIBOR is equal to 4% through 6%, the Company will pay 4%. If 30 Day LIBOR exceeds 6%, the Company will pay actual 30 Day LIBOR less 2%. This reduces the Company’s exposure to potential increases in interest rates.</w:t>
      </w:r>
    </w:p>
    <w:p>
      <w:pPr>
        <w:spacing w:after="0" w:line="118" w:lineRule="exact"/>
        <w:rPr>
          <w:sz w:val="20"/>
          <w:szCs w:val="20"/>
          <w:color w:val="auto"/>
        </w:rPr>
      </w:pPr>
    </w:p>
    <w:p>
      <w:pPr>
        <w:ind w:left="340" w:right="699" w:firstLine="373"/>
        <w:spacing w:after="0" w:line="255" w:lineRule="auto"/>
        <w:rPr>
          <w:sz w:val="20"/>
          <w:szCs w:val="20"/>
          <w:color w:val="auto"/>
        </w:rPr>
      </w:pPr>
      <w:r>
        <w:rPr>
          <w:rFonts w:ascii="Arial" w:cs="Arial" w:eastAsia="Arial" w:hAnsi="Arial"/>
          <w:sz w:val="18"/>
          <w:szCs w:val="18"/>
          <w:color w:val="auto"/>
        </w:rPr>
        <w:t>The forward starting interest rate swap commences on May 1, 2010 and continues each month thereafter until April 30, 2014 and has an initial notional amount of $12.0 million. The Company will receive 30 Day LIBOR and pay 3.245% fixed interest on the amortizing notional amount. Therefore, the Company has hedged its exposure to future variable rate cash flows through April 30, 2014. The forward interest rate swap is not subject to a master netting arrangement and no collateral has been called or posted by the counterparty. Such collateral, if called by the counterparty, would be included in the restricted cash and cash equivalent balances.</w:t>
      </w:r>
    </w:p>
    <w:p>
      <w:pPr>
        <w:spacing w:after="0" w:line="153" w:lineRule="exact"/>
        <w:rPr>
          <w:sz w:val="20"/>
          <w:szCs w:val="20"/>
          <w:color w:val="auto"/>
        </w:rPr>
      </w:pPr>
    </w:p>
    <w:p>
      <w:pPr>
        <w:ind w:left="340" w:right="799" w:firstLine="373"/>
        <w:spacing w:after="0" w:line="259" w:lineRule="auto"/>
        <w:rPr>
          <w:sz w:val="20"/>
          <w:szCs w:val="20"/>
          <w:color w:val="auto"/>
        </w:rPr>
      </w:pPr>
      <w:r>
        <w:rPr>
          <w:rFonts w:ascii="Arial" w:cs="Arial" w:eastAsia="Arial" w:hAnsi="Arial"/>
          <w:sz w:val="18"/>
          <w:szCs w:val="18"/>
          <w:color w:val="auto"/>
        </w:rPr>
        <w:t>As of March 31, 2010 no derivative ineffectiveness was identified. Any ineffectiveness in the Company’s derivative instruments designated as hedges would be reported in Interest expense in the statement of operations. At March 31, 2010, the Company is not expected to reclassify gains or losses on derivative instruments from accumulated other comprehensive (loss) income into earnings during the next 12 months.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left="340" w:right="619" w:firstLine="373"/>
        <w:spacing w:after="0" w:line="297" w:lineRule="auto"/>
        <w:rPr>
          <w:sz w:val="20"/>
          <w:szCs w:val="20"/>
          <w:color w:val="auto"/>
        </w:rPr>
      </w:pPr>
      <w:r>
        <w:rPr>
          <w:rFonts w:ascii="Arial" w:cs="Arial" w:eastAsia="Arial" w:hAnsi="Arial"/>
          <w:sz w:val="16"/>
          <w:szCs w:val="16"/>
          <w:color w:val="auto"/>
        </w:rPr>
        <w:t>As of March 31, 2010,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Company for debt of similar risk and maturities. The fair value of investments was determined using Level 1 of the hierarchy of valuation inputs, with the use of observable market prices in the</w:t>
      </w:r>
    </w:p>
    <w:p>
      <w:pPr>
        <w:sectPr>
          <w:pgSz w:w="11900" w:h="16901" w:orient="portrait"/>
          <w:cols w:equalWidth="0" w:num="1">
            <w:col w:w="10219"/>
          </w:cols>
          <w:pgMar w:left="240" w:top="419" w:right="1440" w:bottom="0" w:gutter="0" w:footer="0" w:header="0"/>
        </w:sectPr>
      </w:pPr>
    </w:p>
    <w:bookmarkStart w:id="8" w:name="page9"/>
    <w:bookmarkEnd w:id="8"/>
    <w:p>
      <w:pPr>
        <w:ind w:right="559"/>
        <w:spacing w:after="0" w:line="259" w:lineRule="auto"/>
        <w:rPr>
          <w:sz w:val="20"/>
          <w:szCs w:val="20"/>
          <w:color w:val="auto"/>
        </w:rPr>
      </w:pPr>
      <w:r>
        <w:rPr>
          <w:rFonts w:ascii="Arial" w:cs="Arial" w:eastAsia="Arial" w:hAnsi="Arial"/>
          <w:sz w:val="18"/>
          <w:szCs w:val="18"/>
          <w:color w:val="auto"/>
        </w:rPr>
        <w:t>active market. The Company’s investment portfolio is primarily comprised of money market funds with AAA rating at more than one financial institution. Derivative financial instruments are carried at fair value, determined using Level 2 of the hierarchy of valuation inputs, with the use of inputs other than quoted prices that are observable for the asset or liability. See Note 2, Summary of Significant Accounting Policies — Derivatives and Hedging.</w:t>
      </w:r>
    </w:p>
    <w:p>
      <w:pPr>
        <w:spacing w:after="0" w:line="200" w:lineRule="exact"/>
        <w:rPr>
          <w:sz w:val="20"/>
          <w:szCs w:val="20"/>
          <w:color w:val="auto"/>
        </w:rPr>
      </w:pPr>
    </w:p>
    <w:p>
      <w:pPr>
        <w:spacing w:after="0" w:line="3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 w:name="page10"/>
    <w:bookmarkEnd w:id="9"/>
    <w:p>
      <w:pPr>
        <w:spacing w:after="0" w:line="1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85" w:lineRule="exact"/>
        <w:rPr>
          <w:sz w:val="20"/>
          <w:szCs w:val="20"/>
          <w:color w:val="auto"/>
        </w:rPr>
      </w:pPr>
    </w:p>
    <w:p>
      <w:pPr>
        <w:ind w:left="340" w:right="799" w:firstLine="373"/>
        <w:spacing w:after="0" w:line="257" w:lineRule="auto"/>
        <w:rPr>
          <w:sz w:val="20"/>
          <w:szCs w:val="20"/>
          <w:color w:val="auto"/>
        </w:rPr>
      </w:pPr>
      <w:r>
        <w:rPr>
          <w:rFonts w:ascii="Arial" w:cs="Arial" w:eastAsia="Arial" w:hAnsi="Arial"/>
          <w:sz w:val="18"/>
          <w:szCs w:val="18"/>
          <w:color w:val="auto"/>
        </w:rPr>
        <w:t>In November 2009, the Company finalized a plan to centralize its student services operations in Arizona and, as a result, closed its student services facility in Utah. The exit costs expected to be incurred in connection with this decision have been expensed and are presented separately on the income statement. The costs incurred include severance payments; relocation expense; future lease payments, net of estimated sublease rentals; and the write off of leasehold improvements associated with this leased space.</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our exit activities: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rPr>
              <w:t>Accrued Exit Costs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Accrued Exit</w:t>
            </w: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Costs at March</w:t>
            </w:r>
          </w:p>
        </w:tc>
      </w:tr>
      <w:tr>
        <w:trPr>
          <w:trHeight w:val="234"/>
        </w:trPr>
        <w:tc>
          <w:tcPr>
            <w:tcW w:w="3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Exit Costs</w:t>
            </w:r>
          </w:p>
        </w:tc>
        <w:tc>
          <w:tcPr>
            <w:tcW w:w="300" w:type="dxa"/>
            <w:vAlign w:val="bottom"/>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Payments to Date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31, 2010</w:t>
            </w:r>
          </w:p>
        </w:tc>
        <w:tc>
          <w:tcPr>
            <w:tcW w:w="80" w:type="dxa"/>
            <w:vAlign w:val="bottom"/>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Future lease payments, net of estimated</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sublease rentals</w:t>
            </w:r>
          </w:p>
        </w:tc>
        <w:tc>
          <w:tcPr>
            <w:tcW w:w="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89</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85" w:lineRule="exact"/>
        <w:rPr>
          <w:sz w:val="20"/>
          <w:szCs w:val="20"/>
          <w:color w:val="auto"/>
        </w:rPr>
      </w:pPr>
    </w:p>
    <w:p>
      <w:pPr>
        <w:ind w:left="340" w:right="879" w:firstLine="373"/>
        <w:spacing w:after="0" w:line="259" w:lineRule="auto"/>
        <w:rPr>
          <w:sz w:val="20"/>
          <w:szCs w:val="20"/>
          <w:color w:val="auto"/>
        </w:rPr>
      </w:pPr>
      <w:r>
        <w:rPr>
          <w:rFonts w:ascii="Arial" w:cs="Arial" w:eastAsia="Arial" w:hAnsi="Arial"/>
          <w:sz w:val="18"/>
          <w:szCs w:val="18"/>
          <w:color w:val="auto"/>
        </w:rPr>
        <w:t>Total comprehensive income includes net income and other comprehensive income (loss), which consists of unrealized gains and losses on available-for-sale investments and the effective portion of the change in fair value of qualifying hedge instruments. Total comprehensive income for the three months ended March 31, 2010 and 2009 was $11,310 and $5,080 (see Note 3),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Executive Officer manages the Company’s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right="699" w:firstLine="373"/>
        <w:spacing w:after="0" w:line="257" w:lineRule="auto"/>
        <w:rPr>
          <w:sz w:val="20"/>
          <w:szCs w:val="20"/>
          <w:color w:val="auto"/>
        </w:rPr>
      </w:pPr>
      <w:r>
        <w:rPr>
          <w:rFonts w:ascii="Arial" w:cs="Arial" w:eastAsia="Arial" w:hAnsi="Arial"/>
          <w:sz w:val="18"/>
          <w:szCs w:val="18"/>
          <w:color w:val="auto"/>
        </w:rPr>
        <w:t>In January 2010, previously released guidance on fair value measurements and disclosures was amended. The amendment requires disclosure of transfers into and out of Level 1 and Level 2 fair value measurements, and also requires more detail disclosure about the activity within Level 3 fair value measurements. The guidance became effective for our interim and annual reporting periods beginning January 1, 2010. The adoption had no impact on the Company’s financial position or results of operations.</w:t>
      </w:r>
    </w:p>
    <w:p>
      <w:pPr>
        <w:spacing w:after="0" w:line="148"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In February 2010, the FASB issued new guidance relating to subsequent events. This update removes the requirement for an SEC filer to disclose the date through which subsequent events have been evaluated and became effective for our interim and annual reporting periods beginning January 1, 2010. The adoption had no impact on the Company’s financial position or results of operations.</w:t>
      </w:r>
    </w:p>
    <w:p>
      <w:pPr>
        <w:spacing w:after="0" w:line="146"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In June 2009, the FASB set forth certain requirements to improve the financial reporting by enterprises involved with variable interest entities and to provide more relevant information to users of financial statements. This guidance became effective for our interim and annual reporting periods beginning January 1, 2010. The adoption had no impact on the Company’s financial position or results of operations.</w:t>
      </w:r>
    </w:p>
    <w:p>
      <w:pPr>
        <w:spacing w:after="0" w:line="160" w:lineRule="exact"/>
        <w:rPr>
          <w:sz w:val="20"/>
          <w:szCs w:val="20"/>
          <w:color w:val="auto"/>
        </w:rPr>
      </w:pPr>
    </w:p>
    <w:p>
      <w:pPr>
        <w:ind w:left="340" w:right="799" w:firstLine="373"/>
        <w:spacing w:after="0" w:line="312" w:lineRule="auto"/>
        <w:rPr>
          <w:sz w:val="20"/>
          <w:szCs w:val="20"/>
          <w:color w:val="auto"/>
        </w:rPr>
      </w:pPr>
      <w:r>
        <w:rPr>
          <w:rFonts w:ascii="Arial" w:cs="Arial" w:eastAsia="Arial" w:hAnsi="Arial"/>
          <w:sz w:val="16"/>
          <w:szCs w:val="16"/>
          <w:color w:val="auto"/>
        </w:rPr>
        <w:t>Also in June 2009, the FASB provided guidance to improve transparency of financial assets and a transferor’s continuing involvement, if any, with transferred financial assets. This guidance became effective for our interim and annual reporting periods beginning January 1, 2010. The adoption had no impact on the Company’s financial position or results of operations.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Restatement of Financial Statements</w:t>
      </w:r>
    </w:p>
    <w:p>
      <w:pPr>
        <w:spacing w:after="0" w:line="189" w:lineRule="exact"/>
        <w:rPr>
          <w:sz w:val="20"/>
          <w:szCs w:val="20"/>
          <w:color w:val="auto"/>
        </w:rPr>
      </w:pPr>
    </w:p>
    <w:p>
      <w:pPr>
        <w:ind w:left="340" w:right="619" w:firstLine="373"/>
        <w:spacing w:after="0" w:line="312" w:lineRule="auto"/>
        <w:rPr>
          <w:sz w:val="20"/>
          <w:szCs w:val="20"/>
          <w:color w:val="auto"/>
        </w:rPr>
      </w:pPr>
      <w:r>
        <w:rPr>
          <w:rFonts w:ascii="Arial" w:cs="Arial" w:eastAsia="Arial" w:hAnsi="Arial"/>
          <w:sz w:val="16"/>
          <w:szCs w:val="16"/>
          <w:color w:val="auto"/>
        </w:rPr>
        <w:t>As a result of an increase in the number of start dates for courses offered to the Company’s students for the 2009-2010 academic year and in preparation for the Company’s conversion from a term-based to a non-term, borrower-based financial aid system, on July 1, 2009 the Company refined its revenue recognition methodology to recognize tuition revenue and most fees on</w:t>
      </w:r>
    </w:p>
    <w:p>
      <w:pPr>
        <w:sectPr>
          <w:pgSz w:w="11900" w:h="16858" w:orient="portrait"/>
          <w:cols w:equalWidth="0" w:num="1">
            <w:col w:w="10219"/>
          </w:cols>
          <w:pgMar w:left="240" w:top="419" w:right="1440" w:bottom="0" w:gutter="0" w:footer="0" w:header="0"/>
        </w:sectPr>
      </w:pPr>
    </w:p>
    <w:bookmarkStart w:id="10" w:name="page11"/>
    <w:bookmarkEnd w:id="10"/>
    <w:p>
      <w:pPr>
        <w:ind w:right="579"/>
        <w:spacing w:after="0" w:line="286" w:lineRule="auto"/>
        <w:rPr>
          <w:sz w:val="20"/>
          <w:szCs w:val="20"/>
          <w:color w:val="auto"/>
        </w:rPr>
      </w:pPr>
      <w:r>
        <w:rPr>
          <w:rFonts w:ascii="Arial" w:cs="Arial" w:eastAsia="Arial" w:hAnsi="Arial"/>
          <w:sz w:val="16"/>
          <w:szCs w:val="16"/>
          <w:color w:val="auto"/>
        </w:rPr>
        <w:t>a daily basis over the applicable period of instruction (the “days approach”). Previously, the Company recognized tuition revenue and most fees monthly over the applicable period of instruction (the “monthly approach”), which the Company believed resulted in revenue being recognized on a basis materially consistent with the days approach. However, upon adoption of the days approach, the Company noticed that while the monthly approach recognized revenue on a basis that materially approximated the annual revenue recognized under the days approach, it created materially different results in certain interim periods. Those differences were primarily the result of the timing of the start of the terms and scheduled breaks. As a result, in the Company’s 2009 Annual Report on Form 10-K the Company presented restated quarterly statements of operations for all periods prior to July 1, 2009 as a correction of an error to reflect revenue as if it had been recorded under the days approach for all prior interim periods. That restatement also reflected adjustments to the timing of certain expenses, including salaries and benefits for faculty, revenue share and royalty arrangements and prior to its termination, the royalty payment to the former owner, to recognize those expenses as incurred on a basis commensurate with the term of the related course. The quarterly amounts for the period ended March 31, 2009, included herein, reflect amounts that would have been recorded had the days approach been used to recognize revenue and related expenses during such period.</w:t>
      </w:r>
    </w:p>
    <w:p>
      <w:pPr>
        <w:spacing w:after="0" w:line="200" w:lineRule="exact"/>
        <w:rPr>
          <w:sz w:val="20"/>
          <w:szCs w:val="20"/>
          <w:color w:val="auto"/>
        </w:rPr>
      </w:pPr>
    </w:p>
    <w:p>
      <w:pPr>
        <w:spacing w:after="0" w:line="34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639" w:firstLine="373"/>
        <w:spacing w:after="0" w:line="312" w:lineRule="auto"/>
        <w:rPr>
          <w:sz w:val="20"/>
          <w:szCs w:val="20"/>
          <w:color w:val="auto"/>
        </w:rPr>
      </w:pPr>
      <w:r>
        <w:rPr>
          <w:rFonts w:ascii="Arial" w:cs="Arial" w:eastAsia="Arial" w:hAnsi="Arial"/>
          <w:sz w:val="16"/>
          <w:szCs w:val="16"/>
          <w:color w:val="auto"/>
        </w:rPr>
        <w:t>The Company has restated the accompanying statement of cash flows for the quarter ended March 31, 2009 to reflect the restated net income and changes in operating liabilities, however net cash provided by operating activities remained the same on a restated basis. Other comprehensive income was previously $6,909 and has been restated (see Note 2) to $5,080.</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Earnings Per Share</w:t>
      </w:r>
    </w:p>
    <w:p>
      <w:pPr>
        <w:spacing w:after="0" w:line="189"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46" w:lineRule="exact"/>
        <w:rPr>
          <w:sz w:val="20"/>
          <w:szCs w:val="20"/>
          <w:color w:val="auto"/>
        </w:rPr>
      </w:pPr>
    </w:p>
    <w:p>
      <w:pPr>
        <w:ind w:left="340" w:right="1239" w:firstLine="373"/>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45,673,917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45,474,318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650,856</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46,324,773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45,821,318</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Balance at</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Balance at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Beginning of</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Charged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Period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Expense</w:t>
            </w:r>
          </w:p>
        </w:tc>
        <w:tc>
          <w:tcPr>
            <w:tcW w:w="12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Deductions</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Three months ended March 31, 2010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7,553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(4,479)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338"/>
        </w:trPr>
        <w:tc>
          <w:tcPr>
            <w:tcW w:w="5660" w:type="dxa"/>
            <w:vAlign w:val="bottom"/>
            <w:gridSpan w:val="4"/>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4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4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8"/>
              </w:rPr>
              <w:t>March 31,</w:t>
            </w: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 reserves, income tax related</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2023. Future minimum lease payments under operating leases due each year are as follows at March 31, 2010:</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3,789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3,582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12,545</w:t>
            </w:r>
          </w:p>
        </w:tc>
      </w:tr>
      <w:tr>
        <w:trPr>
          <w:trHeight w:val="27"/>
        </w:trPr>
        <w:tc>
          <w:tcPr>
            <w:tcW w:w="8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29,453</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79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2010 and 2009 were $1,084 and $1,135, respectively.</w:t>
      </w:r>
    </w:p>
    <w:p>
      <w:pPr>
        <w:sectPr>
          <w:pgSz w:w="11900" w:h="16838" w:orient="portrait"/>
          <w:cols w:equalWidth="0" w:num="1">
            <w:col w:w="10219"/>
          </w:cols>
          <w:pgMar w:left="240" w:top="419" w:right="1440" w:bottom="0" w:gutter="0" w:footer="0" w:header="0"/>
        </w:sectPr>
      </w:pPr>
    </w:p>
    <w:bookmarkStart w:id="12" w:name="page13"/>
    <w:bookmarkEnd w:id="12"/>
    <w:p>
      <w:pPr>
        <w:ind w:left="37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38" w:lineRule="exact"/>
        <w:rPr>
          <w:sz w:val="20"/>
          <w:szCs w:val="20"/>
          <w:color w:val="auto"/>
        </w:rPr>
      </w:pPr>
    </w:p>
    <w:p>
      <w:pPr>
        <w:ind w:left="340" w:right="779" w:firstLine="373"/>
        <w:spacing w:after="0" w:line="289" w:lineRule="auto"/>
        <w:rPr>
          <w:sz w:val="20"/>
          <w:szCs w:val="20"/>
          <w:color w:val="auto"/>
        </w:rPr>
      </w:pPr>
      <w:r>
        <w:rPr>
          <w:rFonts w:ascii="Arial" w:cs="Arial" w:eastAsia="Arial" w:hAnsi="Arial"/>
          <w:sz w:val="16"/>
          <w:szCs w:val="16"/>
          <w:color w:val="auto"/>
        </w:rPr>
        <w:t xml:space="preserve">On August 14, 2008, the U. S. Department of Education, Office of Inspector General (“OIG”) served an administrative subpoena on the Company requiring it to provide certain records and information related to performance reviews and salary adjustments for all of its enrollment counselors and managers from January 1, 2004 to August 2008. The Company is cooperating with the OIG to facilitate its investigation and has completed its rolling responsive document production, which commenced in September 2008. Under the terms of the proposed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that the Company and the </w:t>
      </w:r>
      <w:r>
        <w:rPr>
          <w:rFonts w:ascii="Arial" w:cs="Arial" w:eastAsia="Arial" w:hAnsi="Arial"/>
          <w:sz w:val="16"/>
          <w:szCs w:val="16"/>
          <w:i w:val="1"/>
          <w:iCs w:val="1"/>
          <w:color w:val="auto"/>
        </w:rPr>
        <w:t xml:space="preserve">qui tam </w:t>
      </w:r>
      <w:r>
        <w:rPr>
          <w:rFonts w:ascii="Arial" w:cs="Arial" w:eastAsia="Arial" w:hAnsi="Arial"/>
          <w:sz w:val="16"/>
          <w:szCs w:val="16"/>
          <w:color w:val="auto"/>
        </w:rPr>
        <w:t>relator submitted to the Court for approval on April 28, 2010 (described below), the OIG investigation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resolved. The proposed settlement is subject to Court approval and the United States will have an opportunity to object the proposed settlement. The Company cannot presently predict the ultimate outcome of the OIG investigation, including any liability or other sanctions that may result, or the outcome of the proposed settlement.</w:t>
      </w:r>
    </w:p>
    <w:p>
      <w:pPr>
        <w:spacing w:after="0" w:line="140" w:lineRule="exact"/>
        <w:rPr>
          <w:sz w:val="20"/>
          <w:szCs w:val="20"/>
          <w:color w:val="auto"/>
        </w:rPr>
      </w:pPr>
    </w:p>
    <w:p>
      <w:pPr>
        <w:ind w:left="340" w:right="579" w:firstLine="373"/>
        <w:spacing w:after="0" w:line="267" w:lineRule="auto"/>
        <w:rPr>
          <w:sz w:val="20"/>
          <w:szCs w:val="20"/>
          <w:color w:val="auto"/>
        </w:rPr>
      </w:pPr>
      <w:r>
        <w:rPr>
          <w:rFonts w:ascii="Arial" w:cs="Arial" w:eastAsia="Arial" w:hAnsi="Arial"/>
          <w:sz w:val="17"/>
          <w:szCs w:val="17"/>
          <w:color w:val="auto"/>
        </w:rPr>
        <w:t xml:space="preserve">On September 11, 2008, the Company was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the Company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was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under the federal False Claims Act by one or more individuals (a “relator”) on behalf of the federal government for an alleged submission to the government of a false claim for payment.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The Company filed a motion to dismiss this case in November 2008, which was denied by the court in February 2009. The Company cannot presently predict the ultimate outcome of this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or any liability or other sanctions that may result.</w:t>
      </w:r>
    </w:p>
    <w:p>
      <w:pPr>
        <w:spacing w:after="0" w:line="148"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 xml:space="preserve">Pursuant to the court’s mandatory scheduling order, the Company entered into settlement discussions with respect to the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matter with the relator. In connection with such discussions, in October 2009 the Company reached a settlement in principle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relator pursuant to which the Company has agreed to pay $5,200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the Company accrued $5,200 for the estimated litigation loss. On April 28, 2010, the Company and the relator submitted a proposed settlement agreement to the Court for approval. Under a scheduling order set by the Court, the United States may file any objections it has to the proposed settlement on or before May 28, 2010. The settlement agreement, and the ultimate dismissal of the action is subject to the Court’s approval and the Court has the authority to approve the proposed settlement over the United States’ objections, if any. The Court has set a hearing on approval, modification, or rejection of the proposed settlement for June 10, 2010. Should the parties fail to conclude the settlement on the proposed or other terms, the Company intends to vigorously defend this lawsuit.</w:t>
      </w:r>
    </w:p>
    <w:p>
      <w:pPr>
        <w:spacing w:after="0" w:line="129"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the Company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the Company’s business, prospects, financial condition and results of operations.</w:t>
      </w:r>
    </w:p>
    <w:p>
      <w:pPr>
        <w:spacing w:after="0" w:line="160"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jc w:val="both"/>
        <w:ind w:left="340" w:right="599" w:firstLine="373"/>
        <w:spacing w:after="0" w:line="312" w:lineRule="auto"/>
        <w:rPr>
          <w:sz w:val="20"/>
          <w:szCs w:val="20"/>
          <w:color w:val="auto"/>
        </w:rPr>
      </w:pPr>
      <w:r>
        <w:rPr>
          <w:rFonts w:ascii="Arial" w:cs="Arial" w:eastAsia="Arial" w:hAnsi="Arial"/>
          <w:sz w:val="16"/>
          <w:szCs w:val="16"/>
          <w:color w:val="auto"/>
        </w:rPr>
        <w:t>From time to time the Company has exposure to various non-income tax related matters that arise in the ordinary course of business. At March 31, 2010 and December 31, 2009, the Company had reserved approximately $501 and $229, respectively, for tax matters where its ultimate exposure is considered probable and the potential loss can be reasonably estimated.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Income Taxes</w:t>
      </w:r>
    </w:p>
    <w:p>
      <w:pPr>
        <w:sectPr>
          <w:pgSz w:w="11900" w:h="16838" w:orient="portrait"/>
          <w:cols w:equalWidth="0" w:num="1">
            <w:col w:w="10219"/>
          </w:cols>
          <w:pgMar w:left="240" w:top="419" w:right="1440" w:bottom="0" w:gutter="0" w:footer="0" w:header="0"/>
        </w:sectPr>
      </w:pPr>
    </w:p>
    <w:bookmarkStart w:id="14" w:name="page15"/>
    <w:bookmarkEnd w:id="14"/>
    <w:p>
      <w:pPr>
        <w:ind w:right="619" w:firstLine="373"/>
        <w:spacing w:after="0" w:line="255" w:lineRule="auto"/>
        <w:rPr>
          <w:sz w:val="20"/>
          <w:szCs w:val="20"/>
          <w:color w:val="auto"/>
        </w:rPr>
      </w:pPr>
      <w:r>
        <w:rPr>
          <w:rFonts w:ascii="Arial" w:cs="Arial" w:eastAsia="Arial" w:hAnsi="Arial"/>
          <w:sz w:val="18"/>
          <w:szCs w:val="18"/>
          <w:color w:val="auto"/>
        </w:rPr>
        <w:t>The Company’s uncertain tax positions are related to tax years that remain subject to examination by tax authorities. As of December 31, 2009, the earliest tax year still subject to examination for federal and state purposes was 2005. During 2008, the IRS commenced an examination of the Company’s 2005 income tax return and subsequently opened 2006 for examination. The Company is in the process of finalizing the federal income tax audits of 2005 and 2006 and as a result of the audit findings, will pay $67 and $20 in tax and interest, respectively, for 2005 and $159 and $31 in tax and interest, respectively, for 2006 during the second quarter of 2010.</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pacing w:after="0" w:line="189"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On September 27, 2008 the Company’s shareholders approved the adoption of the 2008 Equity Incentive Plan (“Incentive Plan”) and the 2008 Employee Stock Purchase (“ESPP”). A total of 4,199,937 shares of the Company’s common stock were originally authorized for issuance under the Incentive Plan. On January 1, 2010 and 2009 and in accordance with the terms of the Incentive Plan, the number of shares authorized for issuance under the Incentive Plan automatically increased by 2.5% of the number of shares of common stock issued and outstanding on December 31, 2009 and 2008, or 1,141,449 shares and 1,136,629 shares, respectively, raising the total number of shares of common stock authorized for issuance under the Incentive Plan to 6,478,015 shares. On February 22, 2010, the Company filed a Form S-8 to register the additional shares authorized for issuance on January 1, 2010 and 2009 under the Incentive Plan. Although the ESPP has not yet been implemented, a total of 1,049,984 shares of the Company’s common stock have been authorized for sale under the ESPP.</w:t>
      </w:r>
    </w:p>
    <w:p>
      <w:pPr>
        <w:spacing w:after="0" w:line="126" w:lineRule="exact"/>
        <w:rPr>
          <w:sz w:val="20"/>
          <w:szCs w:val="20"/>
          <w:color w:val="auto"/>
        </w:rPr>
      </w:pPr>
    </w:p>
    <w:p>
      <w:pPr>
        <w:ind w:left="340" w:right="619" w:firstLine="373"/>
        <w:spacing w:after="0" w:line="277" w:lineRule="auto"/>
        <w:rPr>
          <w:sz w:val="20"/>
          <w:szCs w:val="20"/>
          <w:color w:val="auto"/>
        </w:rPr>
      </w:pPr>
      <w:r>
        <w:rPr>
          <w:rFonts w:ascii="Arial" w:cs="Arial" w:eastAsia="Arial" w:hAnsi="Arial"/>
          <w:sz w:val="18"/>
          <w:szCs w:val="18"/>
          <w:color w:val="auto"/>
        </w:rPr>
        <w:t>A summary of the activity related to stock options granted under the Company’s Incentive Plan since December 31, 2009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020" w:type="dxa"/>
            <w:vAlign w:val="bottom"/>
            <w:tcBorders>
              <w:bottom w:val="single" w:sz="8" w:color="auto"/>
            </w:tcBorders>
            <w:gridSpan w:val="8"/>
          </w:tcPr>
          <w:p>
            <w:pPr>
              <w:ind w:left="880"/>
              <w:spacing w:after="0"/>
              <w:rPr>
                <w:sz w:val="20"/>
                <w:szCs w:val="20"/>
                <w:color w:val="auto"/>
              </w:rPr>
            </w:pPr>
            <w:r>
              <w:rPr>
                <w:rFonts w:ascii="Arial" w:cs="Arial" w:eastAsia="Arial" w:hAnsi="Arial"/>
                <w:sz w:val="18"/>
                <w:szCs w:val="18"/>
                <w:b w:val="1"/>
                <w:bCs w:val="1"/>
                <w:color w:val="auto"/>
                <w:w w:val="91"/>
              </w:rPr>
              <w:t>Summary of Stock Options Outstanding</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 per</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3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Term (Years)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3,349,996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21.10</w:t>
            </w: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848,800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(41,855)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(16,585)</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15.21</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4,140,356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49,850</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March 31, 2010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12.01</w:t>
            </w: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8.64</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14,899</w:t>
            </w: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1,054,421</w:t>
            </w:r>
          </w:p>
        </w:tc>
        <w:tc>
          <w:tcPr>
            <w:tcW w:w="3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2,026,283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1139" w:hanging="34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our closing stock price on March 31, 2010 ($26.14) in excess of the exercise price multiplied by the number of options outstanding or exercisable.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999" w:firstLine="373"/>
        <w:spacing w:after="0" w:line="277" w:lineRule="auto"/>
        <w:rPr>
          <w:sz w:val="20"/>
          <w:szCs w:val="20"/>
          <w:color w:val="auto"/>
        </w:rPr>
      </w:pPr>
      <w:r>
        <w:rPr>
          <w:rFonts w:ascii="Arial" w:cs="Arial" w:eastAsia="Arial" w:hAnsi="Arial"/>
          <w:sz w:val="18"/>
          <w:szCs w:val="18"/>
          <w:color w:val="auto"/>
        </w:rPr>
        <w:t>The table below outlines share-based compensation expense for the quarter ended March 31, 2010 and 2009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98" w:lineRule="exact"/>
        <w:rPr>
          <w:sz w:val="20"/>
          <w:szCs w:val="20"/>
          <w:color w:val="auto"/>
        </w:rPr>
      </w:pPr>
    </w:p>
    <w:p>
      <w:pPr>
        <w:ind w:left="340" w:right="899" w:firstLine="373"/>
        <w:spacing w:after="0" w:line="342" w:lineRule="auto"/>
        <w:rPr>
          <w:sz w:val="20"/>
          <w:szCs w:val="20"/>
          <w:color w:val="auto"/>
        </w:rPr>
      </w:pPr>
      <w:r>
        <w:rPr>
          <w:rFonts w:ascii="Arial" w:cs="Arial" w:eastAsia="Arial" w:hAnsi="Arial"/>
          <w:sz w:val="16"/>
          <w:szCs w:val="16"/>
          <w:color w:val="auto"/>
        </w:rPr>
        <w:t>On March 3, 2009, the Company granted 2,614 shares of common stock with a fair value of $15.30 per share, to certain members of the Company’s board of directors. The restricted shares have voting rights and vested on March 3, 2010.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189"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of 1965, as amended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61" w:lineRule="exact"/>
        <w:rPr>
          <w:sz w:val="20"/>
          <w:szCs w:val="20"/>
          <w:color w:val="auto"/>
        </w:rPr>
      </w:pPr>
    </w:p>
    <w:p>
      <w:pPr>
        <w:ind w:left="340" w:right="559" w:firstLine="373"/>
        <w:spacing w:after="0" w:line="289"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 submitted its application for recertification in March 2008 in anticipation of the expiration of its provisional certification on June 30, 2008. The Department of Education did not make a decision on the Company’s recertification application by June 30, 2008, and therefore the Company’s participation in the Title IV programs has been automatically extended on a month-to-month basis until the Department of Education makes its decision. As</w:t>
      </w:r>
    </w:p>
    <w:p>
      <w:pPr>
        <w:sectPr>
          <w:pgSz w:w="11900" w:h="16838" w:orient="portrait"/>
          <w:cols w:equalWidth="0" w:num="1">
            <w:col w:w="10219"/>
          </w:cols>
          <w:pgMar w:left="240" w:top="419" w:right="1440" w:bottom="0" w:gutter="0" w:footer="0" w:header="0"/>
        </w:sectPr>
      </w:pPr>
    </w:p>
    <w:bookmarkStart w:id="16" w:name="page17"/>
    <w:bookmarkEnd w:id="16"/>
    <w:p>
      <w:pPr>
        <w:ind w:right="639"/>
        <w:spacing w:after="0" w:line="277" w:lineRule="auto"/>
        <w:rPr>
          <w:sz w:val="20"/>
          <w:szCs w:val="20"/>
          <w:color w:val="auto"/>
        </w:rPr>
      </w:pPr>
      <w:r>
        <w:rPr>
          <w:rFonts w:ascii="Arial" w:cs="Arial" w:eastAsia="Arial" w:hAnsi="Arial"/>
          <w:sz w:val="18"/>
          <w:szCs w:val="18"/>
          <w:color w:val="auto"/>
        </w:rPr>
        <w:t>of December 31, 2009 and March 31, 2010, management believes the Company is in compliance with the applicable regulations in all material respects.</w:t>
      </w:r>
    </w:p>
    <w:p>
      <w:pPr>
        <w:spacing w:after="0" w:line="130" w:lineRule="exact"/>
        <w:rPr>
          <w:sz w:val="20"/>
          <w:szCs w:val="20"/>
          <w:color w:val="auto"/>
        </w:rPr>
      </w:pPr>
    </w:p>
    <w:p>
      <w:pPr>
        <w:ind w:right="619" w:firstLine="373"/>
        <w:spacing w:after="0" w:line="273" w:lineRule="auto"/>
        <w:rPr>
          <w:sz w:val="20"/>
          <w:szCs w:val="20"/>
          <w:color w:val="auto"/>
        </w:rPr>
      </w:pPr>
      <w:r>
        <w:rPr>
          <w:rFonts w:ascii="Arial" w:cs="Arial" w:eastAsia="Arial" w:hAnsi="Arial"/>
          <w:sz w:val="17"/>
          <w:szCs w:val="17"/>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200" w:lineRule="exact"/>
        <w:rPr>
          <w:sz w:val="20"/>
          <w:szCs w:val="20"/>
          <w:color w:val="auto"/>
        </w:rPr>
      </w:pPr>
    </w:p>
    <w:p>
      <w:pPr>
        <w:spacing w:after="0" w:line="34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38" w:lineRule="exact"/>
        <w:rPr>
          <w:sz w:val="20"/>
          <w:szCs w:val="20"/>
          <w:color w:val="auto"/>
        </w:rPr>
      </w:pPr>
    </w:p>
    <w:p>
      <w:pPr>
        <w:ind w:left="1420" w:right="579" w:hanging="345"/>
        <w:spacing w:after="0" w:line="264"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13"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420" w:right="89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b w:val="1"/>
          <w:bCs w:val="1"/>
          <w:color w:val="auto"/>
        </w:rPr>
      </w:pPr>
    </w:p>
    <w:p>
      <w:pPr>
        <w:ind w:left="1420" w:right="107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02" w:lineRule="exact"/>
        <w:rPr>
          <w:rFonts w:ascii="Arial" w:cs="Arial" w:eastAsia="Arial" w:hAnsi="Arial"/>
          <w:sz w:val="18"/>
          <w:szCs w:val="18"/>
          <w:b w:val="1"/>
          <w:bCs w:val="1"/>
          <w:color w:val="auto"/>
        </w:rPr>
      </w:pPr>
    </w:p>
    <w:p>
      <w:pPr>
        <w:ind w:left="1420" w:right="859" w:hanging="345"/>
        <w:spacing w:after="0" w:line="264"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convenants and to pay principal and interest payments, limits our ability to conduct our operations or seek new business opportunities;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0" w:lineRule="exact"/>
        <w:rPr>
          <w:rFonts w:ascii="Arial" w:cs="Arial" w:eastAsia="Arial" w:hAnsi="Arial"/>
          <w:sz w:val="16"/>
          <w:szCs w:val="16"/>
          <w:b w:val="1"/>
          <w:bCs w:val="1"/>
          <w:color w:val="auto"/>
        </w:rPr>
      </w:pPr>
    </w:p>
    <w:p>
      <w:pPr>
        <w:ind w:left="1420" w:right="113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and “Management’s Discussion and Analysis of Financial Condition and Results of Operations.”</w:t>
      </w:r>
    </w:p>
    <w:p>
      <w:pPr>
        <w:spacing w:after="0" w:line="130"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Forward-looking statements speak only as of the date the statements are made. Factors that could cause actual results to differ from those discussed in the forward-looking statements include, but are not limited to, those described in “Risk Factors” in Part I, Item 1A of our Annual Report on Form 10-K for the fiscal year ended December 31, 2009, as updated in our subsequent reports filed with the Securities and Exchange Commission (“SEC”), including any updates found in Part II, Item 1A of this or other reports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419" w:right="1440"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79" w:firstLine="373"/>
        <w:spacing w:after="0" w:line="253" w:lineRule="auto"/>
        <w:rPr>
          <w:sz w:val="20"/>
          <w:szCs w:val="20"/>
          <w:color w:val="auto"/>
        </w:rPr>
      </w:pPr>
      <w:r>
        <w:rPr>
          <w:rFonts w:ascii="Arial" w:cs="Arial" w:eastAsia="Arial" w:hAnsi="Arial"/>
          <w:sz w:val="18"/>
          <w:szCs w:val="18"/>
          <w:color w:val="auto"/>
        </w:rPr>
        <w:t>We are a regionally accredited provider of online postsecondary education services focused on offering graduate and undergraduate degree programs in our core disciplines of education, business, healthcare, and liberal arts. In addition to our online programs, we offer ground programs at our traditional campus in Phoenix, Arizona and onsite at the facilities of employers. In February 2004, several of our current stockholders acquired the assets of the school and converted its operations to a for-profit institution. Since then, we have enhanced our senior management team, expanded our online platform, increased our program offerings, and initiated a marketing and branding effort to further differentiate us in the markets in which we operate. We have also made investments to enhance our ground campus and student and technology support services. We believe the changes we have instituted, combined with our management expertise, provide a platform that will support continued enrollment and revenue growth.</w:t>
      </w:r>
    </w:p>
    <w:p>
      <w:pPr>
        <w:spacing w:after="0" w:line="157" w:lineRule="exact"/>
        <w:rPr>
          <w:sz w:val="20"/>
          <w:szCs w:val="20"/>
          <w:color w:val="auto"/>
        </w:rPr>
      </w:pPr>
    </w:p>
    <w:p>
      <w:pPr>
        <w:ind w:left="340" w:right="619" w:firstLine="373"/>
        <w:spacing w:after="0" w:line="289" w:lineRule="auto"/>
        <w:rPr>
          <w:sz w:val="20"/>
          <w:szCs w:val="20"/>
          <w:color w:val="auto"/>
        </w:rPr>
      </w:pPr>
      <w:r>
        <w:rPr>
          <w:rFonts w:ascii="Arial" w:cs="Arial" w:eastAsia="Arial" w:hAnsi="Arial"/>
          <w:sz w:val="16"/>
          <w:szCs w:val="16"/>
          <w:color w:val="auto"/>
        </w:rPr>
        <w:t>At March 31, 2010, we had approximately 38,900 students, an increase of 36.8% over the approximately 28,400 students we had at March 31, 2009. At March 31, 2010, 92.1% of our students were enrolled in our online programs, and 43.4% of our online students were pursuing master’s or doctoral degrees. In addition, revenue per student increased between periods as we increased tuition prices for students in our online and professional studies programs by 2.3% to 15.5% for our 2009-10 academic year, depending on the program, with an estimated blended rate increase of 5.0%, as compared to tuition price increases of 5.0% to 5.3% for the prior academic year. Tuition for our traditional ground programs increased 6.6% for our 2009-10 academic year, as compared to a tuition price increase of 11.2% for the prior academic year. In addition, we experienced an increase in the number of students taking 4 credit courses between years. Operating income was $19.6 million for the quarter ended March 31, 2010, an increase of $10.6 million over the $9.0 million in operating income for the quarter ended March 31, 2009.</w:t>
      </w:r>
    </w:p>
    <w:p>
      <w:pPr>
        <w:spacing w:after="0" w:line="126"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start an award year at any time throughout the year), we successfully converted our back office system from Datatel, Inc. to a series of programs developed by Campus Management Corp., including CampusVue and Campus Portal. Beginning in April 2010, all new and continuing online and professional studies students starting a new award year will have financial aid awarded based on the borrower-based academic year (“BBAY”) non-term processing. All other online and professional studies students will be transitioned to BBAY, non-term processing at the completion of their current spring term. All traditional ground students will remain on the term based financial aid system. This conversion allows us to manage our non-traditional online and professional studies students with greater ease and flexibility by providing for rolling and flexible start dates.</w:t>
      </w:r>
    </w:p>
    <w:p>
      <w:pPr>
        <w:spacing w:after="0" w:line="151" w:lineRule="exact"/>
        <w:rPr>
          <w:sz w:val="20"/>
          <w:szCs w:val="20"/>
          <w:color w:val="auto"/>
        </w:rPr>
      </w:pPr>
    </w:p>
    <w:p>
      <w:pPr>
        <w:ind w:left="340" w:right="719" w:firstLine="373"/>
        <w:spacing w:after="0" w:line="277" w:lineRule="auto"/>
        <w:rPr>
          <w:sz w:val="20"/>
          <w:szCs w:val="20"/>
          <w:color w:val="auto"/>
        </w:rPr>
      </w:pPr>
      <w:r>
        <w:rPr>
          <w:rFonts w:ascii="Arial" w:cs="Arial" w:eastAsia="Arial" w:hAnsi="Arial"/>
          <w:sz w:val="18"/>
          <w:szCs w:val="18"/>
          <w:color w:val="auto"/>
        </w:rPr>
        <w:t>The following is a summary of our student enrollment at March 31, 2010 and 2009 (which included less than 200 students pursuing non-degree certificates in each period) by degree type and by instructional delivery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16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16,213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22,641</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58.3%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14,265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16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35,796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3,058</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615 and 162 students pursuing doctoral degrees at March 31, 2010 and 2009, respectively.</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7"/>
          <w:szCs w:val="17"/>
          <w:color w:val="auto"/>
        </w:rPr>
        <w:t>As of March 31, 2010 and 2009, 43.4% and 52.2%, respectively, of our Online students are pursuing graduate degrees.</w:t>
      </w:r>
    </w:p>
    <w:p>
      <w:pPr>
        <w:spacing w:after="0" w:line="88" w:lineRule="exact"/>
        <w:rPr>
          <w:rFonts w:ascii="Arial" w:cs="Arial" w:eastAsia="Arial" w:hAnsi="Arial"/>
          <w:sz w:val="14"/>
          <w:szCs w:val="14"/>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ind w:left="340" w:right="639" w:firstLine="373"/>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 for the fiscal year ended December 31, 2009. During the three months ended March 31, 2010, there have been no significant changes in our critical accounting policies.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189"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130"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Spirit transaction and related borrowings</w:t>
      </w:r>
      <w:r>
        <w:rPr>
          <w:rFonts w:ascii="Arial" w:cs="Arial" w:eastAsia="Arial" w:hAnsi="Arial"/>
          <w:sz w:val="18"/>
          <w:szCs w:val="18"/>
          <w:color w:val="auto"/>
        </w:rPr>
        <w:t>. On April 28, 2009, we acquired the land and buildings that comprise our ground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campus and 909,348 shares of our common stock from Spirit Master Funding, LLC and Spirit Management Company, respectively (collectively, “Spirit”) for an aggregate purchase price of $50 million. To finance a portion of the purchase, we entered into a note agreement with a financial institution pursuant to which we borrowed $25.7 million. We removed the building and improvement assets and related capital lease obligations of $30.0 million. Accordingly, beginning in May 2009 our interest expense became lower as the effective interest rate for the capital lease obligations was approximately 8.7% as compared to the 3.8% variable rate on our note payable.</w:t>
      </w:r>
    </w:p>
    <w:p>
      <w:pPr>
        <w:sectPr>
          <w:pgSz w:w="11900" w:h="16838" w:orient="portrait"/>
          <w:cols w:equalWidth="0" w:num="1">
            <w:col w:w="10219"/>
          </w:cols>
          <w:pgMar w:left="240" w:top="419" w:right="1440" w:bottom="10" w:gutter="0" w:footer="0" w:header="0"/>
        </w:sectPr>
      </w:pPr>
    </w:p>
    <w:bookmarkStart w:id="20" w:name="page21"/>
    <w:bookmarkEnd w:id="20"/>
    <w:p>
      <w:pPr>
        <w:ind w:left="37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6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66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r>
      <w:tr>
        <w:trPr>
          <w:trHeight w:val="216"/>
        </w:trPr>
        <w:tc>
          <w:tcPr>
            <w:tcW w:w="668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r>
      <w:tr>
        <w:trPr>
          <w:trHeight w:val="216"/>
        </w:trPr>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16"/>
        </w:trPr>
        <w:tc>
          <w:tcPr>
            <w:tcW w:w="668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30"/>
        </w:trPr>
        <w:tc>
          <w:tcPr>
            <w:tcW w:w="668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0"/>
        </w:trPr>
        <w:tc>
          <w:tcPr>
            <w:tcW w:w="6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6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2010 Compared to Three Months Ended March 31, 2009</w:t>
      </w:r>
    </w:p>
    <w:p>
      <w:pPr>
        <w:spacing w:after="0" w:line="185" w:lineRule="exact"/>
        <w:rPr>
          <w:sz w:val="20"/>
          <w:szCs w:val="20"/>
          <w:color w:val="auto"/>
        </w:rPr>
      </w:pPr>
    </w:p>
    <w:p>
      <w:pPr>
        <w:ind w:left="340" w:right="839" w:firstLine="373"/>
        <w:spacing w:after="0" w:line="293"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quarter ended March 31, 2010 was $89.3 million, an increase of $33.8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61.1%, as compared to net revenue of $55.5 million for the quarter ended March 31, 2009.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End-of-period enrollment increased 36.8% between March 31, 2010 and 2009, as we were able to continue our growth and increase our recruitment, marketing, and enrollment operations.</w:t>
      </w:r>
    </w:p>
    <w:p>
      <w:pPr>
        <w:spacing w:after="0" w:line="138"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quarter ended March 31, 2010</w:t>
      </w:r>
      <w:r>
        <w:rPr>
          <w:rFonts w:ascii="Arial" w:cs="Arial" w:eastAsia="Arial" w:hAnsi="Arial"/>
          <w:sz w:val="16"/>
          <w:szCs w:val="16"/>
          <w:i w:val="1"/>
          <w:iCs w:val="1"/>
          <w:color w:val="auto"/>
        </w:rPr>
        <w:t xml:space="preserve"> </w:t>
      </w:r>
      <w:r>
        <w:rPr>
          <w:rFonts w:ascii="Arial" w:cs="Arial" w:eastAsia="Arial" w:hAnsi="Arial"/>
          <w:sz w:val="16"/>
          <w:szCs w:val="16"/>
          <w:color w:val="auto"/>
        </w:rPr>
        <w:t>were $31.8 million, an increase of $13.8 million, or 77.0%, as compared to instructional cost and services expenses of</w:t>
      </w:r>
    </w:p>
    <w:p>
      <w:pPr>
        <w:ind w:left="340"/>
        <w:spacing w:after="0"/>
        <w:rPr>
          <w:sz w:val="20"/>
          <w:szCs w:val="20"/>
          <w:color w:val="auto"/>
        </w:rPr>
      </w:pPr>
      <w:r>
        <w:rPr>
          <w:rFonts w:ascii="Arial" w:cs="Arial" w:eastAsia="Arial" w:hAnsi="Arial"/>
          <w:sz w:val="16"/>
          <w:szCs w:val="16"/>
          <w:color w:val="auto"/>
        </w:rPr>
        <w:t>$18.0 million for the quarter ended March 31, 2009. This increase was primarily due to increases in instructional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related expenses, faculty compensation, instructional supplies, depreciation and amortization, share-based compensation,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miscellaneous instructional costs and services of $4.3 million, $3.5 million, $1.1 million, $0.8 million, $0.3 million, and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$3.8 million, respectively. These increases are primarily attributable to the increased headcount (both staff and faculty) needed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student instruction and support services, including increased occupancy and equipment costs for the increased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headcount, to support the increase in enrollments. Our instructional cost and services expenses as a percentage of net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increased by 3.2% to 35.6% for the quarter ended March 31, 2010, as compared to 32.4% for the quarter ended March 31, 2009.</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increase was a result of an increase in employee compensation and related expenses as a percentage of revenue as we have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increased the support personnel to student ratios to further improve the customer service to our students and increased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instructional supplies and miscellaneous instructional costs due to increased licensing fees related to educational resources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continued improvement in curriculum development and new and enhanced innovative educational tools, partially offset by our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ability to leverage the fixed cost structure of our campus-based facilities and ground faculty across an increasing revenue base.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March 31, 2010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$26.9 million, an increase of $7.3 million, or 37.3%, as compared to selling and promotional expenses of $19.6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March 31, 2009.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related expenses and advertising of $4.6 million and $3.2 million, respectively, partially offset by a decrease in other selling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promotional related costs of $0.5 million. These increases were driven by a continued substantial expansion in our marketing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efforts, which resulted in an increase in recruitment, marketing, and enrollment staffing, and expenses related to our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sharing arrangement. Our selling and promotional expenses as a percentage of net revenue decreased by 5.2% to 30.1%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quarter ended March 31, 2010, from 35.3% for the quarter ended March 31, 2009. This decrease occurred as a result of an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 in the productivity of our enrollment counselors that were hired during 2008 and 2009, coupled with our efforts to focus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pursuing higher quality leads to increase enrollment. In this regard, we incur immediate expenses in connection with hiring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new enrollment counselors while these individuals undergo training, and typically do not achieve full productivity or generate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enrollments from these enrollment counselors until four to six months after their dates of hire. We plan to continue to add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enrollment counselors in the future, although the number of additional hires as a percentage of the total headcount is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to remain flat or decrease.</w:t>
      </w:r>
    </w:p>
    <w:p>
      <w:pPr>
        <w:spacing w:after="0" w:line="170" w:lineRule="exact"/>
        <w:rPr>
          <w:sz w:val="20"/>
          <w:szCs w:val="20"/>
          <w:color w:val="auto"/>
        </w:rPr>
      </w:pPr>
    </w:p>
    <w:p>
      <w:pPr>
        <w:ind w:left="340" w:right="639" w:firstLine="373"/>
        <w:spacing w:after="0" w:line="287"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March 31, 2010 were</w:t>
      </w:r>
      <w:r>
        <w:rPr>
          <w:rFonts w:ascii="Arial" w:cs="Arial" w:eastAsia="Arial" w:hAnsi="Arial"/>
          <w:sz w:val="16"/>
          <w:szCs w:val="16"/>
          <w:i w:val="1"/>
          <w:iCs w:val="1"/>
          <w:color w:val="auto"/>
        </w:rPr>
        <w:t xml:space="preserve"> </w:t>
      </w:r>
      <w:r>
        <w:rPr>
          <w:rFonts w:ascii="Arial" w:cs="Arial" w:eastAsia="Arial" w:hAnsi="Arial"/>
          <w:sz w:val="16"/>
          <w:szCs w:val="16"/>
          <w:color w:val="auto"/>
        </w:rPr>
        <w:t>$10.9 million, an increase of $2.1 million, or 23.2%, as compared to general and administrative expenses of $8.8 million for the quarter ended March 31, 2009. This increase was primarily due to increases in bad debt expense, employee compensation, and other general and administrative expenses of $1.5 million, $0.5 million, and $0.1 million, respectively. Bad debt expense increased to $4.8 million for the quarter ended March 31, 2010 from $3.3 million for the quarter ended March 31, 2009 as a result of an increase in net revenues and the increase in aged receivables between periods. Employee compensation increased primarily as a result of additions in 2009 and the first quarter of 2010 resulting from our continued growth. Our general and administrative expenses as a percentage of net revenue decreased by 3.7% to 12.2% for the quarter ended March 31, 2010, from 15.9% for the quarter ended March 31, 2009. This decrease was primarily due to a decrease in bad debt expense as a percentage of revenue from 5.9% in the first quarter of 2009 to 5.3% in the first quarter of 2010. As a result of current economic conditions, a higher percentage of aged receivables are not being paid. However, this deterioration in collections of aged receivables has</w:t>
      </w:r>
    </w:p>
    <w:p>
      <w:pPr>
        <w:sectPr>
          <w:pgSz w:w="11900" w:h="16838" w:orient="portrait"/>
          <w:cols w:equalWidth="0" w:num="1">
            <w:col w:w="10219"/>
          </w:cols>
          <w:pgMar w:left="240" w:top="419" w:right="1440" w:bottom="0" w:gutter="0" w:footer="0" w:header="0"/>
        </w:sectPr>
      </w:pPr>
    </w:p>
    <w:bookmarkStart w:id="22" w:name="page23"/>
    <w:bookmarkEnd w:id="22"/>
    <w:p>
      <w:pPr>
        <w:ind w:right="619"/>
        <w:spacing w:after="0" w:line="277" w:lineRule="auto"/>
        <w:rPr>
          <w:sz w:val="20"/>
          <w:szCs w:val="20"/>
          <w:color w:val="auto"/>
        </w:rPr>
      </w:pPr>
      <w:r>
        <w:rPr>
          <w:rFonts w:ascii="Arial" w:cs="Arial" w:eastAsia="Arial" w:hAnsi="Arial"/>
          <w:sz w:val="18"/>
          <w:szCs w:val="18"/>
          <w:color w:val="auto"/>
        </w:rPr>
        <w:t>recently been more than offset by changes that have been implemented with respect to our student accounts receivable collection process, which has resulted in fewer accounts reaching aged status.</w:t>
      </w:r>
    </w:p>
    <w:p>
      <w:pPr>
        <w:spacing w:after="0" w:line="130" w:lineRule="exact"/>
        <w:rPr>
          <w:sz w:val="20"/>
          <w:szCs w:val="20"/>
          <w:color w:val="auto"/>
        </w:rPr>
      </w:pPr>
    </w:p>
    <w:p>
      <w:pPr>
        <w:ind w:right="839" w:firstLine="373"/>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March 31, 2010 was $0.3 million, a decrease of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$0.7 million for the quarter ended March 31,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w:t>
      </w:r>
    </w:p>
    <w:p>
      <w:pPr>
        <w:spacing w:after="0" w:line="161" w:lineRule="exact"/>
        <w:rPr>
          <w:sz w:val="20"/>
          <w:szCs w:val="20"/>
          <w:color w:val="auto"/>
        </w:rPr>
      </w:pPr>
    </w:p>
    <w:p>
      <w:pPr>
        <w:ind w:right="579" w:firstLine="373"/>
        <w:spacing w:after="0" w:line="279" w:lineRule="auto"/>
        <w:rPr>
          <w:sz w:val="20"/>
          <w:szCs w:val="20"/>
          <w:color w:val="auto"/>
        </w:rPr>
      </w:pPr>
      <w:r>
        <w:rPr>
          <w:rFonts w:ascii="Arial" w:cs="Arial" w:eastAsia="Arial" w:hAnsi="Arial"/>
          <w:sz w:val="17"/>
          <w:szCs w:val="17"/>
          <w:i w:val="1"/>
          <w:iCs w:val="1"/>
          <w:color w:val="auto"/>
        </w:rPr>
        <w:t>Income tax expense (benefit)</w:t>
      </w:r>
      <w:r>
        <w:rPr>
          <w:rFonts w:ascii="Arial" w:cs="Arial" w:eastAsia="Arial" w:hAnsi="Arial"/>
          <w:sz w:val="17"/>
          <w:szCs w:val="17"/>
          <w:color w:val="auto"/>
        </w:rPr>
        <w:t>. Income tax expense for the quarter ended March 31, 2010 was $7.8 million,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$4.4 million from $3.4 million for the quarter ended March 31, 2009. This increase was primarily attributable to increased income before income taxes. Our effective tax rate was 40.6% during the first quarter of 2010 compared to 40.0% during the first quarter of 2009. The increase in the effective tax rate between periods is due to higher state income taxes.</w:t>
      </w:r>
    </w:p>
    <w:p>
      <w:pPr>
        <w:spacing w:after="0" w:line="131" w:lineRule="exact"/>
        <w:rPr>
          <w:sz w:val="20"/>
          <w:szCs w:val="20"/>
          <w:color w:val="auto"/>
        </w:rPr>
      </w:pPr>
    </w:p>
    <w:p>
      <w:pPr>
        <w:ind w:right="1159" w:firstLine="373"/>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quarter ended March 31, 2010 was $11.5 million, an increase of $6.4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$5.1 million for the quarter ended March 31, 2009, due to the factors discussed above.</w:t>
      </w:r>
    </w:p>
    <w:p>
      <w:pPr>
        <w:spacing w:after="0" w:line="200" w:lineRule="exact"/>
        <w:rPr>
          <w:sz w:val="20"/>
          <w:szCs w:val="20"/>
          <w:color w:val="auto"/>
        </w:rPr>
      </w:pPr>
    </w:p>
    <w:p>
      <w:pPr>
        <w:spacing w:after="0" w:line="31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we expect this summer effect to continue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right="659" w:firstLine="373"/>
        <w:spacing w:after="0" w:line="302"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quarter ended March 31, 2010 and 2009</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through cash provided by operating activities. Our unrestricted cash, cash equivalents, and marketable securities were $97.9 million and $63.1 million at March 31, 2010 and December 31, 2009, respectively. Our restricted cash, cash equivalents and investments at March 31, 2010 and December 31, 2009 were $6.2 million and $3.2 million, respectively.</w:t>
      </w:r>
    </w:p>
    <w:p>
      <w:pPr>
        <w:spacing w:after="0" w:line="127" w:lineRule="exact"/>
        <w:rPr>
          <w:sz w:val="20"/>
          <w:szCs w:val="20"/>
          <w:color w:val="auto"/>
        </w:rPr>
      </w:pPr>
    </w:p>
    <w:p>
      <w:pPr>
        <w:ind w:left="340" w:right="559" w:firstLine="373"/>
        <w:spacing w:after="0" w:line="283"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 We will be transitioning online and professional studies student into the borrower-based, non-term financial aid structure starting in</w:t>
      </w:r>
    </w:p>
    <w:p>
      <w:pPr>
        <w:spacing w:after="0" w:line="7" w:lineRule="exact"/>
        <w:rPr>
          <w:sz w:val="20"/>
          <w:szCs w:val="20"/>
          <w:color w:val="auto"/>
        </w:rPr>
      </w:pPr>
    </w:p>
    <w:p>
      <w:pPr>
        <w:ind w:left="340" w:right="559"/>
        <w:spacing w:after="0" w:line="323" w:lineRule="auto"/>
        <w:rPr>
          <w:sz w:val="20"/>
          <w:szCs w:val="20"/>
          <w:color w:val="auto"/>
        </w:rPr>
      </w:pPr>
      <w:r>
        <w:rPr>
          <w:rFonts w:ascii="Arial" w:cs="Arial" w:eastAsia="Arial" w:hAnsi="Arial"/>
          <w:sz w:val="16"/>
          <w:szCs w:val="16"/>
          <w:color w:val="auto"/>
        </w:rPr>
        <w:t>April 2010. This transition will be completed by August. Financial aid for these students will no longer be processed on a semester basis but rather a payment period basis where financial aid is released upon students completing a set number of credits.</w:t>
      </w:r>
    </w:p>
    <w:p>
      <w:pPr>
        <w:spacing w:after="0" w:line="98"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quarter ended March 31, 2010 was $49.1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$36.6 million for the quarter ended March 31, 2009. Cash provided by operations in the quarter ended March 31, 2010 resulted from our net income plus non cash charges for bad debts, depreciation and amortization, exit costs, share-based compensation and improvement in our working capital management.</w:t>
      </w:r>
    </w:p>
    <w:p>
      <w:pPr>
        <w:spacing w:after="0" w:line="146"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$14.0 million and $3.3 million for the quarter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2010 and 2009, respectively. Capital expenditures were $11.6 million and $4.5 million for the quarter ended March 31, 2010 and 2009, respectively. In 2010, cash used in investing activities primarily consisted of purchases of computer equipment, and software costs to complete our transition from Datatel to CampusVue and Great Plains, other internal use software projects, furniture and equipment to support our increasing employee base and headcount and ground campus building projects such as a new dorm and recreational center to support our increasing traditional ground student enrollment. In 2009, capital expenditures primarily consist of computer equipment, leasehold improvements, and office furniture and fixtures to support our increasing employee headcounts.</w:t>
      </w:r>
    </w:p>
    <w:p>
      <w:pPr>
        <w:spacing w:after="0" w:line="138" w:lineRule="exact"/>
        <w:rPr>
          <w:sz w:val="20"/>
          <w:szCs w:val="20"/>
          <w:color w:val="auto"/>
        </w:rPr>
      </w:pPr>
    </w:p>
    <w:p>
      <w:pPr>
        <w:ind w:left="340" w:right="719" w:firstLine="373"/>
        <w:spacing w:after="0" w:line="302"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$0.3 million in first quarter 2010 as compared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financing activities of $0.1 million for the quarter ended March 31, 2009. During 2010 principal payments on notes payable and capital lease obligations were offset by proceeds from the exercise of stock options. In 2009 principal payments on notes payable and capital lease obligations exceeded the proceeds received from the exercise of stock options.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following table sets forth, as of March 31, 2010,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0"/>
              </w:rPr>
              <w:t>Payments Due by Period</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2-3 Years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4-5 Years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0" w:gutter="0" w:footer="0" w:header="0"/>
        </w:sectPr>
      </w:pPr>
    </w:p>
    <w:bookmarkStart w:id="24" w:name="page25"/>
    <w:bookmarkEnd w:id="24"/>
    <w:p>
      <w:pPr>
        <w:ind w:left="348" w:right="999" w:hanging="348"/>
        <w:spacing w:after="0" w:line="342"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purchase obligation amounts include expected spending by period under contracts that were in effect at March 31, 2010. Less than one year represents expected expenditures from April 1, 2010 through December 31, 2010.</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8"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8" w:right="599" w:firstLine="373"/>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44" w:lineRule="exact"/>
        <w:rPr>
          <w:sz w:val="20"/>
          <w:szCs w:val="20"/>
          <w:color w:val="auto"/>
        </w:rPr>
      </w:pPr>
    </w:p>
    <w:p>
      <w:pPr>
        <w:jc w:val="both"/>
        <w:ind w:left="8" w:right="579" w:firstLine="373"/>
        <w:spacing w:after="0" w:line="302" w:lineRule="auto"/>
        <w:rPr>
          <w:sz w:val="20"/>
          <w:szCs w:val="20"/>
          <w:color w:val="auto"/>
        </w:rPr>
      </w:pPr>
      <w:r>
        <w:rPr>
          <w:rFonts w:ascii="Arial" w:cs="Arial" w:eastAsia="Arial" w:hAnsi="Arial"/>
          <w:sz w:val="16"/>
          <w:szCs w:val="16"/>
          <w:color w:val="auto"/>
        </w:rPr>
        <w:t>We define Adjusted EBITDA as net income plus interest expense net of interest income, plus income tax expense, and plus depreciation and amortization (EBITDA), as adjusted for (i) royalty payments incurred pursuant to an agreement with our former owner that has been terminated as of April 15, 2008, (ii) contributions made to Arizona school tuition organizations in lieu of the payment of state income taxes, (iii) estimated litigation loss, (iv) exit costs, and (v) share-based compensation.</w:t>
      </w:r>
    </w:p>
    <w:p>
      <w:pPr>
        <w:spacing w:after="0" w:line="200" w:lineRule="exact"/>
        <w:rPr>
          <w:sz w:val="20"/>
          <w:szCs w:val="20"/>
          <w:color w:val="auto"/>
        </w:rPr>
      </w:pPr>
    </w:p>
    <w:p>
      <w:pPr>
        <w:spacing w:after="0" w:line="305"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25" w:name="page26"/>
    <w:bookmarkEnd w:id="25"/>
    <w:p>
      <w:pPr>
        <w:spacing w:after="0" w:line="2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51"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48" w:lineRule="exact"/>
        <w:rPr>
          <w:sz w:val="20"/>
          <w:szCs w:val="20"/>
          <w:color w:val="auto"/>
        </w:rPr>
      </w:pPr>
    </w:p>
    <w:p>
      <w:pPr>
        <w:ind w:left="1420" w:hanging="345"/>
        <w:spacing w:after="0"/>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180" w:lineRule="exact"/>
        <w:rPr>
          <w:rFonts w:ascii="Arial" w:cs="Arial" w:eastAsia="Arial" w:hAnsi="Arial"/>
          <w:sz w:val="16"/>
          <w:szCs w:val="16"/>
          <w:b w:val="1"/>
          <w:bCs w:val="1"/>
          <w:color w:val="auto"/>
        </w:rPr>
      </w:pPr>
    </w:p>
    <w:p>
      <w:pPr>
        <w:ind w:left="1420" w:hanging="345"/>
        <w:spacing w:after="0"/>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1420" w:right="679" w:hanging="345"/>
        <w:spacing w:after="0" w:line="264" w:lineRule="auto"/>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(i) royalties to our former owner, including amortization of royalties prepaid in connection with our settlement, (ii) exit costs, and (iii) share-based compensation.</w:t>
      </w:r>
    </w:p>
    <w:p>
      <w:pPr>
        <w:spacing w:after="0" w:line="141" w:lineRule="exact"/>
        <w:rPr>
          <w:sz w:val="20"/>
          <w:szCs w:val="20"/>
          <w:color w:val="auto"/>
        </w:rPr>
      </w:pPr>
    </w:p>
    <w:p>
      <w:pPr>
        <w:ind w:left="340" w:right="739" w:firstLine="373"/>
        <w:spacing w:after="0" w:line="297"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vMerge w:val="restart"/>
          </w:tcPr>
          <w:p>
            <w:pPr>
              <w:spacing w:after="0"/>
              <w:rPr>
                <w:sz w:val="20"/>
                <w:szCs w:val="20"/>
                <w:color w:val="auto"/>
              </w:rPr>
            </w:pPr>
          </w:p>
        </w:tc>
        <w:tc>
          <w:tcPr>
            <w:tcW w:w="250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7,834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22,184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10,567</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exit costs</w:t>
            </w:r>
            <w:r>
              <w:rPr>
                <w:rFonts w:ascii="Arial" w:cs="Arial" w:eastAsia="Arial" w:hAnsi="Arial"/>
                <w:sz w:val="15"/>
                <w:szCs w:val="15"/>
                <w:color w:val="auto"/>
              </w:rPr>
              <w:t>(b)</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(c)</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23,384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amortization of prepaid royalties recorded in conjunction with a settlement with the former owner.</w:t>
      </w:r>
    </w:p>
    <w:p>
      <w:pPr>
        <w:spacing w:after="0" w:line="76" w:lineRule="exact"/>
        <w:rPr>
          <w:rFonts w:ascii="Arial" w:cs="Arial" w:eastAsia="Arial" w:hAnsi="Arial"/>
          <w:sz w:val="18"/>
          <w:szCs w:val="18"/>
          <w:color w:val="auto"/>
        </w:rPr>
      </w:pPr>
    </w:p>
    <w:p>
      <w:pPr>
        <w:ind w:left="680" w:right="559" w:hanging="348"/>
        <w:spacing w:after="0" w:line="347"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exit costs as a result of the closure of the student services facility in Utah during the fourth quarter of 2009. This amount represents increased costs related to an adjustment in the estimated sublease rentals associated with the leased space.</w:t>
      </w:r>
    </w:p>
    <w:p>
      <w:pPr>
        <w:ind w:left="680" w:hanging="348"/>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Reflects share-based compensation expense relating to stock and option grants made to employees and directors.</w:t>
      </w:r>
    </w:p>
    <w:p>
      <w:pPr>
        <w:spacing w:after="0" w:line="192"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left="340" w:right="59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2010 or 2009. There can be no assurance that future inflation will not have an adverse impact on our operating results and financial condition.</w:t>
      </w:r>
    </w:p>
    <w:p>
      <w:pPr>
        <w:spacing w:after="0" w:line="154"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variable rate debt we incurred in connection with the repurchase from Spirit of shares of our common stock and the land and buildings that comprise our ground campus, which debt matures in April 2014. The corridor instrument, which hedges variable interest rate risk starting July 1, 2009 through April 30, 2014 with a notional amount of $12.1 million as of March 31, 2010,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forward interest rate swap starts on May 1, 2010, continues each month thereafter until April 30, 2014, and has a notional amount</w:t>
      </w:r>
    </w:p>
    <w:p>
      <w:pPr>
        <w:sectPr>
          <w:pgSz w:w="11900" w:h="16865" w:orient="portrait"/>
          <w:cols w:equalWidth="0" w:num="1">
            <w:col w:w="10219"/>
          </w:cols>
          <w:pgMar w:left="240" w:top="419" w:right="1440" w:bottom="0" w:gutter="0" w:footer="0" w:header="0"/>
        </w:sectPr>
      </w:pPr>
    </w:p>
    <w:bookmarkStart w:id="26" w:name="page27"/>
    <w:bookmarkEnd w:id="26"/>
    <w:p>
      <w:pPr>
        <w:ind w:right="699"/>
        <w:spacing w:after="0" w:line="277" w:lineRule="auto"/>
        <w:rPr>
          <w:sz w:val="20"/>
          <w:szCs w:val="20"/>
          <w:color w:val="auto"/>
        </w:rPr>
      </w:pPr>
      <w:r>
        <w:rPr>
          <w:rFonts w:ascii="Arial" w:cs="Arial" w:eastAsia="Arial" w:hAnsi="Arial"/>
          <w:sz w:val="18"/>
          <w:szCs w:val="18"/>
          <w:color w:val="auto"/>
        </w:rPr>
        <w:t>of $12.0 million. Under this arrangement, we will receive 30 Day LIBOR and pay 3.245% fixed rate on the amortizing notional amount plus the credit spread.</w:t>
      </w:r>
    </w:p>
    <w:p>
      <w:pPr>
        <w:spacing w:after="0" w:line="130" w:lineRule="exact"/>
        <w:rPr>
          <w:sz w:val="20"/>
          <w:szCs w:val="20"/>
          <w:color w:val="auto"/>
        </w:rPr>
      </w:pPr>
    </w:p>
    <w:p>
      <w:pPr>
        <w:ind w:right="639" w:firstLine="373"/>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200" w:lineRule="exact"/>
        <w:rPr>
          <w:sz w:val="20"/>
          <w:szCs w:val="20"/>
          <w:color w:val="auto"/>
        </w:rPr>
      </w:pPr>
    </w:p>
    <w:p>
      <w:pPr>
        <w:spacing w:after="0" w:line="34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2010, a 10% increase or decrease in interest rates would not have a material impact on our future earnings, fair values, or cash flows. For information regarding our variable rate debt, see “Market risk” above.</w:t>
      </w:r>
    </w:p>
    <w:p>
      <w:pPr>
        <w:spacing w:after="0" w:line="162"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2010,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340" w:right="679" w:firstLine="373"/>
        <w:spacing w:after="0" w:line="270" w:lineRule="auto"/>
        <w:rPr>
          <w:sz w:val="20"/>
          <w:szCs w:val="20"/>
          <w:color w:val="auto"/>
        </w:rPr>
      </w:pPr>
      <w:r>
        <w:rPr>
          <w:rFonts w:ascii="Arial" w:cs="Arial" w:eastAsia="Arial" w:hAnsi="Arial"/>
          <w:sz w:val="17"/>
          <w:szCs w:val="17"/>
          <w:color w:val="auto"/>
        </w:rPr>
        <w:t xml:space="preserve">On August 14, 2008, the U. S. Department of Education, Office of Inspector General (“OIG”) served an administrative subpoena on Grand Canyon University requiring us to provide certain records and information related to performance reviews and salary adjustments for all of our enrollment counselors and managers from January 1, 2004 to August 2008. We are cooperating with the OIG to facilitate its investigation and have completed our rolling responsive document production, which commenced in September 2008. Under the terms of the proposed settlement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that we and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relator submitted to the Court for approval on April 28, 2010 (described below), the OIG investigation would be resolved. The proposed settlement is subject to Court approval and the United States will have an opportunity to object the proposed settlement. We cannot presently predict the ultimate outcome of the OIG investigation, including any liability or other sanctions that may result, or the outcome of the proposed settlement.</w:t>
      </w:r>
    </w:p>
    <w:p>
      <w:pPr>
        <w:spacing w:after="0" w:line="141"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The Company filed a motion to dismiss this case in November 2008, which was denied by the court in February 2009, and it has continued to vigorously contest this lawsuit. We cannot presently predict the ultimate outcome of this litigation or any liability or other sanctions that may result.</w:t>
      </w:r>
    </w:p>
    <w:p>
      <w:pPr>
        <w:spacing w:after="0" w:line="148" w:lineRule="exact"/>
        <w:rPr>
          <w:sz w:val="20"/>
          <w:szCs w:val="20"/>
          <w:color w:val="auto"/>
        </w:rPr>
      </w:pPr>
    </w:p>
    <w:p>
      <w:pPr>
        <w:ind w:left="340" w:right="619" w:firstLine="373"/>
        <w:spacing w:after="0" w:line="284" w:lineRule="auto"/>
        <w:rPr>
          <w:sz w:val="20"/>
          <w:szCs w:val="20"/>
          <w:color w:val="auto"/>
        </w:rPr>
      </w:pPr>
      <w:r>
        <w:rPr>
          <w:rFonts w:ascii="Arial" w:cs="Arial" w:eastAsia="Arial" w:hAnsi="Arial"/>
          <w:sz w:val="16"/>
          <w:szCs w:val="16"/>
          <w:color w:val="auto"/>
        </w:rPr>
        <w:t xml:space="preserve">Pursuant to the court’s mandatory scheduling order, we entered into a settlement discussions with respect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with the relator. In connection with such discussions, in October 2009, we reached a settlement in principle with the relator pursuant to which we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Thus, in the third quarter of 2009, we accrued $5.2 million for the estimated litigation loss. On April 28, 2010, we and the relator submitted a proposed settlement agreement to the Court for approval. Under a scheduling order set by the Court, the United States may file any objections it has to the proposed settlement on or before</w:t>
      </w:r>
    </w:p>
    <w:p>
      <w:pPr>
        <w:spacing w:after="0" w:line="5" w:lineRule="exact"/>
        <w:rPr>
          <w:sz w:val="20"/>
          <w:szCs w:val="20"/>
          <w:color w:val="auto"/>
        </w:rPr>
      </w:pPr>
    </w:p>
    <w:p>
      <w:pPr>
        <w:ind w:left="340" w:right="579"/>
        <w:spacing w:after="0" w:line="273" w:lineRule="auto"/>
        <w:rPr>
          <w:sz w:val="20"/>
          <w:szCs w:val="20"/>
          <w:color w:val="auto"/>
        </w:rPr>
      </w:pPr>
      <w:r>
        <w:rPr>
          <w:rFonts w:ascii="Arial" w:cs="Arial" w:eastAsia="Arial" w:hAnsi="Arial"/>
          <w:sz w:val="17"/>
          <w:szCs w:val="17"/>
          <w:color w:val="auto"/>
        </w:rPr>
        <w:t>May 28, 2010. The settlement agreement, and the ultimate dismissal of the action is subject to the Court’s approval and the Court has the authority to approve the proposed settlement over the United States’ objections, if any. The Court has set a hearing on approval, modification, or rejection of the proposed settlement for June 10, 2010. Should the parties fail to conclude the settlement on the proposed or other terms, we intend to vigorously defend this lawsuit.</w:t>
      </w:r>
    </w:p>
    <w:p>
      <w:pPr>
        <w:sectPr>
          <w:pgSz w:w="11900" w:h="16838" w:orient="portrait"/>
          <w:cols w:equalWidth="0" w:num="1">
            <w:col w:w="10219"/>
          </w:cols>
          <w:pgMar w:left="240" w:top="419" w:right="1440" w:bottom="0" w:gutter="0" w:footer="0" w:header="0"/>
        </w:sectPr>
      </w:pPr>
    </w:p>
    <w:bookmarkStart w:id="28" w:name="page29"/>
    <w:bookmarkEnd w:id="28"/>
    <w:p>
      <w:pPr>
        <w:ind w:right="65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w:t>
      </w:r>
    </w:p>
    <w:p>
      <w:pPr>
        <w:spacing w:after="0" w:line="146" w:lineRule="exact"/>
        <w:rPr>
          <w:sz w:val="20"/>
          <w:szCs w:val="20"/>
          <w:color w:val="auto"/>
        </w:rPr>
      </w:pPr>
    </w:p>
    <w:p>
      <w:pPr>
        <w:ind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99" w:firstLine="373"/>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2009.</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8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39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w w:val="97"/>
              </w:rPr>
              <w:t>Amended and Restated Certificate of Incorporation.</w:t>
            </w:r>
          </w:p>
        </w:tc>
        <w:tc>
          <w:tcPr>
            <w:tcW w:w="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8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26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200" w:type="dxa"/>
            <w:vAlign w:val="bottom"/>
          </w:tcPr>
          <w:p>
            <w:pPr>
              <w:ind w:left="280"/>
              <w:spacing w:after="0"/>
              <w:rPr>
                <w:sz w:val="20"/>
                <w:szCs w:val="20"/>
                <w:color w:val="auto"/>
              </w:rPr>
            </w:pPr>
            <w:r>
              <w:rPr>
                <w:rFonts w:ascii="Arial" w:cs="Arial" w:eastAsia="Arial" w:hAnsi="Arial"/>
                <w:sz w:val="18"/>
                <w:szCs w:val="18"/>
                <w:color w:val="auto"/>
                <w:w w:val="94"/>
              </w:rPr>
              <w:t>Amended and Restated Investor Rights Agreement,</w:t>
            </w:r>
          </w:p>
        </w:tc>
      </w:tr>
      <w:tr>
        <w:trPr>
          <w:trHeight w:val="216"/>
        </w:trPr>
        <w:tc>
          <w:tcPr>
            <w:tcW w:w="6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w w:val="99"/>
              </w:rPr>
              <w:t>dated September 17, 2008, by and among Grand</w:t>
            </w:r>
          </w:p>
        </w:tc>
      </w:tr>
      <w:tr>
        <w:trPr>
          <w:trHeight w:val="216"/>
        </w:trPr>
        <w:tc>
          <w:tcPr>
            <w:tcW w:w="6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w w:val="93"/>
              </w:rPr>
              <w:t>Canyon Education, Inc. and the other parties named</w:t>
            </w:r>
          </w:p>
        </w:tc>
      </w:tr>
      <w:tr>
        <w:trPr>
          <w:trHeight w:val="230"/>
        </w:trPr>
        <w:tc>
          <w:tcPr>
            <w:tcW w:w="62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therein.</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4200" w:type="dxa"/>
            <w:vAlign w:val="bottom"/>
          </w:tcPr>
          <w:p>
            <w:pPr>
              <w:ind w:left="280"/>
              <w:spacing w:after="0"/>
              <w:rPr>
                <w:sz w:val="20"/>
                <w:szCs w:val="20"/>
                <w:color w:val="auto"/>
              </w:rPr>
            </w:pPr>
            <w:r>
              <w:rPr>
                <w:rFonts w:ascii="Arial" w:cs="Arial" w:eastAsia="Arial" w:hAnsi="Arial"/>
                <w:sz w:val="18"/>
                <w:szCs w:val="18"/>
                <w:color w:val="auto"/>
                <w:w w:val="97"/>
              </w:rPr>
              <w:t>Certification of Chief Executive Officer pursuant to</w:t>
            </w:r>
          </w:p>
        </w:tc>
      </w:tr>
      <w:tr>
        <w:trPr>
          <w:trHeight w:val="216"/>
        </w:trPr>
        <w:tc>
          <w:tcPr>
            <w:tcW w:w="6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w w:val="88"/>
              </w:rPr>
              <w:t>Rules 13a-14(a) and 15d-14(a), as adopted pursuant to</w:t>
            </w:r>
          </w:p>
        </w:tc>
      </w:tr>
      <w:tr>
        <w:trPr>
          <w:trHeight w:val="230"/>
        </w:trPr>
        <w:tc>
          <w:tcPr>
            <w:tcW w:w="62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899"/>
        <w:spacing w:after="0" w:line="259" w:lineRule="auto"/>
        <w:rPr>
          <w:sz w:val="20"/>
          <w:szCs w:val="20"/>
          <w:color w:val="auto"/>
        </w:rPr>
      </w:pPr>
      <w:r>
        <w:rPr>
          <w:rFonts w:ascii="Arial" w:cs="Arial" w:eastAsia="Arial" w:hAnsi="Arial"/>
          <w:sz w:val="18"/>
          <w:szCs w:val="18"/>
          <w:color w:val="auto"/>
        </w:rPr>
        <w:t>Incorporated by reference to Exhibit 4.1 to Amendment No. 2 to the Company’s Registration Statement on Form S-1 filed with the SEC on September 29, 2008.</w:t>
      </w:r>
    </w:p>
    <w:p>
      <w:pPr>
        <w:spacing w:after="0" w:line="187" w:lineRule="exact"/>
        <w:rPr>
          <w:sz w:val="20"/>
          <w:szCs w:val="20"/>
          <w:color w:val="auto"/>
        </w:rPr>
      </w:pPr>
    </w:p>
    <w:p>
      <w:pPr>
        <w:ind w:right="89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380" w:space="360"/>
            <w:col w:w="4479"/>
          </w:cols>
          <w:pgMar w:left="240" w:top="419" w:right="1440" w:bottom="1440" w:gutter="0" w:footer="0" w:header="0"/>
          <w:type w:val="continuous"/>
        </w:sectPr>
      </w:pP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440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Rules 13a-14(a) and 15d-14(a),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4400" w:type="dxa"/>
            <w:vAlign w:val="bottom"/>
          </w:tcPr>
          <w:p>
            <w:pPr>
              <w:ind w:left="280"/>
              <w:spacing w:after="0"/>
              <w:rPr>
                <w:sz w:val="20"/>
                <w:szCs w:val="20"/>
                <w:color w:val="auto"/>
              </w:rPr>
            </w:pPr>
            <w:r>
              <w:rPr>
                <w:rFonts w:ascii="Arial" w:cs="Arial" w:eastAsia="Arial" w:hAnsi="Arial"/>
                <w:sz w:val="18"/>
                <w:szCs w:val="18"/>
                <w:color w:val="auto"/>
                <w:w w:val="96"/>
              </w:rPr>
              <w:t>Certification of Chief Executive Officer pursuant to 18</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 †</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4400" w:type="dxa"/>
            <w:vAlign w:val="bottom"/>
          </w:tcPr>
          <w:p>
            <w:pPr>
              <w:ind w:left="280"/>
              <w:spacing w:after="0"/>
              <w:rPr>
                <w:sz w:val="20"/>
                <w:szCs w:val="20"/>
                <w:color w:val="auto"/>
              </w:rPr>
            </w:pPr>
            <w:r>
              <w:rPr>
                <w:rFonts w:ascii="Arial" w:cs="Arial" w:eastAsia="Arial" w:hAnsi="Arial"/>
                <w:sz w:val="18"/>
                <w:szCs w:val="18"/>
                <w:color w:val="auto"/>
                <w:w w:val="98"/>
              </w:rPr>
              <w:t>Certification of Chief Financial Officer pursuant to 18</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 †</w:t>
            </w:r>
          </w:p>
        </w:tc>
        <w:tc>
          <w:tcPr>
            <w:tcW w:w="1260" w:type="dxa"/>
            <w:vAlign w:val="bottom"/>
          </w:tcPr>
          <w:p>
            <w:pPr>
              <w:spacing w:after="0"/>
              <w:rPr>
                <w:sz w:val="20"/>
                <w:szCs w:val="20"/>
                <w:color w:val="auto"/>
              </w:rPr>
            </w:pPr>
          </w:p>
        </w:tc>
      </w:tr>
    </w:tbl>
    <w:p>
      <w:pPr>
        <w:spacing w:after="0" w:line="107" w:lineRule="exact"/>
        <w:rPr>
          <w:sz w:val="20"/>
          <w:szCs w:val="20"/>
          <w:color w:val="auto"/>
        </w:rPr>
      </w:pPr>
    </w:p>
    <w:p>
      <w:pPr>
        <w:ind w:left="680" w:right="839" w:hanging="348"/>
        <w:spacing w:after="0" w:line="312"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8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120" w:type="dxa"/>
            <w:vAlign w:val="bottom"/>
            <w:gridSpan w:val="2"/>
          </w:tcPr>
          <w:p>
            <w:pPr>
              <w:ind w:left="1500"/>
              <w:spacing w:after="0"/>
              <w:rPr>
                <w:sz w:val="20"/>
                <w:szCs w:val="20"/>
                <w:color w:val="auto"/>
              </w:rPr>
            </w:pPr>
            <w:r>
              <w:rPr>
                <w:rFonts w:ascii="Arial" w:cs="Arial" w:eastAsia="Arial" w:hAnsi="Arial"/>
                <w:sz w:val="18"/>
                <w:szCs w:val="18"/>
                <w:b w:val="1"/>
                <w:bCs w:val="1"/>
                <w:color w:val="auto"/>
              </w:rPr>
              <w:t>GRAND CANYON EDUCATION, INC.</w:t>
            </w:r>
          </w:p>
        </w:tc>
        <w:tc>
          <w:tcPr>
            <w:tcW w:w="3120" w:type="dxa"/>
            <w:vAlign w:val="bottom"/>
          </w:tcPr>
          <w:p>
            <w:pPr>
              <w:spacing w:after="0"/>
              <w:rPr>
                <w:sz w:val="20"/>
                <w:szCs w:val="20"/>
                <w:color w:val="auto"/>
              </w:rPr>
            </w:pPr>
          </w:p>
        </w:tc>
      </w:tr>
      <w:tr>
        <w:trPr>
          <w:trHeight w:val="432"/>
        </w:trPr>
        <w:tc>
          <w:tcPr>
            <w:tcW w:w="3180" w:type="dxa"/>
            <w:vAlign w:val="bottom"/>
          </w:tcPr>
          <w:p>
            <w:pPr>
              <w:ind w:left="340"/>
              <w:spacing w:after="0"/>
              <w:rPr>
                <w:sz w:val="20"/>
                <w:szCs w:val="20"/>
                <w:color w:val="auto"/>
              </w:rPr>
            </w:pPr>
            <w:r>
              <w:rPr>
                <w:rFonts w:ascii="Arial" w:cs="Arial" w:eastAsia="Arial" w:hAnsi="Arial"/>
                <w:sz w:val="18"/>
                <w:szCs w:val="18"/>
                <w:color w:val="auto"/>
              </w:rPr>
              <w:t>Date: May 4, 2010</w:t>
            </w:r>
          </w:p>
        </w:tc>
        <w:tc>
          <w:tcPr>
            <w:tcW w:w="5120" w:type="dxa"/>
            <w:vAlign w:val="bottom"/>
            <w:gridSpan w:val="2"/>
          </w:tcPr>
          <w:p>
            <w:pPr>
              <w:ind w:left="1500"/>
              <w:spacing w:after="0"/>
              <w:rPr>
                <w:sz w:val="20"/>
                <w:szCs w:val="20"/>
                <w:color w:val="auto"/>
              </w:rPr>
            </w:pPr>
            <w:r>
              <w:rPr>
                <w:rFonts w:ascii="Arial" w:cs="Arial" w:eastAsia="Arial" w:hAnsi="Arial"/>
                <w:sz w:val="18"/>
                <w:szCs w:val="18"/>
                <w:color w:val="auto"/>
              </w:rPr>
              <w:t>By: /s/ Daniel E. Bachus</w:t>
            </w:r>
          </w:p>
        </w:tc>
        <w:tc>
          <w:tcPr>
            <w:tcW w:w="3120" w:type="dxa"/>
            <w:vAlign w:val="bottom"/>
          </w:tcPr>
          <w:p>
            <w:pPr>
              <w:spacing w:after="0"/>
              <w:rPr>
                <w:sz w:val="24"/>
                <w:szCs w:val="24"/>
                <w:color w:val="auto"/>
              </w:rPr>
            </w:pPr>
          </w:p>
        </w:tc>
      </w:tr>
      <w:tr>
        <w:trPr>
          <w:trHeight w:val="195"/>
        </w:trPr>
        <w:tc>
          <w:tcPr>
            <w:tcW w:w="3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3120" w:type="dxa"/>
            <w:vAlign w:val="bottom"/>
          </w:tcPr>
          <w:p>
            <w:pPr>
              <w:spacing w:after="0"/>
              <w:rPr>
                <w:sz w:val="16"/>
                <w:szCs w:val="16"/>
                <w:color w:val="auto"/>
              </w:rPr>
            </w:pPr>
          </w:p>
        </w:tc>
      </w:tr>
      <w:tr>
        <w:trPr>
          <w:trHeight w:val="216"/>
        </w:trPr>
        <w:tc>
          <w:tcPr>
            <w:tcW w:w="3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1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312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120" w:type="dxa"/>
            <w:vAlign w:val="bottom"/>
          </w:tcPr>
          <w:p>
            <w:pPr>
              <w:spacing w:after="0"/>
              <w:rPr>
                <w:sz w:val="20"/>
                <w:szCs w:val="20"/>
                <w:color w:val="auto"/>
              </w:rPr>
            </w:pPr>
          </w:p>
        </w:tc>
      </w:tr>
      <w:tr>
        <w:trPr>
          <w:trHeight w:val="783"/>
        </w:trPr>
        <w:tc>
          <w:tcPr>
            <w:tcW w:w="3180" w:type="dxa"/>
            <w:vAlign w:val="bottom"/>
          </w:tcPr>
          <w:p>
            <w:pPr>
              <w:spacing w:after="0"/>
              <w:rPr>
                <w:sz w:val="24"/>
                <w:szCs w:val="24"/>
                <w:color w:val="auto"/>
              </w:rPr>
            </w:pPr>
          </w:p>
        </w:tc>
        <w:tc>
          <w:tcPr>
            <w:tcW w:w="5120" w:type="dxa"/>
            <w:vAlign w:val="bottom"/>
            <w:gridSpan w:val="2"/>
          </w:tcPr>
          <w:p>
            <w:pPr>
              <w:jc w:val="right"/>
              <w:ind w:right="3130"/>
              <w:spacing w:after="0"/>
              <w:rPr>
                <w:sz w:val="20"/>
                <w:szCs w:val="20"/>
                <w:color w:val="auto"/>
              </w:rPr>
            </w:pPr>
            <w:r>
              <w:rPr>
                <w:rFonts w:ascii="Arial" w:cs="Arial" w:eastAsia="Arial" w:hAnsi="Arial"/>
                <w:sz w:val="18"/>
                <w:szCs w:val="18"/>
                <w:color w:val="auto"/>
              </w:rPr>
              <w:t>19</w:t>
            </w:r>
          </w:p>
        </w:tc>
        <w:tc>
          <w:tcPr>
            <w:tcW w:w="3120" w:type="dxa"/>
            <w:vAlign w:val="bottom"/>
          </w:tcPr>
          <w:p>
            <w:pPr>
              <w:spacing w:after="0"/>
              <w:rPr>
                <w:sz w:val="24"/>
                <w:szCs w:val="24"/>
                <w:color w:val="auto"/>
              </w:rPr>
            </w:pPr>
          </w:p>
        </w:tc>
      </w:tr>
      <w:tr>
        <w:trPr>
          <w:trHeight w:val="226"/>
        </w:trPr>
        <w:tc>
          <w:tcPr>
            <w:tcW w:w="3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80" w:type="dxa"/>
            <w:vAlign w:val="bottom"/>
            <w:gridSpan w:val="2"/>
          </w:tcPr>
          <w:p>
            <w:pPr>
              <w:ind w:left="2880"/>
              <w:spacing w:after="0"/>
              <w:rPr>
                <w:sz w:val="20"/>
                <w:szCs w:val="20"/>
                <w:color w:val="auto"/>
              </w:rPr>
            </w:pPr>
            <w:r>
              <w:rPr>
                <w:rFonts w:ascii="Arial" w:cs="Arial" w:eastAsia="Arial" w:hAnsi="Arial"/>
                <w:sz w:val="18"/>
                <w:szCs w:val="18"/>
                <w:color w:val="auto"/>
              </w:rPr>
              <w:t>EXHIBIT INDEX</w:t>
            </w:r>
          </w:p>
        </w:tc>
        <w:tc>
          <w:tcPr>
            <w:tcW w:w="3920" w:type="dxa"/>
            <w:vAlign w:val="bottom"/>
          </w:tcPr>
          <w:p>
            <w:pPr>
              <w:spacing w:after="0"/>
              <w:rPr>
                <w:sz w:val="20"/>
                <w:szCs w:val="20"/>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920" w:type="dxa"/>
            <w:vAlign w:val="bottom"/>
          </w:tcPr>
          <w:p>
            <w:pPr>
              <w:ind w:left="132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Amended and Restated Certificate of Incorporation.</w:t>
            </w:r>
          </w:p>
        </w:tc>
        <w:tc>
          <w:tcPr>
            <w:tcW w:w="2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8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8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Specimen of Stock Certificate.</w:t>
            </w: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2 to the Company’s Registration</w:t>
            </w:r>
          </w:p>
        </w:tc>
      </w:tr>
      <w:tr>
        <w:trPr>
          <w:trHeight w:val="216"/>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200" w:type="dxa"/>
            <w:vAlign w:val="bottom"/>
          </w:tcPr>
          <w:p>
            <w:pPr>
              <w:ind w:left="280"/>
              <w:spacing w:after="0"/>
              <w:rPr>
                <w:sz w:val="20"/>
                <w:szCs w:val="20"/>
                <w:color w:val="auto"/>
              </w:rPr>
            </w:pPr>
            <w:r>
              <w:rPr>
                <w:rFonts w:ascii="Arial" w:cs="Arial" w:eastAsia="Arial" w:hAnsi="Arial"/>
                <w:sz w:val="18"/>
                <w:szCs w:val="18"/>
                <w:color w:val="auto"/>
                <w:w w:val="94"/>
              </w:rPr>
              <w:t>Amended and Restated Investor Rights Agreement,</w:t>
            </w:r>
          </w:p>
        </w:tc>
      </w:tr>
      <w:tr>
        <w:trPr>
          <w:trHeight w:val="216"/>
        </w:trPr>
        <w:tc>
          <w:tcPr>
            <w:tcW w:w="6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w w:val="99"/>
              </w:rPr>
              <w:t>dated September 17, 2008, by and among Grand</w:t>
            </w:r>
          </w:p>
        </w:tc>
      </w:tr>
      <w:tr>
        <w:trPr>
          <w:trHeight w:val="216"/>
        </w:trPr>
        <w:tc>
          <w:tcPr>
            <w:tcW w:w="6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w w:val="93"/>
              </w:rPr>
              <w:t>Canyon Education, Inc. and the other parties named</w:t>
            </w:r>
          </w:p>
        </w:tc>
      </w:tr>
      <w:tr>
        <w:trPr>
          <w:trHeight w:val="230"/>
        </w:trPr>
        <w:tc>
          <w:tcPr>
            <w:tcW w:w="62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therein.</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4200" w:type="dxa"/>
            <w:vAlign w:val="bottom"/>
          </w:tcPr>
          <w:p>
            <w:pPr>
              <w:ind w:left="280"/>
              <w:spacing w:after="0"/>
              <w:rPr>
                <w:sz w:val="20"/>
                <w:szCs w:val="20"/>
                <w:color w:val="auto"/>
              </w:rPr>
            </w:pPr>
            <w:r>
              <w:rPr>
                <w:rFonts w:ascii="Arial" w:cs="Arial" w:eastAsia="Arial" w:hAnsi="Arial"/>
                <w:sz w:val="18"/>
                <w:szCs w:val="18"/>
                <w:color w:val="auto"/>
                <w:w w:val="97"/>
              </w:rPr>
              <w:t>Certification of Chief Executive Officer pursuant to</w:t>
            </w:r>
          </w:p>
        </w:tc>
      </w:tr>
      <w:tr>
        <w:trPr>
          <w:trHeight w:val="216"/>
        </w:trPr>
        <w:tc>
          <w:tcPr>
            <w:tcW w:w="6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w w:val="88"/>
              </w:rPr>
              <w:t>Rules 13a-14(a) and 15d-14(a), as adopted pursuant to</w:t>
            </w:r>
          </w:p>
        </w:tc>
      </w:tr>
      <w:tr>
        <w:trPr>
          <w:trHeight w:val="230"/>
        </w:trPr>
        <w:tc>
          <w:tcPr>
            <w:tcW w:w="62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89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380" w:space="360"/>
            <w:col w:w="4479"/>
          </w:cols>
          <w:pgMar w:left="240" w:top="419" w:right="1440" w:bottom="1440" w:gutter="0" w:footer="0" w:header="0"/>
          <w:type w:val="continuous"/>
        </w:sectPr>
      </w:pP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440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Rules 13a-14(a) and 15d-14(a),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4400" w:type="dxa"/>
            <w:vAlign w:val="bottom"/>
          </w:tcPr>
          <w:p>
            <w:pPr>
              <w:ind w:left="280"/>
              <w:spacing w:after="0"/>
              <w:rPr>
                <w:sz w:val="20"/>
                <w:szCs w:val="20"/>
                <w:color w:val="auto"/>
              </w:rPr>
            </w:pPr>
            <w:r>
              <w:rPr>
                <w:rFonts w:ascii="Arial" w:cs="Arial" w:eastAsia="Arial" w:hAnsi="Arial"/>
                <w:sz w:val="18"/>
                <w:szCs w:val="18"/>
                <w:color w:val="auto"/>
                <w:w w:val="96"/>
              </w:rPr>
              <w:t>Certification of Chief Executive Officer pursuant to 18</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 †</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4400" w:type="dxa"/>
            <w:vAlign w:val="bottom"/>
          </w:tcPr>
          <w:p>
            <w:pPr>
              <w:ind w:left="280"/>
              <w:spacing w:after="0"/>
              <w:rPr>
                <w:sz w:val="20"/>
                <w:szCs w:val="20"/>
                <w:color w:val="auto"/>
              </w:rPr>
            </w:pPr>
            <w:r>
              <w:rPr>
                <w:rFonts w:ascii="Arial" w:cs="Arial" w:eastAsia="Arial" w:hAnsi="Arial"/>
                <w:sz w:val="18"/>
                <w:szCs w:val="18"/>
                <w:color w:val="auto"/>
                <w:w w:val="98"/>
              </w:rPr>
              <w:t>Certification of Chief Financial Officer pursuant to 18</w:t>
            </w:r>
          </w:p>
        </w:tc>
        <w:tc>
          <w:tcPr>
            <w:tcW w:w="1260" w:type="dxa"/>
            <w:vAlign w:val="bottom"/>
          </w:tcPr>
          <w:p>
            <w:pPr>
              <w:ind w:left="16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 †</w:t>
            </w:r>
          </w:p>
        </w:tc>
        <w:tc>
          <w:tcPr>
            <w:tcW w:w="1260" w:type="dxa"/>
            <w:vAlign w:val="bottom"/>
          </w:tcPr>
          <w:p>
            <w:pPr>
              <w:spacing w:after="0"/>
              <w:rPr>
                <w:sz w:val="20"/>
                <w:szCs w:val="20"/>
                <w:color w:val="auto"/>
              </w:rPr>
            </w:pPr>
          </w:p>
        </w:tc>
      </w:tr>
    </w:tbl>
    <w:p>
      <w:pPr>
        <w:spacing w:after="0" w:line="107" w:lineRule="exact"/>
        <w:rPr>
          <w:sz w:val="20"/>
          <w:szCs w:val="20"/>
          <w:color w:val="auto"/>
        </w:rPr>
      </w:pPr>
    </w:p>
    <w:p>
      <w:pPr>
        <w:ind w:left="680" w:right="839" w:hanging="348"/>
        <w:spacing w:after="0" w:line="312"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19" w:right="1440" w:bottom="1440" w:gutter="0" w:footer="0" w:header="0"/>
          <w:type w:val="continuous"/>
        </w:sectPr>
      </w:pPr>
    </w:p>
    <w:bookmarkStart w:id="32" w:name="page33"/>
    <w:bookmarkEnd w:id="32"/>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March 31, 2010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5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559" w:firstLine="739"/>
        <w:spacing w:after="0" w:line="286" w:lineRule="auto"/>
        <w:tabs>
          <w:tab w:leader="none" w:pos="941"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759" w:firstLine="739"/>
        <w:spacing w:after="0" w:line="264" w:lineRule="auto"/>
        <w:tabs>
          <w:tab w:leader="none" w:pos="9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659" w:firstLine="739"/>
        <w:spacing w:after="0" w:line="312" w:lineRule="auto"/>
        <w:tabs>
          <w:tab w:leader="none" w:pos="94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33" w:name="page34"/>
    <w:bookmarkEnd w:id="33"/>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March 31, 2010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84" w:lineRule="exact"/>
        <w:rPr>
          <w:sz w:val="20"/>
          <w:szCs w:val="20"/>
          <w:color w:val="auto"/>
        </w:rPr>
      </w:pPr>
    </w:p>
    <w:p>
      <w:pPr>
        <w:ind w:right="799" w:firstLine="365"/>
        <w:spacing w:after="0" w:line="264" w:lineRule="auto"/>
        <w:tabs>
          <w:tab w:leader="none" w:pos="5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5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right="559" w:firstLine="739"/>
        <w:spacing w:after="0" w:line="286" w:lineRule="auto"/>
        <w:tabs>
          <w:tab w:leader="none" w:pos="94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759" w:firstLine="739"/>
        <w:spacing w:after="0" w:line="264" w:lineRule="auto"/>
        <w:tabs>
          <w:tab w:leader="none" w:pos="9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right="659" w:firstLine="739"/>
        <w:spacing w:after="0" w:line="312" w:lineRule="auto"/>
        <w:tabs>
          <w:tab w:leader="none" w:pos="941"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79"/>
          </w:cols>
          <w:pgMar w:left="580" w:top="513" w:right="1440" w:bottom="1440" w:gutter="0" w:footer="0" w:header="0"/>
        </w:sectPr>
      </w:pPr>
    </w:p>
    <w:bookmarkStart w:id="34" w:name="page35"/>
    <w:bookmarkEnd w:id="34"/>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ind w:left="8" w:right="7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2010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46" w:lineRule="exact"/>
        <w:rPr>
          <w:sz w:val="20"/>
          <w:szCs w:val="20"/>
          <w:color w:val="auto"/>
        </w:rPr>
      </w:pPr>
    </w:p>
    <w:p>
      <w:pPr>
        <w:ind w:left="348" w:right="1079" w:hanging="348"/>
        <w:spacing w:after="0" w:line="277"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4,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75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513" w:right="1440" w:bottom="1440" w:gutter="0" w:footer="0" w:header="0"/>
        </w:sectPr>
      </w:pPr>
    </w:p>
    <w:bookmarkStart w:id="35" w:name="page36"/>
    <w:bookmarkEnd w:id="35"/>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5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2010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46" w:lineRule="exact"/>
        <w:rPr>
          <w:sz w:val="20"/>
          <w:szCs w:val="20"/>
          <w:color w:val="auto"/>
        </w:rPr>
      </w:pPr>
    </w:p>
    <w:p>
      <w:pPr>
        <w:ind w:left="348" w:right="1079" w:hanging="348"/>
        <w:spacing w:after="0" w:line="277"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4,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2"/>
    </w:lvl>
    <w:lvl w:ilvl="1">
      <w:lvlJc w:val="left"/>
      <w:lvlText w:val="%2)"/>
      <w:numFmt w:val="lowerLetter"/>
      <w:start w:val="1"/>
    </w:lvl>
  </w:abstractNum>
  <w:abstractNum w:abstractNumId="11">
    <w:nsid w:val="3352255A"/>
    <w:multiLevelType w:val="hybridMultilevel"/>
    <w:lvl w:ilvl="0">
      <w:lvlJc w:val="left"/>
      <w:lvlText w:val="%1."/>
      <w:numFmt w:val="decimal"/>
      <w:start w:val="2"/>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2019-12-11T06:31:55Z</dcterms:created>
  <dcterms:modified xsi:type="dcterms:W3CDTF">2019-12-11T06:31:55Z</dcterms:modified>
</cp:coreProperties>
</file>