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51"/>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Date of Report (Date of earliest event reported): April 27, 2009</w:t>
      </w:r>
    </w:p>
    <w:p>
      <w:pPr>
        <w:spacing w:after="0" w:line="200" w:lineRule="exact"/>
        <w:rPr>
          <w:sz w:val="24"/>
          <w:szCs w:val="24"/>
          <w:color w:val="auto"/>
        </w:rPr>
      </w:pPr>
    </w:p>
    <w:p>
      <w:pPr>
        <w:jc w:val="center"/>
        <w:ind w:right="551"/>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2808"/>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4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3"/>
              </w:rPr>
              <w:t>Delaware</w:t>
            </w:r>
          </w:p>
        </w:tc>
        <w:tc>
          <w:tcPr>
            <w:tcW w:w="2680" w:type="dxa"/>
            <w:vAlign w:val="bottom"/>
            <w:gridSpan w:val="3"/>
          </w:tcPr>
          <w:p>
            <w:pPr>
              <w:jc w:val="right"/>
              <w:ind w:right="1100"/>
              <w:spacing w:after="0"/>
              <w:rPr>
                <w:sz w:val="20"/>
                <w:szCs w:val="20"/>
                <w:color w:val="auto"/>
              </w:rPr>
            </w:pPr>
            <w:r>
              <w:rPr>
                <w:rFonts w:ascii="Arial" w:cs="Arial" w:eastAsia="Arial" w:hAnsi="Arial"/>
                <w:sz w:val="18"/>
                <w:szCs w:val="18"/>
                <w:b w:val="1"/>
                <w:bCs w:val="1"/>
                <w:color w:val="auto"/>
              </w:rPr>
              <w:t>001-34211</w:t>
            </w:r>
          </w:p>
        </w:tc>
        <w:tc>
          <w:tcPr>
            <w:tcW w:w="3160" w:type="dxa"/>
            <w:vAlign w:val="bottom"/>
            <w:gridSpan w:val="2"/>
          </w:tcPr>
          <w:p>
            <w:pPr>
              <w:jc w:val="right"/>
              <w:ind w:right="970"/>
              <w:spacing w:after="0"/>
              <w:rPr>
                <w:sz w:val="20"/>
                <w:szCs w:val="20"/>
                <w:color w:val="auto"/>
              </w:rPr>
            </w:pPr>
            <w:r>
              <w:rPr>
                <w:rFonts w:ascii="Arial" w:cs="Arial" w:eastAsia="Arial" w:hAnsi="Arial"/>
                <w:sz w:val="18"/>
                <w:szCs w:val="18"/>
                <w:b w:val="1"/>
                <w:bCs w:val="1"/>
                <w:color w:val="auto"/>
              </w:rPr>
              <w:t>20-3356009</w:t>
            </w:r>
          </w:p>
        </w:tc>
      </w:tr>
      <w:tr>
        <w:trPr>
          <w:trHeight w:val="209"/>
        </w:trPr>
        <w:tc>
          <w:tcPr>
            <w:tcW w:w="3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8"/>
                <w:szCs w:val="18"/>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480" w:type="dxa"/>
            <w:vAlign w:val="bottom"/>
            <w:gridSpan w:val="3"/>
          </w:tcPr>
          <w:p>
            <w:pPr>
              <w:jc w:val="center"/>
              <w:ind w:right="500"/>
              <w:spacing w:after="0"/>
              <w:rPr>
                <w:sz w:val="20"/>
                <w:szCs w:val="20"/>
                <w:color w:val="auto"/>
              </w:rPr>
            </w:pPr>
            <w:r>
              <w:rPr>
                <w:rFonts w:ascii="Arial" w:cs="Arial" w:eastAsia="Arial" w:hAnsi="Arial"/>
                <w:sz w:val="18"/>
                <w:szCs w:val="18"/>
                <w:color w:val="auto"/>
                <w:w w:val="93"/>
              </w:rPr>
              <w:t>of incorporation)</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4"/>
        </w:trPr>
        <w:tc>
          <w:tcPr>
            <w:tcW w:w="348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1"/>
              </w:rPr>
              <w:t>3300 W. Camelback Road</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4"/>
        </w:trPr>
        <w:tc>
          <w:tcPr>
            <w:tcW w:w="348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90"/>
              </w:rPr>
              <w:t>Phoenix, Arizona</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2"/>
          </w:tcPr>
          <w:p>
            <w:pPr>
              <w:jc w:val="right"/>
              <w:ind w:right="1970"/>
              <w:spacing w:after="0"/>
              <w:rPr>
                <w:sz w:val="20"/>
                <w:szCs w:val="20"/>
                <w:color w:val="auto"/>
              </w:rPr>
            </w:pPr>
            <w:r>
              <w:rPr>
                <w:rFonts w:ascii="Arial" w:cs="Arial" w:eastAsia="Arial" w:hAnsi="Arial"/>
                <w:sz w:val="18"/>
                <w:szCs w:val="18"/>
                <w:b w:val="1"/>
                <w:bCs w:val="1"/>
                <w:color w:val="auto"/>
              </w:rPr>
              <w:t>85017</w:t>
            </w:r>
          </w:p>
        </w:tc>
      </w:tr>
      <w:tr>
        <w:trPr>
          <w:trHeight w:val="224"/>
        </w:trPr>
        <w:tc>
          <w:tcPr>
            <w:tcW w:w="456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tcPr>
          <w:p>
            <w:pPr>
              <w:jc w:val="center"/>
              <w:ind w:right="1510"/>
              <w:spacing w:after="0"/>
              <w:rPr>
                <w:sz w:val="20"/>
                <w:szCs w:val="20"/>
                <w:color w:val="auto"/>
              </w:rPr>
            </w:pPr>
            <w:r>
              <w:rPr>
                <w:rFonts w:ascii="Arial" w:cs="Arial" w:eastAsia="Arial" w:hAnsi="Arial"/>
                <w:sz w:val="18"/>
                <w:szCs w:val="18"/>
                <w:color w:val="auto"/>
                <w:w w:val="91"/>
              </w:rPr>
              <w:t>(Zip Code)</w:t>
            </w:r>
          </w:p>
        </w:tc>
      </w:tr>
    </w:tbl>
    <w:p>
      <w:pPr>
        <w:spacing w:after="0" w:line="197"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29"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-130175</wp:posOffset>
            </wp:positionV>
            <wp:extent cx="2838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97" w:lineRule="exact"/>
        <w:rPr>
          <w:sz w:val="24"/>
          <w:szCs w:val="24"/>
          <w:color w:val="auto"/>
        </w:rPr>
      </w:pPr>
    </w:p>
    <w:p>
      <w:pPr>
        <w:jc w:val="both"/>
        <w:ind w:left="8"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9258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819150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2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1.01. </w:t>
      </w:r>
      <w:r>
        <w:rPr>
          <w:rFonts w:ascii="Arial" w:cs="Arial" w:eastAsia="Arial" w:hAnsi="Arial"/>
          <w:sz w:val="18"/>
          <w:szCs w:val="18"/>
          <w:b w:val="1"/>
          <w:bCs w:val="1"/>
          <w:u w:val="single" w:color="auto"/>
          <w:color w:val="auto"/>
        </w:rPr>
        <w:t>Material Definitive Agreement.</w:t>
      </w:r>
    </w:p>
    <w:p>
      <w:pPr>
        <w:spacing w:after="0" w:line="202" w:lineRule="exact"/>
        <w:rPr>
          <w:sz w:val="20"/>
          <w:szCs w:val="20"/>
          <w:color w:val="auto"/>
        </w:rPr>
      </w:pPr>
    </w:p>
    <w:p>
      <w:pPr>
        <w:jc w:val="both"/>
        <w:ind w:right="559"/>
        <w:spacing w:after="0" w:line="286" w:lineRule="auto"/>
        <w:rPr>
          <w:sz w:val="20"/>
          <w:szCs w:val="20"/>
          <w:color w:val="auto"/>
        </w:rPr>
      </w:pPr>
      <w:r>
        <w:rPr>
          <w:rFonts w:ascii="Arial" w:cs="Arial" w:eastAsia="Arial" w:hAnsi="Arial"/>
          <w:sz w:val="16"/>
          <w:szCs w:val="16"/>
          <w:color w:val="auto"/>
        </w:rPr>
        <w:t>On April 27, 2009, Grand Canyon Education, Inc. (the “Company”) signed a purchase agreement pursuant to which the Company agreed to acquire its campus land and buildings and 909,348 shares of the Company’s common stock from Spirit Master Funding, LLC and Spirit Management Company, respectively (collectively, “Spirit”), for an aggregate purchase price of $50 million. Prior to the acquisition, the Company had leased the land and buildings from Spirit, accounting for the land as an operating lease and the buildings and improvements as capital lease obligations. To finance this purchase, the Company also entered into a loan agreement with Bank of America, N.A., pursuant to which the Company agreed to borrow $25.7 million, all of which will be used to fund a portion of the purchase price. Under the terms of the loan agreement, the Company will make principal payments in equal monthly installments of approximately $143,000 plus accrued interest at 30 day LIBOR plus 3.5% (approximately 4.0% at April 27, 2009). The loan agreement contains standard covenants, including covenants that, among other things, restrict the Company’s ability to incur additional debt or make certain investments, require the Company to maintain compliance with certain applicable regulatory standards, and require the Company to maintain a certain financial condition. Indebtedness under the loan agreement will be secured by the land and buildings that are the subject of the campus acquisition. The transaction and funding are expected to close promptly and, in any event, by no later than April 30, 2009.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2.02. </w:t>
      </w:r>
      <w:r>
        <w:rPr>
          <w:rFonts w:ascii="Arial" w:cs="Arial" w:eastAsia="Arial" w:hAnsi="Arial"/>
          <w:sz w:val="18"/>
          <w:szCs w:val="18"/>
          <w:b w:val="1"/>
          <w:bCs w:val="1"/>
          <w:u w:val="single" w:color="auto"/>
          <w:color w:val="auto"/>
        </w:rPr>
        <w:t>Results of Operations and Financial Condition</w:t>
      </w:r>
      <w:r>
        <w:rPr>
          <w:rFonts w:ascii="Arial" w:cs="Arial" w:eastAsia="Arial" w:hAnsi="Arial"/>
          <w:sz w:val="18"/>
          <w:szCs w:val="18"/>
          <w:b w:val="1"/>
          <w:bCs w:val="1"/>
          <w:color w:val="auto"/>
        </w:rPr>
        <w:t>.</w:t>
      </w:r>
    </w:p>
    <w:p>
      <w:pPr>
        <w:spacing w:after="0" w:line="189"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On April 27, 2009, the Company reported its first quarter 2009 financial results. The press release dated April 27, 2009 is furnished as Exhibit 99.1 to this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Financial Statements and Exhibits</w:t>
      </w:r>
      <w:r>
        <w:rPr>
          <w:rFonts w:ascii="Arial" w:cs="Arial" w:eastAsia="Arial" w:hAnsi="Arial"/>
          <w:sz w:val="18"/>
          <w:szCs w:val="18"/>
          <w:b w:val="1"/>
          <w:bCs w:val="1"/>
          <w:color w:val="auto"/>
        </w:rPr>
        <w:t>.</w:t>
      </w:r>
    </w:p>
    <w:p>
      <w:pPr>
        <w:spacing w:after="0" w:line="229" w:lineRule="exact"/>
        <w:rPr>
          <w:sz w:val="20"/>
          <w:szCs w:val="20"/>
          <w:color w:val="auto"/>
        </w:rPr>
      </w:pPr>
    </w:p>
    <w:p>
      <w:pPr>
        <w:ind w:left="480"/>
        <w:spacing w:after="0"/>
        <w:tabs>
          <w:tab w:leader="none" w:pos="1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27, 2009</w:t>
      </w:r>
    </w:p>
    <w:p>
      <w:pPr>
        <w:spacing w:after="0" w:line="200" w:lineRule="exact"/>
        <w:rPr>
          <w:sz w:val="20"/>
          <w:szCs w:val="20"/>
          <w:color w:val="auto"/>
        </w:rPr>
      </w:pPr>
    </w:p>
    <w:p>
      <w:pPr>
        <w:spacing w:after="0" w:line="37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1420"/>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left="340" w:right="1760"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5040" w:type="dxa"/>
            <w:vAlign w:val="bottom"/>
            <w:gridSpan w:val="2"/>
          </w:tcPr>
          <w:p>
            <w:pPr>
              <w:ind w:left="1420"/>
              <w:spacing w:after="0"/>
              <w:rPr>
                <w:sz w:val="20"/>
                <w:szCs w:val="20"/>
                <w:color w:val="auto"/>
              </w:rPr>
            </w:pPr>
            <w:r>
              <w:rPr>
                <w:rFonts w:ascii="Arial" w:cs="Arial" w:eastAsia="Arial" w:hAnsi="Arial"/>
                <w:sz w:val="18"/>
                <w:szCs w:val="18"/>
                <w:color w:val="auto"/>
              </w:rPr>
              <w:t>GRAND CANYON EDUCATION, INC.</w:t>
            </w:r>
          </w:p>
        </w:tc>
        <w:tc>
          <w:tcPr>
            <w:tcW w:w="3120" w:type="dxa"/>
            <w:vAlign w:val="bottom"/>
          </w:tcPr>
          <w:p>
            <w:pPr>
              <w:spacing w:after="0"/>
              <w:rPr>
                <w:sz w:val="20"/>
                <w:szCs w:val="20"/>
                <w:color w:val="auto"/>
              </w:rPr>
            </w:pPr>
          </w:p>
        </w:tc>
      </w:tr>
      <w:tr>
        <w:trPr>
          <w:trHeight w:val="432"/>
        </w:trPr>
        <w:tc>
          <w:tcPr>
            <w:tcW w:w="3260" w:type="dxa"/>
            <w:vAlign w:val="bottom"/>
          </w:tcPr>
          <w:p>
            <w:pPr>
              <w:ind w:left="340"/>
              <w:spacing w:after="0"/>
              <w:rPr>
                <w:sz w:val="20"/>
                <w:szCs w:val="20"/>
                <w:color w:val="auto"/>
              </w:rPr>
            </w:pPr>
            <w:r>
              <w:rPr>
                <w:rFonts w:ascii="Arial" w:cs="Arial" w:eastAsia="Arial" w:hAnsi="Arial"/>
                <w:sz w:val="18"/>
                <w:szCs w:val="18"/>
                <w:color w:val="auto"/>
              </w:rPr>
              <w:t>Date: April 27, 2009</w:t>
            </w:r>
          </w:p>
        </w:tc>
        <w:tc>
          <w:tcPr>
            <w:tcW w:w="5040" w:type="dxa"/>
            <w:vAlign w:val="bottom"/>
            <w:gridSpan w:val="2"/>
          </w:tcPr>
          <w:p>
            <w:pPr>
              <w:ind w:left="1420"/>
              <w:spacing w:after="0"/>
              <w:rPr>
                <w:sz w:val="20"/>
                <w:szCs w:val="20"/>
                <w:color w:val="auto"/>
              </w:rPr>
            </w:pPr>
            <w:r>
              <w:rPr>
                <w:rFonts w:ascii="Arial" w:cs="Arial" w:eastAsia="Arial" w:hAnsi="Arial"/>
                <w:sz w:val="18"/>
                <w:szCs w:val="18"/>
                <w:color w:val="auto"/>
              </w:rPr>
              <w:t>By: /s/ Daniel E. Bachus</w:t>
            </w:r>
          </w:p>
        </w:tc>
        <w:tc>
          <w:tcPr>
            <w:tcW w:w="3120" w:type="dxa"/>
            <w:vAlign w:val="bottom"/>
          </w:tcPr>
          <w:p>
            <w:pPr>
              <w:spacing w:after="0"/>
              <w:rPr>
                <w:sz w:val="24"/>
                <w:szCs w:val="24"/>
                <w:color w:val="auto"/>
              </w:rPr>
            </w:pPr>
          </w:p>
        </w:tc>
      </w:tr>
      <w:tr>
        <w:trPr>
          <w:trHeight w:val="195"/>
        </w:trPr>
        <w:tc>
          <w:tcPr>
            <w:tcW w:w="3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c>
          <w:tcPr>
            <w:tcW w:w="3120" w:type="dxa"/>
            <w:vAlign w:val="bottom"/>
          </w:tcPr>
          <w:p>
            <w:pPr>
              <w:spacing w:after="0"/>
              <w:rPr>
                <w:sz w:val="16"/>
                <w:szCs w:val="16"/>
                <w:color w:val="auto"/>
              </w:rPr>
            </w:pPr>
          </w:p>
        </w:tc>
      </w:tr>
      <w:tr>
        <w:trPr>
          <w:trHeight w:val="216"/>
        </w:trPr>
        <w:tc>
          <w:tcPr>
            <w:tcW w:w="3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w w:val="96"/>
              </w:rPr>
              <w:t>Chief Financial Officer (Principal Financial</w:t>
            </w:r>
          </w:p>
        </w:tc>
        <w:tc>
          <w:tcPr>
            <w:tcW w:w="3120" w:type="dxa"/>
            <w:vAlign w:val="bottom"/>
          </w:tcPr>
          <w:p>
            <w:pPr>
              <w:spacing w:after="0"/>
              <w:rPr>
                <w:sz w:val="18"/>
                <w:szCs w:val="18"/>
                <w:color w:val="auto"/>
              </w:rPr>
            </w:pPr>
          </w:p>
        </w:tc>
      </w:tr>
      <w:tr>
        <w:trPr>
          <w:trHeight w:val="230"/>
        </w:trPr>
        <w:tc>
          <w:tcPr>
            <w:tcW w:w="3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and Principal Accounting Officer)</w:t>
            </w:r>
          </w:p>
        </w:tc>
        <w:tc>
          <w:tcPr>
            <w:tcW w:w="3120" w:type="dxa"/>
            <w:vAlign w:val="bottom"/>
          </w:tcPr>
          <w:p>
            <w:pPr>
              <w:spacing w:after="0"/>
              <w:rPr>
                <w:sz w:val="20"/>
                <w:szCs w:val="20"/>
                <w:color w:val="auto"/>
              </w:rPr>
            </w:pPr>
          </w:p>
        </w:tc>
      </w:tr>
      <w:tr>
        <w:trPr>
          <w:trHeight w:val="783"/>
        </w:trPr>
        <w:tc>
          <w:tcPr>
            <w:tcW w:w="3260" w:type="dxa"/>
            <w:vAlign w:val="bottom"/>
          </w:tcPr>
          <w:p>
            <w:pPr>
              <w:spacing w:after="0"/>
              <w:rPr>
                <w:sz w:val="24"/>
                <w:szCs w:val="24"/>
                <w:color w:val="auto"/>
              </w:rPr>
            </w:pPr>
          </w:p>
        </w:tc>
        <w:tc>
          <w:tcPr>
            <w:tcW w:w="5040" w:type="dxa"/>
            <w:vAlign w:val="bottom"/>
            <w:gridSpan w:val="2"/>
          </w:tcPr>
          <w:p>
            <w:pPr>
              <w:jc w:val="right"/>
              <w:ind w:right="3170"/>
              <w:spacing w:after="0"/>
              <w:rPr>
                <w:sz w:val="20"/>
                <w:szCs w:val="20"/>
                <w:color w:val="auto"/>
              </w:rPr>
            </w:pPr>
            <w:r>
              <w:rPr>
                <w:rFonts w:ascii="Arial" w:cs="Arial" w:eastAsia="Arial" w:hAnsi="Arial"/>
                <w:sz w:val="18"/>
                <w:szCs w:val="18"/>
                <w:color w:val="auto"/>
              </w:rPr>
              <w:t>3</w:t>
            </w:r>
          </w:p>
        </w:tc>
        <w:tc>
          <w:tcPr>
            <w:tcW w:w="3120" w:type="dxa"/>
            <w:vAlign w:val="bottom"/>
          </w:tcPr>
          <w:p>
            <w:pPr>
              <w:spacing w:after="0"/>
              <w:rPr>
                <w:sz w:val="24"/>
                <w:szCs w:val="24"/>
                <w:color w:val="auto"/>
              </w:rPr>
            </w:pPr>
          </w:p>
        </w:tc>
      </w:tr>
      <w:tr>
        <w:trPr>
          <w:trHeight w:val="226"/>
        </w:trPr>
        <w:tc>
          <w:tcPr>
            <w:tcW w:w="32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right"/>
        <w:ind w:right="455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5715</wp:posOffset>
            </wp:positionV>
            <wp:extent cx="5925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4"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27, 2009</w:t>
      </w:r>
    </w:p>
    <w:p>
      <w:pPr>
        <w:spacing w:after="0" w:line="200" w:lineRule="exact"/>
        <w:rPr>
          <w:sz w:val="20"/>
          <w:szCs w:val="20"/>
          <w:color w:val="auto"/>
        </w:rPr>
      </w:pPr>
    </w:p>
    <w:p>
      <w:pPr>
        <w:spacing w:after="0" w:line="39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519"/>
          </w:cols>
          <w:pgMar w:left="940" w:top="935" w:right="1440" w:bottom="1440" w:gutter="0" w:footer="0" w:header="0"/>
        </w:sectPr>
      </w:pPr>
    </w:p>
    <w:bookmarkStart w:id="4" w:name="page5"/>
    <w:bookmarkEnd w:id="4"/>
    <w:p>
      <w:pPr>
        <w:jc w:val="right"/>
        <w:ind w:right="559"/>
        <w:spacing w:after="0"/>
        <w:rPr>
          <w:sz w:val="20"/>
          <w:szCs w:val="20"/>
          <w:color w:val="auto"/>
        </w:rPr>
      </w:pPr>
      <w:r>
        <w:rPr>
          <w:rFonts w:ascii="Arial" w:cs="Arial" w:eastAsia="Arial" w:hAnsi="Arial"/>
          <w:sz w:val="18"/>
          <w:szCs w:val="18"/>
          <w:b w:val="1"/>
          <w:bCs w:val="1"/>
          <w:color w:val="auto"/>
        </w:rPr>
        <w:t>Exhibit 99.1</w:t>
      </w:r>
    </w:p>
    <w:p>
      <w:pPr>
        <w:spacing w:after="0" w:line="185"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NEWS RELEASE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 Bachus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dbachus@gcu.edu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Bill Jenkins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bjenkins@gcu.edu</w:t>
      </w:r>
    </w:p>
    <w:p>
      <w:pPr>
        <w:spacing w:after="0" w:line="18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GRAND CANYON EDUCATION, INC. REPORTS</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FIRST QUARTER 2009 RESULTS</w:t>
      </w:r>
    </w:p>
    <w:p>
      <w:pPr>
        <w:spacing w:after="0" w:line="16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Grand Canyon Education’s First Quarter Net Revenue up 65 Percent; Enrollment up 62 Percent;</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Operating Income up 103 Percent; Net Income up 109 Percent</w:t>
      </w:r>
    </w:p>
    <w:p>
      <w:pPr>
        <w:spacing w:after="0" w:line="166" w:lineRule="exact"/>
        <w:rPr>
          <w:sz w:val="20"/>
          <w:szCs w:val="20"/>
          <w:color w:val="auto"/>
        </w:rPr>
      </w:pPr>
    </w:p>
    <w:p>
      <w:pPr>
        <w:jc w:val="both"/>
        <w:ind w:right="559"/>
        <w:spacing w:after="0" w:line="266" w:lineRule="auto"/>
        <w:rPr>
          <w:sz w:val="20"/>
          <w:szCs w:val="20"/>
          <w:color w:val="auto"/>
        </w:rPr>
      </w:pPr>
      <w:r>
        <w:rPr>
          <w:rFonts w:ascii="Arial" w:cs="Arial" w:eastAsia="Arial" w:hAnsi="Arial"/>
          <w:sz w:val="18"/>
          <w:szCs w:val="18"/>
          <w:b w:val="1"/>
          <w:bCs w:val="1"/>
          <w:color w:val="auto"/>
        </w:rPr>
        <w:t>ARIZONA, April 27, 2009</w:t>
      </w:r>
      <w:r>
        <w:rPr>
          <w:rFonts w:ascii="Arial" w:cs="Arial" w:eastAsia="Arial" w:hAnsi="Arial"/>
          <w:sz w:val="18"/>
          <w:szCs w:val="18"/>
          <w:color w:val="auto"/>
        </w:rPr>
        <w:t>—</w:t>
      </w:r>
      <w:r>
        <w:rPr>
          <w:rFonts w:ascii="Arial" w:cs="Arial" w:eastAsia="Arial" w:hAnsi="Arial"/>
          <w:sz w:val="18"/>
          <w:szCs w:val="18"/>
          <w:b w:val="1"/>
          <w:bCs w:val="1"/>
          <w:u w:val="single" w:color="auto"/>
          <w:color w:val="auto"/>
        </w:rPr>
        <w:t>Grand Canyon Education,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LOPE), a regionally accredited provider of online</w:t>
      </w:r>
      <w:r>
        <w:rPr>
          <w:rFonts w:ascii="Arial" w:cs="Arial" w:eastAsia="Arial" w:hAnsi="Arial"/>
          <w:sz w:val="18"/>
          <w:szCs w:val="18"/>
          <w:b w:val="1"/>
          <w:bCs w:val="1"/>
          <w:color w:val="auto"/>
        </w:rPr>
        <w:t xml:space="preserve"> </w:t>
      </w:r>
      <w:r>
        <w:rPr>
          <w:rFonts w:ascii="Arial" w:cs="Arial" w:eastAsia="Arial" w:hAnsi="Arial"/>
          <w:sz w:val="18"/>
          <w:szCs w:val="18"/>
          <w:color w:val="auto"/>
        </w:rPr>
        <w:t>and campus-based post-secondary education services, today announced financial results for the three months ended March 31, 2009.</w:t>
      </w:r>
    </w:p>
    <w:p>
      <w:pPr>
        <w:spacing w:after="0" w:line="153"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“Year-over-year, the top and bottom line improvement in our results were quite strong,” said Brian Mueller, Chief Executive Officer of Grand Canyon Education, Inc. “These results demonstrate the long-term soundness and focus of our business strategies, the differentiated nature of our business model, and our ability to execute. Our continued investment in technology, expansion of our traditional campus facilities, broadening of marketing initiatives and enhancement of our educational programs will remain key strategic drivers for the University.”</w:t>
      </w:r>
    </w:p>
    <w:p>
      <w:pPr>
        <w:spacing w:after="0" w:line="1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(more)</w:t>
      </w:r>
    </w:p>
    <w:p>
      <w:pPr>
        <w:spacing w:after="0" w:line="200" w:lineRule="exact"/>
        <w:rPr>
          <w:sz w:val="20"/>
          <w:szCs w:val="20"/>
          <w:color w:val="auto"/>
        </w:rPr>
      </w:pPr>
    </w:p>
    <w:p>
      <w:pPr>
        <w:spacing w:after="0" w:line="3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 w:name="page6"/>
    <w:bookmarkEnd w:id="5"/>
    <w:p>
      <w:pPr>
        <w:ind w:left="8"/>
        <w:spacing w:after="0"/>
        <w:rPr>
          <w:sz w:val="20"/>
          <w:szCs w:val="20"/>
          <w:color w:val="auto"/>
        </w:rPr>
      </w:pPr>
      <w:r>
        <w:rPr>
          <w:rFonts w:ascii="Arial" w:cs="Arial" w:eastAsia="Arial" w:hAnsi="Arial"/>
          <w:sz w:val="18"/>
          <w:szCs w:val="18"/>
          <w:b w:val="1"/>
          <w:bCs w:val="1"/>
          <w:color w:val="auto"/>
        </w:rPr>
        <w:t>Grand Canyon Education, Inc. Reports First Quarter 2009 Results</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For the three months ended March 31, 2009:</w:t>
      </w:r>
    </w:p>
    <w:p>
      <w:pPr>
        <w:spacing w:after="0" w:line="185" w:lineRule="exact"/>
        <w:rPr>
          <w:sz w:val="20"/>
          <w:szCs w:val="20"/>
          <w:color w:val="auto"/>
        </w:rPr>
      </w:pPr>
    </w:p>
    <w:p>
      <w:pPr>
        <w:ind w:left="348" w:right="559" w:hanging="348"/>
        <w:spacing w:after="0" w:line="277"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revenues increased 65.1% to $59.0 million for the first quarter of 2009, compared to $35.7 million for the first quarter of 2008.</w:t>
      </w:r>
    </w:p>
    <w:p>
      <w:pPr>
        <w:spacing w:after="0" w:line="129"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At March 31, 2009 our enrollment was approximately 28,400, an increase of 62.4% from our enrollment of approximately 17,500 at March 31, 2008.</w:t>
      </w:r>
    </w:p>
    <w:p>
      <w:pPr>
        <w:spacing w:after="0" w:line="143" w:lineRule="exact"/>
        <w:rPr>
          <w:rFonts w:ascii="Arial" w:cs="Arial" w:eastAsia="Arial" w:hAnsi="Arial"/>
          <w:sz w:val="18"/>
          <w:szCs w:val="18"/>
          <w:b w:val="1"/>
          <w:bCs w:val="1"/>
          <w:color w:val="auto"/>
        </w:rPr>
      </w:pPr>
    </w:p>
    <w:p>
      <w:pPr>
        <w:jc w:val="both"/>
        <w:ind w:left="348" w:right="559" w:hanging="348"/>
        <w:spacing w:after="0" w:line="264"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income for the first quarter of 2009 was $12.1 million, an increase of 102.9% as compared to $5.9 million for the same period in 2008. The operating margin for the first quarter 2009 was 20.4%, compared to 16.6% for the same period in 2008.</w:t>
      </w:r>
    </w:p>
    <w:p>
      <w:pPr>
        <w:spacing w:after="0" w:line="140"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EBITDA increased 77.9% to $14.5 million for the first quarter of 2009, compared to $8.2 million for the same period in 2008.</w:t>
      </w:r>
    </w:p>
    <w:p>
      <w:pPr>
        <w:spacing w:after="0" w:line="129" w:lineRule="exact"/>
        <w:rPr>
          <w:rFonts w:ascii="Arial" w:cs="Arial" w:eastAsia="Arial" w:hAnsi="Arial"/>
          <w:sz w:val="18"/>
          <w:szCs w:val="18"/>
          <w:b w:val="1"/>
          <w:bCs w:val="1"/>
          <w:color w:val="auto"/>
        </w:rPr>
      </w:pPr>
    </w:p>
    <w:p>
      <w:pPr>
        <w:ind w:left="348" w:hanging="348"/>
        <w:spacing w:after="0"/>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tax rate in the first quarter of 2009 was 40.0% compared to 38.6% in the first quarter of 2008.</w:t>
      </w:r>
    </w:p>
    <w:p>
      <w:pPr>
        <w:spacing w:after="0" w:line="198"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income increased 109.0% to $6.9 million for the first quarter of 2009, compared to $3.3 million for the same period in 2008.</w:t>
      </w:r>
    </w:p>
    <w:p>
      <w:pPr>
        <w:spacing w:after="0" w:line="129" w:lineRule="exact"/>
        <w:rPr>
          <w:rFonts w:ascii="Arial" w:cs="Arial" w:eastAsia="Arial" w:hAnsi="Arial"/>
          <w:sz w:val="18"/>
          <w:szCs w:val="18"/>
          <w:b w:val="1"/>
          <w:bCs w:val="1"/>
          <w:color w:val="auto"/>
        </w:rPr>
      </w:pPr>
    </w:p>
    <w:p>
      <w:pPr>
        <w:ind w:left="348" w:hanging="348"/>
        <w:spacing w:after="0"/>
        <w:tabs>
          <w:tab w:leader="none" w:pos="348"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Diluted net income per share was $0.15 for the first quarter of 2009, compared to $0.09 for the same period in 2008.</w:t>
      </w:r>
    </w:p>
    <w:p>
      <w:pPr>
        <w:spacing w:after="0" w:line="196" w:lineRule="exact"/>
        <w:rPr>
          <w:sz w:val="20"/>
          <w:szCs w:val="20"/>
          <w:color w:val="auto"/>
        </w:rPr>
      </w:pPr>
    </w:p>
    <w:p>
      <w:pPr>
        <w:jc w:val="both"/>
        <w:ind w:left="8" w:right="559"/>
        <w:spacing w:after="0" w:line="257" w:lineRule="auto"/>
        <w:rPr>
          <w:sz w:val="20"/>
          <w:szCs w:val="20"/>
          <w:color w:val="auto"/>
        </w:rPr>
      </w:pPr>
      <w:r>
        <w:rPr>
          <w:rFonts w:ascii="Arial" w:cs="Arial" w:eastAsia="Arial" w:hAnsi="Arial"/>
          <w:sz w:val="18"/>
          <w:szCs w:val="18"/>
          <w:color w:val="auto"/>
        </w:rPr>
        <w:t>“In addition to meeting our revenue and EPS objectives for the first quarter, we continued to generate strong operating margins through revenue growth, the leveraging of our infrastructure, and our continued focus on improvements on our traditional campus,” said Daniel Bachus, the Company’s Chief Financial Officer. “These strong operating results also had a significant positive impact on our cash flow, strengthened our balance sheet and will enhance our business going forward, as we continue to improve our returns for shareholders.”</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Balance Sheet and Cash Flow</w:t>
      </w:r>
    </w:p>
    <w:p>
      <w:pPr>
        <w:spacing w:after="0" w:line="189" w:lineRule="exact"/>
        <w:rPr>
          <w:sz w:val="20"/>
          <w:szCs w:val="20"/>
          <w:color w:val="auto"/>
        </w:rPr>
      </w:pPr>
    </w:p>
    <w:p>
      <w:pPr>
        <w:jc w:val="both"/>
        <w:ind w:left="8" w:right="559"/>
        <w:spacing w:after="0" w:line="272" w:lineRule="auto"/>
        <w:rPr>
          <w:sz w:val="20"/>
          <w:szCs w:val="20"/>
          <w:color w:val="auto"/>
        </w:rPr>
      </w:pPr>
      <w:r>
        <w:rPr>
          <w:rFonts w:ascii="Arial" w:cs="Arial" w:eastAsia="Arial" w:hAnsi="Arial"/>
          <w:sz w:val="17"/>
          <w:szCs w:val="17"/>
          <w:color w:val="auto"/>
        </w:rPr>
        <w:t>As of March 31, 2009, the Company had cash and cash equivalents of $68.3 million compared to $35.2 million as of December 31, 2008 and restricted cash, cash equivalents and investments at March 31, 2009 and December 31, 2008 of $4.4 million and $5.6 million, respectively. The Company generated $36.6 million in cash from operating activities in the first quarter of 2009 compared to $18.5 million in the same period of 2008. Cash used in investing activities is primarily related to the purchase of property, plant, and equipment and leasehold improvements. Capital expenditures were $4.5 million in the first quarter of 2009 compared to $1.6 million for the same period in 2008. Cash used in financing activities for the three months ended March 31, 2009 and 2008 was $0.1 million and $0.6 million, respectively.</w:t>
      </w:r>
    </w:p>
    <w:p>
      <w:pPr>
        <w:spacing w:after="0" w:line="137" w:lineRule="exact"/>
        <w:rPr>
          <w:sz w:val="20"/>
          <w:szCs w:val="20"/>
          <w:color w:val="auto"/>
        </w:rPr>
      </w:pPr>
    </w:p>
    <w:p>
      <w:pPr>
        <w:ind w:left="4428"/>
        <w:spacing w:after="0"/>
        <w:rPr>
          <w:sz w:val="20"/>
          <w:szCs w:val="20"/>
          <w:color w:val="auto"/>
        </w:rPr>
      </w:pPr>
      <w:r>
        <w:rPr>
          <w:rFonts w:ascii="Arial" w:cs="Arial" w:eastAsia="Arial" w:hAnsi="Arial"/>
          <w:sz w:val="18"/>
          <w:szCs w:val="18"/>
          <w:color w:val="auto"/>
        </w:rPr>
        <w:t>(more)</w:t>
      </w:r>
    </w:p>
    <w:p>
      <w:pPr>
        <w:spacing w:after="0" w:line="200" w:lineRule="exact"/>
        <w:rPr>
          <w:sz w:val="20"/>
          <w:szCs w:val="20"/>
          <w:color w:val="auto"/>
        </w:rPr>
      </w:pPr>
    </w:p>
    <w:p>
      <w:pPr>
        <w:spacing w:after="0" w:line="390"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Grand Canyon Education, Inc. Reports First Quarter 2009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2009 Outlook</w:t>
      </w:r>
    </w:p>
    <w:p>
      <w:pPr>
        <w:spacing w:after="0" w:line="189"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For the second quarter ending June 30, 2009, enrollment is expected to grow by 63.5% to 27,000 from 16,510 at June 30, 2008, and net revenues by 67.8% to $58 million from $34.6 million as compared to the second quarter of 2008. Diluted earnings per share is expected to be 0.10 per share.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Annual Outlook</w:t>
      </w:r>
    </w:p>
    <w:p>
      <w:pPr>
        <w:spacing w:after="0" w:line="202" w:lineRule="exact"/>
        <w:rPr>
          <w:sz w:val="20"/>
          <w:szCs w:val="20"/>
          <w:color w:val="auto"/>
        </w:rPr>
      </w:pPr>
    </w:p>
    <w:p>
      <w:pPr>
        <w:jc w:val="both"/>
        <w:ind w:right="559"/>
        <w:spacing w:after="0" w:line="286" w:lineRule="auto"/>
        <w:rPr>
          <w:sz w:val="20"/>
          <w:szCs w:val="20"/>
          <w:color w:val="auto"/>
        </w:rPr>
      </w:pPr>
      <w:r>
        <w:rPr>
          <w:rFonts w:ascii="Arial" w:cs="Arial" w:eastAsia="Arial" w:hAnsi="Arial"/>
          <w:sz w:val="17"/>
          <w:szCs w:val="17"/>
          <w:color w:val="auto"/>
        </w:rPr>
        <w:t>For fiscal year 2009 we expect net revenues to be between $254 million and $258 million for the year ended December 31, 2009, and enrollment to be between 34,500 and 35,000 at December 31, 2009. The annual tax rate is anticipated to be approximately 40%. Diluted earnings per share is expected to be between $0.60 and $0.64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right="559"/>
        <w:spacing w:after="0" w:line="270" w:lineRule="auto"/>
        <w:rPr>
          <w:sz w:val="20"/>
          <w:szCs w:val="20"/>
          <w:color w:val="auto"/>
        </w:rPr>
      </w:pPr>
      <w:r>
        <w:rPr>
          <w:rFonts w:ascii="Arial" w:cs="Arial" w:eastAsia="Arial" w:hAnsi="Arial"/>
          <w:sz w:val="17"/>
          <w:szCs w:val="17"/>
          <w:color w:val="auto"/>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55" w:lineRule="exact"/>
        <w:rPr>
          <w:sz w:val="20"/>
          <w:szCs w:val="20"/>
          <w:color w:val="auto"/>
        </w:rPr>
      </w:pPr>
    </w:p>
    <w:p>
      <w:pPr>
        <w:jc w:val="both"/>
        <w:ind w:right="559"/>
        <w:spacing w:after="0" w:line="285"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our failure to comply with the extensive regulatory framework applicable to our industry, including Title IV of the Higher Education Act and the regulations thereunder, state laws and regulatory requirements, and accrediting commission requirements; the results of the ongoing investigation by the Department of Educations’s Office of Inspector General and the pending qui tam action regarding the manner in which we have compensated our enrollment personnel, and possible remedial actions or other liability resulting therefrom; the ability of our students to obtain federal Title IV funds, state financial aid, and private financing; risks associated with changes in applicable federal and state laws and regulations and accrediting commission standards; our ability to hire and train new, and develop and train existing, enrollment counselors; the pace of growth of our enrollment; our ability to convert prospective students to enrolled students and to retain active students; our success in updating and expanding the content of existing programs and developing new programs in a cost-effective manner or on a timely basis; industry competition, including competition for qualified executives and other personnel; risks associated with the competitive environment for marketing our programs; failure on our part to keep up with advances in technology that could enhance the online experience for our students; our ability to manage future growth effectively; general adverse economic conditions or other developments that affect job prospects in our core disciplines; and other factors discussed in reports on file with the Securities and Exchange Commission.</w:t>
      </w:r>
    </w:p>
    <w:p>
      <w:pPr>
        <w:spacing w:after="0" w:line="130"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(more)</w:t>
      </w:r>
    </w:p>
    <w:p>
      <w:pPr>
        <w:spacing w:after="0" w:line="200" w:lineRule="exact"/>
        <w:rPr>
          <w:sz w:val="20"/>
          <w:szCs w:val="20"/>
          <w:color w:val="auto"/>
        </w:rPr>
      </w:pPr>
    </w:p>
    <w:p>
      <w:pPr>
        <w:spacing w:after="0" w:line="3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 w:name="page8"/>
    <w:bookmarkEnd w:id="7"/>
    <w:p>
      <w:pPr>
        <w:ind w:left="8"/>
        <w:spacing w:after="0"/>
        <w:rPr>
          <w:sz w:val="20"/>
          <w:szCs w:val="20"/>
          <w:color w:val="auto"/>
        </w:rPr>
      </w:pPr>
      <w:r>
        <w:rPr>
          <w:rFonts w:ascii="Arial" w:cs="Arial" w:eastAsia="Arial" w:hAnsi="Arial"/>
          <w:sz w:val="18"/>
          <w:szCs w:val="18"/>
          <w:b w:val="1"/>
          <w:bCs w:val="1"/>
          <w:color w:val="auto"/>
        </w:rPr>
        <w:t>Grand Canyon Education, Inc. Reports First Quarter 2009 Results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Conference Call</w:t>
      </w:r>
    </w:p>
    <w:p>
      <w:pPr>
        <w:spacing w:after="0" w:line="189" w:lineRule="exact"/>
        <w:rPr>
          <w:sz w:val="20"/>
          <w:szCs w:val="20"/>
          <w:color w:val="auto"/>
        </w:rPr>
      </w:pPr>
    </w:p>
    <w:p>
      <w:pPr>
        <w:jc w:val="both"/>
        <w:ind w:left="8" w:right="559"/>
        <w:spacing w:after="0" w:line="259" w:lineRule="auto"/>
        <w:rPr>
          <w:sz w:val="20"/>
          <w:szCs w:val="20"/>
          <w:color w:val="auto"/>
        </w:rPr>
      </w:pPr>
      <w:r>
        <w:rPr>
          <w:rFonts w:ascii="Arial" w:cs="Arial" w:eastAsia="Arial" w:hAnsi="Arial"/>
          <w:sz w:val="18"/>
          <w:szCs w:val="18"/>
          <w:color w:val="auto"/>
        </w:rPr>
        <w:t xml:space="preserve">Grand Canyon Education, Inc. will discuss its first quarter 2009 results and 2009 outlook during a conference call scheduled for today, April 27, 2009 at 5:00 p.m. Eastern time (ET). To participate in the live call, investors should dial 877-815-5362 (domestic and Canada) or 706-679-7806 (international), passcode 95934085 at 4:50 p.m. (ET). The Webcast will be available on the Grand Canyon Education, Inc. Web site at </w:t>
      </w:r>
      <w:r>
        <w:rPr>
          <w:rFonts w:ascii="Arial" w:cs="Arial" w:eastAsia="Arial" w:hAnsi="Arial"/>
          <w:sz w:val="18"/>
          <w:szCs w:val="18"/>
          <w:u w:val="single" w:color="auto"/>
          <w:color w:val="auto"/>
        </w:rPr>
        <w:t>www.gcu.edu</w:t>
      </w:r>
      <w:r>
        <w:rPr>
          <w:rFonts w:ascii="Arial" w:cs="Arial" w:eastAsia="Arial" w:hAnsi="Arial"/>
          <w:sz w:val="18"/>
          <w:szCs w:val="18"/>
          <w:color w:val="auto"/>
        </w:rPr>
        <w:t>.</w:t>
      </w:r>
    </w:p>
    <w:p>
      <w:pPr>
        <w:spacing w:after="0" w:line="146" w:lineRule="exact"/>
        <w:rPr>
          <w:sz w:val="20"/>
          <w:szCs w:val="20"/>
          <w:color w:val="auto"/>
        </w:rPr>
      </w:pPr>
    </w:p>
    <w:p>
      <w:pPr>
        <w:jc w:val="both"/>
        <w:ind w:left="8" w:right="559"/>
        <w:spacing w:after="0" w:line="264" w:lineRule="auto"/>
        <w:rPr>
          <w:sz w:val="20"/>
          <w:szCs w:val="20"/>
          <w:color w:val="auto"/>
        </w:rPr>
      </w:pPr>
      <w:r>
        <w:rPr>
          <w:rFonts w:ascii="Arial" w:cs="Arial" w:eastAsia="Arial" w:hAnsi="Arial"/>
          <w:sz w:val="18"/>
          <w:szCs w:val="18"/>
          <w:color w:val="auto"/>
        </w:rPr>
        <w:t xml:space="preserve">A replay of the call will be available approximately two hours following the conclusion of the call through April 28, 2010, at 800-642-1687 (domestic) or 706-645-9291 (international), passcode 95934085. It will also be archived at </w:t>
      </w:r>
      <w:r>
        <w:rPr>
          <w:rFonts w:ascii="Arial" w:cs="Arial" w:eastAsia="Arial" w:hAnsi="Arial"/>
          <w:sz w:val="18"/>
          <w:szCs w:val="18"/>
          <w:u w:val="single" w:color="auto"/>
          <w:color w:val="auto"/>
        </w:rPr>
        <w:t>www.gcu.edu</w:t>
      </w:r>
      <w:r>
        <w:rPr>
          <w:rFonts w:ascii="Arial" w:cs="Arial" w:eastAsia="Arial" w:hAnsi="Arial"/>
          <w:sz w:val="18"/>
          <w:szCs w:val="18"/>
          <w:color w:val="auto"/>
        </w:rPr>
        <w:t xml:space="preserve"> in the </w:t>
      </w:r>
      <w:r>
        <w:rPr>
          <w:rFonts w:ascii="Arial" w:cs="Arial" w:eastAsia="Arial" w:hAnsi="Arial"/>
          <w:sz w:val="18"/>
          <w:szCs w:val="18"/>
          <w:u w:val="single" w:color="auto"/>
          <w:color w:val="auto"/>
        </w:rPr>
        <w:t>investor relations</w:t>
      </w:r>
      <w:r>
        <w:rPr>
          <w:rFonts w:ascii="Arial" w:cs="Arial" w:eastAsia="Arial" w:hAnsi="Arial"/>
          <w:sz w:val="18"/>
          <w:szCs w:val="18"/>
          <w:color w:val="auto"/>
        </w:rPr>
        <w:t xml:space="preserve"> section for 60 days.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About Grand Canyon Education, Inc.</w:t>
      </w:r>
    </w:p>
    <w:p>
      <w:pPr>
        <w:spacing w:after="0" w:line="189" w:lineRule="exact"/>
        <w:rPr>
          <w:sz w:val="20"/>
          <w:szCs w:val="20"/>
          <w:color w:val="auto"/>
        </w:rPr>
      </w:pPr>
    </w:p>
    <w:p>
      <w:pPr>
        <w:jc w:val="both"/>
        <w:ind w:left="8" w:right="559"/>
        <w:spacing w:after="0" w:line="257" w:lineRule="auto"/>
        <w:rPr>
          <w:sz w:val="20"/>
          <w:szCs w:val="20"/>
          <w:color w:val="auto"/>
        </w:rPr>
      </w:pPr>
      <w:r>
        <w:rPr>
          <w:rFonts w:ascii="Arial" w:cs="Arial" w:eastAsia="Arial" w:hAnsi="Arial"/>
          <w:sz w:val="18"/>
          <w:szCs w:val="18"/>
          <w:color w:val="auto"/>
        </w:rPr>
        <w:t xml:space="preserve">Grand Canyon Education, Inc. is a regionally accredited provider of online postsecondary education services focused on offering graduate and undergraduate degree programs in its core disciplines of education, business, and healthcare. In addition to its online programs, it offers programs at its traditional campus in Phoenix, Arizona and onsite at the facilities of employers. Approximately 28,400 students were enrolled as of March 31, 2009. For more information about Grand Canyon Education, Inc., please visit </w:t>
      </w:r>
      <w:r>
        <w:rPr>
          <w:rFonts w:ascii="Arial" w:cs="Arial" w:eastAsia="Arial" w:hAnsi="Arial"/>
          <w:sz w:val="18"/>
          <w:szCs w:val="18"/>
          <w:u w:val="single" w:color="auto"/>
          <w:color w:val="auto"/>
        </w:rPr>
        <w:t>http://www.gcu.edu</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0636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84" w:lineRule="exact"/>
        <w:rPr>
          <w:sz w:val="20"/>
          <w:szCs w:val="20"/>
          <w:color w:val="auto"/>
        </w:rPr>
      </w:pPr>
    </w:p>
    <w:p>
      <w:pPr>
        <w:jc w:val="both"/>
        <w:ind w:left="348" w:right="559" w:hanging="348"/>
        <w:spacing w:after="0" w:line="264" w:lineRule="auto"/>
        <w:tabs>
          <w:tab w:leader="none" w:pos="348"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Grand Canyon Education, Inc. is regionally accredited by The Higher Learning Commission of the North Central Association of Colleges and Schools (NCA), http://www.ncahlc.org. Grand Canyon University, 3300 W. Camelback Road, Phoenix, AZ 85017, </w:t>
      </w:r>
      <w:r>
        <w:rPr>
          <w:rFonts w:ascii="Arial" w:cs="Arial" w:eastAsia="Arial" w:hAnsi="Arial"/>
          <w:sz w:val="18"/>
          <w:szCs w:val="18"/>
          <w:b w:val="1"/>
          <w:bCs w:val="1"/>
          <w:u w:val="single" w:color="auto"/>
          <w:color w:val="auto"/>
        </w:rPr>
        <w:t>www.gcu.edu</w:t>
      </w:r>
      <w:r>
        <w:rPr>
          <w:rFonts w:ascii="Arial" w:cs="Arial" w:eastAsia="Arial" w:hAnsi="Arial"/>
          <w:sz w:val="18"/>
          <w:szCs w:val="18"/>
          <w:color w:val="auto"/>
        </w:rPr>
        <w:t>.</w:t>
      </w:r>
    </w:p>
    <w:p>
      <w:pPr>
        <w:spacing w:after="0" w:line="154" w:lineRule="exact"/>
        <w:rPr>
          <w:sz w:val="20"/>
          <w:szCs w:val="20"/>
          <w:color w:val="auto"/>
        </w:rPr>
      </w:pPr>
    </w:p>
    <w:p>
      <w:pPr>
        <w:ind w:left="4528"/>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Grand Canyon Education, Inc. Reports First Quarter 2009 Results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40" w:type="dxa"/>
            <w:vAlign w:val="bottom"/>
          </w:tcPr>
          <w:p>
            <w:pPr>
              <w:spacing w:after="0"/>
              <w:rPr>
                <w:sz w:val="24"/>
                <w:szCs w:val="24"/>
                <w:color w:val="auto"/>
              </w:rPr>
            </w:pPr>
          </w:p>
        </w:tc>
        <w:tc>
          <w:tcPr>
            <w:tcW w:w="6860" w:type="dxa"/>
            <w:vAlign w:val="bottom"/>
            <w:gridSpan w:val="2"/>
          </w:tcPr>
          <w:p>
            <w:pPr>
              <w:jc w:val="center"/>
              <w:ind w:left="2370"/>
              <w:spacing w:after="0"/>
              <w:rPr>
                <w:sz w:val="20"/>
                <w:szCs w:val="20"/>
                <w:color w:val="auto"/>
              </w:rPr>
            </w:pPr>
            <w:r>
              <w:rPr>
                <w:rFonts w:ascii="Arial" w:cs="Arial" w:eastAsia="Arial" w:hAnsi="Arial"/>
                <w:sz w:val="18"/>
                <w:szCs w:val="18"/>
                <w:b w:val="1"/>
                <w:bCs w:val="1"/>
                <w:color w:val="auto"/>
              </w:rPr>
              <w:t>GRAND CANYON EDUCATION, INC.</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860" w:type="dxa"/>
            <w:vAlign w:val="bottom"/>
            <w:gridSpan w:val="2"/>
          </w:tcPr>
          <w:p>
            <w:pPr>
              <w:jc w:val="center"/>
              <w:ind w:left="2370"/>
              <w:spacing w:after="0"/>
              <w:rPr>
                <w:sz w:val="20"/>
                <w:szCs w:val="20"/>
                <w:color w:val="auto"/>
              </w:rPr>
            </w:pPr>
            <w:r>
              <w:rPr>
                <w:rFonts w:ascii="Arial" w:cs="Arial" w:eastAsia="Arial" w:hAnsi="Arial"/>
                <w:sz w:val="18"/>
                <w:szCs w:val="18"/>
                <w:b w:val="1"/>
                <w:bCs w:val="1"/>
                <w:color w:val="auto"/>
                <w:w w:val="89"/>
              </w:rPr>
              <w:t>Statements of Operations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30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96"/>
              </w:rPr>
              <w:t>March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Borders>
              <w:bottom w:val="single" w:sz="8" w:color="auto"/>
            </w:tcBorders>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1"/>
              </w:rPr>
              <w:t>(Unaudited)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35,709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58,964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11,620</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18,332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Selling and promotional, including $1,512 and $1,612 for the three months ended</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March 31, 2008 and 2009, respectively, to related parties</w:t>
            </w:r>
          </w:p>
        </w:tc>
        <w:tc>
          <w:tcPr>
            <w:tcW w:w="2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12,586</w:t>
            </w:r>
          </w:p>
        </w:tc>
        <w:tc>
          <w:tcPr>
            <w:tcW w:w="3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19,670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4,541</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8,833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Royalty to former owner</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29,769</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46,909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5,940</w:t>
            </w: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12,055</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(813)</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11,496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4,593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6,904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Preferred dividends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(253)</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available to common stockholders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6,904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Basic income per share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Diluted income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3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Basic weighted average shares outstanding</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19,036</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45,474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Diluted weighted average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33,849</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45,821</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vMerge w:val="restart"/>
          </w:tcPr>
          <w:p>
            <w:pPr>
              <w:jc w:val="center"/>
              <w:ind w:left="2670"/>
              <w:spacing w:after="0"/>
              <w:rPr>
                <w:sz w:val="20"/>
                <w:szCs w:val="20"/>
                <w:color w:val="auto"/>
              </w:rPr>
            </w:pPr>
            <w:r>
              <w:rPr>
                <w:rFonts w:ascii="Arial" w:cs="Arial" w:eastAsia="Arial" w:hAnsi="Arial"/>
                <w:sz w:val="18"/>
                <w:szCs w:val="18"/>
                <w:color w:val="auto"/>
                <w:w w:val="79"/>
              </w:rPr>
              <w:t>5</w:t>
            </w: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65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b w:val="1"/>
          <w:bCs w:val="1"/>
          <w:color w:val="auto"/>
        </w:rPr>
        <w:t>Grand Canyon Education, Inc. Reports First Quarter 2009 Results</w:t>
      </w:r>
    </w:p>
    <w:p>
      <w:pPr>
        <w:spacing w:after="0" w:line="19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GRAND CANYON EDUCATION, INC.</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89" w:lineRule="exact"/>
        <w:rPr>
          <w:sz w:val="20"/>
          <w:szCs w:val="20"/>
          <w:color w:val="auto"/>
        </w:rPr>
      </w:pPr>
    </w:p>
    <w:p>
      <w:pPr>
        <w:jc w:val="both"/>
        <w:ind w:left="340" w:right="1760"/>
        <w:spacing w:after="0" w:line="269" w:lineRule="auto"/>
        <w:rPr>
          <w:sz w:val="20"/>
          <w:szCs w:val="20"/>
          <w:color w:val="auto"/>
        </w:rPr>
      </w:pPr>
      <w:r>
        <w:rPr>
          <w:rFonts w:ascii="Arial" w:cs="Arial" w:eastAsia="Arial" w:hAnsi="Arial"/>
          <w:sz w:val="17"/>
          <w:szCs w:val="17"/>
          <w:color w:val="auto"/>
        </w:rPr>
        <w:t>Adjusted EBITDA is defined as net income plus interest expense net of interest income, plus income tax expense, and plus depreciation and amortization (EBITDA), as adjusted for (i) royalty payments incurred pursuant to an agreement with our former owner that has been terminated as of April 15, 2008; (ii) management fees and expenses that are no longer paid; and (iii) share-based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Although we believe that equity-plan related compensation will be a key element of our employee relations and long-term incentives, we intend to exclude it as an expense when evaluating our core operating performance in any particular period. Accordingly, we have included share-based compensation expenses, along with management fees and expenses, royalty expenses to our former owner, and any other expenses and income that we do not consider reflective of our core operating performance, as an adjustment when calculating Adjusted EBITDA.</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management uses Adjusted EBITDA:</w:t>
      </w:r>
    </w:p>
    <w:p>
      <w:pPr>
        <w:spacing w:after="0" w:line="185" w:lineRule="exact"/>
        <w:rPr>
          <w:sz w:val="20"/>
          <w:szCs w:val="20"/>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developing our internal budgets and strategic plan;</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as a measurement of operating performance;</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as a factor in evaluating the performance of our management for compensation purposes: and</w:t>
      </w:r>
    </w:p>
    <w:p>
      <w:pPr>
        <w:spacing w:after="0" w:line="157" w:lineRule="exact"/>
        <w:rPr>
          <w:rFonts w:ascii="Arial" w:cs="Arial" w:eastAsia="Arial" w:hAnsi="Arial"/>
          <w:sz w:val="18"/>
          <w:szCs w:val="18"/>
          <w:b w:val="1"/>
          <w:bCs w:val="1"/>
          <w:color w:val="auto"/>
        </w:rPr>
      </w:pPr>
    </w:p>
    <w:p>
      <w:pPr>
        <w:jc w:val="both"/>
        <w:ind w:left="1040" w:right="1760" w:hanging="343"/>
        <w:spacing w:after="0" w:line="264"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141" w:lineRule="exact"/>
        <w:rPr>
          <w:sz w:val="20"/>
          <w:szCs w:val="20"/>
          <w:color w:val="auto"/>
        </w:rPr>
      </w:pPr>
    </w:p>
    <w:p>
      <w:pPr>
        <w:jc w:val="both"/>
        <w:ind w:left="340" w:right="1760"/>
        <w:spacing w:after="0" w:line="259" w:lineRule="auto"/>
        <w:rPr>
          <w:sz w:val="20"/>
          <w:szCs w:val="20"/>
          <w:color w:val="auto"/>
        </w:rPr>
      </w:pPr>
      <w:r>
        <w:rPr>
          <w:rFonts w:ascii="Arial" w:cs="Arial" w:eastAsia="Arial" w:hAnsi="Arial"/>
          <w:sz w:val="18"/>
          <w:szCs w:val="18"/>
          <w:color w:val="auto"/>
        </w:rPr>
        <w:t>Adjusted EBITDA is not a recognized measurement under U.S. generally accepted accounting principles, or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w:t>
      </w:r>
    </w:p>
    <w:p>
      <w:pPr>
        <w:spacing w:after="0" w:line="160"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The following table provides a reconciliation of net income to Adjusted EBITDA, which is a non-GAAP measure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8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96"/>
              </w:rPr>
              <w:t>March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880" w:type="dxa"/>
            <w:vAlign w:val="bottom"/>
            <w:tcBorders>
              <w:bottom w:val="single" w:sz="8" w:color="auto"/>
            </w:tcBorders>
            <w:vMerge w:val="continue"/>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1"/>
              </w:rPr>
              <w:t>(Unaudited)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3,303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6,904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Plus: interest expense net of interest income</w:t>
            </w: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561</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559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2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2,076</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1,632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2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13,688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Plus: royalty to former owner</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Plus: management fees and expenses</w:t>
            </w:r>
          </w:p>
        </w:tc>
        <w:tc>
          <w:tcPr>
            <w:tcW w:w="2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Plus: share-based compensation</w:t>
            </w: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764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8,167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14,526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80" w:type="dxa"/>
            <w:vAlign w:val="bottom"/>
            <w:vMerge w:val="restart"/>
          </w:tcPr>
          <w:p>
            <w:pPr>
              <w:jc w:val="right"/>
              <w:ind w:right="177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Grand Canyon Education, Inc. Reports First Quarter 2009 Results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40" w:type="dxa"/>
            <w:vAlign w:val="bottom"/>
          </w:tcPr>
          <w:p>
            <w:pPr>
              <w:spacing w:after="0"/>
              <w:rPr>
                <w:sz w:val="24"/>
                <w:szCs w:val="24"/>
                <w:color w:val="auto"/>
              </w:rPr>
            </w:pPr>
          </w:p>
        </w:tc>
        <w:tc>
          <w:tcPr>
            <w:tcW w:w="6780" w:type="dxa"/>
            <w:vAlign w:val="bottom"/>
            <w:gridSpan w:val="2"/>
          </w:tcPr>
          <w:p>
            <w:pPr>
              <w:jc w:val="center"/>
              <w:ind w:left="2450"/>
              <w:spacing w:after="0"/>
              <w:rPr>
                <w:sz w:val="20"/>
                <w:szCs w:val="20"/>
                <w:color w:val="auto"/>
              </w:rPr>
            </w:pPr>
            <w:r>
              <w:rPr>
                <w:rFonts w:ascii="Arial" w:cs="Arial" w:eastAsia="Arial" w:hAnsi="Arial"/>
                <w:sz w:val="18"/>
                <w:szCs w:val="18"/>
                <w:b w:val="1"/>
                <w:bCs w:val="1"/>
                <w:color w:val="auto"/>
              </w:rPr>
              <w:t>GRAND CANYON EDUCATION, INC.</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780" w:type="dxa"/>
            <w:vAlign w:val="bottom"/>
            <w:gridSpan w:val="2"/>
          </w:tcPr>
          <w:p>
            <w:pPr>
              <w:jc w:val="center"/>
              <w:ind w:left="2450"/>
              <w:spacing w:after="0"/>
              <w:rPr>
                <w:sz w:val="20"/>
                <w:szCs w:val="20"/>
                <w:color w:val="auto"/>
              </w:rPr>
            </w:pPr>
            <w:r>
              <w:rPr>
                <w:rFonts w:ascii="Arial" w:cs="Arial" w:eastAsia="Arial" w:hAnsi="Arial"/>
                <w:sz w:val="18"/>
                <w:szCs w:val="18"/>
                <w:b w:val="1"/>
                <w:bCs w:val="1"/>
                <w:color w:val="auto"/>
                <w:w w:val="87"/>
              </w:rPr>
              <w:t>Balance Sheets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March 31,</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share data)</w:t>
            </w: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64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jc w:val="center"/>
              <w:ind w:left="2450"/>
              <w:spacing w:after="0"/>
              <w:rPr>
                <w:sz w:val="20"/>
                <w:szCs w:val="20"/>
                <w:color w:val="auto"/>
              </w:rPr>
            </w:pPr>
            <w:r>
              <w:rPr>
                <w:rFonts w:ascii="Arial" w:cs="Arial" w:eastAsia="Arial" w:hAnsi="Arial"/>
                <w:sz w:val="18"/>
                <w:szCs w:val="18"/>
                <w:b w:val="1"/>
                <w:bCs w:val="1"/>
                <w:color w:val="auto"/>
                <w:w w:val="92"/>
              </w:rPr>
              <w:t>ASSETS: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68,275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Restricted cash and cash equivalents</w:t>
            </w: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2,197</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3,946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7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Accounts receivable, net of allowance for doubtful accounts of $6,356 and $6,068 at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December 31, 2008 and March 31, 2009, respectively</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9,442</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10,509</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Income taxes receivable</w:t>
            </w: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1,576</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938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2,629</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2,660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53,599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88,503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41,399</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45,922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Restricted cash and investments (of which $2,928 and $0 is restricted at December 31,</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2008 and March 31, 2009, respectively)</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3,403</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Prepaid royalties</w:t>
            </w: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8,043</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7,860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2,941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7,404</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12,018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116,990</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157,893</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jc w:val="center"/>
              <w:ind w:left="245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7,547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9,674</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11,935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Deferred revenue and student deposits</w:t>
            </w: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14,262</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31,995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Due to related parties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1,125</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1,746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notes payable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32,557</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60,222</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29,384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30,332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Notes payable, less current portion and other</w:t>
            </w: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1,459</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1,713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63,400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92,267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780" w:type="dxa"/>
            <w:vAlign w:val="bottom"/>
            <w:gridSpan w:val="2"/>
          </w:tcPr>
          <w:p>
            <w:pPr>
              <w:spacing w:after="0" w:line="201" w:lineRule="exact"/>
              <w:rPr>
                <w:sz w:val="20"/>
                <w:szCs w:val="20"/>
                <w:color w:val="auto"/>
              </w:rPr>
            </w:pPr>
            <w:r>
              <w:rPr>
                <w:rFonts w:ascii="Arial" w:cs="Arial" w:eastAsia="Arial" w:hAnsi="Arial"/>
                <w:sz w:val="18"/>
                <w:szCs w:val="18"/>
                <w:color w:val="auto"/>
              </w:rPr>
              <w:t>Preferred stock, $0.01 par value, 10,000,000 shares authorized; 0 shares issued and</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outstanding at December 31, 2008 and March 31, 2009</w:t>
            </w:r>
          </w:p>
        </w:tc>
        <w:tc>
          <w:tcPr>
            <w:tcW w:w="22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100,000,000 shares authorized; 45,465,160 and</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45,485,765 shares issued and outstanding at December 31, 2008 and March 31, 2009,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64,808</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69,935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(11,689)</w:t>
            </w: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(4,785)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53,590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65,626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116,990</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157,893</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80" w:type="dxa"/>
            <w:vAlign w:val="bottom"/>
            <w:vMerge w:val="restart"/>
          </w:tcPr>
          <w:p>
            <w:pPr>
              <w:jc w:val="center"/>
              <w:ind w:left="2750"/>
              <w:spacing w:after="0"/>
              <w:rPr>
                <w:sz w:val="20"/>
                <w:szCs w:val="20"/>
                <w:color w:val="auto"/>
              </w:rPr>
            </w:pPr>
            <w:r>
              <w:rPr>
                <w:rFonts w:ascii="Arial" w:cs="Arial" w:eastAsia="Arial" w:hAnsi="Arial"/>
                <w:sz w:val="18"/>
                <w:szCs w:val="18"/>
                <w:color w:val="auto"/>
                <w:w w:val="79"/>
              </w:rPr>
              <w:t>7</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64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6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Grand Canyon Education, Inc. Reports First Quarter 2009 Results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40" w:type="dxa"/>
            <w:vAlign w:val="bottom"/>
          </w:tcPr>
          <w:p>
            <w:pPr>
              <w:spacing w:after="0"/>
              <w:rPr>
                <w:sz w:val="24"/>
                <w:szCs w:val="24"/>
                <w:color w:val="auto"/>
              </w:rPr>
            </w:pPr>
          </w:p>
        </w:tc>
        <w:tc>
          <w:tcPr>
            <w:tcW w:w="670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rPr>
              <w:t>GRAND CANYON EDUCATION, INC.</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70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87"/>
              </w:rPr>
              <w:t>Statements of Cash Flows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60" w:type="dxa"/>
            <w:vAlign w:val="bottom"/>
            <w:vMerge w:val="restart"/>
          </w:tcPr>
          <w:p>
            <w:pPr>
              <w:spacing w:after="0"/>
              <w:rPr>
                <w:sz w:val="24"/>
                <w:szCs w:val="24"/>
                <w:color w:val="auto"/>
              </w:rPr>
            </w:pPr>
          </w:p>
        </w:tc>
        <w:tc>
          <w:tcPr>
            <w:tcW w:w="262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3"/>
              </w:rPr>
              <w:t>Three Months Ended March 31,</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4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4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3,303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6,904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764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Provision for bad debts</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1,680</w:t>
            </w: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3,295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(2,465)</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ind w:left="4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(199)</w:t>
            </w: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Due to/from related parties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809</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ind w:left="4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1,667</w:t>
            </w: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2,435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659</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ind w:left="40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4,598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Royalty payable to former owner</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1,022</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ind w:left="400"/>
              <w:spacing w:after="0"/>
              <w:rPr>
                <w:sz w:val="20"/>
                <w:szCs w:val="20"/>
                <w:color w:val="auto"/>
              </w:rPr>
            </w:pPr>
            <w:r>
              <w:rPr>
                <w:rFonts w:ascii="Arial" w:cs="Arial" w:eastAsia="Arial" w:hAnsi="Arial"/>
                <w:sz w:val="18"/>
                <w:szCs w:val="18"/>
                <w:color w:val="auto"/>
              </w:rPr>
              <w:t>Deferred revenue and student deposits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8,958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17,733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18,540</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36,575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(1,583)</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(1,390)</w:t>
            </w: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1,187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Purchases of investments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(2,399)</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(3,030)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(321)</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Repayment on line of credit</w:t>
            </w: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(6,000)</w:t>
            </w: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related party payable on preferred stock</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5,725</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4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14,914</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33,123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18,930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35,152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33,844</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68,275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Cash paid for income taxes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Purchase of equipment through capital lease obligations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760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2,116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 included in 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Tax benefit of Spirit warrant intangible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4,107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Accretion of dividends on Series C convertible preferred stock</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3"/>
        </w:trPr>
        <w:tc>
          <w:tcPr>
            <w:tcW w:w="340" w:type="dxa"/>
            <w:vAlign w:val="bottom"/>
          </w:tcPr>
          <w:p>
            <w:pPr>
              <w:spacing w:after="0"/>
              <w:rPr>
                <w:sz w:val="24"/>
                <w:szCs w:val="24"/>
                <w:color w:val="auto"/>
              </w:rPr>
            </w:pPr>
          </w:p>
        </w:tc>
        <w:tc>
          <w:tcPr>
            <w:tcW w:w="6440" w:type="dxa"/>
            <w:vAlign w:val="bottom"/>
          </w:tcPr>
          <w:p>
            <w:pPr>
              <w:jc w:val="center"/>
              <w:ind w:left="2790"/>
              <w:spacing w:after="0"/>
              <w:rPr>
                <w:sz w:val="20"/>
                <w:szCs w:val="20"/>
                <w:color w:val="auto"/>
              </w:rPr>
            </w:pPr>
            <w:r>
              <w:rPr>
                <w:rFonts w:ascii="Arial" w:cs="Arial" w:eastAsia="Arial" w:hAnsi="Arial"/>
                <w:sz w:val="18"/>
                <w:szCs w:val="18"/>
                <w:color w:val="auto"/>
                <w:w w:val="79"/>
              </w:rPr>
              <w:t>8</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64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ind w:left="8"/>
        <w:spacing w:after="0"/>
        <w:rPr>
          <w:sz w:val="20"/>
          <w:szCs w:val="20"/>
          <w:color w:val="auto"/>
        </w:rPr>
      </w:pPr>
      <w:r>
        <w:rPr>
          <w:rFonts w:ascii="Arial" w:cs="Arial" w:eastAsia="Arial" w:hAnsi="Arial"/>
          <w:sz w:val="18"/>
          <w:szCs w:val="18"/>
          <w:b w:val="1"/>
          <w:bCs w:val="1"/>
          <w:color w:val="auto"/>
        </w:rPr>
        <w:t>Grand Canyon Education, Inc. Reports First Quarter 2009 Results</w:t>
      </w:r>
    </w:p>
    <w:p>
      <w:pPr>
        <w:spacing w:after="0" w:line="202"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The following is a summary of our student enrollment at March 31, 2008 and March 31, 2009 (which included less than 150 students pursuing non-degree certificates) by degree type and by instructional delivery method:</w:t>
      </w:r>
    </w:p>
    <w:p>
      <w:pPr>
        <w:spacing w:after="0" w:line="166"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70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March 31, 2008</w:t>
            </w:r>
          </w:p>
        </w:tc>
        <w:tc>
          <w:tcPr>
            <w:tcW w:w="242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March 31, 2009</w:t>
            </w:r>
          </w:p>
        </w:tc>
      </w:tr>
      <w:tr>
        <w:trPr>
          <w:trHeight w:val="210"/>
        </w:trPr>
        <w:tc>
          <w:tcPr>
            <w:tcW w:w="4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Master’s(1)</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10,276</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58.8%</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Bachelor’s</w:t>
            </w:r>
          </w:p>
        </w:tc>
        <w:tc>
          <w:tcPr>
            <w:tcW w:w="1000" w:type="dxa"/>
            <w:vAlign w:val="bottom"/>
          </w:tcPr>
          <w:p>
            <w:pPr>
              <w:jc w:val="right"/>
              <w:spacing w:after="0"/>
              <w:rPr>
                <w:sz w:val="20"/>
                <w:szCs w:val="20"/>
                <w:color w:val="auto"/>
              </w:rPr>
            </w:pPr>
            <w:r>
              <w:rPr>
                <w:rFonts w:ascii="Arial" w:cs="Arial" w:eastAsia="Arial" w:hAnsi="Arial"/>
                <w:sz w:val="18"/>
                <w:szCs w:val="18"/>
                <w:color w:val="auto"/>
              </w:rPr>
              <w:t>7,210</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41.2%</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14,265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50.2%</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28,393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70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March 31, 2008</w:t>
            </w:r>
          </w:p>
        </w:tc>
        <w:tc>
          <w:tcPr>
            <w:tcW w:w="242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March 31, 2009</w:t>
            </w:r>
          </w:p>
        </w:tc>
      </w:tr>
      <w:tr>
        <w:trPr>
          <w:trHeight w:val="210"/>
        </w:trPr>
        <w:tc>
          <w:tcPr>
            <w:tcW w:w="4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15,133</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86.5%</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25,758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Ground(2)</w:t>
            </w:r>
          </w:p>
        </w:tc>
        <w:tc>
          <w:tcPr>
            <w:tcW w:w="1000" w:type="dxa"/>
            <w:vAlign w:val="bottom"/>
          </w:tcPr>
          <w:p>
            <w:pPr>
              <w:jc w:val="right"/>
              <w:spacing w:after="0"/>
              <w:rPr>
                <w:sz w:val="20"/>
                <w:szCs w:val="20"/>
                <w:color w:val="auto"/>
              </w:rPr>
            </w:pPr>
            <w:r>
              <w:rPr>
                <w:rFonts w:ascii="Arial" w:cs="Arial" w:eastAsia="Arial" w:hAnsi="Arial"/>
                <w:sz w:val="18"/>
                <w:szCs w:val="18"/>
                <w:color w:val="auto"/>
              </w:rPr>
              <w:t>2,353</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2,635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28,393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10636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8" w:hanging="348"/>
        <w:spacing w:after="0"/>
        <w:tabs>
          <w:tab w:leader="none" w:pos="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162 students pursuing doctoral degrees at March 31, 2009.</w:t>
      </w:r>
    </w:p>
    <w:p>
      <w:pPr>
        <w:spacing w:after="0" w:line="76" w:lineRule="exact"/>
        <w:rPr>
          <w:rFonts w:ascii="Arial" w:cs="Arial" w:eastAsia="Arial" w:hAnsi="Arial"/>
          <w:sz w:val="18"/>
          <w:szCs w:val="18"/>
          <w:color w:val="auto"/>
        </w:rPr>
      </w:pPr>
    </w:p>
    <w:p>
      <w:pPr>
        <w:ind w:left="348" w:hanging="348"/>
        <w:spacing w:after="0"/>
        <w:tabs>
          <w:tab w:leader="none" w:pos="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our traditional students, as well as our professional studies students.</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Subsequent Event</w:t>
      </w:r>
    </w:p>
    <w:p>
      <w:pPr>
        <w:spacing w:after="0" w:line="202" w:lineRule="exact"/>
        <w:rPr>
          <w:sz w:val="20"/>
          <w:szCs w:val="20"/>
          <w:color w:val="auto"/>
        </w:rPr>
      </w:pPr>
    </w:p>
    <w:p>
      <w:pPr>
        <w:jc w:val="both"/>
        <w:ind w:left="8" w:right="559"/>
        <w:spacing w:after="0" w:line="271" w:lineRule="auto"/>
        <w:rPr>
          <w:sz w:val="20"/>
          <w:szCs w:val="20"/>
          <w:color w:val="auto"/>
        </w:rPr>
      </w:pPr>
      <w:r>
        <w:rPr>
          <w:rFonts w:ascii="Arial" w:cs="Arial" w:eastAsia="Arial" w:hAnsi="Arial"/>
          <w:sz w:val="17"/>
          <w:szCs w:val="17"/>
          <w:color w:val="auto"/>
        </w:rPr>
        <w:t>On April 27, 2009, we signed a purchase agreement pursuant to which we agreed to acquire our campus land and buildings and 909,348 shares of our common stock from Spirit Master Funding, LLC and Spirit Management Company, respectively (collectively, “Spirit”) for an aggregate purchase price of $50 million. Prior to the acquisition, we had leased the land and buildings from Spirit, accounting for the land as an operating lease and the buildings and improvements as capital lease obligations. To finance this purchase, we also entered into a loan agreement with a financial institution pursuant to which we agreed to borrow $25.7 million, all of which will be used to fund a portion of the purchase price. Under the terms of the loan agreement, the Company will make principal payments in equal monthly installments of approximately $143,000 plus accrued interest at 30 day LIBOR plus 3.5% (approximately 4.0% at April 27, 2009).</w:t>
      </w:r>
    </w:p>
    <w:p>
      <w:pPr>
        <w:spacing w:after="0" w:line="200" w:lineRule="exact"/>
        <w:rPr>
          <w:sz w:val="20"/>
          <w:szCs w:val="20"/>
          <w:color w:val="auto"/>
        </w:rPr>
      </w:pPr>
    </w:p>
    <w:p>
      <w:pPr>
        <w:spacing w:after="0" w:line="330"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9</w:t>
      </w:r>
    </w:p>
    <w:sectPr>
      <w:pgSz w:w="11900" w:h="16838" w:orient="portrait"/>
      <w:cols w:equalWidth="0" w:num="1">
        <w:col w:w="9887"/>
      </w:cols>
      <w:pgMar w:left="572"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2019-12-11T04:29:11Z</dcterms:created>
  <dcterms:modified xsi:type="dcterms:W3CDTF">2019-12-11T04:29:11Z</dcterms:modified>
</cp:coreProperties>
</file>