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59258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ind w:left="3440"/>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(Amendment No. ___)*</w:t>
      </w: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43"/>
          <w:szCs w:val="43"/>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72"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38526M 106</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85"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May 19, 2009</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420" w:hanging="203"/>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4" w:lineRule="exact"/>
        <w:rPr>
          <w:rFonts w:ascii="MS PGothic" w:cs="MS PGothic" w:eastAsia="MS PGothic" w:hAnsi="MS PGothic"/>
          <w:sz w:val="18"/>
          <w:szCs w:val="18"/>
          <w:color w:val="auto"/>
        </w:rPr>
      </w:pPr>
    </w:p>
    <w:p>
      <w:pPr>
        <w:ind w:right="599"/>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4"/>
          <w:szCs w:val="24"/>
          <w:color w:val="auto"/>
        </w:rPr>
      </w:pPr>
    </w:p>
    <w:p>
      <w:pPr>
        <w:ind w:right="55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59258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285115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3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Luke M. Buse and Staci Lin Buse Revocable Trust</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3,503,171</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3,503,171</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7"/>
              </w:rPr>
              <w:t>3,503,171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74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OO (Revocable Trust)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899" w:hanging="8"/>
        <w:spacing w:after="0" w:line="277" w:lineRule="auto"/>
        <w:tabs>
          <w:tab w:leader="none" w:pos="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45,485,765 shares of Grand Canyon Education, Inc. common stock, par value $0.01 per shares, outstanding as of April 23, 2009.</w:t>
      </w:r>
    </w:p>
    <w:p>
      <w:pPr>
        <w:spacing w:after="0" w:line="14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5"/>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220" w:type="dxa"/>
            <w:vAlign w:val="bottom"/>
            <w:gridSpan w:val="6"/>
          </w:tcPr>
          <w:p>
            <w:pPr>
              <w:ind w:left="100"/>
              <w:spacing w:after="0"/>
              <w:rPr>
                <w:sz w:val="20"/>
                <w:szCs w:val="20"/>
                <w:color w:val="auto"/>
              </w:rPr>
            </w:pPr>
            <w:r>
              <w:rPr>
                <w:rFonts w:ascii="Arial" w:cs="Arial" w:eastAsia="Arial" w:hAnsi="Arial"/>
                <w:sz w:val="18"/>
                <w:szCs w:val="18"/>
                <w:color w:val="auto"/>
                <w:w w:val="93"/>
              </w:rPr>
              <w:t>Luke M. Buse*</w:t>
            </w:r>
          </w:p>
        </w:tc>
        <w:tc>
          <w:tcPr>
            <w:tcW w:w="820" w:type="dxa"/>
            <w:vAlign w:val="bottom"/>
          </w:tcPr>
          <w:p>
            <w:pPr>
              <w:spacing w:after="0"/>
              <w:rPr>
                <w:sz w:val="20"/>
                <w:szCs w:val="20"/>
                <w:color w:val="auto"/>
              </w:rPr>
            </w:pPr>
          </w:p>
        </w:tc>
        <w:tc>
          <w:tcPr>
            <w:tcW w:w="6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5</w:t>
            </w:r>
          </w:p>
        </w:tc>
        <w:tc>
          <w:tcPr>
            <w:tcW w:w="80" w:type="dxa"/>
            <w:vAlign w:val="bottom"/>
          </w:tcPr>
          <w:p>
            <w:pPr>
              <w:spacing w:after="0"/>
              <w:rPr>
                <w:sz w:val="24"/>
                <w:szCs w:val="24"/>
                <w:color w:val="auto"/>
              </w:rPr>
            </w:pPr>
          </w:p>
        </w:tc>
        <w:tc>
          <w:tcPr>
            <w:tcW w:w="7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6</w:t>
            </w:r>
          </w:p>
        </w:tc>
        <w:tc>
          <w:tcPr>
            <w:tcW w:w="80" w:type="dxa"/>
            <w:vAlign w:val="bottom"/>
          </w:tcPr>
          <w:p>
            <w:pPr>
              <w:spacing w:after="0"/>
              <w:rPr>
                <w:sz w:val="23"/>
                <w:szCs w:val="23"/>
                <w:color w:val="auto"/>
              </w:rPr>
            </w:pPr>
          </w:p>
        </w:tc>
        <w:tc>
          <w:tcPr>
            <w:tcW w:w="7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3,503,171</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7</w:t>
            </w:r>
          </w:p>
        </w:tc>
        <w:tc>
          <w:tcPr>
            <w:tcW w:w="80" w:type="dxa"/>
            <w:vAlign w:val="bottom"/>
          </w:tcPr>
          <w:p>
            <w:pPr>
              <w:spacing w:after="0"/>
              <w:rPr>
                <w:sz w:val="23"/>
                <w:szCs w:val="23"/>
                <w:color w:val="auto"/>
              </w:rPr>
            </w:pPr>
          </w:p>
        </w:tc>
        <w:tc>
          <w:tcPr>
            <w:tcW w:w="7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8</w:t>
            </w:r>
          </w:p>
        </w:tc>
        <w:tc>
          <w:tcPr>
            <w:tcW w:w="80" w:type="dxa"/>
            <w:vAlign w:val="bottom"/>
          </w:tcPr>
          <w:p>
            <w:pPr>
              <w:spacing w:after="0"/>
              <w:rPr>
                <w:sz w:val="24"/>
                <w:szCs w:val="24"/>
                <w:color w:val="auto"/>
              </w:rPr>
            </w:pPr>
          </w:p>
        </w:tc>
        <w:tc>
          <w:tcPr>
            <w:tcW w:w="75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3,503,171</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7"/>
              </w:rPr>
              <w:t>3,503,171</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899" w:hanging="8"/>
        <w:spacing w:after="0" w:line="277" w:lineRule="auto"/>
        <w:tabs>
          <w:tab w:leader="none" w:pos="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Buse is a trustee of the Luke M. Buse and Staci Lin Buse Revocable Trust. Mr. Buse disclaims beneficial ownership of these shares except to the extent of his pecuniary interst therein.</w:t>
      </w:r>
    </w:p>
    <w:p>
      <w:pPr>
        <w:spacing w:after="0" w:line="8" w:lineRule="exact"/>
        <w:rPr>
          <w:sz w:val="20"/>
          <w:szCs w:val="20"/>
          <w:color w:val="auto"/>
        </w:rPr>
      </w:pPr>
    </w:p>
    <w:p>
      <w:pPr>
        <w:ind w:left="20" w:right="819" w:hanging="8"/>
        <w:spacing w:after="0" w:line="277"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45,485,765 shares of Grand Canyon Education, Inc. common stock, par value $0.01 per shares, outstanding as of April 23, 2009.</w:t>
      </w:r>
    </w:p>
    <w:p>
      <w:pPr>
        <w:spacing w:after="0" w:line="14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7"/>
              </w:rPr>
              <w:t>CUSIP No.</w:t>
            </w:r>
          </w:p>
        </w:tc>
        <w:tc>
          <w:tcPr>
            <w:tcW w:w="1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4"/>
          </w:tcPr>
          <w:p>
            <w:pPr>
              <w:ind w:left="260"/>
              <w:spacing w:after="0"/>
              <w:rPr>
                <w:sz w:val="20"/>
                <w:szCs w:val="20"/>
                <w:color w:val="auto"/>
              </w:rPr>
            </w:pPr>
            <w:r>
              <w:rPr>
                <w:rFonts w:ascii="Arial" w:cs="Arial" w:eastAsia="Arial" w:hAnsi="Arial"/>
                <w:sz w:val="18"/>
                <w:szCs w:val="18"/>
                <w:color w:val="auto"/>
              </w:rPr>
              <w:t>38526M 106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Staci Lin Buse*</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40" w:type="dxa"/>
            <w:vAlign w:val="bottom"/>
            <w:tcBorders>
              <w:bottom w:val="single" w:sz="8" w:color="auto"/>
            </w:tcBorders>
            <w:gridSpan w:val="2"/>
          </w:tcPr>
          <w:p>
            <w:pPr>
              <w:spacing w:after="0"/>
              <w:rPr>
                <w:sz w:val="22"/>
                <w:szCs w:val="22"/>
                <w:color w:val="auto"/>
              </w:rPr>
            </w:pPr>
          </w:p>
        </w:tc>
        <w:tc>
          <w:tcPr>
            <w:tcW w:w="760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7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gridSpan w:val="2"/>
          </w:tcPr>
          <w:p>
            <w:pPr>
              <w:spacing w:after="0"/>
              <w:rPr>
                <w:sz w:val="15"/>
                <w:szCs w:val="15"/>
                <w:color w:val="auto"/>
              </w:rPr>
            </w:pPr>
          </w:p>
        </w:tc>
        <w:tc>
          <w:tcPr>
            <w:tcW w:w="760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Arizona</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5</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6</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3,503,171</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78"/>
              </w:rPr>
              <w:t>7</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22"/>
                <w:szCs w:val="22"/>
                <w:color w:val="auto"/>
              </w:rPr>
            </w:pPr>
          </w:p>
        </w:tc>
        <w:tc>
          <w:tcPr>
            <w:tcW w:w="320" w:type="dxa"/>
            <w:vAlign w:val="bottom"/>
            <w:tcBorders>
              <w:right w:val="single" w:sz="8" w:color="auto"/>
            </w:tcBorders>
            <w:vMerge w:val="continue"/>
          </w:tcPr>
          <w:p>
            <w:pPr>
              <w:spacing w:after="0"/>
              <w:rPr>
                <w:sz w:val="22"/>
                <w:szCs w:val="22"/>
                <w:color w:val="auto"/>
              </w:rPr>
            </w:pPr>
          </w:p>
        </w:tc>
        <w:tc>
          <w:tcPr>
            <w:tcW w:w="900" w:type="dxa"/>
            <w:vAlign w:val="bottom"/>
          </w:tcPr>
          <w:p>
            <w:pPr>
              <w:spacing w:after="0"/>
              <w:rPr>
                <w:sz w:val="22"/>
                <w:szCs w:val="22"/>
                <w:color w:val="auto"/>
              </w:rPr>
            </w:pPr>
          </w:p>
        </w:tc>
        <w:tc>
          <w:tcPr>
            <w:tcW w:w="6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32"/>
                <w:szCs w:val="32"/>
                <w:b w:val="1"/>
                <w:bCs w:val="1"/>
                <w:color w:val="auto"/>
                <w:w w:val="78"/>
              </w:rPr>
              <w:t>8</w:t>
            </w:r>
          </w:p>
        </w:tc>
        <w:tc>
          <w:tcPr>
            <w:tcW w:w="76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3,503,171</w:t>
            </w: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7"/>
              </w:rPr>
              <w:t>3,503,171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7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859" w:hanging="8"/>
        <w:spacing w:after="0" w:line="277" w:lineRule="auto"/>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Ms. Buse is a trustee of the Luke M. Buse and Staci Lin Buse Revocable Trust. Ms. Buse disclaims beneficial ownership of these shares except to the extent of her pecuniary interst therein.</w:t>
      </w:r>
    </w:p>
    <w:p>
      <w:pPr>
        <w:spacing w:after="0" w:line="8" w:lineRule="exact"/>
        <w:rPr>
          <w:sz w:val="20"/>
          <w:szCs w:val="20"/>
          <w:color w:val="auto"/>
        </w:rPr>
      </w:pPr>
    </w:p>
    <w:p>
      <w:pPr>
        <w:ind w:left="20" w:right="819" w:hanging="8"/>
        <w:spacing w:after="0" w:line="277"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45,485,765 shares of Grand Canyon Education, Inc. common stock, par value $0.01 per shares, outstanding as of April 23, 2009.</w:t>
      </w:r>
    </w:p>
    <w:p>
      <w:pPr>
        <w:spacing w:after="0" w:line="14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4" w:name="page5"/>
    <w:bookmarkEnd w:id="4"/>
    <w:p>
      <w:pPr>
        <w:ind w:left="3700"/>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initial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shares of common stock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Grand Canyon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Education, Inc. (“</w:t>
      </w:r>
      <w:r>
        <w:rPr>
          <w:rFonts w:ascii="Arial" w:cs="Arial" w:eastAsia="Arial" w:hAnsi="Arial"/>
          <w:sz w:val="17"/>
          <w:szCs w:val="17"/>
          <w:b w:val="1"/>
          <w:bCs w:val="1"/>
          <w:i w:val="1"/>
          <w:iCs w:val="1"/>
          <w:color w:val="auto"/>
        </w:rPr>
        <w:t>Grand Canyon</w:t>
      </w:r>
      <w:r>
        <w:rPr>
          <w:rFonts w:ascii="Arial" w:cs="Arial" w:eastAsia="Arial" w:hAnsi="Arial"/>
          <w:sz w:val="17"/>
          <w:szCs w:val="17"/>
          <w:color w:val="auto"/>
        </w:rPr>
        <w:t>”), certain of Grand Canyon’s stockholders entered into a proxy and voting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that became effective on November 25, 2008, the closing of the Offering, pursuant to which such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granted to Brent D. Richardson, Grand Canyon’s Executive Chairman and a director, and Christopher C. Richardson, Grand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Canyon’s General Counsel and director, a five-year irrevocable proxy to exercise voting authority with respect to all Shares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such persons, for so long as such Shares are held by such persons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If any person party to the Voting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sells such Shares, however, the Proxy is no longer effective as to the transferred Shares.</w:t>
      </w:r>
    </w:p>
    <w:p>
      <w:pPr>
        <w:spacing w:after="0" w:line="170" w:lineRule="exact"/>
        <w:rPr>
          <w:sz w:val="20"/>
          <w:szCs w:val="20"/>
          <w:color w:val="auto"/>
        </w:rPr>
      </w:pPr>
    </w:p>
    <w:p>
      <w:pPr>
        <w:ind w:right="559"/>
        <w:spacing w:after="0" w:line="255" w:lineRule="auto"/>
        <w:rPr>
          <w:sz w:val="20"/>
          <w:szCs w:val="20"/>
          <w:color w:val="auto"/>
        </w:rPr>
      </w:pPr>
      <w:r>
        <w:rPr>
          <w:rFonts w:ascii="Arial" w:cs="Arial" w:eastAsia="Arial" w:hAnsi="Arial"/>
          <w:sz w:val="18"/>
          <w:szCs w:val="18"/>
          <w:color w:val="auto"/>
        </w:rPr>
        <w:t>Rich Crow Enterprises, LLC (“</w:t>
      </w:r>
      <w:r>
        <w:rPr>
          <w:rFonts w:ascii="Arial" w:cs="Arial" w:eastAsia="Arial" w:hAnsi="Arial"/>
          <w:sz w:val="18"/>
          <w:szCs w:val="18"/>
          <w:b w:val="1"/>
          <w:bCs w:val="1"/>
          <w:i w:val="1"/>
          <w:iCs w:val="1"/>
          <w:color w:val="auto"/>
        </w:rPr>
        <w:t>Rich Crow</w:t>
      </w:r>
      <w:r>
        <w:rPr>
          <w:rFonts w:ascii="Arial" w:cs="Arial" w:eastAsia="Arial" w:hAnsi="Arial"/>
          <w:sz w:val="18"/>
          <w:szCs w:val="18"/>
          <w:color w:val="auto"/>
        </w:rPr>
        <w:t>”) and Master’s Online, LLC (“</w:t>
      </w:r>
      <w:r>
        <w:rPr>
          <w:rFonts w:ascii="Arial" w:cs="Arial" w:eastAsia="Arial" w:hAnsi="Arial"/>
          <w:sz w:val="18"/>
          <w:szCs w:val="18"/>
          <w:b w:val="1"/>
          <w:bCs w:val="1"/>
          <w:i w:val="1"/>
          <w:iCs w:val="1"/>
          <w:color w:val="auto"/>
        </w:rPr>
        <w:t>MOL</w:t>
      </w:r>
      <w:r>
        <w:rPr>
          <w:rFonts w:ascii="Arial" w:cs="Arial" w:eastAsia="Arial" w:hAnsi="Arial"/>
          <w:sz w:val="18"/>
          <w:szCs w:val="18"/>
          <w:color w:val="auto"/>
        </w:rPr>
        <w:t>”) were parties to the Voting Agreement, and Staci Lin Buse was a member of each of Rich Crow and MOL. On May 19, 2009, Rich Crow and MOL distributed the Shares of Grand Canyon owned by them to their respective members, and Staci Lin Buse subsequently transferred the Shares that were distributed to her to the Luke M. Buse and Staci Lin Buse Revocable Trust (the “</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of which she is co-trustee with Luke M. Buse. In connection with these distributions, the Trust signed a joinder to the Voting Agreement, and the Shares held in the Trust are subject to the Proxy.</w:t>
      </w:r>
    </w:p>
    <w:p>
      <w:pPr>
        <w:spacing w:after="0" w:line="153" w:lineRule="exact"/>
        <w:rPr>
          <w:sz w:val="20"/>
          <w:szCs w:val="20"/>
          <w:color w:val="auto"/>
        </w:rPr>
      </w:pPr>
    </w:p>
    <w:p>
      <w:pPr>
        <w:ind w:right="619"/>
        <w:spacing w:after="0" w:line="264" w:lineRule="auto"/>
        <w:rPr>
          <w:sz w:val="20"/>
          <w:szCs w:val="20"/>
          <w:color w:val="auto"/>
        </w:rPr>
      </w:pPr>
      <w:r>
        <w:rPr>
          <w:rFonts w:ascii="Arial" w:cs="Arial" w:eastAsia="Arial" w:hAnsi="Arial"/>
          <w:sz w:val="18"/>
          <w:szCs w:val="18"/>
          <w:color w:val="auto"/>
        </w:rPr>
        <w:t>Rich Crow and MOL included the Shares that are reported in this Schedule 13G in a Schedule 13D that was filed jointly by Rich Crow, MOL, Brent D. Richardson, and Christopher C. Richardson with the Securities and Exchange Commission on December 5, 2008.</w:t>
      </w:r>
    </w:p>
    <w:p>
      <w:pPr>
        <w:spacing w:after="0" w:line="154" w:lineRule="exact"/>
        <w:rPr>
          <w:sz w:val="20"/>
          <w:szCs w:val="20"/>
          <w:color w:val="auto"/>
        </w:rPr>
      </w:pPr>
    </w:p>
    <w:p>
      <w:pPr>
        <w:jc w:val="both"/>
        <w:ind w:right="699"/>
        <w:spacing w:after="0" w:line="312" w:lineRule="auto"/>
        <w:rPr>
          <w:sz w:val="20"/>
          <w:szCs w:val="20"/>
          <w:color w:val="auto"/>
        </w:rPr>
      </w:pPr>
      <w:r>
        <w:rPr>
          <w:rFonts w:ascii="Arial" w:cs="Arial" w:eastAsia="Arial" w:hAnsi="Arial"/>
          <w:sz w:val="16"/>
          <w:szCs w:val="16"/>
          <w:color w:val="auto"/>
        </w:rPr>
        <w:t>This Schedule 13G is being filed as a result of the above-described distributions, and reflects the fact that the Shares reported in this Schedule 13G are subject to the Proxy, but that Staci Lin Buse and Luke M. Buse, as trustees of the Trust, share, subject to applicable law, the ability to dispose of such Shares free of the restrictions imposed by the Voting Agreement and the Proxy.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Name of Issuer:</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Grand Canyon Education, Inc.</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3300 West Camelback Road</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Phoenix, Arizona 85017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Name of Person Filing:</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Luke M. Buse and Staci Lin Buse Revocable Trust</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Luke M. Buse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Staci Lin Buse</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 w:name="page6"/>
    <w:bookmarkEnd w:id="5"/>
    <w:p>
      <w:pPr>
        <w:ind w:left="36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6236 E. Montecito Avenue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Scottsdale, Arizona 85251</w:t>
      </w:r>
    </w:p>
    <w:p>
      <w:pPr>
        <w:spacing w:after="0" w:line="166"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Citizenship:</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Luke M. Buse and Staci Lin Buse Revocable Trust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Arizona</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Luke M. Buse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Arizona</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Staci Lin Buse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Arizona</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  Title of Class of Securities: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Common Stock, $0.01 Par Value Per Share</w:t>
      </w:r>
    </w:p>
    <w:p>
      <w:pPr>
        <w:spacing w:after="0" w:line="181" w:lineRule="exact"/>
        <w:rPr>
          <w:sz w:val="20"/>
          <w:szCs w:val="20"/>
          <w:color w:val="auto"/>
        </w:rPr>
      </w:pPr>
    </w:p>
    <w:p>
      <w:pPr>
        <w:ind w:left="740" w:right="7879" w:hanging="383"/>
        <w:spacing w:after="0" w:line="489" w:lineRule="auto"/>
        <w:tabs>
          <w:tab w:leader="none" w:pos="709"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38526M 106</w:t>
      </w:r>
    </w:p>
    <w:p>
      <w:pPr>
        <w:spacing w:after="0"/>
        <w:rPr>
          <w:sz w:val="20"/>
          <w:szCs w:val="20"/>
          <w:color w:val="auto"/>
        </w:rPr>
      </w:pPr>
      <w:r>
        <w:rPr>
          <w:rFonts w:ascii="Arial" w:cs="Arial" w:eastAsia="Arial" w:hAnsi="Arial"/>
          <w:sz w:val="16"/>
          <w:szCs w:val="16"/>
          <w:b w:val="1"/>
          <w:bCs w:val="1"/>
          <w:color w:val="auto"/>
        </w:rPr>
        <w:t>Item 3. If This Statement is Filed Pursuant to Rule 13d-1(b), or 13d-2(b) or (c), Check Whether the Person Filing is a:</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2" w:lineRule="exact"/>
        <w:rPr>
          <w:sz w:val="20"/>
          <w:szCs w:val="20"/>
          <w:color w:val="auto"/>
        </w:rPr>
      </w:pPr>
    </w:p>
    <w:p>
      <w:pPr>
        <w:ind w:left="700" w:hanging="343"/>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3,503,171</w:t>
      </w:r>
    </w:p>
    <w:p>
      <w:pPr>
        <w:spacing w:after="0" w:line="184" w:lineRule="exact"/>
        <w:rPr>
          <w:rFonts w:ascii="Arial" w:cs="Arial" w:eastAsia="Arial" w:hAnsi="Arial"/>
          <w:sz w:val="18"/>
          <w:szCs w:val="18"/>
          <w:color w:val="auto"/>
        </w:rPr>
      </w:pPr>
    </w:p>
    <w:p>
      <w:pPr>
        <w:ind w:left="700" w:hanging="343"/>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 of Class: 7.7% (based on 45,485,765 shares outstanding as of April 23, 2009)</w:t>
      </w:r>
    </w:p>
    <w:p>
      <w:pPr>
        <w:spacing w:after="0" w:line="184" w:lineRule="exact"/>
        <w:rPr>
          <w:rFonts w:ascii="Arial" w:cs="Arial" w:eastAsia="Arial" w:hAnsi="Arial"/>
          <w:sz w:val="18"/>
          <w:szCs w:val="18"/>
          <w:color w:val="auto"/>
        </w:rPr>
      </w:pPr>
    </w:p>
    <w:p>
      <w:pPr>
        <w:ind w:left="700" w:hanging="343"/>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shared as to which the person has:</w:t>
      </w:r>
    </w:p>
    <w:p>
      <w:pPr>
        <w:spacing w:after="0" w:line="198" w:lineRule="exact"/>
        <w:rPr>
          <w:rFonts w:ascii="Arial" w:cs="Arial" w:eastAsia="Arial" w:hAnsi="Arial"/>
          <w:sz w:val="18"/>
          <w:szCs w:val="18"/>
          <w:color w:val="auto"/>
        </w:rPr>
      </w:pPr>
    </w:p>
    <w:p>
      <w:pPr>
        <w:ind w:left="1080" w:hanging="345"/>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84" w:lineRule="exact"/>
        <w:rPr>
          <w:rFonts w:ascii="Arial" w:cs="Arial" w:eastAsia="Arial" w:hAnsi="Arial"/>
          <w:sz w:val="18"/>
          <w:szCs w:val="18"/>
          <w:color w:val="auto"/>
        </w:rPr>
      </w:pPr>
    </w:p>
    <w:p>
      <w:pPr>
        <w:ind w:left="1080" w:hanging="345"/>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3,503,171</w:t>
      </w:r>
    </w:p>
    <w:p>
      <w:pPr>
        <w:spacing w:after="0" w:line="184" w:lineRule="exact"/>
        <w:rPr>
          <w:rFonts w:ascii="Arial" w:cs="Arial" w:eastAsia="Arial" w:hAnsi="Arial"/>
          <w:sz w:val="18"/>
          <w:szCs w:val="18"/>
          <w:color w:val="auto"/>
        </w:rPr>
      </w:pPr>
    </w:p>
    <w:p>
      <w:pPr>
        <w:ind w:left="1080" w:hanging="345"/>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8" w:lineRule="exact"/>
        <w:rPr>
          <w:rFonts w:ascii="Arial" w:cs="Arial" w:eastAsia="Arial" w:hAnsi="Arial"/>
          <w:sz w:val="18"/>
          <w:szCs w:val="18"/>
          <w:color w:val="auto"/>
        </w:rPr>
      </w:pPr>
    </w:p>
    <w:p>
      <w:pPr>
        <w:ind w:left="1080" w:hanging="345"/>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of to direct the disposition of: 3,503,171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ind w:left="580" w:right="599" w:hanging="593"/>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89" w:lineRule="exact"/>
        <w:rPr>
          <w:sz w:val="20"/>
          <w:szCs w:val="20"/>
          <w:color w:val="auto"/>
        </w:rPr>
      </w:pPr>
    </w:p>
    <w:p>
      <w:pPr>
        <w:ind w:left="360" w:right="839"/>
        <w:spacing w:after="0" w:line="342" w:lineRule="auto"/>
        <w:rPr>
          <w:sz w:val="20"/>
          <w:szCs w:val="20"/>
          <w:color w:val="auto"/>
        </w:rPr>
      </w:pPr>
      <w:r>
        <w:rPr>
          <w:rFonts w:ascii="Arial" w:cs="Arial" w:eastAsia="Arial" w:hAnsi="Arial"/>
          <w:sz w:val="16"/>
          <w:szCs w:val="16"/>
          <w:color w:val="auto"/>
        </w:rPr>
        <w:t>The reporting persons are filing this Schedule 13G jointly, but not as a group, and each of them expressly disclaims membership in a group within the meaning of Rule 13d-5(b)(1) under the Securities Exchange Act of 1934, as amended.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 w:name="page8"/>
    <w:bookmarkEnd w:id="7"/>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599" w:firstLine="37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29, 2009</w:t>
      </w: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LUKE M. BUSE &amp; STACI LIN BUSE</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REVOCABLE TUST</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Luke M. Buse,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14605</wp:posOffset>
            </wp:positionV>
            <wp:extent cx="2084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Luke M. Buse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Luke M. 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-130810</wp:posOffset>
            </wp:positionV>
            <wp:extent cx="2306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Staci Lin Buse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Staci Lin 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-130810</wp:posOffset>
            </wp:positionV>
            <wp:extent cx="2306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 w:name="page9"/>
    <w:bookmarkEnd w:id="8"/>
    <w:p>
      <w:pPr>
        <w:jc w:val="center"/>
        <w:ind w:right="559"/>
        <w:spacing w:after="0"/>
        <w:rPr>
          <w:sz w:val="20"/>
          <w:szCs w:val="20"/>
          <w:color w:val="auto"/>
        </w:rPr>
      </w:pPr>
      <w:r>
        <w:rPr>
          <w:rFonts w:ascii="Arial" w:cs="Arial" w:eastAsia="Arial" w:hAnsi="Arial"/>
          <w:sz w:val="18"/>
          <w:szCs w:val="18"/>
          <w:b w:val="1"/>
          <w:bCs w:val="1"/>
          <w:color w:val="auto"/>
        </w:rPr>
        <w:t>SCHEDULE 13G</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EXHIBIT 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JOINT FILING AGREEMENT</w:t>
      </w:r>
    </w:p>
    <w:p>
      <w:pPr>
        <w:spacing w:after="0" w:line="189" w:lineRule="exact"/>
        <w:rPr>
          <w:sz w:val="20"/>
          <w:szCs w:val="20"/>
          <w:color w:val="auto"/>
        </w:rPr>
      </w:pPr>
    </w:p>
    <w:p>
      <w:pPr>
        <w:ind w:right="599" w:firstLine="373"/>
        <w:spacing w:after="0" w:line="276" w:lineRule="auto"/>
        <w:rPr>
          <w:sz w:val="20"/>
          <w:szCs w:val="20"/>
          <w:color w:val="auto"/>
        </w:rPr>
      </w:pPr>
      <w:r>
        <w:rPr>
          <w:rFonts w:ascii="Arial" w:cs="Arial" w:eastAsia="Arial" w:hAnsi="Arial"/>
          <w:sz w:val="17"/>
          <w:szCs w:val="17"/>
          <w:color w:val="auto"/>
        </w:rPr>
        <w:t>In accordance with Rule 13d-1(k) under the Securities Exchange Act of 1934, as amended, the undersigned hereby agree to the joint filing with all other reporting persons on behalf of each of them in a statement on Schedule 13G (including amendments thereto) with respect to the common stock, par value $0.01 per share, of Grand Canyon Education, Inc., a Delaware corporation, and that this agreement shall be included as an exhibit to such joint filing. This agreement may be executed in any number of counterparts, all of which taken together shall constitute one and the same instrument.</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have executed this Agreement on the 29th day of May, 2009.</w:t>
      </w: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LUKE M. BUSE &amp; STACI LIN BUSE</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REVOCABLE TUST</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/s/ Luke M. Buse,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14605</wp:posOffset>
            </wp:positionV>
            <wp:extent cx="2084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Luke M. Buse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Luke M. 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-130810</wp:posOffset>
            </wp:positionV>
            <wp:extent cx="2306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Staci Lin Buse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Staci Lin Buse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-130810</wp:posOffset>
            </wp:positionV>
            <wp:extent cx="23069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2019-12-11T05:52:25Z</dcterms:created>
  <dcterms:modified xsi:type="dcterms:W3CDTF">2019-12-11T05:52:25Z</dcterms:modified>
</cp:coreProperties>
</file>