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6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ind w:left="4780"/>
        <w:spacing w:after="0"/>
        <w:rPr>
          <w:sz w:val="20"/>
          <w:szCs w:val="20"/>
          <w:color w:val="auto"/>
        </w:rPr>
      </w:pPr>
      <w:r>
        <w:rPr>
          <w:rFonts w:ascii="Arial" w:cs="Arial" w:eastAsia="Arial" w:hAnsi="Arial"/>
          <w:sz w:val="25"/>
          <w:szCs w:val="25"/>
          <w:b w:val="1"/>
          <w:bCs w:val="1"/>
          <w:color w:val="auto"/>
        </w:rPr>
        <w:t>SCHEDULE 14A</w:t>
      </w:r>
    </w:p>
    <w:p>
      <w:pPr>
        <w:spacing w:after="0" w:line="315" w:lineRule="exact"/>
        <w:rPr>
          <w:sz w:val="24"/>
          <w:szCs w:val="24"/>
          <w:color w:val="auto"/>
        </w:rPr>
      </w:pPr>
    </w:p>
    <w:p>
      <w:pPr>
        <w:ind w:left="1980"/>
        <w:spacing w:after="0"/>
        <w:tabs>
          <w:tab w:leader="none" w:pos="9380" w:val="left"/>
        </w:tabs>
        <w:rPr>
          <w:sz w:val="20"/>
          <w:szCs w:val="20"/>
          <w:color w:val="auto"/>
        </w:rPr>
      </w:pPr>
      <w:r>
        <w:rPr>
          <w:rFonts w:ascii="Arial" w:cs="Arial" w:eastAsia="Arial" w:hAnsi="Arial"/>
          <w:sz w:val="16"/>
          <w:szCs w:val="16"/>
          <w:color w:val="auto"/>
        </w:rPr>
        <w:t>Proxy Statement Pursuant to Section 14(a) of the Securities Exchange Act of 1934 (Amendment 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5852160</wp:posOffset>
            </wp:positionH>
            <wp:positionV relativeFrom="paragraph">
              <wp:posOffset>-10160</wp:posOffset>
            </wp:positionV>
            <wp:extent cx="114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9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160" w:hanging="26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8" w:lineRule="exact"/>
        <w:rPr>
          <w:sz w:val="24"/>
          <w:szCs w:val="24"/>
          <w:color w:val="auto"/>
        </w:rPr>
      </w:pPr>
    </w:p>
    <w:p>
      <w:pPr>
        <w:ind w:left="3820"/>
        <w:spacing w:after="0"/>
        <w:rPr>
          <w:sz w:val="20"/>
          <w:szCs w:val="20"/>
          <w:color w:val="auto"/>
        </w:rPr>
      </w:pPr>
      <w:r>
        <w:rPr>
          <w:rFonts w:ascii="Arial" w:cs="Arial" w:eastAsia="Arial" w:hAnsi="Arial"/>
          <w:sz w:val="29"/>
          <w:szCs w:val="29"/>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160020</wp:posOffset>
            </wp:positionV>
            <wp:extent cx="61575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45"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152400</wp:posOffset>
            </wp:positionV>
            <wp:extent cx="61575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232"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280" w:right="1260" w:hanging="340"/>
        <w:spacing w:after="0" w:line="277" w:lineRule="auto"/>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25" w:lineRule="exact"/>
        <w:rPr>
          <w:rFonts w:ascii="MS PGothic" w:cs="MS PGothic" w:eastAsia="MS PGothic" w:hAnsi="MS PGothic"/>
          <w:sz w:val="18"/>
          <w:szCs w:val="18"/>
          <w:color w:val="auto"/>
        </w:rPr>
      </w:pPr>
    </w:p>
    <w:p>
      <w:pPr>
        <w:ind w:left="260" w:hanging="252"/>
        <w:spacing w:after="0" w:line="264" w:lineRule="auto"/>
        <w:tabs>
          <w:tab w:leader="none" w:pos="2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280" w:hanging="340"/>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-2728595</wp:posOffset>
            </wp:positionV>
            <wp:extent cx="574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-2437130</wp:posOffset>
            </wp:positionV>
            <wp:extent cx="57461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-2008505</wp:posOffset>
            </wp:positionV>
            <wp:extent cx="5737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7225" cy="1714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-1717040</wp:posOffset>
            </wp:positionV>
            <wp:extent cx="5720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0080" cy="1714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-1424940</wp:posOffset>
            </wp:positionV>
            <wp:extent cx="5720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20080"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-721995</wp:posOffset>
            </wp:positionV>
            <wp:extent cx="574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-430530</wp:posOffset>
            </wp:positionV>
            <wp:extent cx="574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-139065</wp:posOffset>
            </wp:positionV>
            <wp:extent cx="574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152400</wp:posOffset>
            </wp:positionV>
            <wp:extent cx="574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115" cy="1714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461010</wp:posOffset>
            </wp:positionV>
            <wp:extent cx="610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06160" cy="17145"/>
                    </a:xfrm>
                    <a:prstGeom prst="rect">
                      <a:avLst/>
                    </a:prstGeom>
                    <a:noFill/>
                  </pic:spPr>
                </pic:pic>
              </a:graphicData>
            </a:graphic>
          </wp:anchor>
        </w:drawing>
      </w:r>
    </w:p>
    <w:p>
      <w:pPr>
        <w:sectPr>
          <w:pgSz w:w="11900" w:h="16838" w:orient="portrait"/>
          <w:cols w:equalWidth="0" w:num="1">
            <w:col w:w="10780"/>
          </w:cols>
          <w:pgMar w:left="240" w:top="230" w:right="8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4793615" cy="934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9361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4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are cordially invited to attend the 2018 Annual Meeting of Stockholders (the “Annual Meeting”) of Grand Canyon Education, Inc. (the “Company”) to be held at Grand Canyon University Antelope Reception Center on the campus of Grand Canyon University at 3300 W. Camelback Road, Phoenix, Arizona 85017, commencing at 9:00 a.m., Arizona time, on Wednesday, June 13, 2018.</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April 19, 2018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proxy statement is dated April 26, 2018, and is first being sent or made available to stockholders on or about May 1, 2018.</w:t>
      </w:r>
    </w:p>
    <w:p>
      <w:pPr>
        <w:sectPr>
          <w:pgSz w:w="11900" w:h="16838" w:orient="portrait"/>
          <w:cols w:equalWidth="0" w:num="1">
            <w:col w:w="11420"/>
          </w:cols>
          <w:pgMar w:left="240" w:top="45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34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89"/>
              </w:rPr>
              <w:t>Notice of Annual Meeting of Stockholders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34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88"/>
              </w:rPr>
              <w:t>to be held on June 13, 2018</w:t>
            </w:r>
          </w:p>
        </w:tc>
        <w:tc>
          <w:tcPr>
            <w:tcW w:w="0" w:type="dxa"/>
            <w:vAlign w:val="bottom"/>
          </w:tcPr>
          <w:p>
            <w:pPr>
              <w:spacing w:after="0"/>
              <w:rPr>
                <w:sz w:val="1"/>
                <w:szCs w:val="1"/>
                <w:color w:val="auto"/>
              </w:rPr>
            </w:pPr>
          </w:p>
        </w:tc>
      </w:tr>
      <w:tr>
        <w:trPr>
          <w:trHeight w:val="54"/>
        </w:trPr>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Date and Time:</w:t>
            </w:r>
          </w:p>
        </w:tc>
        <w:tc>
          <w:tcPr>
            <w:tcW w:w="2040" w:type="dxa"/>
            <w:vAlign w:val="bottom"/>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920" w:type="dxa"/>
            <w:vAlign w:val="bottom"/>
            <w:gridSpan w:val="2"/>
            <w:vMerge w:val="continue"/>
          </w:tcPr>
          <w:p>
            <w:pPr>
              <w:spacing w:after="0"/>
              <w:rPr>
                <w:sz w:val="24"/>
                <w:szCs w:val="24"/>
                <w:color w:val="auto"/>
              </w:rPr>
            </w:pP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rPr>
              <w:t>Wednesday, June 13, 2018, at 9:00 a.m., Arizona time</w:t>
            </w:r>
          </w:p>
        </w:tc>
        <w:tc>
          <w:tcPr>
            <w:tcW w:w="0" w:type="dxa"/>
            <w:vAlign w:val="bottom"/>
          </w:tcPr>
          <w:p>
            <w:pPr>
              <w:spacing w:after="0"/>
              <w:rPr>
                <w:sz w:val="1"/>
                <w:szCs w:val="1"/>
                <w:color w:val="auto"/>
              </w:rPr>
            </w:pPr>
          </w:p>
        </w:tc>
      </w:tr>
      <w:tr>
        <w:trPr>
          <w:trHeight w:val="337"/>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Place:</w:t>
            </w: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w w:val="91"/>
              </w:rPr>
              <w:t>Grand Canyon University Antelope Reception Center on the campus of Grand Canyon University at 3300 W.</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rPr>
              <w:t>Camelback Road, Phoenix, Arizona 85017.</w:t>
            </w:r>
          </w:p>
        </w:tc>
        <w:tc>
          <w:tcPr>
            <w:tcW w:w="0" w:type="dxa"/>
            <w:vAlign w:val="bottom"/>
          </w:tcPr>
          <w:p>
            <w:pPr>
              <w:spacing w:after="0"/>
              <w:rPr>
                <w:sz w:val="1"/>
                <w:szCs w:val="1"/>
                <w:color w:val="auto"/>
              </w:rPr>
            </w:pPr>
          </w:p>
        </w:tc>
      </w:tr>
      <w:tr>
        <w:trPr>
          <w:trHeight w:val="337"/>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Items of Business:</w:t>
            </w: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w w:val="93"/>
              </w:rPr>
              <w:t>At the Annual Meeting, holders of our common stock will be asked to consider and vote upon the following</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380" w:type="dxa"/>
            <w:vAlign w:val="bottom"/>
            <w:gridSpan w:val="3"/>
          </w:tcPr>
          <w:p>
            <w:pPr>
              <w:ind w:left="500"/>
              <w:spacing w:after="0"/>
              <w:rPr>
                <w:sz w:val="20"/>
                <w:szCs w:val="20"/>
                <w:color w:val="auto"/>
              </w:rPr>
            </w:pPr>
            <w:r>
              <w:rPr>
                <w:rFonts w:ascii="Arial" w:cs="Arial" w:eastAsia="Arial" w:hAnsi="Arial"/>
                <w:sz w:val="18"/>
                <w:szCs w:val="18"/>
                <w:color w:val="auto"/>
              </w:rPr>
              <w:t>proposals, all of which are discussed in greater detail in the accompanying proxy statement:</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100" w:right="1000" w:hanging="359"/>
        <w:spacing w:after="0" w:line="256" w:lineRule="auto"/>
        <w:tabs>
          <w:tab w:leader="none" w:pos="3080" w:val="left"/>
        </w:tabs>
        <w:rPr>
          <w:sz w:val="20"/>
          <w:szCs w:val="20"/>
          <w:color w:val="auto"/>
        </w:rPr>
      </w:pPr>
      <w:r>
        <w:rPr>
          <w:rFonts w:ascii="Arial" w:cs="Arial" w:eastAsia="Arial" w:hAnsi="Arial"/>
          <w:sz w:val="18"/>
          <w:szCs w:val="18"/>
          <w:color w:val="auto"/>
        </w:rPr>
        <w:t>1.</w:t>
        <w:tab/>
        <w:t>To elect a Board of Directors of five directors, each to serve until the 2019 annual meeting of stockholders or until his or her successor has been duly elected and qualified or until his or her earlier resignation or removal;</w:t>
      </w:r>
    </w:p>
    <w:p>
      <w:pPr>
        <w:ind w:left="3100" w:right="900" w:hanging="359"/>
        <w:spacing w:after="0" w:line="250" w:lineRule="auto"/>
        <w:tabs>
          <w:tab w:leader="none" w:pos="3080" w:val="left"/>
        </w:tabs>
        <w:rPr>
          <w:sz w:val="20"/>
          <w:szCs w:val="20"/>
          <w:color w:val="auto"/>
        </w:rPr>
      </w:pPr>
      <w:r>
        <w:rPr>
          <w:rFonts w:ascii="Arial" w:cs="Arial" w:eastAsia="Arial" w:hAnsi="Arial"/>
          <w:sz w:val="18"/>
          <w:szCs w:val="18"/>
          <w:color w:val="auto"/>
        </w:rPr>
        <w:t>2.</w:t>
        <w:tab/>
        <w:t>To approve, on an advisory basis, the compensation of our named executive officers as disclosed in the enclosed Proxy Statement;</w:t>
      </w:r>
    </w:p>
    <w:p>
      <w:pPr>
        <w:spacing w:after="0" w:line="1" w:lineRule="exact"/>
        <w:rPr>
          <w:sz w:val="20"/>
          <w:szCs w:val="20"/>
          <w:color w:val="auto"/>
        </w:rPr>
      </w:pPr>
    </w:p>
    <w:p>
      <w:pPr>
        <w:ind w:left="3100" w:right="1000" w:hanging="359"/>
        <w:spacing w:after="0" w:line="250" w:lineRule="auto"/>
        <w:tabs>
          <w:tab w:leader="none" w:pos="3080" w:val="left"/>
        </w:tabs>
        <w:rPr>
          <w:sz w:val="20"/>
          <w:szCs w:val="20"/>
          <w:color w:val="auto"/>
        </w:rPr>
      </w:pPr>
      <w:r>
        <w:rPr>
          <w:rFonts w:ascii="Arial" w:cs="Arial" w:eastAsia="Arial" w:hAnsi="Arial"/>
          <w:sz w:val="18"/>
          <w:szCs w:val="18"/>
          <w:color w:val="auto"/>
        </w:rPr>
        <w:t>3.</w:t>
        <w:tab/>
        <w:t>To ratify the appointment of KPMG LLP as our independent registered public accounting firm for the fiscal year ending December 31, 2018; and</w:t>
      </w:r>
    </w:p>
    <w:p>
      <w:pPr>
        <w:spacing w:after="0" w:line="1" w:lineRule="exact"/>
        <w:rPr>
          <w:sz w:val="20"/>
          <w:szCs w:val="20"/>
          <w:color w:val="auto"/>
        </w:rPr>
      </w:pPr>
    </w:p>
    <w:p>
      <w:pPr>
        <w:ind w:left="3100" w:right="940" w:hanging="359"/>
        <w:spacing w:after="0" w:line="250" w:lineRule="auto"/>
        <w:tabs>
          <w:tab w:leader="none" w:pos="3080" w:val="left"/>
        </w:tabs>
        <w:rPr>
          <w:sz w:val="20"/>
          <w:szCs w:val="20"/>
          <w:color w:val="auto"/>
        </w:rPr>
      </w:pPr>
      <w:r>
        <w:rPr>
          <w:rFonts w:ascii="Arial" w:cs="Arial" w:eastAsia="Arial" w:hAnsi="Arial"/>
          <w:sz w:val="18"/>
          <w:szCs w:val="18"/>
          <w:color w:val="auto"/>
        </w:rPr>
        <w:t>4.</w:t>
        <w:tab/>
        <w:t>To transact such other business as may properly be brought before the meeting or any adjournments or postponements thereof.</w:t>
      </w:r>
    </w:p>
    <w:p>
      <w:pPr>
        <w:sectPr>
          <w:pgSz w:w="11900" w:h="16838" w:orient="portrait"/>
          <w:cols w:equalWidth="0" w:num="1">
            <w:col w:w="11420"/>
          </w:cols>
          <w:pgMar w:left="240" w:top="446"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ind w:right="680"/>
        <w:spacing w:after="0" w:line="290" w:lineRule="auto"/>
        <w:rPr>
          <w:sz w:val="20"/>
          <w:szCs w:val="20"/>
          <w:color w:val="auto"/>
        </w:rPr>
      </w:pPr>
      <w:r>
        <w:rPr>
          <w:rFonts w:ascii="Arial" w:cs="Arial" w:eastAsia="Arial" w:hAnsi="Arial"/>
          <w:sz w:val="17"/>
          <w:szCs w:val="17"/>
          <w:color w:val="auto"/>
        </w:rPr>
        <w:t>Only stockholders of record at the close of business on April 19, 2018, the record date for the Annual Meeting, will be entitled to notice of and to vote at the Annual Meeting and any adjournments or postponements thereof.</w:t>
      </w:r>
    </w:p>
    <w:p>
      <w:pPr>
        <w:spacing w:after="0" w:line="77" w:lineRule="exact"/>
        <w:rPr>
          <w:sz w:val="20"/>
          <w:szCs w:val="20"/>
          <w:color w:val="auto"/>
        </w:rPr>
      </w:pPr>
    </w:p>
    <w:p>
      <w:pPr>
        <w:sectPr>
          <w:pgSz w:w="11900" w:h="16838" w:orient="portrait"/>
          <w:cols w:equalWidth="0" w:num="2">
            <w:col w:w="1700" w:space="720"/>
            <w:col w:w="9000"/>
          </w:cols>
          <w:pgMar w:left="240" w:top="446" w:right="239" w:bottom="1440" w:gutter="0" w:footer="0" w:header="0"/>
          <w:type w:val="continuous"/>
        </w:sectPr>
      </w:pPr>
    </w:p>
    <w:p>
      <w:pPr>
        <w:ind w:right="340"/>
        <w:spacing w:after="0" w:line="313" w:lineRule="auto"/>
        <w:rPr>
          <w:sz w:val="20"/>
          <w:szCs w:val="20"/>
          <w:color w:val="auto"/>
        </w:rPr>
      </w:pPr>
      <w:r>
        <w:rPr>
          <w:rFonts w:ascii="Arial" w:cs="Arial" w:eastAsia="Arial" w:hAnsi="Arial"/>
          <w:sz w:val="17"/>
          <w:szCs w:val="17"/>
          <w:b w:val="1"/>
          <w:bCs w:val="1"/>
          <w:color w:val="auto"/>
        </w:rPr>
        <w:t>Delivery of Proxy Materials:</w:t>
      </w:r>
    </w:p>
    <w:p>
      <w:pPr>
        <w:spacing w:after="0" w:line="20" w:lineRule="exact"/>
        <w:rPr>
          <w:sz w:val="20"/>
          <w:szCs w:val="20"/>
          <w:color w:val="auto"/>
        </w:rPr>
      </w:pPr>
      <w:r>
        <w:rPr>
          <w:sz w:val="20"/>
          <w:szCs w:val="20"/>
          <w:color w:val="auto"/>
        </w:rPr>
        <w:br w:type="column"/>
      </w:r>
    </w:p>
    <w:p>
      <w:pPr>
        <w:ind w:right="920"/>
        <w:spacing w:after="0" w:line="259" w:lineRule="auto"/>
        <w:rPr>
          <w:sz w:val="20"/>
          <w:szCs w:val="20"/>
          <w:color w:val="auto"/>
        </w:rPr>
      </w:pPr>
      <w:r>
        <w:rPr>
          <w:rFonts w:ascii="Arial" w:cs="Arial" w:eastAsia="Arial" w:hAnsi="Arial"/>
          <w:sz w:val="18"/>
          <w:szCs w:val="18"/>
          <w:color w:val="auto"/>
        </w:rPr>
        <w:t>Beginning on May 1, 2018, we began mailing a Notice of Internet Availability of Proxy Materials to our stockholders rather than a full paper set of the proxy materials. The Notice of Internet Availability of Proxy Materials contains instructions on how to access our proxy materials over the Internet, as well as instructions on how stockholders may obtain a paper copy of our proxy materials.</w:t>
      </w:r>
    </w:p>
    <w:p>
      <w:pPr>
        <w:spacing w:after="0" w:line="102" w:lineRule="exact"/>
        <w:rPr>
          <w:sz w:val="20"/>
          <w:szCs w:val="20"/>
          <w:color w:val="auto"/>
        </w:rPr>
      </w:pPr>
    </w:p>
    <w:p>
      <w:pPr>
        <w:sectPr>
          <w:pgSz w:w="11900" w:h="16838" w:orient="portrait"/>
          <w:cols w:equalWidth="0" w:num="2">
            <w:col w:w="1700" w:space="720"/>
            <w:col w:w="9000"/>
          </w:cols>
          <w:pgMar w:left="240" w:top="446"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Internet Availability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w:t>
      </w:r>
    </w:p>
    <w:p>
      <w:pPr>
        <w:spacing w:after="0" w:line="20" w:lineRule="exact"/>
        <w:rPr>
          <w:sz w:val="20"/>
          <w:szCs w:val="20"/>
          <w:color w:val="auto"/>
        </w:rPr>
      </w:pPr>
      <w:r>
        <w:rPr>
          <w:sz w:val="20"/>
          <w:szCs w:val="20"/>
          <w:color w:val="auto"/>
        </w:rPr>
        <w:br w:type="column"/>
      </w:r>
    </w:p>
    <w:p>
      <w:pPr>
        <w:ind w:right="800"/>
        <w:spacing w:after="0" w:line="295"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13, 2018</w:t>
      </w:r>
      <w:r>
        <w:rPr>
          <w:rFonts w:ascii="Arial" w:cs="Arial" w:eastAsia="Arial" w:hAnsi="Arial"/>
          <w:sz w:val="16"/>
          <w:szCs w:val="16"/>
          <w:color w:val="auto"/>
        </w:rPr>
        <w:t>. Our Proxy Statement is attached. Financial and other information concerning Grand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Canyon Education, Inc. is contained in our Annual Report to Stockholders for the fiscal year ended December 31, 2017. A complete set of proxy materials relating to our Annual Meeting is available on the Internet. These materials, consisting of the Notice of Annual Meeting, Proxy Statement, Proxy Card and Annual Report to Stockholders, are available and may be viewed at </w:t>
      </w:r>
      <w:r>
        <w:rPr>
          <w:rFonts w:ascii="Arial" w:cs="Arial" w:eastAsia="Arial" w:hAnsi="Arial"/>
          <w:sz w:val="16"/>
          <w:szCs w:val="16"/>
          <w:i w:val="1"/>
          <w:iCs w:val="1"/>
          <w:color w:val="auto"/>
        </w:rPr>
        <w:t>www.edocumentview.com/LOPE</w:t>
      </w:r>
      <w:r>
        <w:rPr>
          <w:rFonts w:ascii="Arial" w:cs="Arial" w:eastAsia="Arial" w:hAnsi="Arial"/>
          <w:sz w:val="16"/>
          <w:szCs w:val="16"/>
          <w:color w:val="auto"/>
        </w:rPr>
        <w:t>.</w:t>
      </w:r>
    </w:p>
    <w:p>
      <w:pPr>
        <w:spacing w:after="0" w:line="75" w:lineRule="exact"/>
        <w:rPr>
          <w:sz w:val="20"/>
          <w:szCs w:val="20"/>
          <w:color w:val="auto"/>
        </w:rPr>
      </w:pPr>
    </w:p>
    <w:p>
      <w:pPr>
        <w:sectPr>
          <w:pgSz w:w="11900" w:h="16838" w:orient="portrait"/>
          <w:cols w:equalWidth="0" w:num="2">
            <w:col w:w="1760" w:space="660"/>
            <w:col w:w="9000"/>
          </w:cols>
          <w:pgMar w:left="240" w:top="446"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jc w:val="both"/>
        <w:ind w:right="1020"/>
        <w:spacing w:after="0" w:line="264" w:lineRule="auto"/>
        <w:rPr>
          <w:sz w:val="20"/>
          <w:szCs w:val="20"/>
          <w:color w:val="auto"/>
        </w:rPr>
      </w:pPr>
      <w:r>
        <w:rPr>
          <w:rFonts w:ascii="Arial" w:cs="Arial" w:eastAsia="Arial" w:hAnsi="Arial"/>
          <w:sz w:val="18"/>
          <w:szCs w:val="18"/>
          <w:color w:val="auto"/>
        </w:rPr>
        <w:t>To make it easier for you to vote, Internet and telephone voting are available. The instructions on the Notice of Internet Availability of Proxy Materials or, if you received a paper copy of the proxy materials, the proxy card describe how to use these convenient services.</w:t>
      </w:r>
    </w:p>
    <w:p>
      <w:pPr>
        <w:spacing w:after="0" w:line="200" w:lineRule="exact"/>
        <w:rPr>
          <w:sz w:val="20"/>
          <w:szCs w:val="20"/>
          <w:color w:val="auto"/>
        </w:rPr>
      </w:pPr>
    </w:p>
    <w:p>
      <w:pPr>
        <w:sectPr>
          <w:pgSz w:w="11900" w:h="16838" w:orient="portrait"/>
          <w:cols w:equalWidth="0" w:num="2">
            <w:col w:w="1700" w:space="720"/>
            <w:col w:w="9000"/>
          </w:cols>
          <w:pgMar w:left="240" w:top="446"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Phoenix, Arizona</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w:t>
            </w:r>
            <w:r>
              <w:rPr>
                <w:rFonts w:ascii="Arial" w:cs="Arial" w:eastAsia="Arial" w:hAnsi="Arial"/>
                <w:sz w:val="15"/>
                <w:szCs w:val="15"/>
                <w:color w:val="auto"/>
              </w:rPr>
              <w:t>RIAN</w:t>
            </w:r>
            <w:r>
              <w:rPr>
                <w:rFonts w:ascii="Arial" w:cs="Arial" w:eastAsia="Arial" w:hAnsi="Arial"/>
                <w:sz w:val="18"/>
                <w:szCs w:val="18"/>
                <w:color w:val="auto"/>
              </w:rPr>
              <w:t xml:space="preserve"> E. M</w:t>
            </w:r>
            <w:r>
              <w:rPr>
                <w:rFonts w:ascii="Arial" w:cs="Arial" w:eastAsia="Arial" w:hAnsi="Arial"/>
                <w:sz w:val="15"/>
                <w:szCs w:val="15"/>
                <w:color w:val="auto"/>
              </w:rPr>
              <w:t>UELLER</w:t>
            </w:r>
          </w:p>
        </w:tc>
      </w:tr>
      <w:tr>
        <w:trPr>
          <w:trHeight w:val="209"/>
        </w:trPr>
        <w:tc>
          <w:tcPr>
            <w:tcW w:w="6060" w:type="dxa"/>
            <w:vAlign w:val="bottom"/>
          </w:tcPr>
          <w:p>
            <w:pPr>
              <w:ind w:left="180"/>
              <w:spacing w:after="0"/>
              <w:rPr>
                <w:sz w:val="20"/>
                <w:szCs w:val="20"/>
                <w:color w:val="auto"/>
              </w:rPr>
            </w:pPr>
            <w:r>
              <w:rPr>
                <w:rFonts w:ascii="Arial" w:cs="Arial" w:eastAsia="Arial" w:hAnsi="Arial"/>
                <w:sz w:val="18"/>
                <w:szCs w:val="18"/>
                <w:color w:val="auto"/>
              </w:rPr>
              <w:t>April 26, 2018</w:t>
            </w:r>
          </w:p>
        </w:tc>
        <w:tc>
          <w:tcPr>
            <w:tcW w:w="5360" w:type="dxa"/>
            <w:vAlign w:val="bottom"/>
          </w:tcPr>
          <w:p>
            <w:pPr>
              <w:spacing w:after="0"/>
              <w:rPr>
                <w:sz w:val="20"/>
                <w:szCs w:val="20"/>
                <w:color w:val="auto"/>
              </w:rPr>
            </w:pPr>
            <w:r>
              <w:rPr>
                <w:rFonts w:ascii="Arial" w:cs="Arial" w:eastAsia="Arial" w:hAnsi="Arial"/>
                <w:sz w:val="18"/>
                <w:szCs w:val="18"/>
                <w:color w:val="auto"/>
              </w:rPr>
              <w:t>Brian E. Mueller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w:t>
            </w:r>
          </w:p>
        </w:tc>
      </w:tr>
    </w:tbl>
    <w:p>
      <w:pPr>
        <w:sectPr>
          <w:pgSz w:w="11900" w:h="16838" w:orient="portrait"/>
          <w:cols w:equalWidth="0" w:num="1">
            <w:col w:w="11420"/>
          </w:cols>
          <w:pgMar w:left="240" w:top="446"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GENERAL INFORMATION</w:t>
              </w:r>
            </w:hyperlink>
          </w:p>
        </w:tc>
        <w:tc>
          <w:tcPr>
            <w:tcW w:w="7500" w:type="dxa"/>
            <w:vAlign w:val="bottom"/>
            <w:gridSpan w:val="35"/>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Notice of Internet Availability</w:t>
              </w:r>
            </w:hyperlink>
          </w:p>
        </w:tc>
        <w:tc>
          <w:tcPr>
            <w:tcW w:w="7060" w:type="dxa"/>
            <w:vAlign w:val="bottom"/>
            <w:gridSpan w:val="27"/>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Record Date and Quorum</w:t>
              </w:r>
            </w:hyperlink>
          </w:p>
        </w:tc>
        <w:tc>
          <w:tcPr>
            <w:tcW w:w="7380" w:type="dxa"/>
            <w:vAlign w:val="bottom"/>
            <w:gridSpan w:val="3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Submission of Proxies; Revocation</w:t>
              </w:r>
            </w:hyperlink>
          </w:p>
        </w:tc>
        <w:tc>
          <w:tcPr>
            <w:tcW w:w="6700" w:type="dxa"/>
            <w:vAlign w:val="bottom"/>
            <w:gridSpan w:val="22"/>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Deadlines for Stockholder Proposals</w:t>
              </w:r>
            </w:hyperlink>
          </w:p>
        </w:tc>
        <w:tc>
          <w:tcPr>
            <w:tcW w:w="6600" w:type="dxa"/>
            <w:vAlign w:val="bottom"/>
            <w:gridSpan w:val="19"/>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Quorum</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Vote Required</w:t>
              </w:r>
            </w:hyperlink>
          </w:p>
        </w:tc>
        <w:tc>
          <w:tcPr>
            <w:tcW w:w="8200" w:type="dxa"/>
            <w:vAlign w:val="bottom"/>
            <w:gridSpan w:val="41"/>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Adjournment or Postponement of Meeting</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Expenses of Soliciting Proxies</w:t>
              </w:r>
            </w:hyperlink>
          </w:p>
        </w:tc>
        <w:tc>
          <w:tcPr>
            <w:tcW w:w="6180" w:type="dxa"/>
            <w:vAlign w:val="bottom"/>
            <w:gridSpan w:val="14"/>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31"/>
        </w:trPr>
        <w:tc>
          <w:tcPr>
            <w:tcW w:w="4320" w:type="dxa"/>
            <w:vAlign w:val="bottom"/>
            <w:tcBorders>
              <w:bottom w:val="single" w:sz="8" w:color="0000EE"/>
            </w:tcBorders>
            <w:gridSpan w:val="37"/>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CORPORATE GOVERNANCE AND BOARD MATTERS</w:t>
              </w:r>
            </w:hyperlink>
          </w:p>
        </w:tc>
        <w:tc>
          <w:tcPr>
            <w:tcW w:w="5320" w:type="dxa"/>
            <w:vAlign w:val="bottom"/>
            <w:gridSpan w:val="9"/>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1"/>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Corporate Governance Philosophy</w:t>
              </w:r>
            </w:hyperlink>
          </w:p>
        </w:tc>
        <w:tc>
          <w:tcPr>
            <w:tcW w:w="6740" w:type="dxa"/>
            <w:vAlign w:val="bottom"/>
            <w:gridSpan w:val="23"/>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Board of Directors Meetings and Attendance</w:t>
              </w:r>
            </w:hyperlink>
          </w:p>
        </w:tc>
        <w:tc>
          <w:tcPr>
            <w:tcW w:w="6000" w:type="dxa"/>
            <w:vAlign w:val="bottom"/>
            <w:gridSpan w:val="12"/>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Independence</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Board Leadership Structure</w:t>
              </w:r>
            </w:hyperlink>
          </w:p>
        </w:tc>
        <w:tc>
          <w:tcPr>
            <w:tcW w:w="7240" w:type="dxa"/>
            <w:vAlign w:val="bottom"/>
            <w:gridSpan w:val="31"/>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Committees of Our Board of Directors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Code of Conduct</w:t>
              </w:r>
            </w:hyperlink>
          </w:p>
        </w:tc>
        <w:tc>
          <w:tcPr>
            <w:tcW w:w="1540" w:type="dxa"/>
            <w:vAlign w:val="bottom"/>
            <w:tcBorders>
              <w:top w:val="single" w:sz="8" w:color="0000EE"/>
            </w:tcBorders>
            <w:gridSpan w:val="21"/>
          </w:tcPr>
          <w:p>
            <w:pPr>
              <w:spacing w:after="0"/>
              <w:rPr>
                <w:sz w:val="17"/>
                <w:szCs w:val="17"/>
                <w:color w:val="auto"/>
              </w:rPr>
            </w:pPr>
          </w:p>
        </w:tc>
        <w:tc>
          <w:tcPr>
            <w:tcW w:w="6460" w:type="dxa"/>
            <w:vAlign w:val="bottom"/>
            <w:gridSpan w:val="17"/>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Oversight</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Director Nomination Process</w:t>
              </w:r>
            </w:hyperlink>
          </w:p>
        </w:tc>
        <w:tc>
          <w:tcPr>
            <w:tcW w:w="7120" w:type="dxa"/>
            <w:vAlign w:val="bottom"/>
            <w:gridSpan w:val="28"/>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Annual Elections and Majority Voting</w:t>
              </w:r>
            </w:hyperlink>
          </w:p>
        </w:tc>
        <w:tc>
          <w:tcPr>
            <w:tcW w:w="6480" w:type="dxa"/>
            <w:vAlign w:val="bottom"/>
            <w:gridSpan w:val="18"/>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Committee Interlocks and Insider Participation</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Stockholder Communications with the Board of Directors</w:t>
              </w:r>
            </w:hyperlink>
          </w:p>
        </w:tc>
        <w:tc>
          <w:tcPr>
            <w:tcW w:w="280" w:type="dxa"/>
            <w:vAlign w:val="bottom"/>
            <w:tcBorders>
              <w:top w:val="single" w:sz="8" w:color="0000EE"/>
            </w:tcBorders>
            <w:gridSpan w:val="2"/>
          </w:tcPr>
          <w:p>
            <w:pPr>
              <w:spacing w:after="0"/>
              <w:rPr>
                <w:sz w:val="17"/>
                <w:szCs w:val="17"/>
                <w:color w:val="auto"/>
              </w:rPr>
            </w:pPr>
          </w:p>
        </w:tc>
        <w:tc>
          <w:tcPr>
            <w:tcW w:w="4780" w:type="dxa"/>
            <w:vAlign w:val="bottom"/>
            <w:gridSpan w:val="6"/>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Stock Ownership Policy</w:t>
              </w:r>
            </w:hyperlink>
          </w:p>
        </w:tc>
        <w:tc>
          <w:tcPr>
            <w:tcW w:w="7480" w:type="dxa"/>
            <w:vAlign w:val="bottom"/>
            <w:gridSpan w:val="34"/>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Anti-Hedging/Anti-Pledging Policy</w:t>
              </w:r>
            </w:hyperlink>
          </w:p>
        </w:tc>
        <w:tc>
          <w:tcPr>
            <w:tcW w:w="6660" w:type="dxa"/>
            <w:vAlign w:val="bottom"/>
            <w:gridSpan w:val="21"/>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Clawback Policy</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Compensation of Directors</w:t>
              </w:r>
            </w:hyperlink>
          </w:p>
        </w:tc>
        <w:tc>
          <w:tcPr>
            <w:tcW w:w="7280" w:type="dxa"/>
            <w:vAlign w:val="bottom"/>
            <w:gridSpan w:val="32"/>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2017 Director Compensation</w:t>
              </w:r>
            </w:hyperlink>
          </w:p>
        </w:tc>
        <w:tc>
          <w:tcPr>
            <w:tcW w:w="7140" w:type="dxa"/>
            <w:vAlign w:val="bottom"/>
            <w:gridSpan w:val="29"/>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331"/>
        </w:trPr>
        <w:tc>
          <w:tcPr>
            <w:tcW w:w="3660" w:type="dxa"/>
            <w:vAlign w:val="bottom"/>
            <w:tcBorders>
              <w:bottom w:val="single" w:sz="8" w:color="0000EE"/>
            </w:tcBorders>
            <w:gridSpan w:val="35"/>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PROPOSAL NO. 1 ELECTION OF DIRECTORS</w:t>
              </w:r>
            </w:hyperlink>
          </w:p>
        </w:tc>
        <w:tc>
          <w:tcPr>
            <w:tcW w:w="5980" w:type="dxa"/>
            <w:vAlign w:val="bottom"/>
            <w:gridSpan w:val="11"/>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1"/>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40" w:type="dxa"/>
            <w:vAlign w:val="bottom"/>
            <w:gridSpan w:val="4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Composition of our Board of Directors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Directors and Director Nominees</w:t>
              </w:r>
            </w:hyperlink>
          </w:p>
        </w:tc>
        <w:tc>
          <w:tcPr>
            <w:tcW w:w="400" w:type="dxa"/>
            <w:vAlign w:val="bottom"/>
            <w:tcBorders>
              <w:top w:val="single" w:sz="8" w:color="0000EE"/>
            </w:tcBorders>
            <w:gridSpan w:val="9"/>
          </w:tcPr>
          <w:p>
            <w:pPr>
              <w:spacing w:after="0"/>
              <w:rPr>
                <w:sz w:val="17"/>
                <w:szCs w:val="17"/>
                <w:color w:val="auto"/>
              </w:rPr>
            </w:pPr>
          </w:p>
        </w:tc>
        <w:tc>
          <w:tcPr>
            <w:tcW w:w="6440" w:type="dxa"/>
            <w:vAlign w:val="bottom"/>
            <w:gridSpan w:val="16"/>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31"/>
        </w:trPr>
        <w:tc>
          <w:tcPr>
            <w:tcW w:w="8080" w:type="dxa"/>
            <w:vAlign w:val="bottom"/>
            <w:tcBorders>
              <w:bottom w:val="single" w:sz="8" w:color="0000EE"/>
            </w:tcBorders>
            <w:gridSpan w:val="45"/>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PROPOSAL NO. 2 ADVISORY VOTE TO APPROVE NAMED EXECUTIVE OFFICER COMPENSATION</w:t>
              </w:r>
            </w:hyperlink>
          </w:p>
        </w:tc>
        <w:tc>
          <w:tcPr>
            <w:tcW w:w="15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61"/>
        </w:trPr>
        <w:tc>
          <w:tcPr>
            <w:tcW w:w="9640" w:type="dxa"/>
            <w:vAlign w:val="bottom"/>
            <w:gridSpan w:val="4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53"/>
        </w:trPr>
        <w:tc>
          <w:tcPr>
            <w:tcW w:w="24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EXECUTIVE COMPENSATION</w:t>
              </w:r>
            </w:hyperlink>
          </w:p>
        </w:tc>
        <w:tc>
          <w:tcPr>
            <w:tcW w:w="7180" w:type="dxa"/>
            <w:vAlign w:val="bottom"/>
            <w:gridSpan w:val="30"/>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53"/>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Compensation Discussion and Analysis</w:t>
              </w:r>
            </w:hyperlink>
          </w:p>
        </w:tc>
        <w:tc>
          <w:tcPr>
            <w:tcW w:w="6380" w:type="dxa"/>
            <w:vAlign w:val="bottom"/>
            <w:gridSpan w:val="1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Compensation of Named Executive Officers</w:t>
              </w:r>
            </w:hyperlink>
          </w:p>
        </w:tc>
        <w:tc>
          <w:tcPr>
            <w:tcW w:w="6040" w:type="dxa"/>
            <w:vAlign w:val="bottom"/>
            <w:gridSpan w:val="1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Executive Employment Agreements</w:t>
              </w:r>
            </w:hyperlink>
          </w:p>
        </w:tc>
        <w:tc>
          <w:tcPr>
            <w:tcW w:w="6620" w:type="dxa"/>
            <w:vAlign w:val="bottom"/>
            <w:gridSpan w:val="20"/>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gridSpan w:val="4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Potential Payments upon Termination or Change in Control</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Compensation Committee Report</w:t>
              </w:r>
            </w:hyperlink>
          </w:p>
        </w:tc>
        <w:tc>
          <w:tcPr>
            <w:tcW w:w="4960" w:type="dxa"/>
            <w:vAlign w:val="bottom"/>
            <w:gridSpan w:val="7"/>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61"/>
        </w:trPr>
        <w:tc>
          <w:tcPr>
            <w:tcW w:w="7800" w:type="dxa"/>
            <w:vAlign w:val="bottom"/>
            <w:tcBorders>
              <w:bottom w:val="single" w:sz="8" w:color="0000EE"/>
            </w:tcBorders>
            <w:gridSpan w:val="44"/>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PROPOSAL NO. 3 RATIFICATION OF INDEPENDENT REGISTERED PUBLIC ACCOUNTING FIRM</w:t>
              </w:r>
            </w:hyperlink>
          </w:p>
        </w:tc>
        <w:tc>
          <w:tcPr>
            <w:tcW w:w="184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Fees</w:t>
              </w:r>
            </w:hyperlink>
          </w:p>
        </w:tc>
        <w:tc>
          <w:tcPr>
            <w:tcW w:w="8900" w:type="dxa"/>
            <w:vAlign w:val="bottom"/>
            <w:gridSpan w:val="4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572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Approval of Independent Registered Public Accounting firm Services and Fees</w:t>
              </w:r>
            </w:hyperlink>
          </w:p>
        </w:tc>
        <w:tc>
          <w:tcPr>
            <w:tcW w:w="3560" w:type="dxa"/>
            <w:vAlign w:val="bottom"/>
            <w:gridSpan w:val="4"/>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Audit Committee Report</w:t>
              </w:r>
            </w:hyperlink>
          </w:p>
        </w:tc>
        <w:tc>
          <w:tcPr>
            <w:tcW w:w="7480" w:type="dxa"/>
            <w:vAlign w:val="bottom"/>
            <w:gridSpan w:val="34"/>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9280" w:type="dxa"/>
            <w:vAlign w:val="bottom"/>
            <w:gridSpan w:val="4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Primary Responsibilities of the Audit Committee and the Audit Committee Activities in 2017</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2040" w:type="dxa"/>
            <w:vAlign w:val="bottom"/>
            <w:gridSpan w:val="14"/>
            <w:shd w:val="clear" w:color="auto" w:fill="0000EE"/>
          </w:tcPr>
          <w:p>
            <w:pPr>
              <w:spacing w:after="0" w:line="20" w:lineRule="exact"/>
              <w:rPr>
                <w:sz w:val="1"/>
                <w:szCs w:val="1"/>
                <w:color w:val="auto"/>
              </w:rPr>
            </w:pPr>
          </w:p>
        </w:tc>
        <w:tc>
          <w:tcPr>
            <w:tcW w:w="1540" w:type="dxa"/>
            <w:vAlign w:val="bottom"/>
            <w:gridSpan w:val="21"/>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9640" w:type="dxa"/>
            <w:vAlign w:val="bottom"/>
            <w:gridSpan w:val="4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AUDIT COMMITTEE REPORT</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400" w:type="dxa"/>
            <w:vAlign w:val="bottom"/>
            <w:gridSpan w:val="15"/>
            <w:shd w:val="clear" w:color="auto" w:fill="0000EE"/>
          </w:tcPr>
          <w:p>
            <w:pPr>
              <w:spacing w:after="0" w:line="20" w:lineRule="exact"/>
              <w:rPr>
                <w:sz w:val="1"/>
                <w:szCs w:val="1"/>
                <w:color w:val="auto"/>
              </w:rPr>
            </w:pPr>
          </w:p>
        </w:tc>
        <w:tc>
          <w:tcPr>
            <w:tcW w:w="1540" w:type="dxa"/>
            <w:vAlign w:val="bottom"/>
            <w:gridSpan w:val="21"/>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3940" w:type="dxa"/>
            <w:vAlign w:val="bottom"/>
            <w:tcBorders>
              <w:bottom w:val="single" w:sz="8" w:color="0000EE"/>
            </w:tcBorders>
            <w:gridSpan w:val="36"/>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BENEFICIAL OWNERSHIP OF COMMON STOCK</w:t>
              </w:r>
            </w:hyperlink>
          </w:p>
        </w:tc>
        <w:tc>
          <w:tcPr>
            <w:tcW w:w="5700" w:type="dxa"/>
            <w:vAlign w:val="bottom"/>
            <w:gridSpan w:val="10"/>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31"/>
        </w:trPr>
        <w:tc>
          <w:tcPr>
            <w:tcW w:w="4880" w:type="dxa"/>
            <w:vAlign w:val="bottom"/>
            <w:tcBorders>
              <w:bottom w:val="single" w:sz="8" w:color="0000EE"/>
            </w:tcBorders>
            <w:gridSpan w:val="41"/>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CERTAIN RELATIONSHIPS AND RELATED TRANSACTIONS</w:t>
              </w:r>
            </w:hyperlink>
          </w:p>
        </w:tc>
        <w:tc>
          <w:tcPr>
            <w:tcW w:w="476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060" w:type="dxa"/>
            <w:vAlign w:val="bottom"/>
            <w:gridSpan w:val="6"/>
          </w:tcPr>
          <w:p>
            <w:pPr>
              <w:spacing w:after="0"/>
              <w:rPr>
                <w:sz w:val="17"/>
                <w:szCs w:val="17"/>
                <w:color w:val="auto"/>
              </w:rPr>
            </w:pPr>
          </w:p>
        </w:tc>
        <w:tc>
          <w:tcPr>
            <w:tcW w:w="2940" w:type="dxa"/>
            <w:vAlign w:val="bottom"/>
          </w:tcPr>
          <w:p>
            <w:pPr>
              <w:spacing w:after="0"/>
              <w:rPr>
                <w:sz w:val="17"/>
                <w:szCs w:val="17"/>
                <w:color w:val="auto"/>
              </w:rPr>
            </w:pPr>
          </w:p>
        </w:tc>
      </w:tr>
      <w:tr>
        <w:trPr>
          <w:trHeight w:val="628"/>
        </w:trPr>
        <w:tc>
          <w:tcPr>
            <w:tcW w:w="400" w:type="dxa"/>
            <w:vAlign w:val="bottom"/>
          </w:tcPr>
          <w:p>
            <w:pPr>
              <w:spacing w:after="0"/>
              <w:rPr>
                <w:sz w:val="24"/>
                <w:szCs w:val="24"/>
                <w:color w:val="auto"/>
              </w:rPr>
            </w:pPr>
          </w:p>
        </w:tc>
        <w:tc>
          <w:tcPr>
            <w:tcW w:w="3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Policies and Procedures for Related Party Transactions</w:t>
              </w:r>
            </w:hyperlink>
          </w:p>
        </w:tc>
        <w:tc>
          <w:tcPr>
            <w:tcW w:w="4060" w:type="dxa"/>
            <w:vAlign w:val="bottom"/>
            <w:gridSpan w:val="2"/>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40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Certain Transactions</w:t>
              </w:r>
            </w:hyperlink>
          </w:p>
        </w:tc>
        <w:tc>
          <w:tcPr>
            <w:tcW w:w="6520" w:type="dxa"/>
            <w:vAlign w:val="bottom"/>
            <w:gridSpan w:val="5"/>
          </w:tcPr>
          <w:p>
            <w:pPr>
              <w:spacing w:after="0"/>
              <w:rPr>
                <w:sz w:val="17"/>
                <w:szCs w:val="17"/>
                <w:color w:val="auto"/>
              </w:rPr>
            </w:pPr>
          </w:p>
        </w:tc>
        <w:tc>
          <w:tcPr>
            <w:tcW w:w="29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31"/>
        </w:trPr>
        <w:tc>
          <w:tcPr>
            <w:tcW w:w="842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SECTION 16(a) BENEFICIAL OWNERSHIP REPORTING COMPLIANCE</w:t>
              </w:r>
            </w:hyperlink>
          </w:p>
        </w:tc>
        <w:tc>
          <w:tcPr>
            <w:tcW w:w="2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31"/>
        </w:trPr>
        <w:tc>
          <w:tcPr>
            <w:tcW w:w="34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HOUSEHOLDING OF PROXY MATERIALS</w:t>
              </w:r>
            </w:hyperlink>
          </w:p>
        </w:tc>
        <w:tc>
          <w:tcPr>
            <w:tcW w:w="2220" w:type="dxa"/>
            <w:vAlign w:val="bottom"/>
            <w:tcBorders>
              <w:top w:val="single" w:sz="8" w:color="0000EE"/>
            </w:tcBorders>
            <w:gridSpan w:val="2"/>
          </w:tcPr>
          <w:p>
            <w:pPr>
              <w:spacing w:after="0"/>
              <w:rPr>
                <w:sz w:val="24"/>
                <w:szCs w:val="24"/>
                <w:color w:val="auto"/>
              </w:rPr>
            </w:pPr>
          </w:p>
        </w:tc>
        <w:tc>
          <w:tcPr>
            <w:tcW w:w="27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1"/>
        </w:trPr>
        <w:tc>
          <w:tcPr>
            <w:tcW w:w="2420" w:type="dxa"/>
            <w:vAlign w:val="bottom"/>
            <w:tcBorders>
              <w:bottom w:val="single" w:sz="8" w:color="0000EE"/>
            </w:tcBorders>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ADDITIONAL INFORMATION</w:t>
              </w:r>
            </w:hyperlink>
          </w:p>
        </w:tc>
        <w:tc>
          <w:tcPr>
            <w:tcW w:w="6000" w:type="dxa"/>
            <w:vAlign w:val="bottom"/>
            <w:gridSpan w:val="4"/>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360"/>
          </w:cols>
          <w:pgMar w:left="240" w:top="446"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960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i w:val="1"/>
          <w:iCs w:val="1"/>
          <w:color w:val="auto"/>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2017 performance, please review the Company’s Annual Report on Form 10-K for the year ended December 31,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 and Time:</w:t>
            </w:r>
          </w:p>
        </w:tc>
        <w:tc>
          <w:tcPr>
            <w:tcW w:w="96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Wednesday, June 13, 2018</w:t>
            </w:r>
          </w:p>
        </w:tc>
      </w:tr>
      <w:tr>
        <w:trPr>
          <w:trHeight w:val="230"/>
        </w:trPr>
        <w:tc>
          <w:tcPr>
            <w:tcW w:w="1800" w:type="dxa"/>
            <w:vAlign w:val="bottom"/>
          </w:tcPr>
          <w:p>
            <w:pPr>
              <w:spacing w:after="0"/>
              <w:rPr>
                <w:sz w:val="20"/>
                <w:szCs w:val="20"/>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9:00 a.m., Arizona time</w:t>
            </w:r>
          </w:p>
        </w:tc>
      </w:tr>
      <w:tr>
        <w:trPr>
          <w:trHeight w:val="486"/>
        </w:trPr>
        <w:tc>
          <w:tcPr>
            <w:tcW w:w="18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620" w:type="dxa"/>
            <w:vAlign w:val="bottom"/>
          </w:tcPr>
          <w:p>
            <w:pPr>
              <w:ind w:left="620"/>
              <w:spacing w:after="0"/>
              <w:rPr>
                <w:sz w:val="20"/>
                <w:szCs w:val="20"/>
                <w:color w:val="auto"/>
              </w:rPr>
            </w:pPr>
            <w:r>
              <w:rPr>
                <w:rFonts w:ascii="Arial" w:cs="Arial" w:eastAsia="Arial" w:hAnsi="Arial"/>
                <w:sz w:val="18"/>
                <w:szCs w:val="18"/>
                <w:color w:val="auto"/>
              </w:rPr>
              <w:t>April 19, 2018</w:t>
            </w:r>
          </w:p>
        </w:tc>
      </w:tr>
      <w:tr>
        <w:trPr>
          <w:trHeight w:val="458"/>
        </w:trPr>
        <w:tc>
          <w:tcPr>
            <w:tcW w:w="18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620" w:type="dxa"/>
            <w:vAlign w:val="bottom"/>
          </w:tcPr>
          <w:p>
            <w:pPr>
              <w:ind w:left="620"/>
              <w:spacing w:after="0"/>
              <w:rPr>
                <w:sz w:val="20"/>
                <w:szCs w:val="20"/>
                <w:color w:val="auto"/>
              </w:rPr>
            </w:pPr>
            <w:r>
              <w:rPr>
                <w:rFonts w:ascii="Arial" w:cs="Arial" w:eastAsia="Arial" w:hAnsi="Arial"/>
                <w:sz w:val="18"/>
                <w:szCs w:val="18"/>
                <w:color w:val="auto"/>
              </w:rPr>
              <w:t>Grand Canyon University Antelope Reception Center on the campus of Grand Canyon University</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3300 W. Camelback Road</w:t>
            </w:r>
          </w:p>
        </w:tc>
      </w:tr>
      <w:tr>
        <w:trPr>
          <w:trHeight w:val="230"/>
        </w:trPr>
        <w:tc>
          <w:tcPr>
            <w:tcW w:w="1800" w:type="dxa"/>
            <w:vAlign w:val="bottom"/>
          </w:tcPr>
          <w:p>
            <w:pPr>
              <w:spacing w:after="0"/>
              <w:rPr>
                <w:sz w:val="20"/>
                <w:szCs w:val="20"/>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Phoenix, Arizona 85017</w:t>
            </w:r>
          </w:p>
        </w:tc>
      </w:tr>
      <w:tr>
        <w:trPr>
          <w:trHeight w:val="472"/>
        </w:trPr>
        <w:tc>
          <w:tcPr>
            <w:tcW w:w="180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620" w:type="dxa"/>
            <w:vAlign w:val="bottom"/>
          </w:tcPr>
          <w:p>
            <w:pPr>
              <w:ind w:left="620"/>
              <w:spacing w:after="0"/>
              <w:rPr>
                <w:sz w:val="20"/>
                <w:szCs w:val="20"/>
                <w:color w:val="auto"/>
              </w:rPr>
            </w:pPr>
            <w:r>
              <w:rPr>
                <w:rFonts w:ascii="Arial" w:cs="Arial" w:eastAsia="Arial" w:hAnsi="Arial"/>
                <w:sz w:val="18"/>
                <w:szCs w:val="18"/>
                <w:color w:val="auto"/>
                <w:w w:val="97"/>
              </w:rPr>
              <w:t>The accompanying proxy statement describes important issues affecting Grand Canyon Education, Inc. If you are a</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w w:val="91"/>
              </w:rPr>
              <w:t>stockholder of record as of the record date, you have the right to submit your proxy through the Internet, by telephone or by</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w w:val="91"/>
              </w:rPr>
              <w:t>mail. Please help us save time and administrative costs by submitting your proxy through the Internet or by telephone. Each</w:t>
            </w:r>
          </w:p>
        </w:tc>
      </w:tr>
      <w:tr>
        <w:trPr>
          <w:trHeight w:val="216"/>
        </w:trPr>
        <w:tc>
          <w:tcPr>
            <w:tcW w:w="18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w w:val="98"/>
              </w:rPr>
              <w:t>method is generally available 24 hours a day and will ensure that your voting instructions are confirmed and posted</w:t>
            </w:r>
          </w:p>
        </w:tc>
      </w:tr>
      <w:tr>
        <w:trPr>
          <w:trHeight w:val="230"/>
        </w:trPr>
        <w:tc>
          <w:tcPr>
            <w:tcW w:w="1800" w:type="dxa"/>
            <w:vAlign w:val="bottom"/>
          </w:tcPr>
          <w:p>
            <w:pPr>
              <w:spacing w:after="0"/>
              <w:rPr>
                <w:sz w:val="20"/>
                <w:szCs w:val="20"/>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immediately. Stockholders of record as of April 19, 2018 may cast their votes in any of the following ways: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300355</wp:posOffset>
            </wp:positionV>
            <wp:extent cx="60007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 cy="55753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334645</wp:posOffset>
            </wp:positionV>
            <wp:extent cx="300355" cy="523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355" cy="52324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351790</wp:posOffset>
            </wp:positionV>
            <wp:extent cx="454660" cy="506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4660" cy="50609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154305</wp:posOffset>
            </wp:positionV>
            <wp:extent cx="548640" cy="702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864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ind w:left="1380"/>
              <w:spacing w:after="0"/>
              <w:rPr>
                <w:sz w:val="20"/>
                <w:szCs w:val="20"/>
                <w:color w:val="auto"/>
              </w:rPr>
            </w:pPr>
            <w:r>
              <w:rPr>
                <w:rFonts w:ascii="Arial" w:cs="Arial" w:eastAsia="Arial" w:hAnsi="Arial"/>
                <w:sz w:val="15"/>
                <w:szCs w:val="15"/>
                <w:b w:val="1"/>
                <w:bCs w:val="1"/>
                <w:color w:val="3C5F52"/>
              </w:rPr>
              <w:t>Internet</w:t>
            </w:r>
          </w:p>
        </w:tc>
        <w:tc>
          <w:tcPr>
            <w:tcW w:w="2860" w:type="dxa"/>
            <w:vAlign w:val="bottom"/>
          </w:tcPr>
          <w:p>
            <w:pPr>
              <w:ind w:left="1260"/>
              <w:spacing w:after="0"/>
              <w:rPr>
                <w:sz w:val="20"/>
                <w:szCs w:val="20"/>
                <w:color w:val="auto"/>
              </w:rPr>
            </w:pPr>
            <w:r>
              <w:rPr>
                <w:rFonts w:ascii="Arial" w:cs="Arial" w:eastAsia="Arial" w:hAnsi="Arial"/>
                <w:sz w:val="15"/>
                <w:szCs w:val="15"/>
                <w:b w:val="1"/>
                <w:bCs w:val="1"/>
                <w:color w:val="3C5F52"/>
              </w:rPr>
              <w:t>Phone</w:t>
            </w:r>
          </w:p>
        </w:tc>
        <w:tc>
          <w:tcPr>
            <w:tcW w:w="2580" w:type="dxa"/>
            <w:vAlign w:val="bottom"/>
          </w:tcPr>
          <w:p>
            <w:pPr>
              <w:ind w:left="1140"/>
              <w:spacing w:after="0"/>
              <w:rPr>
                <w:sz w:val="20"/>
                <w:szCs w:val="20"/>
                <w:color w:val="auto"/>
              </w:rPr>
            </w:pPr>
            <w:r>
              <w:rPr>
                <w:rFonts w:ascii="Arial" w:cs="Arial" w:eastAsia="Arial" w:hAnsi="Arial"/>
                <w:sz w:val="15"/>
                <w:szCs w:val="15"/>
                <w:b w:val="1"/>
                <w:bCs w:val="1"/>
                <w:color w:val="3C5F52"/>
              </w:rPr>
              <w:t>Mail</w:t>
            </w:r>
          </w:p>
        </w:tc>
        <w:tc>
          <w:tcPr>
            <w:tcW w:w="2560" w:type="dxa"/>
            <w:vAlign w:val="bottom"/>
          </w:tcPr>
          <w:p>
            <w:pPr>
              <w:ind w:left="1000"/>
              <w:spacing w:after="0"/>
              <w:rPr>
                <w:sz w:val="20"/>
                <w:szCs w:val="20"/>
                <w:color w:val="auto"/>
              </w:rPr>
            </w:pPr>
            <w:r>
              <w:rPr>
                <w:rFonts w:ascii="Arial" w:cs="Arial" w:eastAsia="Arial" w:hAnsi="Arial"/>
                <w:sz w:val="15"/>
                <w:szCs w:val="15"/>
                <w:b w:val="1"/>
                <w:bCs w:val="1"/>
                <w:color w:val="3C5F52"/>
              </w:rPr>
              <w:t>In Person</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 xml:space="preserve">Visit </w:t>
            </w:r>
            <w:r>
              <w:rPr>
                <w:rFonts w:ascii="Arial" w:cs="Arial" w:eastAsia="Arial" w:hAnsi="Arial"/>
                <w:sz w:val="15"/>
                <w:szCs w:val="15"/>
                <w:i w:val="1"/>
                <w:iCs w:val="1"/>
                <w:color w:val="auto"/>
              </w:rPr>
              <w:t>www.investorvote.com/LOPE</w:t>
            </w:r>
            <w:r>
              <w:rPr>
                <w:rFonts w:ascii="Arial" w:cs="Arial" w:eastAsia="Arial" w:hAnsi="Arial"/>
                <w:sz w:val="15"/>
                <w:szCs w:val="15"/>
                <w:color w:val="auto"/>
              </w:rPr>
              <w:t>, 24 hours a day,</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rPr>
              <w:t>Call 1-800-652-VOTE (8683), 24 hours a</w:t>
            </w:r>
          </w:p>
        </w:tc>
        <w:tc>
          <w:tcPr>
            <w:tcW w:w="2580" w:type="dxa"/>
            <w:vAlign w:val="bottom"/>
          </w:tcPr>
          <w:p>
            <w:pPr>
              <w:ind w:left="60"/>
              <w:spacing w:after="0" w:line="162" w:lineRule="exact"/>
              <w:rPr>
                <w:sz w:val="20"/>
                <w:szCs w:val="20"/>
                <w:color w:val="auto"/>
              </w:rPr>
            </w:pPr>
            <w:r>
              <w:rPr>
                <w:rFonts w:ascii="Arial" w:cs="Arial" w:eastAsia="Arial" w:hAnsi="Arial"/>
                <w:sz w:val="15"/>
                <w:szCs w:val="15"/>
                <w:color w:val="auto"/>
              </w:rPr>
              <w:t>Mark, sign and date your proxy card.</w:t>
            </w: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rPr>
              <w:t>If you plan to attend the meeting in</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seven days a week, through 11:00 p.m. (PT) on</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w w:val="93"/>
              </w:rPr>
              <w:t>day, seven days a week, through 11:00 p.m.</w:t>
            </w:r>
          </w:p>
        </w:tc>
        <w:tc>
          <w:tcPr>
            <w:tcW w:w="2580" w:type="dxa"/>
            <w:vAlign w:val="bottom"/>
          </w:tcPr>
          <w:p>
            <w:pPr>
              <w:ind w:left="60"/>
              <w:spacing w:after="0" w:line="162" w:lineRule="exact"/>
              <w:rPr>
                <w:sz w:val="20"/>
                <w:szCs w:val="20"/>
                <w:color w:val="auto"/>
              </w:rPr>
            </w:pPr>
            <w:r>
              <w:rPr>
                <w:rFonts w:ascii="Arial" w:cs="Arial" w:eastAsia="Arial" w:hAnsi="Arial"/>
                <w:sz w:val="15"/>
                <w:szCs w:val="15"/>
                <w:color w:val="auto"/>
                <w:w w:val="98"/>
              </w:rPr>
              <w:t>Return it in the enclosed postage-paid</w:t>
            </w: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w w:val="96"/>
              </w:rPr>
              <w:t>person, you will need to bring a picture</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June 12, 2018. Please have available your notice</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rPr>
              <w:t>(PT)  on  June  12,  2018.  Please  have</w:t>
            </w:r>
          </w:p>
        </w:tc>
        <w:tc>
          <w:tcPr>
            <w:tcW w:w="2580" w:type="dxa"/>
            <w:vAlign w:val="bottom"/>
          </w:tcPr>
          <w:p>
            <w:pPr>
              <w:ind w:left="60"/>
              <w:spacing w:after="0" w:line="162" w:lineRule="exact"/>
              <w:rPr>
                <w:sz w:val="20"/>
                <w:szCs w:val="20"/>
                <w:color w:val="auto"/>
              </w:rPr>
            </w:pPr>
            <w:r>
              <w:rPr>
                <w:rFonts w:ascii="Arial" w:cs="Arial" w:eastAsia="Arial" w:hAnsi="Arial"/>
                <w:sz w:val="15"/>
                <w:szCs w:val="15"/>
                <w:color w:val="auto"/>
              </w:rPr>
              <w:t>envelope</w:t>
            </w: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rPr>
              <w:t>ID and proof of ownership of Grand</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card. Follow the simple instructions provided.</w:t>
            </w:r>
          </w:p>
        </w:tc>
        <w:tc>
          <w:tcPr>
            <w:tcW w:w="2860" w:type="dxa"/>
            <w:vAlign w:val="bottom"/>
          </w:tcPr>
          <w:p>
            <w:pPr>
              <w:ind w:left="100"/>
              <w:spacing w:after="0" w:line="162" w:lineRule="exact"/>
              <w:rPr>
                <w:sz w:val="20"/>
                <w:szCs w:val="20"/>
                <w:color w:val="auto"/>
              </w:rPr>
            </w:pPr>
            <w:r>
              <w:rPr>
                <w:rFonts w:ascii="Arial" w:cs="Arial" w:eastAsia="Arial" w:hAnsi="Arial"/>
                <w:sz w:val="15"/>
                <w:szCs w:val="15"/>
                <w:color w:val="auto"/>
              </w:rPr>
              <w:t>available  your  notice  card.  Follow  the</w:t>
            </w:r>
          </w:p>
        </w:tc>
        <w:tc>
          <w:tcPr>
            <w:tcW w:w="2580" w:type="dxa"/>
            <w:vAlign w:val="bottom"/>
          </w:tcPr>
          <w:p>
            <w:pPr>
              <w:spacing w:after="0"/>
              <w:rPr>
                <w:sz w:val="14"/>
                <w:szCs w:val="14"/>
                <w:color w:val="auto"/>
              </w:rPr>
            </w:pPr>
          </w:p>
        </w:tc>
        <w:tc>
          <w:tcPr>
            <w:tcW w:w="2560" w:type="dxa"/>
            <w:vAlign w:val="bottom"/>
          </w:tcPr>
          <w:p>
            <w:pPr>
              <w:ind w:left="60"/>
              <w:spacing w:after="0" w:line="162" w:lineRule="exact"/>
              <w:rPr>
                <w:sz w:val="20"/>
                <w:szCs w:val="20"/>
                <w:color w:val="auto"/>
              </w:rPr>
            </w:pPr>
            <w:r>
              <w:rPr>
                <w:rFonts w:ascii="Arial" w:cs="Arial" w:eastAsia="Arial" w:hAnsi="Arial"/>
                <w:sz w:val="15"/>
                <w:szCs w:val="15"/>
                <w:color w:val="auto"/>
                <w:w w:val="96"/>
              </w:rPr>
              <w:t>Canyon Education, Inc. common stock</w:t>
            </w:r>
          </w:p>
        </w:tc>
      </w:tr>
      <w:tr>
        <w:trPr>
          <w:trHeight w:val="194"/>
        </w:trPr>
        <w:tc>
          <w:tcPr>
            <w:tcW w:w="3420" w:type="dxa"/>
            <w:vAlign w:val="bottom"/>
          </w:tcPr>
          <w:p>
            <w:pPr>
              <w:spacing w:after="0"/>
              <w:rPr>
                <w:sz w:val="16"/>
                <w:szCs w:val="16"/>
                <w:color w:val="auto"/>
              </w:rPr>
            </w:pPr>
          </w:p>
        </w:tc>
        <w:tc>
          <w:tcPr>
            <w:tcW w:w="2860" w:type="dxa"/>
            <w:vAlign w:val="bottom"/>
          </w:tcPr>
          <w:p>
            <w:pPr>
              <w:ind w:left="100"/>
              <w:spacing w:after="0"/>
              <w:rPr>
                <w:sz w:val="20"/>
                <w:szCs w:val="20"/>
                <w:color w:val="auto"/>
              </w:rPr>
            </w:pPr>
            <w:r>
              <w:rPr>
                <w:rFonts w:ascii="Arial" w:cs="Arial" w:eastAsia="Arial" w:hAnsi="Arial"/>
                <w:sz w:val="15"/>
                <w:szCs w:val="15"/>
                <w:color w:val="auto"/>
              </w:rPr>
              <w:t>simple instructions provided.</w:t>
            </w:r>
          </w:p>
        </w:tc>
        <w:tc>
          <w:tcPr>
            <w:tcW w:w="2580" w:type="dxa"/>
            <w:vAlign w:val="bottom"/>
          </w:tcPr>
          <w:p>
            <w:pPr>
              <w:spacing w:after="0"/>
              <w:rPr>
                <w:sz w:val="16"/>
                <w:szCs w:val="16"/>
                <w:color w:val="auto"/>
              </w:rPr>
            </w:pPr>
          </w:p>
        </w:tc>
        <w:tc>
          <w:tcPr>
            <w:tcW w:w="2560" w:type="dxa"/>
            <w:vAlign w:val="bottom"/>
          </w:tcPr>
          <w:p>
            <w:pPr>
              <w:ind w:left="60"/>
              <w:spacing w:after="0"/>
              <w:rPr>
                <w:sz w:val="20"/>
                <w:szCs w:val="20"/>
                <w:color w:val="auto"/>
              </w:rPr>
            </w:pPr>
            <w:r>
              <w:rPr>
                <w:rFonts w:ascii="Arial" w:cs="Arial" w:eastAsia="Arial" w:hAnsi="Arial"/>
                <w:sz w:val="15"/>
                <w:szCs w:val="15"/>
                <w:color w:val="auto"/>
              </w:rPr>
              <w:t>as of the record date.</w:t>
            </w: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320"/>
        <w:spacing w:after="0" w:line="407" w:lineRule="auto"/>
        <w:rPr>
          <w:sz w:val="20"/>
          <w:szCs w:val="20"/>
          <w:color w:val="auto"/>
        </w:rPr>
      </w:pPr>
      <w:r>
        <w:rPr>
          <w:rFonts w:ascii="Arial" w:cs="Arial" w:eastAsia="Arial" w:hAnsi="Arial"/>
          <w:sz w:val="18"/>
          <w:szCs w:val="18"/>
          <w:b w:val="1"/>
          <w:bCs w:val="1"/>
          <w:color w:val="auto"/>
        </w:rPr>
        <w:t xml:space="preserve">SUMMARY OF MATTERS TO BE VOTED UPON AND BOARD RECOMMENDATIONS </w:t>
      </w:r>
      <w:r>
        <w:rPr>
          <w:rFonts w:ascii="Arial" w:cs="Arial" w:eastAsia="Arial" w:hAnsi="Arial"/>
          <w:sz w:val="18"/>
          <w:szCs w:val="18"/>
          <w:i w:val="1"/>
          <w:iCs w:val="1"/>
          <w:color w:val="auto"/>
        </w:rPr>
        <w:t>Stockholders are being asked to vote on the following matters at the Annual Meeting: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i w:val="1"/>
                <w:iCs w:val="1"/>
                <w:color w:val="auto"/>
              </w:rPr>
              <w:t>Proposal</w:t>
            </w:r>
          </w:p>
        </w:tc>
        <w:tc>
          <w:tcPr>
            <w:tcW w:w="446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i w:val="1"/>
                <w:iCs w:val="1"/>
                <w:color w:val="auto"/>
              </w:rPr>
              <w:t>Description</w:t>
            </w:r>
          </w:p>
        </w:tc>
        <w:tc>
          <w:tcPr>
            <w:tcW w:w="15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Board</w:t>
            </w:r>
          </w:p>
        </w:tc>
        <w:tc>
          <w:tcPr>
            <w:tcW w:w="244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i w:val="1"/>
                <w:iCs w:val="1"/>
                <w:color w:val="auto"/>
              </w:rPr>
              <w:t>Page Reference for</w:t>
            </w:r>
          </w:p>
        </w:tc>
      </w:tr>
      <w:tr>
        <w:trPr>
          <w:trHeight w:val="206"/>
        </w:trPr>
        <w:tc>
          <w:tcPr>
            <w:tcW w:w="29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Recommendation</w:t>
            </w:r>
          </w:p>
        </w:tc>
        <w:tc>
          <w:tcPr>
            <w:tcW w:w="2440" w:type="dxa"/>
            <w:vAlign w:val="bottom"/>
          </w:tcPr>
          <w:p>
            <w:pPr>
              <w:ind w:left="300"/>
              <w:spacing w:after="0"/>
              <w:rPr>
                <w:sz w:val="20"/>
                <w:szCs w:val="20"/>
                <w:color w:val="auto"/>
              </w:rPr>
            </w:pPr>
            <w:r>
              <w:rPr>
                <w:rFonts w:ascii="Arial" w:cs="Arial" w:eastAsia="Arial" w:hAnsi="Arial"/>
                <w:sz w:val="16"/>
                <w:szCs w:val="16"/>
                <w:b w:val="1"/>
                <w:bCs w:val="1"/>
                <w:i w:val="1"/>
                <w:iCs w:val="1"/>
                <w:color w:val="auto"/>
              </w:rPr>
              <w:t>Further Information:</w:t>
            </w:r>
          </w:p>
        </w:tc>
      </w:tr>
      <w:tr>
        <w:trPr>
          <w:trHeight w:val="141"/>
        </w:trPr>
        <w:tc>
          <w:tcPr>
            <w:tcW w:w="296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r>
      <w:tr>
        <w:trPr>
          <w:trHeight w:val="186"/>
        </w:trPr>
        <w:tc>
          <w:tcPr>
            <w:tcW w:w="2960" w:type="dxa"/>
            <w:vAlign w:val="bottom"/>
          </w:tcPr>
          <w:p>
            <w:pPr>
              <w:ind w:left="80"/>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i w:val="1"/>
                <w:iCs w:val="1"/>
                <w:color w:val="auto"/>
              </w:rPr>
              <w:t>To elect five directors to our Board of</w:t>
            </w:r>
          </w:p>
        </w:tc>
        <w:tc>
          <w:tcPr>
            <w:tcW w:w="4460" w:type="dxa"/>
            <w:vAlign w:val="bottom"/>
          </w:tcPr>
          <w:p>
            <w:pPr>
              <w:ind w:left="200"/>
              <w:spacing w:after="0"/>
              <w:rPr>
                <w:sz w:val="20"/>
                <w:szCs w:val="20"/>
                <w:color w:val="auto"/>
              </w:rPr>
            </w:pPr>
            <w:r>
              <w:rPr>
                <w:rFonts w:ascii="Arial" w:cs="Arial" w:eastAsia="Arial" w:hAnsi="Arial"/>
                <w:sz w:val="16"/>
                <w:szCs w:val="16"/>
                <w:color w:val="auto"/>
              </w:rPr>
              <w:t>The Board and the Nominating and Corporate Governance</w:t>
            </w:r>
          </w:p>
        </w:tc>
        <w:tc>
          <w:tcPr>
            <w:tcW w:w="1560" w:type="dxa"/>
            <w:vAlign w:val="bottom"/>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w:t>
            </w:r>
          </w:p>
        </w:tc>
        <w:tc>
          <w:tcPr>
            <w:tcW w:w="2440" w:type="dxa"/>
            <w:vAlign w:val="bottom"/>
          </w:tcPr>
          <w:p>
            <w:pPr>
              <w:spacing w:after="0"/>
              <w:rPr>
                <w:sz w:val="16"/>
                <w:szCs w:val="16"/>
                <w:color w:val="auto"/>
              </w:rPr>
            </w:pPr>
          </w:p>
        </w:tc>
      </w:tr>
      <w:tr>
        <w:trPr>
          <w:trHeight w:val="203"/>
        </w:trPr>
        <w:tc>
          <w:tcPr>
            <w:tcW w:w="2960" w:type="dxa"/>
            <w:vAlign w:val="bottom"/>
          </w:tcPr>
          <w:p>
            <w:pPr>
              <w:ind w:left="340"/>
              <w:spacing w:after="0"/>
              <w:rPr>
                <w:sz w:val="20"/>
                <w:szCs w:val="20"/>
                <w:color w:val="auto"/>
              </w:rPr>
            </w:pPr>
            <w:r>
              <w:rPr>
                <w:rFonts w:ascii="Arial" w:cs="Arial" w:eastAsia="Arial" w:hAnsi="Arial"/>
                <w:sz w:val="16"/>
                <w:szCs w:val="16"/>
                <w:i w:val="1"/>
                <w:iCs w:val="1"/>
                <w:color w:val="auto"/>
              </w:rPr>
              <w:t>Directors</w:t>
            </w:r>
            <w:r>
              <w:rPr>
                <w:rFonts w:ascii="Arial" w:cs="Arial" w:eastAsia="Arial" w:hAnsi="Arial"/>
                <w:sz w:val="16"/>
                <w:szCs w:val="16"/>
                <w:color w:val="auto"/>
              </w:rPr>
              <w:t>.</w:t>
            </w:r>
          </w:p>
        </w:tc>
        <w:tc>
          <w:tcPr>
            <w:tcW w:w="4460" w:type="dxa"/>
            <w:vAlign w:val="bottom"/>
          </w:tcPr>
          <w:p>
            <w:pPr>
              <w:ind w:left="200"/>
              <w:spacing w:after="0"/>
              <w:rPr>
                <w:sz w:val="20"/>
                <w:szCs w:val="20"/>
                <w:color w:val="auto"/>
              </w:rPr>
            </w:pPr>
            <w:r>
              <w:rPr>
                <w:rFonts w:ascii="Arial" w:cs="Arial" w:eastAsia="Arial" w:hAnsi="Arial"/>
                <w:sz w:val="16"/>
                <w:szCs w:val="16"/>
                <w:color w:val="auto"/>
                <w:w w:val="96"/>
              </w:rPr>
              <w:t>Committee believe that the five director nominees possess the</w:t>
            </w:r>
          </w:p>
        </w:tc>
        <w:tc>
          <w:tcPr>
            <w:tcW w:w="1560" w:type="dxa"/>
            <w:vAlign w:val="bottom"/>
          </w:tcPr>
          <w:p>
            <w:pPr>
              <w:ind w:left="100"/>
              <w:spacing w:after="0"/>
              <w:rPr>
                <w:sz w:val="20"/>
                <w:szCs w:val="20"/>
                <w:color w:val="auto"/>
              </w:rPr>
            </w:pPr>
            <w:r>
              <w:rPr>
                <w:rFonts w:ascii="Arial" w:cs="Arial" w:eastAsia="Arial" w:hAnsi="Arial"/>
                <w:sz w:val="16"/>
                <w:szCs w:val="16"/>
                <w:color w:val="auto"/>
              </w:rPr>
              <w:t>director nominee</w:t>
            </w:r>
          </w:p>
        </w:tc>
        <w:tc>
          <w:tcPr>
            <w:tcW w:w="24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w w:val="99"/>
              </w:rPr>
              <w:t>necessary qualifications, attributes, skills and experiences to</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rPr>
              <w:t>provide quality advice and counsel to the Company’s</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w w:val="92"/>
              </w:rPr>
              <w:t>management and effectively oversee the business and long-term</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6"/>
        </w:trPr>
        <w:tc>
          <w:tcPr>
            <w:tcW w:w="296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Arial" w:cs="Arial" w:eastAsia="Arial" w:hAnsi="Arial"/>
                <w:sz w:val="16"/>
                <w:szCs w:val="16"/>
                <w:color w:val="auto"/>
              </w:rPr>
              <w:t>interests of our stockholders.</w:t>
            </w:r>
          </w:p>
        </w:tc>
        <w:tc>
          <w:tcPr>
            <w:tcW w:w="1560" w:type="dxa"/>
            <w:vAlign w:val="bottom"/>
          </w:tcPr>
          <w:p>
            <w:pPr>
              <w:spacing w:after="0"/>
              <w:rPr>
                <w:sz w:val="17"/>
                <w:szCs w:val="17"/>
                <w:color w:val="auto"/>
              </w:rPr>
            </w:pPr>
          </w:p>
        </w:tc>
        <w:tc>
          <w:tcPr>
            <w:tcW w:w="2440" w:type="dxa"/>
            <w:vAlign w:val="bottom"/>
          </w:tcPr>
          <w:p>
            <w:pPr>
              <w:spacing w:after="0"/>
              <w:rPr>
                <w:sz w:val="17"/>
                <w:szCs w:val="17"/>
                <w:color w:val="auto"/>
              </w:rPr>
            </w:pPr>
          </w:p>
        </w:tc>
      </w:tr>
    </w:tbl>
    <w:p>
      <w:pPr>
        <w:spacing w:after="0" w:line="127"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 w:lineRule="exact"/>
        <w:rPr>
          <w:sz w:val="20"/>
          <w:szCs w:val="20"/>
          <w:color w:val="auto"/>
        </w:rPr>
      </w:pPr>
    </w:p>
    <w:p>
      <w:pPr>
        <w:jc w:val="both"/>
        <w:ind w:left="340" w:hanging="251"/>
        <w:spacing w:after="0" w:line="278"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To approve, on an advisory basis, the compensation of our named executive officers.</w:t>
      </w:r>
    </w:p>
    <w:p>
      <w:pPr>
        <w:spacing w:after="0" w:line="20" w:lineRule="exact"/>
        <w:rPr>
          <w:sz w:val="20"/>
          <w:szCs w:val="20"/>
          <w:color w:val="auto"/>
        </w:rPr>
      </w:pPr>
      <w:r>
        <w:rPr>
          <w:sz w:val="20"/>
          <w:szCs w:val="20"/>
          <w:color w:val="auto"/>
        </w:rPr>
        <w:br w:type="column"/>
      </w:r>
    </w:p>
    <w:p>
      <w:pPr>
        <w:ind w:right="3400"/>
        <w:spacing w:after="0" w:line="275" w:lineRule="auto"/>
        <w:rPr>
          <w:sz w:val="20"/>
          <w:szCs w:val="20"/>
          <w:color w:val="auto"/>
        </w:rPr>
      </w:pPr>
      <w:r>
        <w:rPr>
          <w:rFonts w:ascii="Arial" w:cs="Arial" w:eastAsia="Arial" w:hAnsi="Arial"/>
          <w:sz w:val="16"/>
          <w:szCs w:val="16"/>
          <w:color w:val="auto"/>
        </w:rPr>
        <w:t xml:space="preserve">The Company seeks the approval, on an advisory, basis, of the </w:t>
      </w:r>
      <w:r>
        <w:rPr>
          <w:rFonts w:ascii="Arial" w:cs="Arial" w:eastAsia="Arial" w:hAnsi="Arial"/>
          <w:sz w:val="16"/>
          <w:szCs w:val="16"/>
          <w:b w:val="1"/>
          <w:bCs w:val="1"/>
          <w:color w:val="auto"/>
        </w:rPr>
        <w:t>“FOR”</w:t>
      </w:r>
      <w:r>
        <w:rPr>
          <w:rFonts w:ascii="Arial" w:cs="Arial" w:eastAsia="Arial" w:hAnsi="Arial"/>
          <w:sz w:val="16"/>
          <w:szCs w:val="16"/>
          <w:color w:val="auto"/>
        </w:rPr>
        <w:t xml:space="preserve"> compensation of its named executive officers as described in the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section and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tables.</w:t>
      </w:r>
    </w:p>
    <w:p>
      <w:pPr>
        <w:spacing w:after="0" w:line="102" w:lineRule="exact"/>
        <w:rPr>
          <w:sz w:val="20"/>
          <w:szCs w:val="20"/>
          <w:color w:val="auto"/>
        </w:rPr>
      </w:pPr>
    </w:p>
    <w:p>
      <w:pPr>
        <w:sectPr>
          <w:pgSz w:w="11900" w:h="16838" w:orient="portrait"/>
          <w:cols w:equalWidth="0" w:num="2">
            <w:col w:w="2780" w:space="380"/>
            <w:col w:w="8260"/>
          </w:cols>
          <w:pgMar w:left="240" w:top="459" w:right="239" w:bottom="1440" w:gutter="0" w:footer="0" w:header="0"/>
          <w:type w:val="continuous"/>
        </w:sectPr>
      </w:pPr>
    </w:p>
    <w:p>
      <w:pPr>
        <w:spacing w:after="0" w:line="4" w:lineRule="exact"/>
        <w:rPr>
          <w:sz w:val="20"/>
          <w:szCs w:val="20"/>
          <w:color w:val="auto"/>
        </w:rPr>
      </w:pPr>
    </w:p>
    <w:p>
      <w:pPr>
        <w:ind w:left="340" w:hanging="251"/>
        <w:spacing w:after="0" w:line="305" w:lineRule="auto"/>
        <w:tabs>
          <w:tab w:leader="none" w:pos="340" w:val="left"/>
        </w:tabs>
        <w:numPr>
          <w:ilvl w:val="0"/>
          <w:numId w:val="5"/>
        </w:numPr>
        <w:rPr>
          <w:rFonts w:ascii="Arial" w:cs="Arial" w:eastAsia="Arial" w:hAnsi="Arial"/>
          <w:sz w:val="15"/>
          <w:szCs w:val="15"/>
          <w:b w:val="1"/>
          <w:bCs w:val="1"/>
          <w:color w:val="auto"/>
        </w:rPr>
      </w:pPr>
      <w:r>
        <w:rPr>
          <w:rFonts w:ascii="Arial" w:cs="Arial" w:eastAsia="Arial" w:hAnsi="Arial"/>
          <w:sz w:val="15"/>
          <w:szCs w:val="15"/>
          <w:i w:val="1"/>
          <w:iCs w:val="1"/>
          <w:color w:val="auto"/>
        </w:rPr>
        <w:t>To ratify the appointment of KPMG LLP as our independent registered public accounting firm.</w:t>
      </w:r>
    </w:p>
    <w:p>
      <w:pPr>
        <w:spacing w:after="0" w:line="20" w:lineRule="exact"/>
        <w:rPr>
          <w:sz w:val="20"/>
          <w:szCs w:val="20"/>
          <w:color w:val="auto"/>
        </w:rPr>
      </w:pPr>
      <w:r>
        <w:rPr>
          <w:sz w:val="20"/>
          <w:szCs w:val="20"/>
          <w:color w:val="auto"/>
        </w:rPr>
        <w:br w:type="column"/>
      </w:r>
    </w:p>
    <w:p>
      <w:pPr>
        <w:ind w:right="3400"/>
        <w:spacing w:after="0" w:line="267" w:lineRule="auto"/>
        <w:rPr>
          <w:sz w:val="20"/>
          <w:szCs w:val="20"/>
          <w:color w:val="auto"/>
        </w:rPr>
      </w:pPr>
      <w:r>
        <w:rPr>
          <w:rFonts w:ascii="Arial" w:cs="Arial" w:eastAsia="Arial" w:hAnsi="Arial"/>
          <w:sz w:val="16"/>
          <w:szCs w:val="16"/>
          <w:color w:val="auto"/>
        </w:rPr>
        <w:t xml:space="preserve">The Audit Committee and the Board believe that the retention of </w:t>
      </w:r>
      <w:r>
        <w:rPr>
          <w:rFonts w:ascii="Arial" w:cs="Arial" w:eastAsia="Arial" w:hAnsi="Arial"/>
          <w:sz w:val="16"/>
          <w:szCs w:val="16"/>
          <w:b w:val="1"/>
          <w:bCs w:val="1"/>
          <w:color w:val="auto"/>
        </w:rPr>
        <w:t>“FOR”</w:t>
      </w:r>
      <w:r>
        <w:rPr>
          <w:rFonts w:ascii="Arial" w:cs="Arial" w:eastAsia="Arial" w:hAnsi="Arial"/>
          <w:sz w:val="16"/>
          <w:szCs w:val="16"/>
          <w:color w:val="auto"/>
        </w:rPr>
        <w:t xml:space="preserve"> KPMG LLP to serve as our independent registered public accounting firm for the fiscal year ending December 31, 2018 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 the best interests of the Company and its stockholders and we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are asking our stockholders to ratify the Audit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selection of KPMG LLP to serve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118745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520"/>
            <w:col w:w="8260"/>
          </w:cols>
          <w:pgMar w:left="240" w:top="459" w:right="239" w:bottom="1440" w:gutter="0" w:footer="0" w:header="0"/>
          <w:type w:val="continuous"/>
        </w:sectPr>
      </w:pP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DIRECTOR NOMINEES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provides summary information regarding our director nominees: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Age</w:t>
            </w:r>
          </w:p>
        </w:tc>
        <w:tc>
          <w:tcPr>
            <w:tcW w:w="78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Director</w:t>
            </w:r>
          </w:p>
        </w:tc>
        <w:tc>
          <w:tcPr>
            <w:tcW w:w="4480" w:type="dxa"/>
            <w:vAlign w:val="bottom"/>
          </w:tcPr>
          <w:p>
            <w:pPr>
              <w:spacing w:after="0"/>
              <w:rPr>
                <w:sz w:val="10"/>
                <w:szCs w:val="10"/>
                <w:color w:val="auto"/>
              </w:rPr>
            </w:pPr>
          </w:p>
        </w:tc>
        <w:tc>
          <w:tcPr>
            <w:tcW w:w="220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rPr>
              <w:t>Committee Memberships</w:t>
            </w:r>
            <w:r>
              <w:rPr>
                <w:rFonts w:ascii="Arial" w:cs="Arial" w:eastAsia="Arial" w:hAnsi="Arial"/>
                <w:sz w:val="11"/>
                <w:szCs w:val="11"/>
                <w:b w:val="1"/>
                <w:bCs w:val="1"/>
                <w:color w:val="auto"/>
              </w:rPr>
              <w:t>(1)</w:t>
            </w:r>
          </w:p>
        </w:tc>
        <w:tc>
          <w:tcPr>
            <w:tcW w:w="1520" w:type="dxa"/>
            <w:vAlign w:val="bottom"/>
          </w:tcPr>
          <w:p>
            <w:pPr>
              <w:jc w:val="center"/>
              <w:ind w:right="2"/>
              <w:spacing w:after="0" w:line="119" w:lineRule="exact"/>
              <w:rPr>
                <w:sz w:val="20"/>
                <w:szCs w:val="20"/>
                <w:color w:val="auto"/>
              </w:rPr>
            </w:pPr>
            <w:r>
              <w:rPr>
                <w:rFonts w:ascii="Arial" w:cs="Arial" w:eastAsia="Arial" w:hAnsi="Arial"/>
                <w:sz w:val="13"/>
                <w:szCs w:val="13"/>
                <w:b w:val="1"/>
                <w:bCs w:val="1"/>
                <w:color w:val="auto"/>
              </w:rPr>
              <w:t>Other Public</w:t>
            </w:r>
          </w:p>
        </w:tc>
        <w:tc>
          <w:tcPr>
            <w:tcW w:w="0" w:type="dxa"/>
            <w:vAlign w:val="bottom"/>
          </w:tcPr>
          <w:p>
            <w:pPr>
              <w:spacing w:after="0"/>
              <w:rPr>
                <w:sz w:val="1"/>
                <w:szCs w:val="1"/>
                <w:color w:val="auto"/>
              </w:rPr>
            </w:pPr>
          </w:p>
        </w:tc>
      </w:tr>
      <w:tr>
        <w:trPr>
          <w:trHeight w:val="186"/>
        </w:trPr>
        <w:tc>
          <w:tcPr>
            <w:tcW w:w="15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Since</w:t>
            </w:r>
          </w:p>
        </w:tc>
        <w:tc>
          <w:tcPr>
            <w:tcW w:w="44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Primary Occupation</w:t>
            </w: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Company Boards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80" w:type="dxa"/>
            <w:vAlign w:val="bottom"/>
          </w:tcPr>
          <w:p>
            <w:pPr>
              <w:ind w:left="400"/>
              <w:spacing w:after="0"/>
              <w:rPr>
                <w:sz w:val="20"/>
                <w:szCs w:val="20"/>
                <w:color w:val="auto"/>
              </w:rPr>
            </w:pPr>
            <w:r>
              <w:rPr>
                <w:rFonts w:ascii="Arial" w:cs="Arial" w:eastAsia="Arial" w:hAnsi="Arial"/>
                <w:sz w:val="16"/>
                <w:szCs w:val="16"/>
                <w:i w:val="1"/>
                <w:iCs w:val="1"/>
                <w:color w:val="auto"/>
              </w:rPr>
              <w:t>A</w:t>
            </w:r>
          </w:p>
        </w:tc>
        <w:tc>
          <w:tcPr>
            <w:tcW w:w="700" w:type="dxa"/>
            <w:vAlign w:val="bottom"/>
          </w:tcPr>
          <w:p>
            <w:pPr>
              <w:jc w:val="center"/>
              <w:spacing w:after="0"/>
              <w:rPr>
                <w:sz w:val="20"/>
                <w:szCs w:val="20"/>
                <w:color w:val="auto"/>
              </w:rPr>
            </w:pPr>
            <w:r>
              <w:rPr>
                <w:rFonts w:ascii="Arial" w:cs="Arial" w:eastAsia="Arial" w:hAnsi="Arial"/>
                <w:sz w:val="16"/>
                <w:szCs w:val="16"/>
                <w:i w:val="1"/>
                <w:iCs w:val="1"/>
                <w:color w:val="auto"/>
              </w:rPr>
              <w:t>C</w:t>
            </w:r>
          </w:p>
        </w:tc>
        <w:tc>
          <w:tcPr>
            <w:tcW w:w="720" w:type="dxa"/>
            <w:vAlign w:val="bottom"/>
          </w:tcPr>
          <w:p>
            <w:pPr>
              <w:ind w:left="220"/>
              <w:spacing w:after="0"/>
              <w:rPr>
                <w:sz w:val="20"/>
                <w:szCs w:val="20"/>
                <w:color w:val="auto"/>
              </w:rPr>
            </w:pPr>
            <w:r>
              <w:rPr>
                <w:rFonts w:ascii="Arial" w:cs="Arial" w:eastAsia="Arial" w:hAnsi="Arial"/>
                <w:sz w:val="16"/>
                <w:szCs w:val="16"/>
                <w:i w:val="1"/>
                <w:iCs w:val="1"/>
                <w:color w:val="auto"/>
              </w:rPr>
              <w:t>NCG</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2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E. Mueller*</w:t>
            </w:r>
          </w:p>
        </w:tc>
        <w:tc>
          <w:tcPr>
            <w:tcW w:w="70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64</w:t>
            </w:r>
          </w:p>
        </w:tc>
        <w:tc>
          <w:tcPr>
            <w:tcW w:w="78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2009</w:t>
            </w:r>
          </w:p>
        </w:tc>
        <w:tc>
          <w:tcPr>
            <w:tcW w:w="44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96"/>
              </w:rPr>
              <w:t>Chairman of the Board of Directors and Chief Executive Officer,</w:t>
            </w:r>
          </w:p>
        </w:tc>
        <w:tc>
          <w:tcPr>
            <w:tcW w:w="7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80" w:type="dxa"/>
            <w:vAlign w:val="bottom"/>
          </w:tcPr>
          <w:p>
            <w:pPr>
              <w:ind w:left="120"/>
              <w:spacing w:after="0"/>
              <w:rPr>
                <w:sz w:val="20"/>
                <w:szCs w:val="20"/>
                <w:color w:val="auto"/>
              </w:rPr>
            </w:pPr>
            <w:r>
              <w:rPr>
                <w:rFonts w:ascii="Arial" w:cs="Arial" w:eastAsia="Arial" w:hAnsi="Arial"/>
                <w:sz w:val="16"/>
                <w:szCs w:val="16"/>
                <w:color w:val="auto"/>
              </w:rPr>
              <w:t>Grand Canyon Education, Inc.</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President, Grand Canyon University</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520" w:type="dxa"/>
            <w:vAlign w:val="bottom"/>
            <w:gridSpan w:val="2"/>
          </w:tcPr>
          <w:p>
            <w:pPr>
              <w:spacing w:after="0"/>
              <w:rPr>
                <w:sz w:val="20"/>
                <w:szCs w:val="20"/>
                <w:color w:val="auto"/>
              </w:rPr>
            </w:pPr>
            <w:r>
              <w:rPr>
                <w:rFonts w:ascii="Arial" w:cs="Arial" w:eastAsia="Arial" w:hAnsi="Arial"/>
                <w:sz w:val="16"/>
                <w:szCs w:val="16"/>
                <w:color w:val="auto"/>
              </w:rPr>
              <w:t>Sara R. Dial</w:t>
            </w:r>
            <w:r>
              <w:rPr>
                <w:rFonts w:ascii="Arial" w:cs="Arial" w:eastAsia="Arial" w:hAnsi="Arial"/>
                <w:sz w:val="27"/>
                <w:szCs w:val="27"/>
                <w:color w:val="auto"/>
                <w:vertAlign w:val="superscript"/>
              </w:rPr>
              <w:t>+</w:t>
            </w:r>
            <w:r>
              <w:rPr>
                <w:rFonts w:ascii="Arial" w:cs="Arial" w:eastAsia="Arial" w:hAnsi="Arial"/>
                <w:sz w:val="10"/>
                <w:szCs w:val="10"/>
                <w:color w:val="auto"/>
              </w:rPr>
              <w:t>≠</w:t>
            </w:r>
          </w:p>
        </w:tc>
        <w:tc>
          <w:tcPr>
            <w:tcW w:w="700" w:type="dxa"/>
            <w:vAlign w:val="bottom"/>
          </w:tcPr>
          <w:p>
            <w:pPr>
              <w:ind w:left="340"/>
              <w:spacing w:after="0"/>
              <w:rPr>
                <w:sz w:val="20"/>
                <w:szCs w:val="20"/>
                <w:color w:val="auto"/>
              </w:rPr>
            </w:pPr>
            <w:r>
              <w:rPr>
                <w:rFonts w:ascii="Arial" w:cs="Arial" w:eastAsia="Arial" w:hAnsi="Arial"/>
                <w:sz w:val="16"/>
                <w:szCs w:val="16"/>
                <w:color w:val="auto"/>
              </w:rPr>
              <w:t>54</w:t>
            </w:r>
          </w:p>
        </w:tc>
        <w:tc>
          <w:tcPr>
            <w:tcW w:w="780" w:type="dxa"/>
            <w:vAlign w:val="bottom"/>
          </w:tcPr>
          <w:p>
            <w:pPr>
              <w:ind w:left="140"/>
              <w:spacing w:after="0"/>
              <w:rPr>
                <w:sz w:val="20"/>
                <w:szCs w:val="20"/>
                <w:color w:val="auto"/>
              </w:rPr>
            </w:pPr>
            <w:r>
              <w:rPr>
                <w:rFonts w:ascii="Arial" w:cs="Arial" w:eastAsia="Arial" w:hAnsi="Arial"/>
                <w:sz w:val="16"/>
                <w:szCs w:val="16"/>
                <w:color w:val="auto"/>
              </w:rPr>
              <w:t>2013</w:t>
            </w:r>
          </w:p>
        </w:tc>
        <w:tc>
          <w:tcPr>
            <w:tcW w:w="4480" w:type="dxa"/>
            <w:vAlign w:val="bottom"/>
          </w:tcPr>
          <w:p>
            <w:pPr>
              <w:ind w:left="120"/>
              <w:spacing w:after="0"/>
              <w:rPr>
                <w:sz w:val="20"/>
                <w:szCs w:val="20"/>
                <w:color w:val="auto"/>
              </w:rPr>
            </w:pPr>
            <w:r>
              <w:rPr>
                <w:rFonts w:ascii="Arial" w:cs="Arial" w:eastAsia="Arial" w:hAnsi="Arial"/>
                <w:sz w:val="16"/>
                <w:szCs w:val="16"/>
                <w:color w:val="auto"/>
                <w:w w:val="99"/>
              </w:rPr>
              <w:t>President and Chief Executive Officer, Sara Dial &amp; Associates</w:t>
            </w:r>
          </w:p>
        </w:tc>
        <w:tc>
          <w:tcPr>
            <w:tcW w:w="7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Ö</w:t>
            </w:r>
          </w:p>
        </w:tc>
        <w:tc>
          <w:tcPr>
            <w:tcW w:w="720" w:type="dxa"/>
            <w:vAlign w:val="bottom"/>
          </w:tcPr>
          <w:p>
            <w:pPr>
              <w:jc w:val="center"/>
              <w:spacing w:after="0"/>
              <w:rPr>
                <w:sz w:val="20"/>
                <w:szCs w:val="20"/>
                <w:color w:val="auto"/>
              </w:rPr>
            </w:pPr>
            <w:r>
              <w:rPr>
                <w:rFonts w:ascii="Arial" w:cs="Arial" w:eastAsia="Arial" w:hAnsi="Arial"/>
                <w:sz w:val="16"/>
                <w:szCs w:val="16"/>
                <w:color w:val="auto"/>
              </w:rPr>
              <w:t>Ö*</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8"/>
        </w:trPr>
        <w:tc>
          <w:tcPr>
            <w:tcW w:w="1520" w:type="dxa"/>
            <w:vAlign w:val="bottom"/>
            <w:gridSpan w:val="2"/>
          </w:tcPr>
          <w:p>
            <w:pPr>
              <w:spacing w:after="0"/>
              <w:rPr>
                <w:sz w:val="20"/>
                <w:szCs w:val="20"/>
                <w:color w:val="auto"/>
              </w:rPr>
            </w:pPr>
            <w:r>
              <w:rPr>
                <w:rFonts w:ascii="Arial" w:cs="Arial" w:eastAsia="Arial" w:hAnsi="Arial"/>
                <w:sz w:val="16"/>
                <w:szCs w:val="16"/>
                <w:color w:val="auto"/>
              </w:rPr>
              <w:t>Jack A. Henry</w:t>
            </w:r>
            <w:r>
              <w:rPr>
                <w:rFonts w:ascii="Arial" w:cs="Arial" w:eastAsia="Arial" w:hAnsi="Arial"/>
                <w:sz w:val="27"/>
                <w:szCs w:val="27"/>
                <w:color w:val="auto"/>
                <w:vertAlign w:val="superscript"/>
              </w:rPr>
              <w:t>+</w:t>
            </w:r>
          </w:p>
        </w:tc>
        <w:tc>
          <w:tcPr>
            <w:tcW w:w="700" w:type="dxa"/>
            <w:vAlign w:val="bottom"/>
          </w:tcPr>
          <w:p>
            <w:pPr>
              <w:ind w:left="340"/>
              <w:spacing w:after="0"/>
              <w:rPr>
                <w:sz w:val="20"/>
                <w:szCs w:val="20"/>
                <w:color w:val="auto"/>
              </w:rPr>
            </w:pPr>
            <w:r>
              <w:rPr>
                <w:rFonts w:ascii="Arial" w:cs="Arial" w:eastAsia="Arial" w:hAnsi="Arial"/>
                <w:sz w:val="16"/>
                <w:szCs w:val="16"/>
                <w:color w:val="auto"/>
              </w:rPr>
              <w:t>74</w:t>
            </w:r>
          </w:p>
        </w:tc>
        <w:tc>
          <w:tcPr>
            <w:tcW w:w="780" w:type="dxa"/>
            <w:vAlign w:val="bottom"/>
          </w:tcPr>
          <w:p>
            <w:pPr>
              <w:ind w:left="140"/>
              <w:spacing w:after="0"/>
              <w:rPr>
                <w:sz w:val="20"/>
                <w:szCs w:val="20"/>
                <w:color w:val="auto"/>
              </w:rPr>
            </w:pPr>
            <w:r>
              <w:rPr>
                <w:rFonts w:ascii="Arial" w:cs="Arial" w:eastAsia="Arial" w:hAnsi="Arial"/>
                <w:sz w:val="16"/>
                <w:szCs w:val="16"/>
                <w:color w:val="auto"/>
              </w:rPr>
              <w:t>2008</w:t>
            </w:r>
          </w:p>
        </w:tc>
        <w:tc>
          <w:tcPr>
            <w:tcW w:w="4480" w:type="dxa"/>
            <w:vAlign w:val="bottom"/>
          </w:tcPr>
          <w:p>
            <w:pPr>
              <w:ind w:left="120"/>
              <w:spacing w:after="0"/>
              <w:rPr>
                <w:sz w:val="20"/>
                <w:szCs w:val="20"/>
                <w:color w:val="auto"/>
              </w:rPr>
            </w:pPr>
            <w:r>
              <w:rPr>
                <w:rFonts w:ascii="Arial" w:cs="Arial" w:eastAsia="Arial" w:hAnsi="Arial"/>
                <w:sz w:val="16"/>
                <w:szCs w:val="16"/>
                <w:color w:val="auto"/>
              </w:rPr>
              <w:t>Managing Director, Sierra Blanca Ventures, LLC</w:t>
            </w:r>
          </w:p>
        </w:tc>
        <w:tc>
          <w:tcPr>
            <w:tcW w:w="780" w:type="dxa"/>
            <w:vAlign w:val="bottom"/>
          </w:tcPr>
          <w:p>
            <w:pPr>
              <w:ind w:left="160"/>
              <w:spacing w:after="0"/>
              <w:rPr>
                <w:sz w:val="20"/>
                <w:szCs w:val="20"/>
                <w:color w:val="auto"/>
              </w:rPr>
            </w:pPr>
            <w:r>
              <w:rPr>
                <w:rFonts w:ascii="Arial" w:cs="Arial" w:eastAsia="Arial" w:hAnsi="Arial"/>
                <w:sz w:val="16"/>
                <w:szCs w:val="16"/>
                <w:color w:val="auto"/>
              </w:rPr>
              <w:t>Ö*</w:t>
            </w:r>
          </w:p>
        </w:tc>
        <w:tc>
          <w:tcPr>
            <w:tcW w:w="700" w:type="dxa"/>
            <w:vAlign w:val="bottom"/>
          </w:tcPr>
          <w:p>
            <w:pPr>
              <w:jc w:val="center"/>
              <w:spacing w:after="0"/>
              <w:rPr>
                <w:sz w:val="20"/>
                <w:szCs w:val="20"/>
                <w:color w:val="auto"/>
              </w:rPr>
            </w:pPr>
            <w:r>
              <w:rPr>
                <w:rFonts w:ascii="Arial" w:cs="Arial" w:eastAsia="Arial" w:hAnsi="Arial"/>
                <w:sz w:val="16"/>
                <w:szCs w:val="16"/>
                <w:color w:val="auto"/>
                <w:w w:val="95"/>
              </w:rPr>
              <w:t>Ö</w:t>
            </w:r>
          </w:p>
        </w:tc>
        <w:tc>
          <w:tcPr>
            <w:tcW w:w="7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38"/>
        </w:trPr>
        <w:tc>
          <w:tcPr>
            <w:tcW w:w="1520" w:type="dxa"/>
            <w:vAlign w:val="bottom"/>
            <w:gridSpan w:val="2"/>
          </w:tcPr>
          <w:p>
            <w:pPr>
              <w:spacing w:after="0"/>
              <w:rPr>
                <w:sz w:val="20"/>
                <w:szCs w:val="20"/>
                <w:color w:val="auto"/>
              </w:rPr>
            </w:pPr>
            <w:r>
              <w:rPr>
                <w:rFonts w:ascii="Arial" w:cs="Arial" w:eastAsia="Arial" w:hAnsi="Arial"/>
                <w:sz w:val="16"/>
                <w:szCs w:val="16"/>
                <w:color w:val="auto"/>
              </w:rPr>
              <w:t>Kevin F. Warren</w:t>
            </w:r>
            <w:r>
              <w:rPr>
                <w:rFonts w:ascii="Arial" w:cs="Arial" w:eastAsia="Arial" w:hAnsi="Arial"/>
                <w:sz w:val="27"/>
                <w:szCs w:val="27"/>
                <w:color w:val="auto"/>
                <w:vertAlign w:val="superscript"/>
              </w:rPr>
              <w:t>+</w:t>
            </w:r>
          </w:p>
        </w:tc>
        <w:tc>
          <w:tcPr>
            <w:tcW w:w="700" w:type="dxa"/>
            <w:vAlign w:val="bottom"/>
          </w:tcPr>
          <w:p>
            <w:pPr>
              <w:ind w:left="340"/>
              <w:spacing w:after="0"/>
              <w:rPr>
                <w:sz w:val="20"/>
                <w:szCs w:val="20"/>
                <w:color w:val="auto"/>
              </w:rPr>
            </w:pPr>
            <w:r>
              <w:rPr>
                <w:rFonts w:ascii="Arial" w:cs="Arial" w:eastAsia="Arial" w:hAnsi="Arial"/>
                <w:sz w:val="16"/>
                <w:szCs w:val="16"/>
                <w:color w:val="auto"/>
              </w:rPr>
              <w:t>54</w:t>
            </w:r>
          </w:p>
        </w:tc>
        <w:tc>
          <w:tcPr>
            <w:tcW w:w="780" w:type="dxa"/>
            <w:vAlign w:val="bottom"/>
          </w:tcPr>
          <w:p>
            <w:pPr>
              <w:ind w:left="140"/>
              <w:spacing w:after="0"/>
              <w:rPr>
                <w:sz w:val="20"/>
                <w:szCs w:val="20"/>
                <w:color w:val="auto"/>
              </w:rPr>
            </w:pPr>
            <w:r>
              <w:rPr>
                <w:rFonts w:ascii="Arial" w:cs="Arial" w:eastAsia="Arial" w:hAnsi="Arial"/>
                <w:sz w:val="16"/>
                <w:szCs w:val="16"/>
                <w:color w:val="auto"/>
              </w:rPr>
              <w:t>2012</w:t>
            </w:r>
          </w:p>
        </w:tc>
        <w:tc>
          <w:tcPr>
            <w:tcW w:w="4480" w:type="dxa"/>
            <w:vAlign w:val="bottom"/>
          </w:tcPr>
          <w:p>
            <w:pPr>
              <w:ind w:left="120"/>
              <w:spacing w:after="0"/>
              <w:rPr>
                <w:sz w:val="20"/>
                <w:szCs w:val="20"/>
                <w:color w:val="auto"/>
              </w:rPr>
            </w:pPr>
            <w:r>
              <w:rPr>
                <w:rFonts w:ascii="Arial" w:cs="Arial" w:eastAsia="Arial" w:hAnsi="Arial"/>
                <w:sz w:val="16"/>
                <w:szCs w:val="16"/>
                <w:color w:val="auto"/>
              </w:rPr>
              <w:t>Chief Operating Officer, Minnesota Vikings</w:t>
            </w:r>
          </w:p>
        </w:tc>
        <w:tc>
          <w:tcPr>
            <w:tcW w:w="780" w:type="dxa"/>
            <w:vAlign w:val="bottom"/>
          </w:tcPr>
          <w:p>
            <w:pPr>
              <w:ind w:left="160"/>
              <w:spacing w:after="0"/>
              <w:rPr>
                <w:sz w:val="20"/>
                <w:szCs w:val="20"/>
                <w:color w:val="auto"/>
              </w:rPr>
            </w:pPr>
            <w:r>
              <w:rPr>
                <w:rFonts w:ascii="Arial" w:cs="Arial" w:eastAsia="Arial" w:hAnsi="Arial"/>
                <w:sz w:val="16"/>
                <w:szCs w:val="16"/>
                <w:color w:val="auto"/>
              </w:rPr>
              <w:t>Ö</w:t>
            </w:r>
          </w:p>
        </w:tc>
        <w:tc>
          <w:tcPr>
            <w:tcW w:w="700" w:type="dxa"/>
            <w:vAlign w:val="bottom"/>
          </w:tcPr>
          <w:p>
            <w:pPr>
              <w:jc w:val="center"/>
              <w:spacing w:after="0"/>
              <w:rPr>
                <w:sz w:val="20"/>
                <w:szCs w:val="20"/>
                <w:color w:val="auto"/>
              </w:rPr>
            </w:pPr>
            <w:r>
              <w:rPr>
                <w:rFonts w:ascii="Arial" w:cs="Arial" w:eastAsia="Arial" w:hAnsi="Arial"/>
                <w:sz w:val="16"/>
                <w:szCs w:val="16"/>
                <w:color w:val="auto"/>
              </w:rPr>
              <w:t>Ö*</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Ö</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359"/>
        </w:trPr>
        <w:tc>
          <w:tcPr>
            <w:tcW w:w="1520" w:type="dxa"/>
            <w:vAlign w:val="bottom"/>
            <w:gridSpan w:val="2"/>
          </w:tcPr>
          <w:p>
            <w:pPr>
              <w:spacing w:after="0"/>
              <w:rPr>
                <w:sz w:val="20"/>
                <w:szCs w:val="20"/>
                <w:color w:val="auto"/>
              </w:rPr>
            </w:pPr>
            <w:r>
              <w:rPr>
                <w:rFonts w:ascii="Arial" w:cs="Arial" w:eastAsia="Arial" w:hAnsi="Arial"/>
                <w:sz w:val="16"/>
                <w:szCs w:val="16"/>
                <w:color w:val="auto"/>
              </w:rPr>
              <w:t>David J. Johnson</w:t>
            </w:r>
            <w:r>
              <w:rPr>
                <w:rFonts w:ascii="Arial" w:cs="Arial" w:eastAsia="Arial" w:hAnsi="Arial"/>
                <w:sz w:val="27"/>
                <w:szCs w:val="27"/>
                <w:color w:val="auto"/>
                <w:vertAlign w:val="superscript"/>
              </w:rPr>
              <w:t>+</w:t>
            </w:r>
          </w:p>
        </w:tc>
        <w:tc>
          <w:tcPr>
            <w:tcW w:w="700" w:type="dxa"/>
            <w:vAlign w:val="bottom"/>
          </w:tcPr>
          <w:p>
            <w:pPr>
              <w:ind w:left="340"/>
              <w:spacing w:after="0"/>
              <w:rPr>
                <w:sz w:val="20"/>
                <w:szCs w:val="20"/>
                <w:color w:val="auto"/>
              </w:rPr>
            </w:pPr>
            <w:r>
              <w:rPr>
                <w:rFonts w:ascii="Arial" w:cs="Arial" w:eastAsia="Arial" w:hAnsi="Arial"/>
                <w:sz w:val="16"/>
                <w:szCs w:val="16"/>
                <w:color w:val="auto"/>
              </w:rPr>
              <w:t>71</w:t>
            </w:r>
          </w:p>
        </w:tc>
        <w:tc>
          <w:tcPr>
            <w:tcW w:w="780" w:type="dxa"/>
            <w:vAlign w:val="bottom"/>
          </w:tcPr>
          <w:p>
            <w:pPr>
              <w:ind w:left="140"/>
              <w:spacing w:after="0"/>
              <w:rPr>
                <w:sz w:val="20"/>
                <w:szCs w:val="20"/>
                <w:color w:val="auto"/>
              </w:rPr>
            </w:pPr>
            <w:r>
              <w:rPr>
                <w:rFonts w:ascii="Arial" w:cs="Arial" w:eastAsia="Arial" w:hAnsi="Arial"/>
                <w:sz w:val="16"/>
                <w:szCs w:val="16"/>
                <w:color w:val="auto"/>
              </w:rPr>
              <w:t>2008</w:t>
            </w:r>
          </w:p>
        </w:tc>
        <w:tc>
          <w:tcPr>
            <w:tcW w:w="4480" w:type="dxa"/>
            <w:vAlign w:val="bottom"/>
          </w:tcPr>
          <w:p>
            <w:pPr>
              <w:ind w:left="120"/>
              <w:spacing w:after="0"/>
              <w:rPr>
                <w:sz w:val="20"/>
                <w:szCs w:val="20"/>
                <w:color w:val="auto"/>
              </w:rPr>
            </w:pPr>
            <w:r>
              <w:rPr>
                <w:rFonts w:ascii="Arial" w:cs="Arial" w:eastAsia="Arial" w:hAnsi="Arial"/>
                <w:sz w:val="16"/>
                <w:szCs w:val="16"/>
                <w:color w:val="auto"/>
              </w:rPr>
              <w:t>Senior business executive (retired)</w:t>
            </w:r>
          </w:p>
        </w:tc>
        <w:tc>
          <w:tcPr>
            <w:tcW w:w="780" w:type="dxa"/>
            <w:vAlign w:val="bottom"/>
          </w:tcPr>
          <w:p>
            <w:pPr>
              <w:ind w:left="160"/>
              <w:spacing w:after="0"/>
              <w:rPr>
                <w:sz w:val="20"/>
                <w:szCs w:val="20"/>
                <w:color w:val="auto"/>
              </w:rPr>
            </w:pPr>
            <w:r>
              <w:rPr>
                <w:rFonts w:ascii="Arial" w:cs="Arial" w:eastAsia="Arial" w:hAnsi="Arial"/>
                <w:sz w:val="16"/>
                <w:szCs w:val="16"/>
                <w:color w:val="auto"/>
              </w:rPr>
              <w:t>Ö</w:t>
            </w:r>
          </w:p>
        </w:tc>
        <w:tc>
          <w:tcPr>
            <w:tcW w:w="7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Ö</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8"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Chair</w:t>
      </w:r>
    </w:p>
    <w:p>
      <w:pPr>
        <w:ind w:left="800" w:hanging="792"/>
        <w:spacing w:after="0" w:line="221"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Independent director</w:t>
      </w:r>
    </w:p>
    <w:p>
      <w:pPr>
        <w:ind w:left="800" w:hanging="792"/>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215"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A</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w:t>
      </w:r>
      <w:r>
        <w:rPr>
          <w:rFonts w:ascii="Arial" w:cs="Arial" w:eastAsia="Arial" w:hAnsi="Arial"/>
          <w:sz w:val="14"/>
          <w:szCs w:val="14"/>
          <w:color w:val="auto"/>
        </w:rPr>
        <w:t>Compensation Committee; and</w:t>
      </w:r>
      <w:r>
        <w:rPr>
          <w:rFonts w:ascii="Arial" w:cs="Arial" w:eastAsia="Arial" w:hAnsi="Arial"/>
          <w:sz w:val="14"/>
          <w:szCs w:val="14"/>
          <w:b w:val="1"/>
          <w:bCs w:val="1"/>
          <w:color w:val="auto"/>
        </w:rPr>
        <w:t xml:space="preserve"> NCG</w:t>
      </w:r>
      <w:r>
        <w:rPr>
          <w:rFonts w:ascii="Arial" w:cs="Arial" w:eastAsia="Arial" w:hAnsi="Arial"/>
          <w:sz w:val="14"/>
          <w:szCs w:val="14"/>
          <w:color w:val="auto"/>
        </w:rPr>
        <w:t>=Nominating and Corporate Governance Committee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2017 CORPORATE GOVERNANCE HIGHLIGHTS</w:t>
      </w:r>
    </w:p>
    <w:p>
      <w:pPr>
        <w:spacing w:after="0" w:line="167"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We believe that effective corporate governance is critical to our ability to create long term value for our stockholders. The following highlights certain key aspects of our corporate governance framework: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570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color w:val="auto"/>
              </w:rPr>
              <w:t xml:space="preserve">Ö  </w:t>
            </w:r>
            <w:r>
              <w:rPr>
                <w:rFonts w:ascii="Arial" w:cs="Arial" w:eastAsia="Arial" w:hAnsi="Arial"/>
                <w:sz w:val="16"/>
                <w:szCs w:val="16"/>
                <w:b w:val="1"/>
                <w:bCs w:val="1"/>
                <w:i w:val="1"/>
                <w:iCs w:val="1"/>
                <w:color w:val="auto"/>
              </w:rPr>
              <w:t>We Have An Independent Board</w:t>
            </w:r>
            <w:r>
              <w:rPr>
                <w:rFonts w:ascii="Arial" w:cs="Arial" w:eastAsia="Arial" w:hAnsi="Arial"/>
                <w:sz w:val="16"/>
                <w:szCs w:val="16"/>
                <w:color w:val="auto"/>
              </w:rPr>
              <w:t>. Four of our five director nominees are</w:t>
            </w:r>
          </w:p>
        </w:tc>
        <w:tc>
          <w:tcPr>
            <w:tcW w:w="200" w:type="dxa"/>
            <w:vAlign w:val="bottom"/>
            <w:tcBorders>
              <w:top w:val="single" w:sz="8" w:color="auto"/>
            </w:tcBorders>
          </w:tcPr>
          <w:p>
            <w:pPr>
              <w:spacing w:after="0"/>
              <w:rPr>
                <w:sz w:val="17"/>
                <w:szCs w:val="17"/>
                <w:color w:val="auto"/>
              </w:rPr>
            </w:pPr>
          </w:p>
        </w:tc>
        <w:tc>
          <w:tcPr>
            <w:tcW w:w="52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2"/>
              </w:rPr>
              <w:t xml:space="preserve">Ö  </w:t>
            </w:r>
            <w:r>
              <w:rPr>
                <w:rFonts w:ascii="Arial" w:cs="Arial" w:eastAsia="Arial" w:hAnsi="Arial"/>
                <w:sz w:val="16"/>
                <w:szCs w:val="16"/>
                <w:b w:val="1"/>
                <w:bCs w:val="1"/>
                <w:i w:val="1"/>
                <w:iCs w:val="1"/>
                <w:color w:val="auto"/>
                <w:w w:val="92"/>
              </w:rPr>
              <w:t>Our Independent Directors Meet Without Management</w:t>
            </w:r>
            <w:r>
              <w:rPr>
                <w:rFonts w:ascii="Arial" w:cs="Arial" w:eastAsia="Arial" w:hAnsi="Arial"/>
                <w:sz w:val="16"/>
                <w:szCs w:val="16"/>
                <w:color w:val="auto"/>
                <w:w w:val="92"/>
              </w:rPr>
              <w:t>. Our independent</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independent and we have fully independent Audit, Compensation and</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directors meet regularly in executive sessions without management</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Nominating and Corporate Governance Committees.</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present.</w:t>
            </w:r>
          </w:p>
        </w:tc>
      </w:tr>
      <w:tr>
        <w:trPr>
          <w:trHeight w:val="334"/>
        </w:trPr>
        <w:tc>
          <w:tcPr>
            <w:tcW w:w="240" w:type="dxa"/>
            <w:vAlign w:val="bottom"/>
          </w:tcPr>
          <w:p>
            <w:pPr>
              <w:spacing w:after="0"/>
              <w:rPr>
                <w:sz w:val="24"/>
                <w:szCs w:val="24"/>
                <w:color w:val="auto"/>
              </w:rPr>
            </w:pPr>
          </w:p>
        </w:tc>
        <w:tc>
          <w:tcPr>
            <w:tcW w:w="5700" w:type="dxa"/>
            <w:vAlign w:val="bottom"/>
            <w:gridSpan w:val="5"/>
          </w:tcPr>
          <w:p>
            <w:pPr>
              <w:ind w:left="80"/>
              <w:spacing w:after="0"/>
              <w:rPr>
                <w:sz w:val="20"/>
                <w:szCs w:val="20"/>
                <w:color w:val="auto"/>
              </w:rPr>
            </w:pPr>
            <w:r>
              <w:rPr>
                <w:rFonts w:ascii="Arial" w:cs="Arial" w:eastAsia="Arial" w:hAnsi="Arial"/>
                <w:sz w:val="18"/>
                <w:szCs w:val="18"/>
                <w:color w:val="auto"/>
                <w:w w:val="97"/>
              </w:rPr>
              <w:t xml:space="preserve">Ö  </w:t>
            </w:r>
            <w:r>
              <w:rPr>
                <w:rFonts w:ascii="Arial" w:cs="Arial" w:eastAsia="Arial" w:hAnsi="Arial"/>
                <w:sz w:val="16"/>
                <w:szCs w:val="16"/>
                <w:b w:val="1"/>
                <w:bCs w:val="1"/>
                <w:i w:val="1"/>
                <w:iCs w:val="1"/>
                <w:color w:val="auto"/>
                <w:w w:val="97"/>
              </w:rPr>
              <w:t>We Have Majority Voting for Directors</w:t>
            </w:r>
            <w:r>
              <w:rPr>
                <w:rFonts w:ascii="Arial" w:cs="Arial" w:eastAsia="Arial" w:hAnsi="Arial"/>
                <w:sz w:val="16"/>
                <w:szCs w:val="16"/>
                <w:color w:val="auto"/>
                <w:w w:val="97"/>
              </w:rPr>
              <w:t>. We have adopted majority voting for</w:t>
            </w:r>
          </w:p>
        </w:tc>
        <w:tc>
          <w:tcPr>
            <w:tcW w:w="20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Arial" w:cs="Arial" w:eastAsia="Arial" w:hAnsi="Arial"/>
                <w:sz w:val="18"/>
                <w:szCs w:val="18"/>
                <w:color w:val="auto"/>
                <w:w w:val="91"/>
              </w:rPr>
              <w:t xml:space="preserve">Ö  </w:t>
            </w:r>
            <w:r>
              <w:rPr>
                <w:rFonts w:ascii="Arial" w:cs="Arial" w:eastAsia="Arial" w:hAnsi="Arial"/>
                <w:sz w:val="16"/>
                <w:szCs w:val="16"/>
                <w:b w:val="1"/>
                <w:bCs w:val="1"/>
                <w:i w:val="1"/>
                <w:iCs w:val="1"/>
                <w:color w:val="auto"/>
                <w:w w:val="91"/>
              </w:rPr>
              <w:t>We Have a Stock Ownership Policy</w:t>
            </w:r>
            <w:r>
              <w:rPr>
                <w:rFonts w:ascii="Arial" w:cs="Arial" w:eastAsia="Arial" w:hAnsi="Arial"/>
                <w:sz w:val="16"/>
                <w:szCs w:val="16"/>
                <w:color w:val="auto"/>
                <w:w w:val="91"/>
              </w:rPr>
              <w:t>. We require both our named executive</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directors pursuant to which nominees who fail to achieve an affirmative</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w w:val="97"/>
              </w:rPr>
              <w:t>officers and our directors to maintain a meaningful ownership stake at</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majority of votes cast must submit their resignation.</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levels specified in our stock ownership policy.</w:t>
            </w:r>
          </w:p>
        </w:tc>
      </w:tr>
      <w:tr>
        <w:trPr>
          <w:trHeight w:val="334"/>
        </w:trPr>
        <w:tc>
          <w:tcPr>
            <w:tcW w:w="240" w:type="dxa"/>
            <w:vAlign w:val="bottom"/>
          </w:tcPr>
          <w:p>
            <w:pPr>
              <w:spacing w:after="0"/>
              <w:rPr>
                <w:sz w:val="24"/>
                <w:szCs w:val="24"/>
                <w:color w:val="auto"/>
              </w:rPr>
            </w:pPr>
          </w:p>
        </w:tc>
        <w:tc>
          <w:tcPr>
            <w:tcW w:w="5700" w:type="dxa"/>
            <w:vAlign w:val="bottom"/>
            <w:gridSpan w:val="5"/>
          </w:tcPr>
          <w:p>
            <w:pPr>
              <w:ind w:left="80"/>
              <w:spacing w:after="0"/>
              <w:rPr>
                <w:sz w:val="20"/>
                <w:szCs w:val="20"/>
                <w:color w:val="auto"/>
              </w:rPr>
            </w:pPr>
            <w:r>
              <w:rPr>
                <w:rFonts w:ascii="Arial" w:cs="Arial" w:eastAsia="Arial" w:hAnsi="Arial"/>
                <w:sz w:val="18"/>
                <w:szCs w:val="18"/>
                <w:color w:val="auto"/>
                <w:w w:val="99"/>
              </w:rPr>
              <w:t xml:space="preserve">Ö  </w:t>
            </w:r>
            <w:r>
              <w:rPr>
                <w:rFonts w:ascii="Arial" w:cs="Arial" w:eastAsia="Arial" w:hAnsi="Arial"/>
                <w:sz w:val="16"/>
                <w:szCs w:val="16"/>
                <w:b w:val="1"/>
                <w:bCs w:val="1"/>
                <w:i w:val="1"/>
                <w:iCs w:val="1"/>
                <w:color w:val="auto"/>
                <w:w w:val="99"/>
              </w:rPr>
              <w:t>We Hold Annual Elections for our Directors.</w:t>
            </w:r>
            <w:r>
              <w:rPr>
                <w:rFonts w:ascii="Arial" w:cs="Arial" w:eastAsia="Arial" w:hAnsi="Arial"/>
                <w:sz w:val="18"/>
                <w:szCs w:val="18"/>
                <w:color w:val="auto"/>
                <w:w w:val="99"/>
              </w:rPr>
              <w:t xml:space="preserve"> </w:t>
            </w:r>
            <w:r>
              <w:rPr>
                <w:rFonts w:ascii="Arial" w:cs="Arial" w:eastAsia="Arial" w:hAnsi="Arial"/>
                <w:sz w:val="16"/>
                <w:szCs w:val="16"/>
                <w:color w:val="auto"/>
                <w:w w:val="99"/>
              </w:rPr>
              <w:t>We do not have a staggered</w:t>
            </w:r>
          </w:p>
        </w:tc>
        <w:tc>
          <w:tcPr>
            <w:tcW w:w="20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Arial" w:cs="Arial" w:eastAsia="Arial" w:hAnsi="Arial"/>
                <w:sz w:val="18"/>
                <w:szCs w:val="18"/>
                <w:color w:val="auto"/>
                <w:w w:val="94"/>
              </w:rPr>
              <w:t xml:space="preserve">Ö  </w:t>
            </w:r>
            <w:r>
              <w:rPr>
                <w:rFonts w:ascii="Arial" w:cs="Arial" w:eastAsia="Arial" w:hAnsi="Arial"/>
                <w:sz w:val="16"/>
                <w:szCs w:val="16"/>
                <w:b w:val="1"/>
                <w:bCs w:val="1"/>
                <w:i w:val="1"/>
                <w:iCs w:val="1"/>
                <w:color w:val="auto"/>
                <w:w w:val="94"/>
              </w:rPr>
              <w:t>Our Key Committees are Independent</w:t>
            </w:r>
            <w:r>
              <w:rPr>
                <w:rFonts w:ascii="Arial" w:cs="Arial" w:eastAsia="Arial" w:hAnsi="Arial"/>
                <w:sz w:val="16"/>
                <w:szCs w:val="16"/>
                <w:color w:val="auto"/>
                <w:w w:val="94"/>
              </w:rPr>
              <w:t>. We have fully independent Audit,</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6"/>
                <w:szCs w:val="16"/>
                <w:color w:val="auto"/>
              </w:rPr>
              <w:t>board.</w:t>
            </w: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w w:val="93"/>
              </w:rPr>
              <w:t>Compensation and Nominating and Corporate Governance Committees.</w:t>
            </w:r>
          </w:p>
        </w:tc>
      </w:tr>
      <w:tr>
        <w:trPr>
          <w:trHeight w:val="334"/>
        </w:trPr>
        <w:tc>
          <w:tcPr>
            <w:tcW w:w="240" w:type="dxa"/>
            <w:vAlign w:val="bottom"/>
          </w:tcPr>
          <w:p>
            <w:pPr>
              <w:spacing w:after="0"/>
              <w:rPr>
                <w:sz w:val="24"/>
                <w:szCs w:val="24"/>
                <w:color w:val="auto"/>
              </w:rPr>
            </w:pPr>
          </w:p>
        </w:tc>
        <w:tc>
          <w:tcPr>
            <w:tcW w:w="5700" w:type="dxa"/>
            <w:vAlign w:val="bottom"/>
            <w:gridSpan w:val="5"/>
          </w:tcPr>
          <w:p>
            <w:pPr>
              <w:ind w:left="80"/>
              <w:spacing w:after="0"/>
              <w:rPr>
                <w:sz w:val="20"/>
                <w:szCs w:val="20"/>
                <w:color w:val="auto"/>
              </w:rPr>
            </w:pPr>
            <w:r>
              <w:rPr>
                <w:rFonts w:ascii="Arial" w:cs="Arial" w:eastAsia="Arial" w:hAnsi="Arial"/>
                <w:sz w:val="18"/>
                <w:szCs w:val="18"/>
                <w:color w:val="auto"/>
                <w:w w:val="93"/>
              </w:rPr>
              <w:t xml:space="preserve">Ö  </w:t>
            </w:r>
            <w:r>
              <w:rPr>
                <w:rFonts w:ascii="Arial" w:cs="Arial" w:eastAsia="Arial" w:hAnsi="Arial"/>
                <w:sz w:val="16"/>
                <w:szCs w:val="16"/>
                <w:b w:val="1"/>
                <w:bCs w:val="1"/>
                <w:i w:val="1"/>
                <w:iCs w:val="1"/>
                <w:color w:val="auto"/>
                <w:w w:val="93"/>
              </w:rPr>
              <w:t>We Measure Board Performance</w:t>
            </w:r>
            <w:r>
              <w:rPr>
                <w:rFonts w:ascii="Arial" w:cs="Arial" w:eastAsia="Arial" w:hAnsi="Arial"/>
                <w:sz w:val="16"/>
                <w:szCs w:val="16"/>
                <w:color w:val="auto"/>
                <w:w w:val="93"/>
              </w:rPr>
              <w:t>. We conduct regular evaluations of our Board</w:t>
            </w:r>
          </w:p>
        </w:tc>
        <w:tc>
          <w:tcPr>
            <w:tcW w:w="20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Arial" w:cs="Arial" w:eastAsia="Arial" w:hAnsi="Arial"/>
                <w:sz w:val="18"/>
                <w:szCs w:val="18"/>
                <w:color w:val="auto"/>
                <w:w w:val="93"/>
              </w:rPr>
              <w:t xml:space="preserve">Ö  </w:t>
            </w:r>
            <w:r>
              <w:rPr>
                <w:rFonts w:ascii="Arial" w:cs="Arial" w:eastAsia="Arial" w:hAnsi="Arial"/>
                <w:sz w:val="16"/>
                <w:szCs w:val="16"/>
                <w:b w:val="1"/>
                <w:bCs w:val="1"/>
                <w:i w:val="1"/>
                <w:iCs w:val="1"/>
                <w:color w:val="auto"/>
                <w:w w:val="93"/>
              </w:rPr>
              <w:t>We Do Not Have a “Poison Pill.”</w:t>
            </w:r>
            <w:r>
              <w:rPr>
                <w:rFonts w:ascii="Arial" w:cs="Arial" w:eastAsia="Arial" w:hAnsi="Arial"/>
                <w:sz w:val="18"/>
                <w:szCs w:val="18"/>
                <w:color w:val="auto"/>
                <w:w w:val="93"/>
              </w:rPr>
              <w:t xml:space="preserve"> </w:t>
            </w:r>
            <w:r>
              <w:rPr>
                <w:rFonts w:ascii="Arial" w:cs="Arial" w:eastAsia="Arial" w:hAnsi="Arial"/>
                <w:sz w:val="16"/>
                <w:szCs w:val="16"/>
                <w:color w:val="auto"/>
                <w:w w:val="93"/>
              </w:rPr>
              <w:t>We do not maintain a stockholder rights</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gridSpan w:val="4"/>
          </w:tcPr>
          <w:p>
            <w:pPr>
              <w:ind w:left="100"/>
              <w:spacing w:after="0"/>
              <w:rPr>
                <w:sz w:val="20"/>
                <w:szCs w:val="20"/>
                <w:color w:val="auto"/>
              </w:rPr>
            </w:pPr>
            <w:r>
              <w:rPr>
                <w:rFonts w:ascii="Arial" w:cs="Arial" w:eastAsia="Arial" w:hAnsi="Arial"/>
                <w:sz w:val="16"/>
                <w:szCs w:val="16"/>
                <w:color w:val="auto"/>
              </w:rPr>
              <w:t>and Committees.</w:t>
            </w:r>
          </w:p>
        </w:tc>
        <w:tc>
          <w:tcPr>
            <w:tcW w:w="200" w:type="dxa"/>
            <w:vAlign w:val="bottom"/>
          </w:tcPr>
          <w:p>
            <w:pPr>
              <w:spacing w:after="0"/>
              <w:rPr>
                <w:sz w:val="17"/>
                <w:szCs w:val="17"/>
                <w:color w:val="auto"/>
              </w:rPr>
            </w:pPr>
          </w:p>
        </w:tc>
        <w:tc>
          <w:tcPr>
            <w:tcW w:w="5280" w:type="dxa"/>
            <w:vAlign w:val="bottom"/>
            <w:gridSpan w:val="2"/>
          </w:tcPr>
          <w:p>
            <w:pPr>
              <w:ind w:left="480"/>
              <w:spacing w:after="0"/>
              <w:rPr>
                <w:sz w:val="20"/>
                <w:szCs w:val="20"/>
                <w:color w:val="auto"/>
              </w:rPr>
            </w:pPr>
            <w:r>
              <w:rPr>
                <w:rFonts w:ascii="Arial" w:cs="Arial" w:eastAsia="Arial" w:hAnsi="Arial"/>
                <w:sz w:val="16"/>
                <w:szCs w:val="16"/>
                <w:color w:val="auto"/>
              </w:rPr>
              <w:t>plan.</w:t>
            </w:r>
          </w:p>
        </w:tc>
      </w:tr>
      <w:tr>
        <w:trPr>
          <w:trHeight w:val="546"/>
        </w:trPr>
        <w:tc>
          <w:tcPr>
            <w:tcW w:w="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0"/>
        </w:trPr>
        <w:tc>
          <w:tcPr>
            <w:tcW w:w="5940" w:type="dxa"/>
            <w:vAlign w:val="bottom"/>
            <w:gridSpan w:val="6"/>
          </w:tcPr>
          <w:p>
            <w:pPr>
              <w:ind w:left="80"/>
              <w:spacing w:after="0"/>
              <w:rPr>
                <w:sz w:val="20"/>
                <w:szCs w:val="20"/>
                <w:color w:val="auto"/>
              </w:rPr>
            </w:pPr>
            <w:r>
              <w:rPr>
                <w:rFonts w:ascii="Arial" w:cs="Arial" w:eastAsia="Arial" w:hAnsi="Arial"/>
                <w:sz w:val="16"/>
                <w:szCs w:val="16"/>
                <w:color w:val="auto"/>
              </w:rPr>
              <w:t>2017 COMPENSATION PRACTICES HIGHLIGHTS</w:t>
            </w:r>
          </w:p>
        </w:tc>
        <w:tc>
          <w:tcPr>
            <w:tcW w:w="2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25"/>
        </w:trPr>
        <w:tc>
          <w:tcPr>
            <w:tcW w:w="5940" w:type="dxa"/>
            <w:vAlign w:val="bottom"/>
            <w:gridSpan w:val="6"/>
          </w:tcPr>
          <w:p>
            <w:pPr>
              <w:ind w:left="80"/>
              <w:spacing w:after="0"/>
              <w:rPr>
                <w:sz w:val="20"/>
                <w:szCs w:val="20"/>
                <w:color w:val="auto"/>
              </w:rPr>
            </w:pPr>
            <w:r>
              <w:rPr>
                <w:rFonts w:ascii="Arial" w:cs="Arial" w:eastAsia="Arial" w:hAnsi="Arial"/>
                <w:sz w:val="16"/>
                <w:szCs w:val="16"/>
                <w:color w:val="auto"/>
                <w:w w:val="99"/>
              </w:rPr>
              <w:t>The following summarizes key aspects of our compensation policies and programs:</w:t>
            </w:r>
          </w:p>
        </w:tc>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87"/>
        </w:trPr>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69"/>
        </w:trPr>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What We Do:</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What We Don’t Do:</w:t>
            </w:r>
          </w:p>
        </w:tc>
        <w:tc>
          <w:tcPr>
            <w:tcW w:w="760" w:type="dxa"/>
            <w:vAlign w:val="bottom"/>
          </w:tcPr>
          <w:p>
            <w:pPr>
              <w:spacing w:after="0"/>
              <w:rPr>
                <w:sz w:val="14"/>
                <w:szCs w:val="14"/>
                <w:color w:val="auto"/>
              </w:rPr>
            </w:pPr>
          </w:p>
        </w:tc>
      </w:tr>
      <w:tr>
        <w:trPr>
          <w:trHeight w:val="348"/>
        </w:trPr>
        <w:tc>
          <w:tcPr>
            <w:tcW w:w="1260" w:type="dxa"/>
            <w:vAlign w:val="bottom"/>
            <w:gridSpan w:val="3"/>
          </w:tcPr>
          <w:p>
            <w:pPr>
              <w:jc w:val="right"/>
              <w:ind w:right="219"/>
              <w:spacing w:after="0"/>
              <w:rPr>
                <w:sz w:val="20"/>
                <w:szCs w:val="20"/>
                <w:color w:val="auto"/>
              </w:rPr>
            </w:pPr>
            <w:r>
              <w:rPr>
                <w:rFonts w:ascii="Arial" w:cs="Arial" w:eastAsia="Arial" w:hAnsi="Arial"/>
                <w:sz w:val="16"/>
                <w:szCs w:val="16"/>
                <w:color w:val="auto"/>
              </w:rPr>
              <w:t>Ö</w:t>
            </w:r>
          </w:p>
        </w:tc>
        <w:tc>
          <w:tcPr>
            <w:tcW w:w="4680" w:type="dxa"/>
            <w:vAlign w:val="bottom"/>
            <w:gridSpan w:val="3"/>
          </w:tcPr>
          <w:p>
            <w:pPr>
              <w:ind w:left="120"/>
              <w:spacing w:after="0"/>
              <w:rPr>
                <w:sz w:val="20"/>
                <w:szCs w:val="20"/>
                <w:color w:val="auto"/>
              </w:rPr>
            </w:pPr>
            <w:r>
              <w:rPr>
                <w:rFonts w:ascii="Arial" w:cs="Arial" w:eastAsia="Arial" w:hAnsi="Arial"/>
                <w:sz w:val="16"/>
                <w:szCs w:val="16"/>
                <w:b w:val="1"/>
                <w:bCs w:val="1"/>
                <w:i w:val="1"/>
                <w:iCs w:val="1"/>
                <w:color w:val="auto"/>
              </w:rPr>
              <w:t xml:space="preserve">We Pay for Performance: </w:t>
            </w:r>
            <w:r>
              <w:rPr>
                <w:rFonts w:ascii="Arial" w:cs="Arial" w:eastAsia="Arial" w:hAnsi="Arial"/>
                <w:sz w:val="16"/>
                <w:szCs w:val="16"/>
                <w:color w:val="auto"/>
              </w:rPr>
              <w:t>A significant portion of our cash</w:t>
            </w:r>
          </w:p>
        </w:tc>
        <w:tc>
          <w:tcPr>
            <w:tcW w:w="200" w:type="dxa"/>
            <w:vAlign w:val="bottom"/>
          </w:tcPr>
          <w:p>
            <w:pPr>
              <w:ind w:left="60"/>
              <w:spacing w:after="0"/>
              <w:rPr>
                <w:sz w:val="20"/>
                <w:szCs w:val="20"/>
                <w:color w:val="auto"/>
              </w:rPr>
            </w:pPr>
            <w:r>
              <w:rPr>
                <w:rFonts w:ascii="Arial" w:cs="Arial" w:eastAsia="Arial" w:hAnsi="Arial"/>
                <w:sz w:val="16"/>
                <w:szCs w:val="16"/>
                <w:color w:val="auto"/>
              </w:rPr>
              <w:t>c</w:t>
            </w:r>
          </w:p>
        </w:tc>
        <w:tc>
          <w:tcPr>
            <w:tcW w:w="528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 xml:space="preserve">We Do Not Have Tax Gross-Ups: </w:t>
            </w:r>
            <w:r>
              <w:rPr>
                <w:rFonts w:ascii="Arial" w:cs="Arial" w:eastAsia="Arial" w:hAnsi="Arial"/>
                <w:sz w:val="16"/>
                <w:szCs w:val="16"/>
                <w:color w:val="auto"/>
              </w:rPr>
              <w:t>We do not provide tax</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compensation is based on achievement of key financial metrics</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gross-ups on any severance, change-in-control or other</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that are disclosed to our stockholders.</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payments.</w:t>
            </w:r>
          </w:p>
        </w:tc>
      </w:tr>
      <w:tr>
        <w:trPr>
          <w:trHeight w:val="374"/>
        </w:trPr>
        <w:tc>
          <w:tcPr>
            <w:tcW w:w="1260" w:type="dxa"/>
            <w:vAlign w:val="bottom"/>
            <w:gridSpan w:val="3"/>
          </w:tcPr>
          <w:p>
            <w:pPr>
              <w:jc w:val="right"/>
              <w:ind w:right="219"/>
              <w:spacing w:after="0"/>
              <w:rPr>
                <w:sz w:val="20"/>
                <w:szCs w:val="20"/>
                <w:color w:val="auto"/>
              </w:rPr>
            </w:pPr>
            <w:r>
              <w:rPr>
                <w:rFonts w:ascii="Arial" w:cs="Arial" w:eastAsia="Arial" w:hAnsi="Arial"/>
                <w:sz w:val="16"/>
                <w:szCs w:val="16"/>
                <w:color w:val="auto"/>
              </w:rPr>
              <w:t>Ö</w:t>
            </w:r>
          </w:p>
        </w:tc>
        <w:tc>
          <w:tcPr>
            <w:tcW w:w="4680" w:type="dxa"/>
            <w:vAlign w:val="bottom"/>
            <w:gridSpan w:val="3"/>
          </w:tcPr>
          <w:p>
            <w:pPr>
              <w:ind w:left="120"/>
              <w:spacing w:after="0"/>
              <w:rPr>
                <w:sz w:val="20"/>
                <w:szCs w:val="20"/>
                <w:color w:val="auto"/>
              </w:rPr>
            </w:pPr>
            <w:r>
              <w:rPr>
                <w:rFonts w:ascii="Arial" w:cs="Arial" w:eastAsia="Arial" w:hAnsi="Arial"/>
                <w:sz w:val="16"/>
                <w:szCs w:val="16"/>
                <w:b w:val="1"/>
                <w:bCs w:val="1"/>
                <w:i w:val="1"/>
                <w:iCs w:val="1"/>
                <w:color w:val="auto"/>
                <w:w w:val="98"/>
              </w:rPr>
              <w:t>We Do Not Guarantee Salary Increases or Bonuses</w:t>
            </w:r>
            <w:r>
              <w:rPr>
                <w:rFonts w:ascii="Arial" w:cs="Arial" w:eastAsia="Arial" w:hAnsi="Arial"/>
                <w:sz w:val="16"/>
                <w:szCs w:val="16"/>
                <w:color w:val="auto"/>
                <w:w w:val="98"/>
              </w:rPr>
              <w:t>: We have</w:t>
            </w:r>
          </w:p>
        </w:tc>
        <w:tc>
          <w:tcPr>
            <w:tcW w:w="200" w:type="dxa"/>
            <w:vAlign w:val="bottom"/>
          </w:tcPr>
          <w:p>
            <w:pPr>
              <w:ind w:left="60"/>
              <w:spacing w:after="0"/>
              <w:rPr>
                <w:sz w:val="20"/>
                <w:szCs w:val="20"/>
                <w:color w:val="auto"/>
              </w:rPr>
            </w:pPr>
            <w:r>
              <w:rPr>
                <w:rFonts w:ascii="Arial" w:cs="Arial" w:eastAsia="Arial" w:hAnsi="Arial"/>
                <w:sz w:val="16"/>
                <w:szCs w:val="16"/>
                <w:color w:val="auto"/>
              </w:rPr>
              <w:t>c</w:t>
            </w:r>
          </w:p>
        </w:tc>
        <w:tc>
          <w:tcPr>
            <w:tcW w:w="528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We Do Not Permit Hedging, Short Sales, or Pledging</w:t>
            </w:r>
            <w:r>
              <w:rPr>
                <w:rFonts w:ascii="Arial" w:cs="Arial" w:eastAsia="Arial" w:hAnsi="Arial"/>
                <w:sz w:val="16"/>
                <w:szCs w:val="16"/>
                <w:color w:val="auto"/>
              </w:rPr>
              <w:t>. Under</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raised the base salaries of our named executive officers only</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our insider trading policy, our officers and directors are</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twice since 2013 and bonuses are strictly performance based.</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prohibited from hedging, effecting short sales of, and (except</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in extremely limited circumstances) pledging our stock.</w:t>
            </w:r>
          </w:p>
        </w:tc>
      </w:tr>
      <w:tr>
        <w:trPr>
          <w:trHeight w:val="374"/>
        </w:trPr>
        <w:tc>
          <w:tcPr>
            <w:tcW w:w="1260" w:type="dxa"/>
            <w:vAlign w:val="bottom"/>
            <w:gridSpan w:val="3"/>
          </w:tcPr>
          <w:p>
            <w:pPr>
              <w:jc w:val="right"/>
              <w:ind w:right="219"/>
              <w:spacing w:after="0"/>
              <w:rPr>
                <w:sz w:val="20"/>
                <w:szCs w:val="20"/>
                <w:color w:val="auto"/>
              </w:rPr>
            </w:pPr>
            <w:r>
              <w:rPr>
                <w:rFonts w:ascii="Arial" w:cs="Arial" w:eastAsia="Arial" w:hAnsi="Arial"/>
                <w:sz w:val="16"/>
                <w:szCs w:val="16"/>
                <w:color w:val="auto"/>
              </w:rPr>
              <w:t>Ö</w:t>
            </w:r>
          </w:p>
        </w:tc>
        <w:tc>
          <w:tcPr>
            <w:tcW w:w="4680" w:type="dxa"/>
            <w:vAlign w:val="bottom"/>
            <w:gridSpan w:val="3"/>
          </w:tcPr>
          <w:p>
            <w:pPr>
              <w:ind w:left="120"/>
              <w:spacing w:after="0"/>
              <w:rPr>
                <w:sz w:val="20"/>
                <w:szCs w:val="20"/>
                <w:color w:val="auto"/>
              </w:rPr>
            </w:pPr>
            <w:r>
              <w:rPr>
                <w:rFonts w:ascii="Arial" w:cs="Arial" w:eastAsia="Arial" w:hAnsi="Arial"/>
                <w:sz w:val="16"/>
                <w:szCs w:val="16"/>
                <w:b w:val="1"/>
                <w:bCs w:val="1"/>
                <w:i w:val="1"/>
                <w:iCs w:val="1"/>
                <w:color w:val="auto"/>
              </w:rPr>
              <w:t xml:space="preserve">We Balance Our Incentive Compensation: </w:t>
            </w:r>
            <w:r>
              <w:rPr>
                <w:rFonts w:ascii="Arial" w:cs="Arial" w:eastAsia="Arial" w:hAnsi="Arial"/>
                <w:sz w:val="16"/>
                <w:szCs w:val="16"/>
                <w:color w:val="auto"/>
              </w:rPr>
              <w:t>Our incentive</w:t>
            </w:r>
          </w:p>
        </w:tc>
        <w:tc>
          <w:tcPr>
            <w:tcW w:w="200" w:type="dxa"/>
            <w:vAlign w:val="bottom"/>
          </w:tcPr>
          <w:p>
            <w:pPr>
              <w:ind w:left="60"/>
              <w:spacing w:after="0"/>
              <w:rPr>
                <w:sz w:val="20"/>
                <w:szCs w:val="20"/>
                <w:color w:val="auto"/>
              </w:rPr>
            </w:pPr>
            <w:r>
              <w:rPr>
                <w:rFonts w:ascii="Arial" w:cs="Arial" w:eastAsia="Arial" w:hAnsi="Arial"/>
                <w:sz w:val="16"/>
                <w:szCs w:val="16"/>
                <w:color w:val="auto"/>
              </w:rPr>
              <w:t>c</w:t>
            </w:r>
          </w:p>
        </w:tc>
        <w:tc>
          <w:tcPr>
            <w:tcW w:w="528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We Do Not Provide Excessive Perquisites</w:t>
            </w:r>
            <w:r>
              <w:rPr>
                <w:rFonts w:ascii="Arial" w:cs="Arial" w:eastAsia="Arial" w:hAnsi="Arial"/>
                <w:sz w:val="16"/>
                <w:szCs w:val="16"/>
                <w:color w:val="auto"/>
              </w:rPr>
              <w:t>: Our named</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compensation programs provide a balance of short-term cash</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executive officers receive limited perquisites and benefits.</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incentives that are based on achievement of annual financial</w:t>
            </w:r>
          </w:p>
        </w:tc>
        <w:tc>
          <w:tcPr>
            <w:tcW w:w="2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w w:val="97"/>
              </w:rPr>
              <w:t>metrics and time-based equity incentives that vest over five years.</w:t>
            </w:r>
          </w:p>
        </w:tc>
        <w:tc>
          <w:tcPr>
            <w:tcW w:w="2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74"/>
        </w:trPr>
        <w:tc>
          <w:tcPr>
            <w:tcW w:w="1260" w:type="dxa"/>
            <w:vAlign w:val="bottom"/>
            <w:gridSpan w:val="3"/>
          </w:tcPr>
          <w:p>
            <w:pPr>
              <w:jc w:val="right"/>
              <w:ind w:right="219"/>
              <w:spacing w:after="0"/>
              <w:rPr>
                <w:sz w:val="20"/>
                <w:szCs w:val="20"/>
                <w:color w:val="auto"/>
              </w:rPr>
            </w:pPr>
            <w:r>
              <w:rPr>
                <w:rFonts w:ascii="Arial" w:cs="Arial" w:eastAsia="Arial" w:hAnsi="Arial"/>
                <w:sz w:val="16"/>
                <w:szCs w:val="16"/>
                <w:color w:val="auto"/>
              </w:rPr>
              <w:t>Ö</w:t>
            </w:r>
          </w:p>
        </w:tc>
        <w:tc>
          <w:tcPr>
            <w:tcW w:w="4680" w:type="dxa"/>
            <w:vAlign w:val="bottom"/>
            <w:gridSpan w:val="3"/>
          </w:tcPr>
          <w:p>
            <w:pPr>
              <w:ind w:left="120"/>
              <w:spacing w:after="0"/>
              <w:rPr>
                <w:sz w:val="20"/>
                <w:szCs w:val="20"/>
                <w:color w:val="auto"/>
              </w:rPr>
            </w:pPr>
            <w:r>
              <w:rPr>
                <w:rFonts w:ascii="Arial" w:cs="Arial" w:eastAsia="Arial" w:hAnsi="Arial"/>
                <w:sz w:val="16"/>
                <w:szCs w:val="16"/>
                <w:b w:val="1"/>
                <w:bCs w:val="1"/>
                <w:i w:val="1"/>
                <w:iCs w:val="1"/>
                <w:color w:val="auto"/>
                <w:w w:val="95"/>
              </w:rPr>
              <w:t>We Can Claw Back Compensation</w:t>
            </w:r>
            <w:r>
              <w:rPr>
                <w:rFonts w:ascii="Arial" w:cs="Arial" w:eastAsia="Arial" w:hAnsi="Arial"/>
                <w:sz w:val="16"/>
                <w:szCs w:val="16"/>
                <w:color w:val="auto"/>
                <w:w w:val="95"/>
              </w:rPr>
              <w:t>: We have the ability to recoup</w:t>
            </w:r>
          </w:p>
        </w:tc>
        <w:tc>
          <w:tcPr>
            <w:tcW w:w="200" w:type="dxa"/>
            <w:vAlign w:val="bottom"/>
          </w:tcPr>
          <w:p>
            <w:pPr>
              <w:ind w:left="60"/>
              <w:spacing w:after="0"/>
              <w:rPr>
                <w:sz w:val="20"/>
                <w:szCs w:val="20"/>
                <w:color w:val="auto"/>
              </w:rPr>
            </w:pPr>
            <w:r>
              <w:rPr>
                <w:rFonts w:ascii="Arial" w:cs="Arial" w:eastAsia="Arial" w:hAnsi="Arial"/>
                <w:sz w:val="16"/>
                <w:szCs w:val="16"/>
                <w:color w:val="auto"/>
              </w:rPr>
              <w:t>c</w:t>
            </w:r>
          </w:p>
        </w:tc>
        <w:tc>
          <w:tcPr>
            <w:tcW w:w="5280" w:type="dxa"/>
            <w:vAlign w:val="bottom"/>
            <w:gridSpan w:val="2"/>
          </w:tcPr>
          <w:p>
            <w:pPr>
              <w:ind w:left="440"/>
              <w:spacing w:after="0"/>
              <w:rPr>
                <w:sz w:val="20"/>
                <w:szCs w:val="20"/>
                <w:color w:val="auto"/>
              </w:rPr>
            </w:pPr>
            <w:r>
              <w:rPr>
                <w:rFonts w:ascii="Arial" w:cs="Arial" w:eastAsia="Arial" w:hAnsi="Arial"/>
                <w:sz w:val="16"/>
                <w:szCs w:val="16"/>
                <w:b w:val="1"/>
                <w:bCs w:val="1"/>
                <w:i w:val="1"/>
                <w:iCs w:val="1"/>
                <w:color w:val="auto"/>
              </w:rPr>
              <w:t>We Do Not Automatically Increase Salaries or Bonuses</w:t>
            </w:r>
            <w:r>
              <w:rPr>
                <w:rFonts w:ascii="Arial" w:cs="Arial" w:eastAsia="Arial" w:hAnsi="Arial"/>
                <w:sz w:val="16"/>
                <w:szCs w:val="16"/>
                <w:color w:val="auto"/>
              </w:rPr>
              <w:t>: We</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incentive compensation if the Company’s financial results are</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do not guarantee annual salary increases or bonuses and none</w:t>
            </w:r>
          </w:p>
        </w:tc>
      </w:tr>
      <w:tr>
        <w:trPr>
          <w:trHeight w:val="203"/>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restated or materially misstated due in whole or in part to</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of our executive employment agreements contain such</w:t>
            </w:r>
          </w:p>
        </w:tc>
      </w:t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80" w:type="dxa"/>
            <w:vAlign w:val="bottom"/>
            <w:gridSpan w:val="3"/>
          </w:tcPr>
          <w:p>
            <w:pPr>
              <w:ind w:left="120"/>
              <w:spacing w:after="0"/>
              <w:rPr>
                <w:sz w:val="20"/>
                <w:szCs w:val="20"/>
                <w:color w:val="auto"/>
              </w:rPr>
            </w:pPr>
            <w:r>
              <w:rPr>
                <w:rFonts w:ascii="Arial" w:cs="Arial" w:eastAsia="Arial" w:hAnsi="Arial"/>
                <w:sz w:val="16"/>
                <w:szCs w:val="16"/>
                <w:color w:val="auto"/>
              </w:rPr>
              <w:t>misconduct by one or more of our named executive officers.</w:t>
            </w:r>
          </w:p>
        </w:tc>
        <w:tc>
          <w:tcPr>
            <w:tcW w:w="200" w:type="dxa"/>
            <w:vAlign w:val="bottom"/>
          </w:tcPr>
          <w:p>
            <w:pPr>
              <w:spacing w:after="0"/>
              <w:rPr>
                <w:sz w:val="17"/>
                <w:szCs w:val="17"/>
                <w:color w:val="auto"/>
              </w:rPr>
            </w:pPr>
          </w:p>
        </w:tc>
        <w:tc>
          <w:tcPr>
            <w:tcW w:w="5280" w:type="dxa"/>
            <w:vAlign w:val="bottom"/>
            <w:gridSpan w:val="2"/>
          </w:tcPr>
          <w:p>
            <w:pPr>
              <w:ind w:left="440"/>
              <w:spacing w:after="0"/>
              <w:rPr>
                <w:sz w:val="20"/>
                <w:szCs w:val="20"/>
                <w:color w:val="auto"/>
              </w:rPr>
            </w:pPr>
            <w:r>
              <w:rPr>
                <w:rFonts w:ascii="Arial" w:cs="Arial" w:eastAsia="Arial" w:hAnsi="Arial"/>
                <w:sz w:val="16"/>
                <w:szCs w:val="16"/>
                <w:color w:val="auto"/>
              </w:rPr>
              <w:t>provisions.</w:t>
            </w:r>
          </w:p>
        </w:tc>
      </w:tr>
    </w:tbl>
    <w:p>
      <w:pPr>
        <w:spacing w:after="0" w:line="172" w:lineRule="exact"/>
        <w:rPr>
          <w:sz w:val="20"/>
          <w:szCs w:val="20"/>
          <w:color w:val="auto"/>
        </w:rPr>
      </w:pPr>
    </w:p>
    <w:p>
      <w:pPr>
        <w:ind w:left="1380" w:right="5880" w:hanging="535"/>
        <w:spacing w:after="0" w:line="273" w:lineRule="auto"/>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Retain an Independent Compensation Consultant: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engages an independent consultant to provide guidance on peer group composition and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-10160</wp:posOffset>
            </wp:positionV>
            <wp:extent cx="6346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Please see the </w:t>
      </w:r>
      <w:r>
        <w:rPr>
          <w:rFonts w:ascii="Arial" w:cs="Arial" w:eastAsia="Arial" w:hAnsi="Arial"/>
          <w:sz w:val="17"/>
          <w:szCs w:val="17"/>
          <w:i w:val="1"/>
          <w:iCs w:val="1"/>
          <w:color w:val="auto"/>
        </w:rPr>
        <w:t>General Information</w:t>
      </w:r>
      <w:r>
        <w:rPr>
          <w:rFonts w:ascii="Arial" w:cs="Arial" w:eastAsia="Arial" w:hAnsi="Arial"/>
          <w:sz w:val="17"/>
          <w:szCs w:val="17"/>
          <w:color w:val="auto"/>
        </w:rPr>
        <w:t xml:space="preserve"> section for important information about the proxy materials, voting, the annual meeting, Company documents, communications and the deadlines to submit stockholder proposals and director nominees for the 2019 Annual Meeting of Stockholders. Additional questions may be directed to our General Counsel, Grand Canyon Education, Inc., 3300 W. Camelback Road, Phoenix, Arizona 85017.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 More About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can learn more about the Company, view our governance materials and much more by visiting our website, </w:t>
      </w:r>
      <w:r>
        <w:rPr>
          <w:rFonts w:ascii="Arial" w:cs="Arial" w:eastAsia="Arial" w:hAnsi="Arial"/>
          <w:sz w:val="18"/>
          <w:szCs w:val="18"/>
          <w:i w:val="1"/>
          <w:iCs w:val="1"/>
          <w:color w:val="auto"/>
        </w:rPr>
        <w:t>www.gcu.edu</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260" w:firstLine="571"/>
        <w:spacing w:after="0" w:line="264"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Wednesday, June 13, 2018, at Grand Canyon University Antelope Reception Center on the campus of Grand Canyon University at 3300 W. Camelback Road, Phoenix, Arizona 85017, commencing at 9:00 a.m., Arizona time, and at any adjournment or postponement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121"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May 1, 2018,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6"/>
          <w:szCs w:val="16"/>
          <w:i w:val="1"/>
          <w:iCs w:val="1"/>
          <w:color w:val="auto"/>
        </w:rPr>
        <w:t>www.edocumentview.com/LOPE</w:t>
      </w:r>
      <w:r>
        <w:rPr>
          <w:rFonts w:ascii="Arial" w:cs="Arial" w:eastAsia="Arial" w:hAnsi="Arial"/>
          <w:sz w:val="16"/>
          <w:szCs w:val="16"/>
          <w:color w:val="auto"/>
        </w:rPr>
        <w:t xml:space="preserve"> or the Company’s Investor Relations website at </w:t>
      </w:r>
      <w:r>
        <w:rPr>
          <w:rFonts w:ascii="Arial" w:cs="Arial" w:eastAsia="Arial" w:hAnsi="Arial"/>
          <w:sz w:val="16"/>
          <w:szCs w:val="16"/>
          <w:i w:val="1"/>
          <w:iCs w:val="1"/>
          <w:color w:val="auto"/>
        </w:rPr>
        <w:t>www.gcu.edu</w:t>
      </w:r>
      <w:r>
        <w:rPr>
          <w:rFonts w:ascii="Arial" w:cs="Arial" w:eastAsia="Arial" w:hAnsi="Arial"/>
          <w:sz w:val="16"/>
          <w:szCs w:val="16"/>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121"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Only stockholders of record at the close of business on April 19, 2018, will be entitled to notice of and to vote at the Annual Meeting and any adjournment or postponement thereof. At the close of business on the record date, we had approximately 48,220,519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121"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 for Stockholder Proposals</w:t>
      </w:r>
    </w:p>
    <w:p>
      <w:pPr>
        <w:spacing w:after="0" w:line="121"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2019 Annual Meeting of Stockholders, the proposal must be received at our principal executive offices, addressed to our Secretary, not later than the close of business on January 1, 2019.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nor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Arial" w:cs="Arial" w:eastAsia="Arial" w:hAnsi="Arial"/>
          <w:sz w:val="13"/>
          <w:szCs w:val="13"/>
          <w:color w:val="auto"/>
        </w:rPr>
        <w:t>th</w:t>
      </w:r>
      <w:r>
        <w:rPr>
          <w:rFonts w:ascii="Arial" w:cs="Arial" w:eastAsia="Arial" w:hAnsi="Arial"/>
          <w:sz w:val="16"/>
          <w:szCs w:val="16"/>
          <w:color w:val="auto"/>
        </w:rPr>
        <w:t xml:space="preserve"> day prior to the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of the date of such meeting is first made. For our 2019 Annual Meeting of Stockholders, proper notice of business that is not intended for inclusion in our proxy statement must be received not earlier than the close of business on February 13, 2019, nor later than the close of business on March 15, 2019.</w:t>
      </w:r>
    </w:p>
    <w:p>
      <w:pPr>
        <w:spacing w:after="0" w:line="20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w:t>
      </w:r>
    </w:p>
    <w:p>
      <w:pPr>
        <w:ind w:right="60"/>
        <w:spacing w:after="0" w:line="261" w:lineRule="auto"/>
        <w:rPr>
          <w:sz w:val="20"/>
          <w:szCs w:val="20"/>
          <w:color w:val="auto"/>
        </w:rPr>
      </w:pPr>
      <w:r>
        <w:rPr>
          <w:rFonts w:ascii="Arial" w:cs="Arial" w:eastAsia="Arial" w:hAnsi="Arial"/>
          <w:sz w:val="18"/>
          <w:szCs w:val="18"/>
          <w:color w:val="auto"/>
        </w:rPr>
        <w:t>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3). However, your record holder cannot vote your shares without your specific instructions on the election of directors (Proposal No. 1), or on matters related to executive compensation, including the advisory vote described below on the compensation of our named executive officers (Proposal No. 2).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encourage you to provide instructions to your bank, broker or other holder of record regarding the voting of your shares. </w:t>
      </w:r>
      <w:r>
        <w:rPr>
          <w:rFonts w:ascii="Arial" w:cs="Arial" w:eastAsia="Arial" w:hAnsi="Arial"/>
          <w:sz w:val="16"/>
          <w:szCs w:val="16"/>
          <w:color w:val="auto"/>
        </w:rPr>
        <w:t>Our stockholders have no</w:t>
      </w:r>
      <w:r>
        <w:rPr>
          <w:rFonts w:ascii="Arial" w:cs="Arial" w:eastAsia="Arial" w:hAnsi="Arial"/>
          <w:sz w:val="16"/>
          <w:szCs w:val="16"/>
          <w:b w:val="1"/>
          <w:bCs w:val="1"/>
          <w:color w:val="auto"/>
        </w:rPr>
        <w:t xml:space="preserve"> </w:t>
      </w:r>
      <w:r>
        <w:rPr>
          <w:rFonts w:ascii="Arial" w:cs="Arial" w:eastAsia="Arial" w:hAnsi="Arial"/>
          <w:sz w:val="16"/>
          <w:szCs w:val="16"/>
          <w:color w:val="auto"/>
        </w:rPr>
        <w:t>dissenter’s or appraisal rights in connection with any of the proposals described herein.</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vote required to approve each of the proposals presented in this Proxy Statement is set forth below:</w:t>
      </w:r>
    </w:p>
    <w:p>
      <w:pPr>
        <w:spacing w:after="0" w:line="306" w:lineRule="exact"/>
        <w:rPr>
          <w:sz w:val="20"/>
          <w:szCs w:val="20"/>
          <w:color w:val="auto"/>
        </w:rPr>
      </w:pPr>
    </w:p>
    <w:p>
      <w:pPr>
        <w:ind w:left="1460" w:right="200" w:hanging="547"/>
        <w:spacing w:after="0" w:line="276"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Election of Directors (Proposal No. 1)</w:t>
      </w:r>
      <w:r>
        <w:rPr>
          <w:rFonts w:ascii="Arial" w:cs="Arial" w:eastAsia="Arial" w:hAnsi="Arial"/>
          <w:sz w:val="17"/>
          <w:szCs w:val="17"/>
          <w:color w:val="auto"/>
        </w:rPr>
        <w:t>. The affirmative vote of a majority of the votes cast with respect to a nominee is required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253" w:lineRule="exact"/>
        <w:rPr>
          <w:rFonts w:ascii="Arial" w:cs="Arial" w:eastAsia="Arial" w:hAnsi="Arial"/>
          <w:sz w:val="17"/>
          <w:szCs w:val="17"/>
          <w:color w:val="auto"/>
        </w:rPr>
      </w:pPr>
    </w:p>
    <w:p>
      <w:pPr>
        <w:ind w:left="1460" w:hanging="547"/>
        <w:spacing w:after="0" w:line="273"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Approval, on an advisory basis, of the compensation of our named executive officers (Proposal No. 2). </w:t>
      </w:r>
      <w:r>
        <w:rPr>
          <w:rFonts w:ascii="Arial" w:cs="Arial" w:eastAsia="Arial" w:hAnsi="Arial"/>
          <w:sz w:val="17"/>
          <w:szCs w:val="17"/>
          <w:color w:val="auto"/>
        </w:rPr>
        <w:t>Approval, on an advisory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259" w:lineRule="exact"/>
        <w:rPr>
          <w:rFonts w:ascii="Arial" w:cs="Arial" w:eastAsia="Arial" w:hAnsi="Arial"/>
          <w:sz w:val="17"/>
          <w:szCs w:val="17"/>
          <w:color w:val="auto"/>
        </w:rPr>
      </w:pPr>
    </w:p>
    <w:p>
      <w:pPr>
        <w:ind w:left="1460" w:right="60" w:hanging="547"/>
        <w:spacing w:after="0" w:line="276"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Ratification of the appointment of the Independent Registered Public Accounting Firm (Proposal No. 3). </w:t>
      </w:r>
      <w:r>
        <w:rPr>
          <w:rFonts w:ascii="Arial" w:cs="Arial" w:eastAsia="Arial" w:hAnsi="Arial"/>
          <w:sz w:val="17"/>
          <w:szCs w:val="17"/>
          <w:color w:val="auto"/>
        </w:rPr>
        <w:t>Approval of the proposal to</w:t>
      </w:r>
      <w:r>
        <w:rPr>
          <w:rFonts w:ascii="Arial" w:cs="Arial" w:eastAsia="Arial" w:hAnsi="Arial"/>
          <w:sz w:val="17"/>
          <w:szCs w:val="17"/>
          <w:i w:val="1"/>
          <w:iCs w:val="1"/>
          <w:color w:val="auto"/>
        </w:rPr>
        <w:t xml:space="preserve"> </w:t>
      </w:r>
      <w:r>
        <w:rPr>
          <w:rFonts w:ascii="Arial" w:cs="Arial" w:eastAsia="Arial" w:hAnsi="Arial"/>
          <w:sz w:val="17"/>
          <w:szCs w:val="17"/>
          <w:color w:val="auto"/>
        </w:rPr>
        <w:t>ratify the Audit Committee’s appointment of KPMG LLP as our independent registered public accounting firm for the fiscal year ending December 31, 2018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121" w:lineRule="exact"/>
        <w:rPr>
          <w:sz w:val="20"/>
          <w:szCs w:val="20"/>
          <w:color w:val="auto"/>
        </w:rPr>
      </w:pPr>
    </w:p>
    <w:p>
      <w:pPr>
        <w:jc w:val="both"/>
        <w:ind w:right="80" w:firstLine="571"/>
        <w:spacing w:after="0" w:line="312"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500" w:firstLine="571"/>
        <w:spacing w:after="0" w:line="34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121" w:lineRule="exact"/>
        <w:rPr>
          <w:sz w:val="20"/>
          <w:szCs w:val="20"/>
          <w:color w:val="auto"/>
        </w:rPr>
      </w:pPr>
    </w:p>
    <w:p>
      <w:pPr>
        <w:ind w:right="20" w:firstLine="571"/>
        <w:spacing w:after="0" w:line="276" w:lineRule="auto"/>
        <w:rPr>
          <w:sz w:val="20"/>
          <w:szCs w:val="20"/>
          <w:color w:val="auto"/>
        </w:rPr>
      </w:pPr>
      <w:r>
        <w:rPr>
          <w:rFonts w:ascii="Arial" w:cs="Arial" w:eastAsia="Arial" w:hAnsi="Arial"/>
          <w:sz w:val="17"/>
          <w:szCs w:val="17"/>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121"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color w:val="auto"/>
        </w:rPr>
        <w:t>During our 2017 fiscal year, our Board of Directors held nine meetings and each of our directors attended 100% of such meetings. We do not have a formal policy regarding attendance of our directors at annual meetings of our stockholders, but we do encourage each of our directors to attend. All of our directors attended our 2017 annual meeting in person or telephonically.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571"/>
        <w:spacing w:after="0" w:line="272" w:lineRule="auto"/>
        <w:rPr>
          <w:sz w:val="20"/>
          <w:szCs w:val="20"/>
          <w:color w:val="auto"/>
        </w:rPr>
      </w:pPr>
      <w:r>
        <w:rPr>
          <w:rFonts w:ascii="Arial" w:cs="Arial" w:eastAsia="Arial" w:hAnsi="Arial"/>
          <w:sz w:val="17"/>
          <w:szCs w:val="17"/>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Brian E. Mueller, who serves as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0" w:lineRule="exact"/>
        <w:rPr>
          <w:sz w:val="20"/>
          <w:szCs w:val="20"/>
          <w:color w:val="auto"/>
        </w:rPr>
      </w:pPr>
    </w:p>
    <w:p>
      <w:pPr>
        <w:ind w:firstLine="571"/>
        <w:spacing w:after="0" w:line="276" w:lineRule="auto"/>
        <w:rPr>
          <w:sz w:val="20"/>
          <w:szCs w:val="20"/>
          <w:color w:val="auto"/>
        </w:rPr>
      </w:pPr>
      <w:r>
        <w:rPr>
          <w:rFonts w:ascii="Arial" w:cs="Arial" w:eastAsia="Arial" w:hAnsi="Arial"/>
          <w:sz w:val="17"/>
          <w:szCs w:val="17"/>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21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spacing w:after="0" w:line="19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Importantly, all of our directors play an active role in overseeing the Company’s business both at the Board and committee levels. At least twice per year as part of regularly scheduled Board meetings,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2017, each director attended 100% of the meetings of the Board committees on which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Arial" w:cs="Arial" w:eastAsia="Arial" w:hAnsi="Arial"/>
          <w:sz w:val="18"/>
          <w:szCs w:val="18"/>
          <w:i w:val="1"/>
          <w:iCs w:val="1"/>
          <w:color w:val="auto"/>
        </w:rPr>
        <w:t>www.gcu.edu.</w:t>
      </w:r>
    </w:p>
    <w:p>
      <w:pPr>
        <w:spacing w:after="0" w:line="18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consists of Messrs. Jack A. Henry (chair), Kevin F. Warren, and David J. Johnson, each of whom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determined to be “independent,” as defined under and required by the rules of the Nasdaq Stock Market and the federal securities laws. Our Audit Committee met five times during 2017.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determined that each of Messrs. Henry, Warren and Johnson qualified as an “audit committee financial expert,” as defined under applicable federal securities laws.</w:t>
      </w:r>
    </w:p>
    <w:p>
      <w:pPr>
        <w:spacing w:after="0" w:line="192" w:lineRule="exact"/>
        <w:rPr>
          <w:sz w:val="20"/>
          <w:szCs w:val="20"/>
          <w:color w:val="auto"/>
        </w:rPr>
      </w:pPr>
    </w:p>
    <w:p>
      <w:pPr>
        <w:ind w:right="20" w:firstLine="571"/>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Kevin F. Warren (chair), Jack A. Henry, and Ms. Sara R. Dial,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the Board of Directors determined to be “independent,” as defined under and required by the rules of the Nasdaq Stock Market. Our Compensation Committee met six times during 2017.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58" w:lineRule="exact"/>
        <w:rPr>
          <w:sz w:val="20"/>
          <w:szCs w:val="20"/>
          <w:color w:val="auto"/>
        </w:rPr>
      </w:pPr>
    </w:p>
    <w:p>
      <w:pPr>
        <w:ind w:right="60" w:firstLine="571"/>
        <w:spacing w:after="0" w:line="312"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from time to time as its compensation consultant and advisor to:</w:t>
      </w:r>
    </w:p>
    <w:p>
      <w:pPr>
        <w:spacing w:after="0" w:line="79" w:lineRule="exact"/>
        <w:rPr>
          <w:sz w:val="20"/>
          <w:szCs w:val="20"/>
          <w:color w:val="auto"/>
        </w:rPr>
      </w:pPr>
    </w:p>
    <w:p>
      <w:pPr>
        <w:ind w:left="1120" w:right="240" w:hanging="545"/>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recommendations regarding executive compensation consistent with the Company’s business needs, pay philosophy, market trends and latest legal and regulatory considerations;</w:t>
      </w:r>
    </w:p>
    <w:p>
      <w:pPr>
        <w:spacing w:after="0" w:line="102" w:lineRule="exact"/>
        <w:rPr>
          <w:rFonts w:ascii="Arial" w:cs="Arial" w:eastAsia="Arial" w:hAnsi="Arial"/>
          <w:sz w:val="18"/>
          <w:szCs w:val="18"/>
          <w:color w:val="auto"/>
        </w:rPr>
      </w:pPr>
    </w:p>
    <w:p>
      <w:pPr>
        <w:ind w:left="1120" w:hanging="5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157" w:lineRule="exact"/>
        <w:rPr>
          <w:rFonts w:ascii="Arial" w:cs="Arial" w:eastAsia="Arial" w:hAnsi="Arial"/>
          <w:sz w:val="18"/>
          <w:szCs w:val="18"/>
          <w:color w:val="auto"/>
        </w:rPr>
      </w:pPr>
    </w:p>
    <w:p>
      <w:pPr>
        <w:ind w:left="1120" w:hanging="5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right="80" w:firstLine="571"/>
        <w:spacing w:after="0" w:line="286" w:lineRule="auto"/>
        <w:rPr>
          <w:sz w:val="20"/>
          <w:szCs w:val="20"/>
          <w:color w:val="auto"/>
        </w:rPr>
      </w:pPr>
      <w:r>
        <w:rPr>
          <w:rFonts w:ascii="Arial" w:cs="Arial" w:eastAsia="Arial" w:hAnsi="Arial"/>
          <w:sz w:val="17"/>
          <w:szCs w:val="17"/>
          <w:color w:val="auto"/>
        </w:rPr>
        <w:t>In 2016, Mercer was engaged to provide market benchmark information regarding, and to advise on the competitiveness of, executive officer compensation. Also in 2016, Mercer recommended, and the Compensation Committee approved, a revised peer group of publicly traded companies, some of which are in the education industry, with median revenue near the Company’s revenue. The peer group consists of the following companies: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140"/>
              <w:spacing w:after="0"/>
              <w:rPr>
                <w:sz w:val="20"/>
                <w:szCs w:val="20"/>
                <w:color w:val="auto"/>
              </w:rPr>
            </w:pPr>
            <w:r>
              <w:rPr>
                <w:rFonts w:ascii="Arial" w:cs="Arial" w:eastAsia="Arial" w:hAnsi="Arial"/>
                <w:sz w:val="18"/>
                <w:szCs w:val="18"/>
                <w:color w:val="auto"/>
              </w:rPr>
              <w:t>Acxiom Corp.</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rPr>
              <w:t>EPAM Systems, Inc.</w:t>
            </w:r>
          </w:p>
        </w:tc>
      </w:tr>
      <w:tr>
        <w:trPr>
          <w:trHeight w:val="351"/>
        </w:trPr>
        <w:tc>
          <w:tcPr>
            <w:tcW w:w="3900" w:type="dxa"/>
            <w:vAlign w:val="bottom"/>
            <w:gridSpan w:val="2"/>
          </w:tcPr>
          <w:p>
            <w:pPr>
              <w:spacing w:after="0"/>
              <w:rPr>
                <w:sz w:val="20"/>
                <w:szCs w:val="20"/>
                <w:color w:val="auto"/>
              </w:rPr>
            </w:pPr>
            <w:r>
              <w:rPr>
                <w:rFonts w:ascii="Arial" w:cs="Arial" w:eastAsia="Arial" w:hAnsi="Arial"/>
                <w:sz w:val="18"/>
                <w:szCs w:val="18"/>
                <w:color w:val="auto"/>
              </w:rPr>
              <w:t>•   The Advisory Board Company</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rPr>
              <w:t>GoDaddy, Inc.</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140"/>
              <w:spacing w:after="0"/>
              <w:rPr>
                <w:sz w:val="20"/>
                <w:szCs w:val="20"/>
                <w:color w:val="auto"/>
              </w:rPr>
            </w:pPr>
            <w:r>
              <w:rPr>
                <w:rFonts w:ascii="Arial" w:cs="Arial" w:eastAsia="Arial" w:hAnsi="Arial"/>
                <w:sz w:val="18"/>
                <w:szCs w:val="18"/>
                <w:color w:val="auto"/>
              </w:rPr>
              <w:t>Blackbaud, Inc.</w:t>
            </w:r>
          </w:p>
        </w:tc>
        <w:tc>
          <w:tcPr>
            <w:tcW w:w="3780" w:type="dxa"/>
            <w:vAlign w:val="bottom"/>
            <w:gridSpan w:val="2"/>
          </w:tcPr>
          <w:p>
            <w:pPr>
              <w:ind w:left="1320"/>
              <w:spacing w:after="0"/>
              <w:rPr>
                <w:sz w:val="20"/>
                <w:szCs w:val="20"/>
                <w:color w:val="auto"/>
              </w:rPr>
            </w:pPr>
            <w:r>
              <w:rPr>
                <w:rFonts w:ascii="Arial" w:cs="Arial" w:eastAsia="Arial" w:hAnsi="Arial"/>
                <w:sz w:val="18"/>
                <w:szCs w:val="18"/>
                <w:color w:val="auto"/>
                <w:w w:val="97"/>
              </w:rPr>
              <w:t>•   Huron Consulting Group Inc.</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140"/>
              <w:spacing w:after="0"/>
              <w:rPr>
                <w:sz w:val="20"/>
                <w:szCs w:val="20"/>
                <w:color w:val="auto"/>
              </w:rPr>
            </w:pPr>
            <w:r>
              <w:rPr>
                <w:rFonts w:ascii="Arial" w:cs="Arial" w:eastAsia="Arial" w:hAnsi="Arial"/>
                <w:sz w:val="18"/>
                <w:szCs w:val="18"/>
                <w:color w:val="auto"/>
              </w:rPr>
              <w:t>Capella Education Company</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rPr>
              <w:t>j2 Global Inc.</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140"/>
              <w:spacing w:after="0"/>
              <w:rPr>
                <w:sz w:val="20"/>
                <w:szCs w:val="20"/>
                <w:color w:val="auto"/>
              </w:rPr>
            </w:pPr>
            <w:r>
              <w:rPr>
                <w:rFonts w:ascii="Arial" w:cs="Arial" w:eastAsia="Arial" w:hAnsi="Arial"/>
                <w:sz w:val="18"/>
                <w:szCs w:val="18"/>
                <w:color w:val="auto"/>
              </w:rPr>
              <w:t>CEB Inc.</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rPr>
              <w:t>Pegasystems, Inc.</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140"/>
              <w:spacing w:after="0"/>
              <w:rPr>
                <w:sz w:val="20"/>
                <w:szCs w:val="20"/>
                <w:color w:val="auto"/>
              </w:rPr>
            </w:pPr>
            <w:r>
              <w:rPr>
                <w:rFonts w:ascii="Arial" w:cs="Arial" w:eastAsia="Arial" w:hAnsi="Arial"/>
                <w:sz w:val="18"/>
                <w:szCs w:val="18"/>
                <w:color w:val="auto"/>
              </w:rPr>
              <w:t>Adtalem Global Education</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WebMD Health Corp.</w:t>
            </w:r>
          </w:p>
        </w:tc>
      </w:tr>
    </w:tbl>
    <w:p>
      <w:pPr>
        <w:spacing w:after="0" w:line="121" w:lineRule="exact"/>
        <w:rPr>
          <w:sz w:val="20"/>
          <w:szCs w:val="20"/>
          <w:color w:val="auto"/>
        </w:rPr>
      </w:pPr>
    </w:p>
    <w:p>
      <w:pPr>
        <w:ind w:left="1480" w:hanging="331"/>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Endurance International Group Holdings, Inc.</w:t>
      </w:r>
    </w:p>
    <w:p>
      <w:pPr>
        <w:spacing w:after="0" w:line="266"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As a result of Mercer’s analysis of peer group compensation practices and the Compensation Committee’s assessment of management performance in 2016 and prior years, the Compensation Committee in October 2016 approved increases in executive management base salaries for Dr. Meyer, Mr. Bachus, Mr. Mildenhall and Mr. Roberts, effective January 1, 2017.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 Ms. Sara R. Dial (chair), and</w:t>
      </w:r>
      <w:r>
        <w:rPr>
          <w:rFonts w:ascii="Arial" w:cs="Arial" w:eastAsia="Arial" w:hAnsi="Arial"/>
          <w:sz w:val="16"/>
          <w:szCs w:val="16"/>
          <w:i w:val="1"/>
          <w:iCs w:val="1"/>
          <w:color w:val="auto"/>
        </w:rPr>
        <w:t xml:space="preserve"> </w:t>
      </w:r>
      <w:r>
        <w:rPr>
          <w:rFonts w:ascii="Arial" w:cs="Arial" w:eastAsia="Arial" w:hAnsi="Arial"/>
          <w:sz w:val="16"/>
          <w:szCs w:val="16"/>
          <w:color w:val="auto"/>
        </w:rPr>
        <w:t>Messrs. David J. Johnson and Kevin F. Warren, each of whom our Board of Directors determined to be “independent,” as defined under and required by the rules of the Nasdaq Stock Market. Our Nominating and Corporate Governance Committee met four times during 2017.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100" w:firstLine="571"/>
        <w:spacing w:after="0" w:line="273" w:lineRule="auto"/>
        <w:rPr>
          <w:sz w:val="20"/>
          <w:szCs w:val="20"/>
          <w:color w:val="auto"/>
        </w:rPr>
      </w:pPr>
      <w:r>
        <w:rPr>
          <w:rFonts w:ascii="Arial" w:cs="Arial" w:eastAsia="Arial" w:hAnsi="Arial"/>
          <w:sz w:val="17"/>
          <w:szCs w:val="17"/>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180" w:firstLine="571"/>
        <w:spacing w:after="0" w:line="274"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makes such selections pursuant to the following process:</w:t>
      </w:r>
    </w:p>
    <w:p>
      <w:pPr>
        <w:ind w:left="1120" w:right="120" w:hanging="545"/>
        <w:spacing w:after="0" w:line="274"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ind w:left="1120" w:right="240" w:hanging="545"/>
        <w:spacing w:after="0" w:line="274"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of the candidates’ qualifications by our Nominating and Corporate Governance Committee to determine which candidates best meet our Board of Directors’ required and desired criteria;</w:t>
      </w:r>
    </w:p>
    <w:p>
      <w:pPr>
        <w:ind w:left="1120" w:right="340" w:hanging="545"/>
        <w:spacing w:after="0" w:line="274"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ind w:left="1120" w:right="60" w:hanging="545"/>
        <w:spacing w:after="0" w:line="308"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ind w:left="1120" w:hanging="54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571"/>
        <w:spacing w:after="0" w:line="257"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13" w:lineRule="exact"/>
        <w:rPr>
          <w:sz w:val="20"/>
          <w:szCs w:val="20"/>
          <w:color w:val="auto"/>
        </w:rPr>
      </w:pPr>
    </w:p>
    <w:p>
      <w:pPr>
        <w:ind w:left="1120" w:hanging="54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49" w:lineRule="exact"/>
        <w:rPr>
          <w:rFonts w:ascii="Arial" w:cs="Arial" w:eastAsia="Arial" w:hAnsi="Arial"/>
          <w:sz w:val="18"/>
          <w:szCs w:val="18"/>
          <w:color w:val="auto"/>
        </w:rPr>
      </w:pPr>
    </w:p>
    <w:p>
      <w:pPr>
        <w:ind w:left="1120" w:right="620" w:hanging="545"/>
        <w:spacing w:after="0" w:line="27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ind w:left="1120" w:hanging="545"/>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the director/proposed nominee meets the independence requirements of the listing standards of the Nasdaq Stock Market;</w:t>
      </w:r>
    </w:p>
    <w:p>
      <w:pPr>
        <w:spacing w:after="0" w:line="61" w:lineRule="exact"/>
        <w:rPr>
          <w:rFonts w:ascii="Arial" w:cs="Arial" w:eastAsia="Arial" w:hAnsi="Arial"/>
          <w:sz w:val="17"/>
          <w:szCs w:val="17"/>
          <w:color w:val="auto"/>
        </w:rPr>
      </w:pPr>
    </w:p>
    <w:p>
      <w:pPr>
        <w:ind w:left="1120" w:hanging="54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49" w:lineRule="exact"/>
        <w:rPr>
          <w:rFonts w:ascii="Arial" w:cs="Arial" w:eastAsia="Arial" w:hAnsi="Arial"/>
          <w:sz w:val="18"/>
          <w:szCs w:val="18"/>
          <w:color w:val="auto"/>
        </w:rPr>
      </w:pPr>
    </w:p>
    <w:p>
      <w:pPr>
        <w:ind w:left="1120" w:right="440" w:hanging="545"/>
        <w:spacing w:after="0" w:line="27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ind w:left="1120" w:right="220" w:hanging="545"/>
        <w:spacing w:after="0" w:line="27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ind w:left="1120" w:right="260" w:hanging="545"/>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88"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at the Company’s principal executive offices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nor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2019 Annual Meeting of Stockholders, stockholder nominations must be received not earlier than the close of business on February 13, 2019, and not later than the close of business on March 15, 2019.</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66" w:lineRule="auto"/>
        <w:rPr>
          <w:sz w:val="20"/>
          <w:szCs w:val="20"/>
          <w:color w:val="auto"/>
        </w:rPr>
      </w:pPr>
      <w:r>
        <w:rPr>
          <w:rFonts w:ascii="Arial" w:cs="Arial" w:eastAsia="Arial" w:hAnsi="Arial"/>
          <w:sz w:val="17"/>
          <w:szCs w:val="17"/>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Elections and Majority Voting</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Our directors are elected annually to serve until the next annual meeting of stockholders and until their successors are duly elected and qualified. Pursuant to an amendment to our bylaws adopted during 2014, at any meeting of stockholders for the election of one or more directors at which a quorum is present, each director shall be elected by the vote of a majority of the votes cast with respect to the director, provided that if the number of nominees exceeds the number of directors to be elected, the directors shall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shall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shall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During 2017, Messrs. Warren and Henry and Ms. Dial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Policy</w:t>
      </w:r>
    </w:p>
    <w:p>
      <w:pPr>
        <w:spacing w:after="0" w:line="121"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Arial" w:cs="Arial" w:eastAsia="Arial" w:hAnsi="Arial"/>
          <w:sz w:val="18"/>
          <w:szCs w:val="18"/>
          <w:i w:val="1"/>
          <w:iCs w:val="1"/>
          <w:color w:val="auto"/>
        </w:rPr>
        <w:t>www.gcu.edu</w:t>
      </w:r>
      <w:r>
        <w:rPr>
          <w:rFonts w:ascii="Arial" w:cs="Arial" w:eastAsia="Arial" w:hAnsi="Arial"/>
          <w:sz w:val="18"/>
          <w:szCs w:val="18"/>
          <w:color w:val="auto"/>
        </w:rPr>
        <w:t>, establishes the following ownership levels for each category of person covered by the policy:</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required salary multiples for each category of person subject to the policy:</w:t>
      </w:r>
    </w:p>
    <w:p>
      <w:pPr>
        <w:spacing w:after="0" w:line="232" w:lineRule="exact"/>
        <w:rPr>
          <w:sz w:val="20"/>
          <w:szCs w:val="20"/>
          <w:color w:val="auto"/>
        </w:rPr>
      </w:pPr>
    </w:p>
    <w:tbl>
      <w:tblPr>
        <w:tblLayout w:type="fixed"/>
        <w:tblInd w:w="1450" w:type="dxa"/>
        <w:tblCellMar>
          <w:top w:w="0" w:type="dxa"/>
          <w:left w:w="0" w:type="dxa"/>
          <w:bottom w:w="0" w:type="dxa"/>
          <w:right w:w="0" w:type="dxa"/>
        </w:tblCellMar>
      </w:tblPr>
      <w:tr>
        <w:trPr>
          <w:trHeight w:val="230"/>
        </w:trPr>
        <w:tc>
          <w:tcPr>
            <w:tcW w:w="320" w:type="dxa"/>
            <w:vAlign w:val="bottom"/>
            <w:tcBorders>
              <w:top w:val="single" w:sz="8" w:color="auto"/>
              <w:left w:val="single" w:sz="8" w:color="auto"/>
            </w:tcBorders>
          </w:tcPr>
          <w:p>
            <w:pPr>
              <w:spacing w:after="0"/>
              <w:rPr>
                <w:sz w:val="19"/>
                <w:szCs w:val="19"/>
                <w:color w:val="auto"/>
              </w:rPr>
            </w:pPr>
          </w:p>
        </w:tc>
        <w:tc>
          <w:tcPr>
            <w:tcW w:w="3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Covered Person</w:t>
            </w:r>
          </w:p>
        </w:tc>
        <w:tc>
          <w:tcPr>
            <w:tcW w:w="80" w:type="dxa"/>
            <w:vAlign w:val="bottom"/>
            <w:tcBorders>
              <w:top w:val="single" w:sz="8" w:color="auto"/>
            </w:tcBorders>
          </w:tcPr>
          <w:p>
            <w:pPr>
              <w:spacing w:after="0"/>
              <w:rPr>
                <w:sz w:val="19"/>
                <w:szCs w:val="19"/>
                <w:color w:val="auto"/>
              </w:rPr>
            </w:pPr>
          </w:p>
        </w:tc>
        <w:tc>
          <w:tcPr>
            <w:tcW w:w="3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Required Salary Multiple</w:t>
            </w:r>
          </w:p>
        </w:tc>
        <w:tc>
          <w:tcPr>
            <w:tcW w:w="220" w:type="dxa"/>
            <w:vAlign w:val="bottom"/>
            <w:tcBorders>
              <w:top w:val="single" w:sz="8" w:color="auto"/>
              <w:right w:val="single" w:sz="8" w:color="auto"/>
            </w:tcBorders>
          </w:tcPr>
          <w:p>
            <w:pPr>
              <w:spacing w:after="0"/>
              <w:rPr>
                <w:sz w:val="19"/>
                <w:szCs w:val="19"/>
                <w:color w:val="auto"/>
              </w:rPr>
            </w:pPr>
          </w:p>
        </w:tc>
      </w:tr>
      <w:tr>
        <w:trPr>
          <w:trHeight w:val="224"/>
        </w:trPr>
        <w:tc>
          <w:tcPr>
            <w:tcW w:w="320" w:type="dxa"/>
            <w:vAlign w:val="bottom"/>
            <w:tcBorders>
              <w:left w:val="single" w:sz="8" w:color="auto"/>
            </w:tcBorders>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8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5x base salary</w:t>
            </w:r>
          </w:p>
        </w:tc>
        <w:tc>
          <w:tcPr>
            <w:tcW w:w="220" w:type="dxa"/>
            <w:vAlign w:val="bottom"/>
            <w:tcBorders>
              <w:right w:val="single" w:sz="8" w:color="auto"/>
            </w:tcBorders>
          </w:tcPr>
          <w:p>
            <w:pPr>
              <w:spacing w:after="0"/>
              <w:rPr>
                <w:sz w:val="19"/>
                <w:szCs w:val="19"/>
                <w:color w:val="auto"/>
              </w:rPr>
            </w:pPr>
          </w:p>
        </w:tc>
      </w:tr>
      <w:tr>
        <w:trPr>
          <w:trHeight w:val="431"/>
        </w:trPr>
        <w:tc>
          <w:tcPr>
            <w:tcW w:w="320" w:type="dxa"/>
            <w:vAlign w:val="bottom"/>
            <w:tcBorders>
              <w:left w:val="single" w:sz="8" w:color="auto"/>
            </w:tcBorders>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All other Named Executive Officers</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3x base salary</w:t>
            </w:r>
          </w:p>
        </w:tc>
        <w:tc>
          <w:tcPr>
            <w:tcW w:w="220" w:type="dxa"/>
            <w:vAlign w:val="bottom"/>
            <w:tcBorders>
              <w:right w:val="single" w:sz="8" w:color="auto"/>
            </w:tcBorders>
          </w:tcPr>
          <w:p>
            <w:pPr>
              <w:spacing w:after="0"/>
              <w:rPr>
                <w:sz w:val="24"/>
                <w:szCs w:val="24"/>
                <w:color w:val="auto"/>
              </w:rPr>
            </w:pPr>
          </w:p>
        </w:tc>
      </w:tr>
      <w:tr>
        <w:trPr>
          <w:trHeight w:val="422"/>
        </w:trPr>
        <w:tc>
          <w:tcPr>
            <w:tcW w:w="320" w:type="dxa"/>
            <w:vAlign w:val="bottom"/>
            <w:tcBorders>
              <w:left w:val="single" w:sz="8" w:color="auto"/>
            </w:tcBorders>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Outside Directors</w:t>
            </w:r>
          </w:p>
        </w:tc>
        <w:tc>
          <w:tcPr>
            <w:tcW w:w="8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3x annual cash retainer</w:t>
            </w:r>
          </w:p>
        </w:tc>
        <w:tc>
          <w:tcPr>
            <w:tcW w:w="220" w:type="dxa"/>
            <w:vAlign w:val="bottom"/>
            <w:tcBorders>
              <w:right w:val="single" w:sz="8" w:color="auto"/>
            </w:tcBorders>
          </w:tcPr>
          <w:p>
            <w:pPr>
              <w:spacing w:after="0"/>
              <w:rPr>
                <w:sz w:val="24"/>
                <w:szCs w:val="24"/>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1"/>
              </w:rPr>
              <w:t>(exclusive of any cash retainer payable for service</w:t>
            </w:r>
          </w:p>
        </w:tc>
        <w:tc>
          <w:tcPr>
            <w:tcW w:w="220" w:type="dxa"/>
            <w:vAlign w:val="bottom"/>
            <w:tcBorders>
              <w:right w:val="single" w:sz="8" w:color="auto"/>
            </w:tcBorders>
          </w:tcPr>
          <w:p>
            <w:pPr>
              <w:spacing w:after="0"/>
              <w:rPr>
                <w:sz w:val="17"/>
                <w:szCs w:val="17"/>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1"/>
              </w:rPr>
              <w:t>as lead director, chairperson of the Board or any</w:t>
            </w:r>
          </w:p>
        </w:tc>
        <w:tc>
          <w:tcPr>
            <w:tcW w:w="220" w:type="dxa"/>
            <w:vAlign w:val="bottom"/>
            <w:tcBorders>
              <w:right w:val="single" w:sz="8" w:color="auto"/>
            </w:tcBorders>
          </w:tcPr>
          <w:p>
            <w:pPr>
              <w:spacing w:after="0"/>
              <w:rPr>
                <w:sz w:val="17"/>
                <w:szCs w:val="17"/>
                <w:color w:val="auto"/>
              </w:rPr>
            </w:pPr>
          </w:p>
        </w:tc>
      </w:tr>
      <w:tr>
        <w:trPr>
          <w:trHeight w:val="219"/>
        </w:trPr>
        <w:tc>
          <w:tcPr>
            <w:tcW w:w="320" w:type="dxa"/>
            <w:vAlign w:val="bottom"/>
            <w:tcBorders>
              <w:left w:val="single" w:sz="8" w:color="auto"/>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committee thereof)</w:t>
            </w:r>
          </w:p>
        </w:tc>
        <w:tc>
          <w:tcPr>
            <w:tcW w:w="220" w:type="dxa"/>
            <w:vAlign w:val="bottom"/>
            <w:tcBorders>
              <w:bottom w:val="single" w:sz="8" w:color="auto"/>
              <w:right w:val="single" w:sz="8" w:color="auto"/>
            </w:tcBorders>
          </w:tcPr>
          <w:p>
            <w:pPr>
              <w:spacing w:after="0"/>
              <w:rPr>
                <w:sz w:val="19"/>
                <w:szCs w:val="19"/>
                <w:color w:val="auto"/>
              </w:rPr>
            </w:pPr>
          </w:p>
        </w:tc>
      </w:tr>
    </w:tbl>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policy, the following may be used in determining share ownership for purposes of the ownership requirement:</w:t>
      </w:r>
    </w:p>
    <w:p>
      <w:pPr>
        <w:spacing w:after="0" w:line="306" w:lineRule="exact"/>
        <w:rPr>
          <w:sz w:val="20"/>
          <w:szCs w:val="20"/>
          <w:color w:val="auto"/>
        </w:rPr>
      </w:pPr>
    </w:p>
    <w:p>
      <w:pPr>
        <w:ind w:left="1460" w:right="100" w:hanging="547"/>
        <w:spacing w:after="0" w:line="291" w:lineRule="auto"/>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owned jointly with or separately by the director’s spouse;</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held in trust for the benefit of the Covered Person, or one or more family members of the Covered Person;</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held in qualified or nonqualified savings, profit-sharing, or deferred compensation accounts;</w:t>
      </w:r>
    </w:p>
    <w:p>
      <w:pPr>
        <w:spacing w:after="0" w:line="9" w:lineRule="exact"/>
        <w:rPr>
          <w:rFonts w:ascii="Arial" w:cs="Arial" w:eastAsia="Arial" w:hAnsi="Arial"/>
          <w:sz w:val="18"/>
          <w:szCs w:val="18"/>
          <w:color w:val="auto"/>
        </w:rPr>
      </w:pPr>
    </w:p>
    <w:p>
      <w:pPr>
        <w:ind w:left="1460" w:right="160" w:hanging="547"/>
        <w:spacing w:after="0" w:line="250"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underlying vested but unexercised stock options (based on the excess of the market price of the stock over the exercise price and after deducting any tax withholding obligations); and</w:t>
      </w: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underlying vested but unexercised warrants.</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person covered by the policy is expected to achieve the target ownership threshold within five years of the later of (i) January 26, 2017 and</w:t>
      </w:r>
    </w:p>
    <w:p>
      <w:pPr>
        <w:spacing w:after="0" w:line="46" w:lineRule="exact"/>
        <w:rPr>
          <w:sz w:val="20"/>
          <w:szCs w:val="20"/>
          <w:color w:val="auto"/>
        </w:rPr>
      </w:pPr>
    </w:p>
    <w:p>
      <w:pPr>
        <w:ind w:firstLine="8"/>
        <w:spacing w:after="0" w:line="270" w:lineRule="auto"/>
        <w:tabs>
          <w:tab w:leader="none" w:pos="2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2017, all persons covered by the policy were in compliance with the stock ownership requirements.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Anti-Hedging/Anti-Pledging Policy</w:t>
      </w:r>
    </w:p>
    <w:p>
      <w:pPr>
        <w:spacing w:after="0" w:line="121" w:lineRule="exact"/>
        <w:rPr>
          <w:sz w:val="20"/>
          <w:szCs w:val="20"/>
          <w:color w:val="auto"/>
        </w:rPr>
      </w:pPr>
    </w:p>
    <w:p>
      <w:pPr>
        <w:ind w:right="40" w:firstLine="571"/>
        <w:spacing w:after="0" w:line="268" w:lineRule="auto"/>
        <w:rPr>
          <w:sz w:val="20"/>
          <w:szCs w:val="20"/>
          <w:color w:val="auto"/>
        </w:rPr>
      </w:pPr>
      <w:r>
        <w:rPr>
          <w:rFonts w:ascii="Arial" w:cs="Arial" w:eastAsia="Arial" w:hAnsi="Arial"/>
          <w:sz w:val="17"/>
          <w:szCs w:val="17"/>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70" w:lineRule="exact"/>
        <w:rPr>
          <w:sz w:val="20"/>
          <w:szCs w:val="20"/>
          <w:color w:val="auto"/>
        </w:rPr>
      </w:pPr>
    </w:p>
    <w:p>
      <w:pPr>
        <w:ind w:right="40" w:firstLine="799"/>
        <w:spacing w:after="0" w:line="287" w:lineRule="auto"/>
        <w:rPr>
          <w:sz w:val="20"/>
          <w:szCs w:val="20"/>
          <w:color w:val="auto"/>
        </w:rPr>
      </w:pPr>
      <w:r>
        <w:rPr>
          <w:rFonts w:ascii="Arial" w:cs="Arial" w:eastAsia="Arial" w:hAnsi="Arial"/>
          <w:sz w:val="16"/>
          <w:szCs w:val="16"/>
          <w:color w:val="auto"/>
        </w:rPr>
        <w:t>Effective January 26, 2017, the Board of Directors adopted an Incentive Compensation Clawback Policy that authorizes the Company to recover incentive compensation previously paid to its Section 16 officers. The policy provides that, in the event of a restatement of the Company’s financial statements for any fiscal year commencing after December 31, 2015 that is due to the misconduct of any employee, the Board or, if so designated by the Board, the Compensation Committee of the Board, is authorized to take action to recoup all or part of any incentive compensation received by a Section 16 officer of the Company. For purposes of this policy, incentive compensation means any cash compensation paid by or any equity compensation awarded by the Company that is based in whole or in part on the achievement of financial results by the Company, including, but not limited to, any bonus or other performance-based cash or equity arrangement or award, but excluding base salary. The policy defines misconduct as the willful commission of an illegal act, fraud, intentional misconduct or gross recklessness in the performance of a Section 16 officer’s duties and responsibilities, as determined by the Board in its sole discretion. In determining whether to take action to recoup any incentive compensation received by a Section 16 officer of the Company, the Board or, if so designated, the Compensation Committee of the Board, will take into consideration whether the Section 16 officer engaged in the misconduct or was in a position, including in a supervisory role, to have been able to have reasonably prevented the misconduct that caused the restatement.</w:t>
      </w:r>
    </w:p>
    <w:p>
      <w:pPr>
        <w:spacing w:after="0" w:line="20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As directed by the Dodd-Frank Act, the SEC has issued proposed rules which, if adopted in final form, would require issuers to seek recovery from executive officers in certain circumstances involving financial restatements. As of the date of this Proxy Statement, the SEC has not issued final rules implementing this portion of the Dodd-Frank Act. Once the SEC issues final rules regarding the required form of a clawback policy under the Dodd-Frank Act, we expect to amend our Incentive Compensation Clawback Policy accordingly.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62" w:lineRule="exact"/>
        <w:rPr>
          <w:sz w:val="20"/>
          <w:szCs w:val="20"/>
          <w:color w:val="auto"/>
        </w:rPr>
      </w:pPr>
    </w:p>
    <w:p>
      <w:pPr>
        <w:ind w:right="20" w:firstLine="571"/>
        <w:spacing w:after="0" w:line="271" w:lineRule="auto"/>
        <w:rPr>
          <w:sz w:val="20"/>
          <w:szCs w:val="20"/>
          <w:color w:val="auto"/>
        </w:rPr>
      </w:pPr>
      <w:r>
        <w:rPr>
          <w:rFonts w:ascii="Arial" w:cs="Arial" w:eastAsia="Arial" w:hAnsi="Arial"/>
          <w:sz w:val="17"/>
          <w:szCs w:val="17"/>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 one year anniversary of the date of grant, subject to accelerated vesting in the event of a change in</w:t>
      </w:r>
    </w:p>
    <w:p>
      <w:pPr>
        <w:ind w:right="20"/>
        <w:spacing w:after="0" w:line="268" w:lineRule="auto"/>
        <w:rPr>
          <w:sz w:val="20"/>
          <w:szCs w:val="20"/>
          <w:color w:val="auto"/>
        </w:rPr>
      </w:pPr>
      <w:r>
        <w:rPr>
          <w:rFonts w:ascii="Arial" w:cs="Arial" w:eastAsia="Arial" w:hAnsi="Arial"/>
          <w:sz w:val="17"/>
          <w:szCs w:val="17"/>
          <w:color w:val="auto"/>
        </w:rPr>
        <w:t>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Director Compensation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provides information regarding the compensation paid to the persons who served as non-employee directors in 2017:</w:t>
      </w:r>
    </w:p>
    <w:p>
      <w:pPr>
        <w:spacing w:after="0" w:line="24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1060" w:type="dxa"/>
            <w:vAlign w:val="bottom"/>
          </w:tcPr>
          <w:p>
            <w:pPr>
              <w:jc w:val="right"/>
              <w:ind w:right="53"/>
              <w:spacing w:after="0"/>
              <w:rPr>
                <w:sz w:val="20"/>
                <w:szCs w:val="20"/>
                <w:color w:val="auto"/>
              </w:rPr>
            </w:pPr>
            <w:r>
              <w:rPr>
                <w:rFonts w:ascii="Arial" w:cs="Arial" w:eastAsia="Arial" w:hAnsi="Arial"/>
                <w:sz w:val="14"/>
                <w:szCs w:val="14"/>
                <w:b w:val="1"/>
                <w:bCs w:val="1"/>
                <w:color w:val="auto"/>
                <w:w w:val="88"/>
              </w:rPr>
              <w:t>Fees Earned or</w:t>
            </w:r>
          </w:p>
        </w:tc>
        <w:tc>
          <w:tcPr>
            <w:tcW w:w="52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xml:space="preserve">Stock 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(3)</w:t>
            </w:r>
          </w:p>
        </w:tc>
        <w:tc>
          <w:tcPr>
            <w:tcW w:w="580" w:type="dxa"/>
            <w:vAlign w:val="bottom"/>
          </w:tcPr>
          <w:p>
            <w:pPr>
              <w:spacing w:after="0"/>
              <w:rPr>
                <w:sz w:val="14"/>
                <w:szCs w:val="14"/>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5320" w:type="dxa"/>
            <w:vAlign w:val="bottom"/>
            <w:gridSpan w:val="3"/>
            <w:vMerge w:val="continue"/>
          </w:tcPr>
          <w:p>
            <w:pPr>
              <w:spacing w:after="0"/>
              <w:rPr>
                <w:sz w:val="13"/>
                <w:szCs w:val="13"/>
                <w:color w:val="auto"/>
              </w:rPr>
            </w:pPr>
          </w:p>
        </w:tc>
        <w:tc>
          <w:tcPr>
            <w:tcW w:w="12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w w:val="95"/>
              </w:rPr>
              <w:t xml:space="preserve">Paid in Cash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(2)</w:t>
            </w:r>
          </w:p>
        </w:tc>
        <w:tc>
          <w:tcPr>
            <w:tcW w:w="5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00" w:type="dxa"/>
            <w:vAlign w:val="bottom"/>
            <w:tcBorders>
              <w:bottom w:val="single" w:sz="8" w:color="CCEEFF"/>
            </w:tcBorders>
            <w:shd w:val="clear" w:color="auto" w:fill="000000"/>
          </w:tcPr>
          <w:p>
            <w:pPr>
              <w:spacing w:after="0"/>
              <w:rPr>
                <w:sz w:val="3"/>
                <w:szCs w:val="3"/>
                <w:color w:val="auto"/>
              </w:rPr>
            </w:pPr>
          </w:p>
        </w:tc>
        <w:tc>
          <w:tcPr>
            <w:tcW w:w="48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shd w:val="clear" w:color="auto" w:fill="000000"/>
          </w:tcPr>
          <w:p>
            <w:pPr>
              <w:spacing w:after="0"/>
              <w:rPr>
                <w:sz w:val="3"/>
                <w:szCs w:val="3"/>
                <w:color w:val="auto"/>
              </w:rPr>
            </w:pPr>
          </w:p>
        </w:tc>
        <w:tc>
          <w:tcPr>
            <w:tcW w:w="1060" w:type="dxa"/>
            <w:vAlign w:val="bottom"/>
            <w:tcBorders>
              <w:bottom w:val="single" w:sz="8" w:color="CCEEFF"/>
            </w:tcBorders>
            <w:shd w:val="clear" w:color="auto" w:fill="000000"/>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shd w:val="clear" w:color="auto" w:fill="000000"/>
          </w:tcPr>
          <w:p>
            <w:pPr>
              <w:spacing w:after="0"/>
              <w:rPr>
                <w:sz w:val="3"/>
                <w:szCs w:val="3"/>
                <w:color w:val="auto"/>
              </w:rPr>
            </w:pPr>
          </w:p>
        </w:tc>
        <w:tc>
          <w:tcPr>
            <w:tcW w:w="820" w:type="dxa"/>
            <w:vAlign w:val="bottom"/>
            <w:tcBorders>
              <w:bottom w:val="single" w:sz="8" w:color="CCEEFF"/>
            </w:tcBorders>
            <w:shd w:val="clear" w:color="auto" w:fill="000000"/>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Sara R. Dial</w:t>
            </w:r>
          </w:p>
        </w:tc>
        <w:tc>
          <w:tcPr>
            <w:tcW w:w="140" w:type="dxa"/>
            <w:vAlign w:val="bottom"/>
            <w:tcBorders>
              <w:top w:val="single" w:sz="8" w:color="CCEEFF"/>
            </w:tcBorders>
            <w:shd w:val="clear" w:color="auto" w:fill="CCEEFF"/>
          </w:tcPr>
          <w:p>
            <w:pPr>
              <w:ind w:left="40"/>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103,333</w:t>
            </w:r>
          </w:p>
        </w:tc>
        <w:tc>
          <w:tcPr>
            <w:tcW w:w="960" w:type="dxa"/>
            <w:vAlign w:val="bottom"/>
            <w:tcBorders>
              <w:top w:val="single" w:sz="8" w:color="CCEEFF"/>
            </w:tcBorders>
            <w:gridSpan w:val="2"/>
            <w:shd w:val="clear" w:color="auto" w:fill="CCEEFF"/>
          </w:tcPr>
          <w:p>
            <w:pPr>
              <w:jc w:val="right"/>
              <w:ind w:right="228"/>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75,000</w:t>
            </w:r>
          </w:p>
        </w:tc>
        <w:tc>
          <w:tcPr>
            <w:tcW w:w="5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$178,333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60,000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089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Messrs. Richardson and Casper resigned from our Board in January 2017.</w:t>
      </w:r>
    </w:p>
    <w:p>
      <w:pPr>
        <w:spacing w:after="0" w:line="234" w:lineRule="exact"/>
        <w:rPr>
          <w:rFonts w:ascii="Arial" w:cs="Arial" w:eastAsia="Arial" w:hAnsi="Arial"/>
          <w:sz w:val="16"/>
          <w:szCs w:val="16"/>
          <w:color w:val="auto"/>
        </w:rPr>
      </w:pPr>
    </w:p>
    <w:p>
      <w:pPr>
        <w:ind w:left="680" w:right="20" w:hanging="672"/>
        <w:spacing w:after="0" w:line="288"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table provides a breakdown of the cash compensation paid to our non-employee directors in 2017 in respect of their annual retainers for service on the Board of Directors, for service on Board committees, and for services as a Board committee chair or as lead independent director:</w:t>
      </w:r>
    </w:p>
    <w:tbl>
      <w:tblPr>
        <w:tblLayout w:type="fixed"/>
        <w:tblInd w:w="92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Committee</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Board of</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Board</w:t>
            </w:r>
          </w:p>
        </w:tc>
        <w:tc>
          <w:tcPr>
            <w:tcW w:w="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Chair</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Directors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Committee</w:t>
            </w:r>
          </w:p>
        </w:tc>
        <w:tc>
          <w:tcPr>
            <w:tcW w:w="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Annual</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360" w:type="dxa"/>
            <w:vAlign w:val="bottom"/>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Annual Retainer</w:t>
            </w:r>
          </w:p>
        </w:tc>
        <w:tc>
          <w:tcPr>
            <w:tcW w:w="380" w:type="dxa"/>
            <w:vAlign w:val="bottom"/>
          </w:tcPr>
          <w:p>
            <w:pPr>
              <w:spacing w:after="0"/>
              <w:rPr>
                <w:sz w:val="17"/>
                <w:szCs w:val="17"/>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Annual Retainers</w:t>
            </w:r>
          </w:p>
        </w:tc>
        <w:tc>
          <w:tcPr>
            <w:tcW w:w="4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Retainer</w:t>
            </w:r>
          </w:p>
        </w:tc>
        <w:tc>
          <w:tcPr>
            <w:tcW w:w="440" w:type="dxa"/>
            <w:vAlign w:val="bottom"/>
          </w:tcPr>
          <w:p>
            <w:pPr>
              <w:spacing w:after="0"/>
              <w:rPr>
                <w:sz w:val="17"/>
                <w:szCs w:val="17"/>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r>
      <w:tr>
        <w:trPr>
          <w:trHeight w:val="196"/>
        </w:trPr>
        <w:tc>
          <w:tcPr>
            <w:tcW w:w="394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Sara R. Dial</w:t>
            </w:r>
            <w:r>
              <w:rPr>
                <w:rFonts w:ascii="Arial" w:cs="Arial" w:eastAsia="Arial" w:hAnsi="Arial"/>
                <w:sz w:val="22"/>
                <w:szCs w:val="22"/>
                <w:color w:val="auto"/>
                <w:vertAlign w:val="superscript"/>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43,333</w:t>
            </w:r>
          </w:p>
        </w:tc>
        <w:tc>
          <w:tcPr>
            <w:tcW w:w="14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$ 103,333</w:t>
            </w:r>
          </w:p>
        </w:tc>
        <w:tc>
          <w:tcPr>
            <w:tcW w:w="80" w:type="dxa"/>
            <w:vAlign w:val="bottom"/>
            <w:shd w:val="clear" w:color="auto" w:fill="CCEEFF"/>
          </w:tcPr>
          <w:p>
            <w:pPr>
              <w:spacing w:after="0"/>
              <w:rPr>
                <w:sz w:val="17"/>
                <w:szCs w:val="17"/>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Jack A. Henry</w:t>
            </w: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1240" w:type="dxa"/>
            <w:vAlign w:val="bottom"/>
            <w:gridSpan w:val="2"/>
          </w:tcPr>
          <w:p>
            <w:pPr>
              <w:jc w:val="right"/>
              <w:ind w:right="19"/>
              <w:spacing w:after="0"/>
              <w:rPr>
                <w:sz w:val="20"/>
                <w:szCs w:val="20"/>
                <w:color w:val="auto"/>
              </w:rPr>
            </w:pPr>
            <w:r>
              <w:rPr>
                <w:rFonts w:ascii="Arial" w:cs="Arial" w:eastAsia="Arial" w:hAnsi="Arial"/>
                <w:sz w:val="16"/>
                <w:szCs w:val="16"/>
                <w:color w:val="auto"/>
              </w:rPr>
              <w:t>15,000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17"/>
                <w:szCs w:val="17"/>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Kevin F. Warren</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15,000</w:t>
            </w: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4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75,000</w:t>
            </w:r>
          </w:p>
        </w:tc>
        <w:tc>
          <w:tcPr>
            <w:tcW w:w="80" w:type="dxa"/>
            <w:vAlign w:val="bottom"/>
            <w:shd w:val="clear" w:color="auto" w:fill="CCEEFF"/>
          </w:tcPr>
          <w:p>
            <w:pPr>
              <w:spacing w:after="0"/>
              <w:rPr>
                <w:sz w:val="17"/>
                <w:szCs w:val="17"/>
                <w:color w:val="auto"/>
              </w:rPr>
            </w:pPr>
          </w:p>
        </w:tc>
      </w:tr>
      <w:tr>
        <w:trPr>
          <w:trHeight w:val="203"/>
        </w:trPr>
        <w:tc>
          <w:tcPr>
            <w:tcW w:w="3940" w:type="dxa"/>
            <w:vAlign w:val="bottom"/>
            <w:gridSpan w:val="2"/>
          </w:tcPr>
          <w:p>
            <w:pPr>
              <w:spacing w:after="0"/>
              <w:rPr>
                <w:sz w:val="20"/>
                <w:szCs w:val="20"/>
                <w:color w:val="auto"/>
              </w:rPr>
            </w:pPr>
            <w:r>
              <w:rPr>
                <w:rFonts w:ascii="Arial" w:cs="Arial" w:eastAsia="Arial" w:hAnsi="Arial"/>
                <w:sz w:val="16"/>
                <w:szCs w:val="16"/>
                <w:color w:val="auto"/>
              </w:rPr>
              <w:t>David J. Johnson</w:t>
            </w: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40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60,000</w:t>
            </w:r>
          </w:p>
        </w:tc>
        <w:tc>
          <w:tcPr>
            <w:tcW w:w="80" w:type="dxa"/>
            <w:vAlign w:val="bottom"/>
          </w:tcPr>
          <w:p>
            <w:pPr>
              <w:spacing w:after="0"/>
              <w:rPr>
                <w:sz w:val="17"/>
                <w:szCs w:val="17"/>
                <w:color w:val="auto"/>
              </w:rPr>
            </w:pPr>
          </w:p>
        </w:tc>
      </w:tr>
      <w:tr>
        <w:trPr>
          <w:trHeight w:val="203"/>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Brent D. Richardson</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r>
      <w:tr>
        <w:trPr>
          <w:trHeight w:val="206"/>
        </w:trPr>
        <w:tc>
          <w:tcPr>
            <w:tcW w:w="3940" w:type="dxa"/>
            <w:vAlign w:val="bottom"/>
            <w:gridSpan w:val="2"/>
          </w:tcPr>
          <w:p>
            <w:pPr>
              <w:spacing w:after="0"/>
              <w:rPr>
                <w:sz w:val="20"/>
                <w:szCs w:val="20"/>
                <w:color w:val="auto"/>
              </w:rPr>
            </w:pPr>
            <w:r>
              <w:rPr>
                <w:rFonts w:ascii="Arial" w:cs="Arial" w:eastAsia="Arial" w:hAnsi="Arial"/>
                <w:sz w:val="16"/>
                <w:szCs w:val="16"/>
                <w:color w:val="auto"/>
              </w:rPr>
              <w:t>Bradley A. Casper</w:t>
            </w:r>
          </w:p>
        </w:tc>
        <w:tc>
          <w:tcPr>
            <w:tcW w:w="2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60" w:type="dxa"/>
            <w:vAlign w:val="bottom"/>
            <w:gridSpan w:val="2"/>
          </w:tcPr>
          <w:p>
            <w:pPr>
              <w:ind w:left="5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271780</wp:posOffset>
            </wp:positionV>
            <wp:extent cx="1080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hanging="452"/>
        <w:spacing w:after="0" w:line="29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the aggregate grant date fair value of the shares of restricted stock granted during the fiscal year as computed in accordance with ASC 718. For each director, the number of shares granted was determined by dividing the grant date value of the award, $75,000, by $80.07, the closing price of the company’s common stock on June 14, 2017, the date of grant, rounded up to the nearest whole share. Each director held 937 unvested shares at December 31, 2017. These shares will vest on the earlier of the one year anniversary of the date of grant or immediately prior to the 2018 annual meeting of stockholders.</w:t>
      </w:r>
    </w:p>
    <w:p>
      <w:pPr>
        <w:spacing w:after="0" w:line="172"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 for Ms. Dial includes the additional annual retainer of $33,333 that she received in her capacity as lead independent director.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540" w:type="dxa"/>
            <w:vAlign w:val="bottom"/>
          </w:tcPr>
          <w:p>
            <w:pPr>
              <w:ind w:left="2080"/>
              <w:spacing w:after="0"/>
              <w:rPr>
                <w:sz w:val="20"/>
                <w:szCs w:val="20"/>
                <w:color w:val="auto"/>
              </w:rPr>
            </w:pPr>
            <w:r>
              <w:rPr>
                <w:rFonts w:ascii="Arial" w:cs="Arial" w:eastAsia="Arial" w:hAnsi="Arial"/>
                <w:sz w:val="18"/>
                <w:szCs w:val="18"/>
                <w:b w:val="1"/>
                <w:bCs w:val="1"/>
                <w:color w:val="auto"/>
              </w:rPr>
              <w:t>PROPOSAL NO. 1</w:t>
            </w:r>
          </w:p>
        </w:tc>
      </w:tr>
      <w:tr>
        <w:trPr>
          <w:trHeight w:val="234"/>
        </w:trPr>
        <w:tc>
          <w:tcPr>
            <w:tcW w:w="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540" w:type="dxa"/>
            <w:vAlign w:val="bottom"/>
          </w:tcPr>
          <w:p>
            <w:pPr>
              <w:ind w:left="1640"/>
              <w:spacing w:after="0"/>
              <w:rPr>
                <w:sz w:val="20"/>
                <w:szCs w:val="20"/>
                <w:color w:val="auto"/>
              </w:rPr>
            </w:pPr>
            <w:r>
              <w:rPr>
                <w:rFonts w:ascii="Arial" w:cs="Arial" w:eastAsia="Arial" w:hAnsi="Arial"/>
                <w:sz w:val="18"/>
                <w:szCs w:val="18"/>
                <w:b w:val="1"/>
                <w:bCs w:val="1"/>
                <w:color w:val="auto"/>
              </w:rPr>
              <w:t>ELECTION OF DIRECTORS</w:t>
            </w:r>
          </w:p>
        </w:tc>
      </w:tr>
      <w:tr>
        <w:trPr>
          <w:trHeight w:val="243"/>
        </w:trPr>
        <w:tc>
          <w:tcPr>
            <w:tcW w:w="7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8540" w:type="dxa"/>
            <w:vAlign w:val="bottom"/>
            <w:tcBorders>
              <w:bottom w:val="single" w:sz="8" w:color="auto"/>
            </w:tcBorders>
          </w:tcPr>
          <w:p>
            <w:pPr>
              <w:spacing w:after="0"/>
              <w:rPr>
                <w:sz w:val="21"/>
                <w:szCs w:val="21"/>
                <w:color w:val="auto"/>
              </w:rPr>
            </w:pPr>
          </w:p>
        </w:tc>
      </w:tr>
      <w:tr>
        <w:trPr>
          <w:trHeight w:val="406"/>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What am I voting on?</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Stockholders are being asked to elect five directors to serve for a one-year term.</w:t>
            </w:r>
          </w:p>
        </w:tc>
      </w:tr>
      <w:tr>
        <w:trPr>
          <w:trHeight w:val="428"/>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Voting recommendation:</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3"/>
              </w:rPr>
              <w:t>Our Board of Directors unanimous recommends that you vote “</w:t>
            </w:r>
            <w:r>
              <w:rPr>
                <w:rFonts w:ascii="Arial" w:cs="Arial" w:eastAsia="Arial" w:hAnsi="Arial"/>
                <w:sz w:val="16"/>
                <w:szCs w:val="16"/>
                <w:b w:val="1"/>
                <w:bCs w:val="1"/>
                <w:color w:val="auto"/>
                <w:w w:val="93"/>
              </w:rPr>
              <w:t>FOR</w:t>
            </w:r>
            <w:r>
              <w:rPr>
                <w:rFonts w:ascii="Arial" w:cs="Arial" w:eastAsia="Arial" w:hAnsi="Arial"/>
                <w:sz w:val="16"/>
                <w:szCs w:val="16"/>
                <w:color w:val="auto"/>
                <w:w w:val="93"/>
              </w:rPr>
              <w:t>” the election of each director nominee. The Board and</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2"/>
              </w:rPr>
              <w:t>the Nominating and Corporate Governance Committee believe that the five director nominees each possess the necessary</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4"/>
              </w:rPr>
              <w:t>qualifications, attributes, skills and experiences to provide quality advice and counsel to the Company’s management and</w:t>
            </w:r>
          </w:p>
        </w:tc>
      </w:tr>
      <w:tr>
        <w:trPr>
          <w:trHeight w:val="206"/>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effectively oversee the business and the long-term interests of our stockholders.</w:t>
            </w:r>
          </w:p>
        </w:tc>
      </w:tr>
      <w:tr>
        <w:trPr>
          <w:trHeight w:val="415"/>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Vote required:</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8"/>
              </w:rPr>
              <w:t>The affirmative vote of a majority of the votes cast at the Annual Meeting is required for the election of each director.</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2"/>
              </w:rPr>
              <w:t>Stockholders of the Company are not permitted to cumulate their votes for the election of directors. Abstentions and broker</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7"/>
              </w:rPr>
              <w:t>non-votes will have no effect on the results of the election of directors. Unless contrary instructions are given, shares</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5"/>
              </w:rPr>
              <w:t>represented by proxies solicited by the Board of Directors will be voted for the election of each of the director nominees</w:t>
            </w:r>
          </w:p>
        </w:tc>
      </w:tr>
      <w:tr>
        <w:trPr>
          <w:trHeight w:val="209"/>
        </w:trPr>
        <w:tc>
          <w:tcPr>
            <w:tcW w:w="700" w:type="dxa"/>
            <w:vAlign w:val="bottom"/>
            <w:tcBorders>
              <w:left w:val="single" w:sz="8" w:color="auto"/>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identified below.</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40" w:firstLine="571"/>
        <w:spacing w:after="0" w:line="273" w:lineRule="auto"/>
        <w:rPr>
          <w:sz w:val="20"/>
          <w:szCs w:val="20"/>
          <w:color w:val="auto"/>
        </w:rPr>
      </w:pPr>
      <w:r>
        <w:rPr>
          <w:rFonts w:ascii="Arial" w:cs="Arial" w:eastAsia="Arial" w:hAnsi="Arial"/>
          <w:sz w:val="17"/>
          <w:szCs w:val="17"/>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five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five persons named below for election as directors. Proxies solicited by our Board of Directors will, unless otherwise directed, be voted to elect the five nominees named below to constitute the entire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121" w:lineRule="exact"/>
        <w:rPr>
          <w:sz w:val="20"/>
          <w:szCs w:val="20"/>
          <w:color w:val="auto"/>
        </w:rPr>
      </w:pPr>
    </w:p>
    <w:p>
      <w:pPr>
        <w:ind w:right="120" w:firstLine="571"/>
        <w:spacing w:after="0" w:line="286" w:lineRule="auto"/>
        <w:rPr>
          <w:sz w:val="20"/>
          <w:szCs w:val="20"/>
          <w:color w:val="auto"/>
        </w:rPr>
      </w:pPr>
      <w:r>
        <w:rPr>
          <w:rFonts w:ascii="Arial" w:cs="Arial" w:eastAsia="Arial" w:hAnsi="Arial"/>
          <w:sz w:val="17"/>
          <w:szCs w:val="17"/>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224"/>
        </w:trPr>
        <w:tc>
          <w:tcPr>
            <w:tcW w:w="19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Age</w:t>
            </w:r>
          </w:p>
        </w:tc>
        <w:tc>
          <w:tcPr>
            <w:tcW w:w="3280" w:type="dxa"/>
            <w:vAlign w:val="bottom"/>
            <w:gridSpan w:val="2"/>
          </w:tcPr>
          <w:p>
            <w:pPr>
              <w:ind w:left="1260"/>
              <w:spacing w:after="0"/>
              <w:rPr>
                <w:sz w:val="20"/>
                <w:szCs w:val="20"/>
                <w:color w:val="auto"/>
              </w:rPr>
            </w:pPr>
            <w:r>
              <w:rPr>
                <w:rFonts w:ascii="Arial" w:cs="Arial" w:eastAsia="Arial" w:hAnsi="Arial"/>
                <w:sz w:val="16"/>
                <w:szCs w:val="16"/>
                <w:b w:val="1"/>
                <w:bCs w:val="1"/>
                <w:color w:val="auto"/>
              </w:rPr>
              <w:t>Position</w:t>
            </w:r>
          </w:p>
        </w:tc>
        <w:tc>
          <w:tcPr>
            <w:tcW w:w="4760" w:type="dxa"/>
            <w:vAlign w:val="bottom"/>
          </w:tcPr>
          <w:p>
            <w:pPr>
              <w:ind w:left="1360"/>
              <w:spacing w:after="0"/>
              <w:rPr>
                <w:sz w:val="20"/>
                <w:szCs w:val="20"/>
                <w:color w:val="auto"/>
              </w:rPr>
            </w:pPr>
            <w:r>
              <w:rPr>
                <w:rFonts w:ascii="Arial" w:cs="Arial" w:eastAsia="Arial" w:hAnsi="Arial"/>
                <w:sz w:val="16"/>
                <w:szCs w:val="16"/>
                <w:b w:val="1"/>
                <w:bCs w:val="1"/>
                <w:color w:val="auto"/>
              </w:rPr>
              <w:t>Committee Membership/Role</w:t>
            </w:r>
          </w:p>
        </w:tc>
      </w:tr>
      <w:tr>
        <w:trPr>
          <w:trHeight w:val="192"/>
        </w:trPr>
        <w:tc>
          <w:tcPr>
            <w:tcW w:w="1920" w:type="dxa"/>
            <w:vAlign w:val="bottom"/>
          </w:tcPr>
          <w:p>
            <w:pPr>
              <w:spacing w:after="0"/>
              <w:rPr>
                <w:sz w:val="20"/>
                <w:szCs w:val="20"/>
                <w:color w:val="auto"/>
              </w:rPr>
            </w:pPr>
            <w:r>
              <w:rPr>
                <w:rFonts w:ascii="Arial" w:cs="Arial" w:eastAsia="Arial" w:hAnsi="Arial"/>
                <w:sz w:val="16"/>
                <w:szCs w:val="16"/>
                <w:color w:val="auto"/>
              </w:rPr>
              <w:t>Brian E. Mueller</w:t>
            </w: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64</w:t>
            </w:r>
          </w:p>
        </w:tc>
        <w:tc>
          <w:tcPr>
            <w:tcW w:w="200" w:type="dxa"/>
            <w:vAlign w:val="bottom"/>
          </w:tcPr>
          <w:p>
            <w:pPr>
              <w:spacing w:after="0"/>
              <w:rPr>
                <w:sz w:val="16"/>
                <w:szCs w:val="16"/>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Chairman, Chief Executive Officer, and</w:t>
            </w:r>
          </w:p>
        </w:tc>
        <w:tc>
          <w:tcPr>
            <w:tcW w:w="200" w:type="dxa"/>
            <w:vAlign w:val="bottom"/>
          </w:tcPr>
          <w:p>
            <w:pPr>
              <w:spacing w:after="0"/>
              <w:rPr>
                <w:sz w:val="16"/>
                <w:szCs w:val="16"/>
                <w:color w:val="auto"/>
              </w:rPr>
            </w:pPr>
          </w:p>
        </w:tc>
        <w:tc>
          <w:tcPr>
            <w:tcW w:w="476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None</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President of Grand Canyon University</w:t>
            </w:r>
          </w:p>
        </w:tc>
        <w:tc>
          <w:tcPr>
            <w:tcW w:w="4760" w:type="dxa"/>
            <w:vAlign w:val="bottom"/>
          </w:tcPr>
          <w:p>
            <w:pPr>
              <w:spacing w:after="0"/>
              <w:rPr>
                <w:sz w:val="17"/>
                <w:szCs w:val="17"/>
                <w:color w:val="auto"/>
              </w:rPr>
            </w:pPr>
          </w:p>
        </w:tc>
      </w:tr>
      <w:tr>
        <w:trPr>
          <w:trHeight w:val="388"/>
        </w:trPr>
        <w:tc>
          <w:tcPr>
            <w:tcW w:w="1920" w:type="dxa"/>
            <w:vAlign w:val="bottom"/>
          </w:tcPr>
          <w:p>
            <w:pPr>
              <w:spacing w:after="0"/>
              <w:rPr>
                <w:sz w:val="20"/>
                <w:szCs w:val="20"/>
                <w:color w:val="auto"/>
              </w:rPr>
            </w:pPr>
            <w:r>
              <w:rPr>
                <w:rFonts w:ascii="Arial" w:cs="Arial" w:eastAsia="Arial" w:hAnsi="Arial"/>
                <w:sz w:val="16"/>
                <w:szCs w:val="16"/>
                <w:color w:val="auto"/>
              </w:rPr>
              <w:t>Sara R. Dial</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20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Nominating and Corporate Governance (chair)</w:t>
            </w:r>
          </w:p>
        </w:tc>
      </w:tr>
      <w:tr>
        <w:trPr>
          <w:trHeight w:val="203"/>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Compensation</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Lead Independent Director</w:t>
            </w:r>
          </w:p>
        </w:tc>
      </w:tr>
      <w:tr>
        <w:trPr>
          <w:trHeight w:val="212"/>
        </w:trPr>
        <w:tc>
          <w:tcPr>
            <w:tcW w:w="1920" w:type="dxa"/>
            <w:vAlign w:val="bottom"/>
          </w:tcPr>
          <w:p>
            <w:pPr>
              <w:spacing w:after="0"/>
              <w:rPr>
                <w:sz w:val="20"/>
                <w:szCs w:val="20"/>
                <w:color w:val="auto"/>
              </w:rPr>
            </w:pPr>
            <w:r>
              <w:rPr>
                <w:rFonts w:ascii="Arial" w:cs="Arial" w:eastAsia="Arial" w:hAnsi="Arial"/>
                <w:sz w:val="16"/>
                <w:szCs w:val="16"/>
                <w:color w:val="auto"/>
              </w:rPr>
              <w:t>Jack A. Henry</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74</w:t>
            </w:r>
          </w:p>
        </w:tc>
        <w:tc>
          <w:tcPr>
            <w:tcW w:w="2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Audit (chair)</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Compensation</w:t>
            </w:r>
          </w:p>
        </w:tc>
      </w:tr>
      <w:tr>
        <w:trPr>
          <w:trHeight w:val="212"/>
        </w:trPr>
        <w:tc>
          <w:tcPr>
            <w:tcW w:w="1920" w:type="dxa"/>
            <w:vAlign w:val="bottom"/>
          </w:tcPr>
          <w:p>
            <w:pPr>
              <w:spacing w:after="0"/>
              <w:rPr>
                <w:sz w:val="20"/>
                <w:szCs w:val="20"/>
                <w:color w:val="auto"/>
              </w:rPr>
            </w:pPr>
            <w:r>
              <w:rPr>
                <w:rFonts w:ascii="Arial" w:cs="Arial" w:eastAsia="Arial" w:hAnsi="Arial"/>
                <w:sz w:val="16"/>
                <w:szCs w:val="16"/>
                <w:color w:val="auto"/>
              </w:rPr>
              <w:t>Kevin F. Warren</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2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Compensation (chair)</w:t>
            </w:r>
          </w:p>
        </w:tc>
      </w:tr>
      <w:tr>
        <w:trPr>
          <w:trHeight w:val="203"/>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Nominating and Corporate Governance</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Audit</w:t>
            </w:r>
          </w:p>
        </w:tc>
      </w:tr>
      <w:tr>
        <w:trPr>
          <w:trHeight w:val="212"/>
        </w:trPr>
        <w:tc>
          <w:tcPr>
            <w:tcW w:w="1920" w:type="dxa"/>
            <w:vAlign w:val="bottom"/>
          </w:tcPr>
          <w:p>
            <w:pPr>
              <w:spacing w:after="0"/>
              <w:rPr>
                <w:sz w:val="20"/>
                <w:szCs w:val="20"/>
                <w:color w:val="auto"/>
              </w:rPr>
            </w:pPr>
            <w:r>
              <w:rPr>
                <w:rFonts w:ascii="Arial" w:cs="Arial" w:eastAsia="Arial" w:hAnsi="Arial"/>
                <w:sz w:val="16"/>
                <w:szCs w:val="16"/>
                <w:color w:val="auto"/>
              </w:rPr>
              <w:t>David J. Johnson</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2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4760" w:type="dxa"/>
            <w:vAlign w:val="bottom"/>
          </w:tcPr>
          <w:p>
            <w:pPr>
              <w:ind w:left="320"/>
              <w:spacing w:after="0"/>
              <w:rPr>
                <w:sz w:val="20"/>
                <w:szCs w:val="20"/>
                <w:color w:val="auto"/>
              </w:rPr>
            </w:pPr>
            <w:r>
              <w:rPr>
                <w:rFonts w:ascii="Arial" w:cs="Arial" w:eastAsia="Arial" w:hAnsi="Arial"/>
                <w:sz w:val="16"/>
                <w:szCs w:val="16"/>
                <w:color w:val="auto"/>
              </w:rPr>
              <w:t>Nominating and Corporate Governance</w:t>
            </w:r>
          </w:p>
        </w:tc>
      </w:tr>
      <w:tr>
        <w:trPr>
          <w:trHeight w:val="20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Pr>
          <w:p>
            <w:pPr>
              <w:ind w:left="320"/>
              <w:spacing w:after="0"/>
              <w:rPr>
                <w:sz w:val="20"/>
                <w:szCs w:val="20"/>
                <w:color w:val="auto"/>
              </w:rPr>
            </w:pPr>
            <w:r>
              <w:rPr>
                <w:rFonts w:ascii="Arial" w:cs="Arial" w:eastAsia="Arial" w:hAnsi="Arial"/>
                <w:sz w:val="16"/>
                <w:szCs w:val="16"/>
                <w:color w:val="auto"/>
              </w:rPr>
              <w:t>Audit</w:t>
            </w: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40"/>
          </w:cols>
          <w:pgMar w:left="240" w:top="459" w:right="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520" w:firstLine="450"/>
        <w:spacing w:after="0" w:line="285" w:lineRule="auto"/>
        <w:rPr>
          <w:sz w:val="20"/>
          <w:szCs w:val="20"/>
          <w:color w:val="auto"/>
        </w:rPr>
      </w:pPr>
      <w:r>
        <w:rPr>
          <w:rFonts w:ascii="Arial" w:cs="Arial" w:eastAsia="Arial" w:hAnsi="Arial"/>
          <w:sz w:val="16"/>
          <w:szCs w:val="16"/>
          <w:i w:val="1"/>
          <w:iCs w:val="1"/>
          <w:color w:val="auto"/>
        </w:rPr>
        <w:t xml:space="preserve">Brian E. Mueller </w:t>
      </w:r>
      <w:r>
        <w:rPr>
          <w:rFonts w:ascii="Arial" w:cs="Arial" w:eastAsia="Arial" w:hAnsi="Arial"/>
          <w:sz w:val="16"/>
          <w:szCs w:val="16"/>
          <w:color w:val="auto"/>
        </w:rPr>
        <w:t>has been serving as our Chief Executive Officer since July 1, 2008, as a director since March 2009,</w:t>
      </w:r>
      <w:r>
        <w:rPr>
          <w:rFonts w:ascii="Arial" w:cs="Arial" w:eastAsia="Arial" w:hAnsi="Arial"/>
          <w:sz w:val="16"/>
          <w:szCs w:val="16"/>
          <w:i w:val="1"/>
          <w:iCs w:val="1"/>
          <w:color w:val="auto"/>
        </w:rPr>
        <w:t xml:space="preserve"> </w:t>
      </w:r>
      <w:r>
        <w:rPr>
          <w:rFonts w:ascii="Arial" w:cs="Arial" w:eastAsia="Arial" w:hAnsi="Arial"/>
          <w:sz w:val="16"/>
          <w:szCs w:val="16"/>
          <w:color w:val="auto"/>
        </w:rPr>
        <w:t>as the President of Grand Canyon University since September 1, 2012, and as the Chairman of our Board since January 2017. Mr. Mueller has been serving as the President of the Grand Canyon University Foundation, a foundation formed to benefit public charities, since its formation in 2010 and as the President of GCU Community Fund, an entity formed to provide seed funding for entrepreneurial ventures initiated by Grand Canyon University students, since its formation in 2014.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-2209800</wp:posOffset>
            </wp:positionV>
            <wp:extent cx="1235075" cy="1646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58" w:lineRule="exact"/>
        <w:rPr>
          <w:sz w:val="20"/>
          <w:szCs w:val="20"/>
          <w:color w:val="auto"/>
        </w:rPr>
      </w:pPr>
    </w:p>
    <w:p>
      <w:pPr>
        <w:ind w:left="2520" w:firstLine="450"/>
        <w:spacing w:after="0" w:line="285"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 March 2013, and as the lead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since January 2017. Ms. Dial has served as President and Chief Executive Officer of Sara Dial &amp; Associates, an economic development consulting firm specializing in site selection and government relations since 1996. She has led high profile economic development initiatives in Arizona including the creation and implementation of an urban revitalization model, the “Discovery Triangle” and the restructuring of Arizona’s statewide economic development organization under Governor Brewer, resulting in the creation of the agency now known as the Arizona Commerce Authority. From 2002 through 2003, Ms. Dial also served as the Chief Executive of Social Venture Partners Arizona, a philanthropic foundation using a venture capital approach to giving. In 2004, Ms. Dial was elected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Currently, Ms. Dial is a director for Mobile Mini, Inc., a publicly traded provider of portable storage solutions, and she also sits on the local advisory board of BBVA Compass Bank. Ms. Dial was previously a member of the board of trustees at Seattle Pacific University. Ms. Dial is a graduate of Stanford University with a Bachelor of Arts degree in international relations.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-2348865</wp:posOffset>
            </wp:positionV>
            <wp:extent cx="1235075" cy="1646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55" w:lineRule="exact"/>
        <w:rPr>
          <w:sz w:val="20"/>
          <w:szCs w:val="20"/>
          <w:color w:val="auto"/>
        </w:rPr>
      </w:pPr>
    </w:p>
    <w:p>
      <w:pPr>
        <w:ind w:left="2520" w:right="120" w:firstLine="450"/>
        <w:spacing w:after="0" w:line="288"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w:t>
      </w:r>
      <w:r>
        <w:rPr>
          <w:rFonts w:ascii="Arial" w:cs="Arial" w:eastAsia="Arial" w:hAnsi="Arial"/>
          <w:sz w:val="16"/>
          <w:szCs w:val="16"/>
          <w:i w:val="1"/>
          <w:iCs w:val="1"/>
          <w:color w:val="auto"/>
        </w:rPr>
        <w:t xml:space="preserve"> </w:t>
      </w:r>
      <w:r>
        <w:rPr>
          <w:rFonts w:ascii="Arial" w:cs="Arial" w:eastAsia="Arial" w:hAnsi="Arial"/>
          <w:sz w:val="16"/>
          <w:szCs w:val="16"/>
          <w:color w:val="auto"/>
        </w:rPr>
        <w:t>Mr. Henry has 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 of directors and as chair of the audit committee of TPI Composites, Inc., a manufacturer of composite wind blades, on the boards of directors and audit committees of several private companies, and as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-1392555</wp:posOffset>
            </wp:positionV>
            <wp:extent cx="1235075" cy="1646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520" w:right="40" w:firstLine="450"/>
        <w:spacing w:after="0" w:line="268" w:lineRule="auto"/>
        <w:rPr>
          <w:sz w:val="20"/>
          <w:szCs w:val="20"/>
          <w:color w:val="auto"/>
        </w:rPr>
      </w:pPr>
      <w:r>
        <w:rPr>
          <w:rFonts w:ascii="Arial" w:cs="Arial" w:eastAsia="Arial" w:hAnsi="Arial"/>
          <w:sz w:val="17"/>
          <w:szCs w:val="17"/>
          <w:i w:val="1"/>
          <w:iCs w:val="1"/>
          <w:color w:val="auto"/>
        </w:rPr>
        <w:t xml:space="preserve">Kevin F. Warren </w:t>
      </w:r>
      <w:r>
        <w:rPr>
          <w:rFonts w:ascii="Arial" w:cs="Arial" w:eastAsia="Arial" w:hAnsi="Arial"/>
          <w:sz w:val="17"/>
          <w:szCs w:val="17"/>
          <w:color w:val="auto"/>
        </w:rPr>
        <w:t>has been serving as a member of our Board of Directors since September 2012. Mr. Warren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senior officer for the Minnesota Vikings, a National Football League franchise, since 2005 and currently serves as the club’s Chief Operating Officer, with responsibility for the day-to-day business operations. Prior to joining the Vikings, from 2003 to 2005, Mr. Warren worked with the international law firm of Greenberg 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Development &amp; Football Legal Counsel from 1997 to 2000. Mr. Warren earned his bachelor’s degree in business administration from Grand Canyon University and, in March 2012, was inducted into the Grand Canyon University Athletics Hall of Fame. Mr. Warren earned his master’s degree in business administration from Arizona State University, and his Juris Doctor degree from the University of Notre Dame School of Law. We believe Mr. Warren’s extensive experience with legal, financial and marketing matters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-1791970</wp:posOffset>
            </wp:positionV>
            <wp:extent cx="1235075" cy="16465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68" w:lineRule="exact"/>
        <w:rPr>
          <w:sz w:val="20"/>
          <w:szCs w:val="20"/>
          <w:color w:val="auto"/>
        </w:rPr>
      </w:pPr>
    </w:p>
    <w:p>
      <w:pPr>
        <w:ind w:left="2520" w:firstLine="450"/>
        <w:spacing w:after="0" w:line="268" w:lineRule="auto"/>
        <w:rPr>
          <w:sz w:val="20"/>
          <w:szCs w:val="20"/>
          <w:color w:val="auto"/>
        </w:rPr>
      </w:pPr>
      <w:r>
        <w:rPr>
          <w:rFonts w:ascii="Arial" w:cs="Arial" w:eastAsia="Arial" w:hAnsi="Arial"/>
          <w:sz w:val="17"/>
          <w:szCs w:val="17"/>
          <w:i w:val="1"/>
          <w:iCs w:val="1"/>
          <w:color w:val="auto"/>
        </w:rPr>
        <w:t xml:space="preserve">David J. Johnson </w:t>
      </w:r>
      <w:r>
        <w:rPr>
          <w:rFonts w:ascii="Arial" w:cs="Arial" w:eastAsia="Arial" w:hAnsi="Arial"/>
          <w:sz w:val="17"/>
          <w:szCs w:val="17"/>
          <w:color w:val="auto"/>
        </w:rPr>
        <w:t>has been serving as a member of our Board of Directors since November 2008. From 1997 to</w:t>
      </w:r>
      <w:r>
        <w:rPr>
          <w:rFonts w:ascii="Arial" w:cs="Arial" w:eastAsia="Arial" w:hAnsi="Arial"/>
          <w:sz w:val="17"/>
          <w:szCs w:val="17"/>
          <w:i w:val="1"/>
          <w:iCs w:val="1"/>
          <w:color w:val="auto"/>
        </w:rPr>
        <w:t xml:space="preserve"> </w:t>
      </w:r>
      <w:r>
        <w:rPr>
          <w:rFonts w:ascii="Arial" w:cs="Arial" w:eastAsia="Arial" w:hAnsi="Arial"/>
          <w:sz w:val="17"/>
          <w:szCs w:val="17"/>
          <w:color w:val="auto"/>
        </w:rPr>
        <w:t>2006, Mr. Johnson served as Chief 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-1791970</wp:posOffset>
            </wp:positionV>
            <wp:extent cx="1235075" cy="1646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64" w:lineRule="exact"/>
        <w:rPr>
          <w:sz w:val="20"/>
          <w:szCs w:val="20"/>
          <w:color w:val="auto"/>
        </w:rPr>
      </w:pPr>
    </w:p>
    <w:p>
      <w:pPr>
        <w:ind w:right="300" w:firstLine="571"/>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five nominees listed above to constitute our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422"/>
        </w:trPr>
        <w:tc>
          <w:tcPr>
            <w:tcW w:w="2900" w:type="dxa"/>
            <w:vAlign w:val="bottom"/>
            <w:tcBorders>
              <w:top w:val="single" w:sz="8" w:color="auto"/>
              <w:left w:val="single" w:sz="8" w:color="auto"/>
            </w:tcBorders>
            <w:gridSpan w:val="2"/>
          </w:tcPr>
          <w:p>
            <w:pPr>
              <w:ind w:left="4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What am I voting on?</w:t>
            </w:r>
          </w:p>
        </w:tc>
        <w:tc>
          <w:tcPr>
            <w:tcW w:w="854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color w:val="auto"/>
                <w:w w:val="97"/>
              </w:rPr>
              <w:t>Stockholders are being asked to approve, on an advisory basis, the compensation of the named executive officers as</w:t>
            </w:r>
          </w:p>
        </w:tc>
      </w:tr>
      <w:tr>
        <w:trPr>
          <w:trHeight w:val="206"/>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 xml:space="preserve">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and the related tables.</w:t>
            </w:r>
          </w:p>
        </w:tc>
      </w:tr>
      <w:tr>
        <w:trPr>
          <w:trHeight w:val="428"/>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Voting recommendation:</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4"/>
              </w:rPr>
              <w:t>Our Board of Directors unanimously recommends that you vote “</w:t>
            </w:r>
            <w:r>
              <w:rPr>
                <w:rFonts w:ascii="Arial" w:cs="Arial" w:eastAsia="Arial" w:hAnsi="Arial"/>
                <w:sz w:val="16"/>
                <w:szCs w:val="16"/>
                <w:b w:val="1"/>
                <w:bCs w:val="1"/>
                <w:color w:val="auto"/>
                <w:w w:val="94"/>
              </w:rPr>
              <w:t>FOR</w:t>
            </w:r>
            <w:r>
              <w:rPr>
                <w:rFonts w:ascii="Arial" w:cs="Arial" w:eastAsia="Arial" w:hAnsi="Arial"/>
                <w:sz w:val="16"/>
                <w:szCs w:val="16"/>
                <w:color w:val="auto"/>
                <w:w w:val="94"/>
              </w:rPr>
              <w:t>” the advisory vote to approve the compensation of</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our named executive officers. The Compensation Committee takes very seriously its role in the governance of the</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4"/>
              </w:rPr>
              <w:t>Company’s compensation programs and will take into account the outcome of the advisory vote when considering future</w:t>
            </w:r>
          </w:p>
        </w:tc>
      </w:tr>
      <w:tr>
        <w:trPr>
          <w:trHeight w:val="206"/>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executive compensation decisions.</w:t>
            </w:r>
          </w:p>
        </w:tc>
      </w:tr>
      <w:tr>
        <w:trPr>
          <w:trHeight w:val="428"/>
        </w:trPr>
        <w:tc>
          <w:tcPr>
            <w:tcW w:w="700" w:type="dxa"/>
            <w:vAlign w:val="bottom"/>
            <w:tcBorders>
              <w:lef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2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Vote required:</w:t>
            </w: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3"/>
              </w:rPr>
              <w:t>The affirmative vote of the majority of shares present in person or represented by proxy at the Annual Meeting and entitled</w:t>
            </w:r>
          </w:p>
        </w:tc>
      </w:tr>
      <w:tr>
        <w:trPr>
          <w:trHeight w:val="203"/>
        </w:trPr>
        <w:tc>
          <w:tcPr>
            <w:tcW w:w="700" w:type="dxa"/>
            <w:vAlign w:val="bottom"/>
            <w:tcBorders>
              <w:lef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854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w w:val="96"/>
              </w:rPr>
              <w:t>to vote. Broker non-votes will have no effect on the outcome of this proposal, while abstentions will have the effect of a</w:t>
            </w:r>
          </w:p>
        </w:tc>
      </w:tr>
      <w:tr>
        <w:trPr>
          <w:trHeight w:val="219"/>
        </w:trPr>
        <w:tc>
          <w:tcPr>
            <w:tcW w:w="700" w:type="dxa"/>
            <w:vAlign w:val="bottom"/>
            <w:tcBorders>
              <w:left w:val="single" w:sz="8" w:color="auto"/>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vote against this proposal.</w:t>
            </w:r>
          </w:p>
        </w:tc>
      </w:tr>
    </w:tbl>
    <w:p>
      <w:pPr>
        <w:spacing w:after="0" w:line="202" w:lineRule="exact"/>
        <w:rPr>
          <w:sz w:val="20"/>
          <w:szCs w:val="20"/>
          <w:color w:val="auto"/>
        </w:rPr>
      </w:pPr>
    </w:p>
    <w:p>
      <w:pPr>
        <w:ind w:right="300" w:firstLine="571"/>
        <w:spacing w:after="0" w:line="257" w:lineRule="auto"/>
        <w:rPr>
          <w:sz w:val="20"/>
          <w:szCs w:val="20"/>
          <w:color w:val="auto"/>
        </w:rPr>
      </w:pPr>
      <w:r>
        <w:rPr>
          <w:rFonts w:ascii="Arial" w:cs="Arial" w:eastAsia="Arial" w:hAnsi="Arial"/>
          <w:sz w:val="18"/>
          <w:szCs w:val="18"/>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2011 Annual Meeting, our stockholders voted in favor of holding Say-On-Pay votes annually. In light of this result and other factors considered by the Board, the Board has determined that the Company will hold Say-On-Pay votes on an annual basis.</w:t>
      </w:r>
    </w:p>
    <w:p>
      <w:pPr>
        <w:spacing w:after="0" w:line="188" w:lineRule="exact"/>
        <w:rPr>
          <w:sz w:val="20"/>
          <w:szCs w:val="20"/>
          <w:color w:val="auto"/>
        </w:rPr>
      </w:pPr>
    </w:p>
    <w:p>
      <w:pPr>
        <w:ind w:right="100" w:firstLine="571"/>
        <w:spacing w:after="0" w:line="297" w:lineRule="auto"/>
        <w:rPr>
          <w:sz w:val="20"/>
          <w:szCs w:val="20"/>
          <w:color w:val="auto"/>
        </w:rPr>
      </w:pPr>
      <w:r>
        <w:rPr>
          <w:rFonts w:ascii="Arial" w:cs="Arial" w:eastAsia="Arial" w:hAnsi="Arial"/>
          <w:sz w:val="16"/>
          <w:szCs w:val="16"/>
          <w:color w:val="auto"/>
        </w:rPr>
        <w:t xml:space="preserve">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of this proxy statement for a detailed discussion about our executive compensation programs, including information about the fiscal year 2017 compensation of our named executive officers.</w:t>
      </w:r>
    </w:p>
    <w:p>
      <w:pPr>
        <w:spacing w:after="0" w:line="15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 xml:space="preserve">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provides a more detailed discussion of our executive compensation program. We believe that the compensation program we follow helps us achieve our principal compensation objectives.</w:t>
      </w:r>
    </w:p>
    <w:p>
      <w:pPr>
        <w:spacing w:after="0" w:line="193"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 In 2017, our Say-on-Pay proposal received the support of 95.0% of the shares voted, which we believe indicates strong support for our compensation program and practices. Nevertheless, we will continue to solicit feedback, engage with our investors, and evaluate the effectiveness of our pay practices in aligning management and stockholder interests.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2:</w:t>
      </w:r>
    </w:p>
    <w:p>
      <w:pPr>
        <w:spacing w:after="0" w:line="225" w:lineRule="exact"/>
        <w:rPr>
          <w:sz w:val="20"/>
          <w:szCs w:val="20"/>
          <w:color w:val="auto"/>
        </w:rPr>
      </w:pPr>
    </w:p>
    <w:p>
      <w:pPr>
        <w:ind w:right="460" w:firstLine="571"/>
        <w:spacing w:after="0" w:line="264" w:lineRule="auto"/>
        <w:rPr>
          <w:sz w:val="20"/>
          <w:szCs w:val="20"/>
          <w:color w:val="auto"/>
        </w:rPr>
      </w:pPr>
      <w:r>
        <w:rPr>
          <w:rFonts w:ascii="Arial" w:cs="Arial" w:eastAsia="Arial" w:hAnsi="Arial"/>
          <w:sz w:val="18"/>
          <w:szCs w:val="18"/>
          <w:color w:val="auto"/>
        </w:rPr>
        <w:t>“RESOLVED, that the stockholders of Grand Canyon Education, Inc. approve, on an advisory basis, the compensation of the Company’s named executive officers, disclosed pursuant to Item 402 of Regulation S-K in the Company’s definitive proxy statement for the 2018 Annual Meeting of Stockholders.”</w:t>
      </w:r>
    </w:p>
    <w:p>
      <w:pPr>
        <w:spacing w:after="0" w:line="177" w:lineRule="exact"/>
        <w:rPr>
          <w:sz w:val="20"/>
          <w:szCs w:val="20"/>
          <w:color w:val="auto"/>
        </w:rPr>
      </w:pPr>
    </w:p>
    <w:p>
      <w:pPr>
        <w:ind w:right="380" w:firstLine="571"/>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40"/>
          </w:cols>
          <w:pgMar w:left="240" w:top="459" w:right="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60" w:firstLine="571"/>
        <w:spacing w:after="0" w:line="264"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Brian E. Mueller, our Chairman and our Chief Executive Officer and President of Grand Canyon University,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tcPr>
          <w:p>
            <w:pPr>
              <w:jc w:val="center"/>
              <w:ind w:left="534"/>
              <w:spacing w:after="0"/>
              <w:rPr>
                <w:sz w:val="20"/>
                <w:szCs w:val="20"/>
                <w:color w:val="auto"/>
              </w:rPr>
            </w:pPr>
            <w:r>
              <w:rPr>
                <w:rFonts w:ascii="Arial" w:cs="Arial" w:eastAsia="Arial" w:hAnsi="Arial"/>
                <w:sz w:val="14"/>
                <w:szCs w:val="14"/>
                <w:b w:val="1"/>
                <w:bCs w:val="1"/>
                <w:color w:val="auto"/>
                <w:w w:val="90"/>
              </w:rPr>
              <w:t>Age</w:t>
            </w:r>
          </w:p>
        </w:tc>
        <w:tc>
          <w:tcPr>
            <w:tcW w:w="4800" w:type="dxa"/>
            <w:vAlign w:val="bottom"/>
          </w:tcPr>
          <w:p>
            <w:pPr>
              <w:ind w:left="9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Dr. W. Stan Meyer</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57</w:t>
            </w:r>
          </w:p>
        </w:tc>
        <w:tc>
          <w:tcPr>
            <w:tcW w:w="4800" w:type="dxa"/>
            <w:vAlign w:val="bottom"/>
          </w:tcPr>
          <w:p>
            <w:pPr>
              <w:ind w:left="920"/>
              <w:spacing w:after="0"/>
              <w:rPr>
                <w:sz w:val="20"/>
                <w:szCs w:val="20"/>
                <w:color w:val="auto"/>
              </w:rPr>
            </w:pPr>
            <w:r>
              <w:rPr>
                <w:rFonts w:ascii="Arial" w:cs="Arial" w:eastAsia="Arial" w:hAnsi="Arial"/>
                <w:sz w:val="18"/>
                <w:szCs w:val="18"/>
                <w:color w:val="auto"/>
              </w:rPr>
              <w:t>Chief Operating Officer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Daniel E. Bachus</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47</w:t>
            </w:r>
          </w:p>
        </w:tc>
        <w:tc>
          <w:tcPr>
            <w:tcW w:w="4800" w:type="dxa"/>
            <w:vAlign w:val="bottom"/>
          </w:tcPr>
          <w:p>
            <w:pPr>
              <w:ind w:left="920"/>
              <w:spacing w:after="0"/>
              <w:rPr>
                <w:sz w:val="20"/>
                <w:szCs w:val="20"/>
                <w:color w:val="auto"/>
              </w:rPr>
            </w:pPr>
            <w:r>
              <w:rPr>
                <w:rFonts w:ascii="Arial" w:cs="Arial" w:eastAsia="Arial" w:hAnsi="Arial"/>
                <w:sz w:val="18"/>
                <w:szCs w:val="18"/>
                <w:color w:val="auto"/>
              </w:rPr>
              <w:t>Chief Financial Officer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Joseph N. Mildenhall</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64</w:t>
            </w:r>
          </w:p>
        </w:tc>
        <w:tc>
          <w:tcPr>
            <w:tcW w:w="4800" w:type="dxa"/>
            <w:vAlign w:val="bottom"/>
          </w:tcPr>
          <w:p>
            <w:pPr>
              <w:ind w:left="920"/>
              <w:spacing w:after="0"/>
              <w:rPr>
                <w:sz w:val="20"/>
                <w:szCs w:val="20"/>
                <w:color w:val="auto"/>
              </w:rPr>
            </w:pPr>
            <w:r>
              <w:rPr>
                <w:rFonts w:ascii="Arial" w:cs="Arial" w:eastAsia="Arial" w:hAnsi="Arial"/>
                <w:sz w:val="18"/>
                <w:szCs w:val="18"/>
                <w:color w:val="auto"/>
              </w:rPr>
              <w:t>Chief Information Officer</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Brian M. Roberts</w:t>
            </w:r>
          </w:p>
        </w:tc>
        <w:tc>
          <w:tcPr>
            <w:tcW w:w="2660" w:type="dxa"/>
            <w:vAlign w:val="bottom"/>
          </w:tcPr>
          <w:p>
            <w:pPr>
              <w:jc w:val="center"/>
              <w:ind w:left="514"/>
              <w:spacing w:after="0"/>
              <w:rPr>
                <w:sz w:val="20"/>
                <w:szCs w:val="20"/>
                <w:color w:val="auto"/>
              </w:rPr>
            </w:pPr>
            <w:r>
              <w:rPr>
                <w:rFonts w:ascii="Arial" w:cs="Arial" w:eastAsia="Arial" w:hAnsi="Arial"/>
                <w:sz w:val="18"/>
                <w:szCs w:val="18"/>
                <w:color w:val="auto"/>
                <w:w w:val="89"/>
              </w:rPr>
              <w:t>45</w:t>
            </w:r>
          </w:p>
        </w:tc>
        <w:tc>
          <w:tcPr>
            <w:tcW w:w="4800" w:type="dxa"/>
            <w:vAlign w:val="bottom"/>
          </w:tcPr>
          <w:p>
            <w:pPr>
              <w:ind w:left="920"/>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229" w:lineRule="exact"/>
        <w:rPr>
          <w:sz w:val="20"/>
          <w:szCs w:val="20"/>
          <w:color w:val="auto"/>
        </w:rPr>
      </w:pPr>
    </w:p>
    <w:p>
      <w:pPr>
        <w:ind w:left="2520" w:right="40" w:firstLine="450"/>
        <w:spacing w:after="0" w:line="284"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Chief Operating Officer since July 26, 2012, having previously served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position of Executive Vice President from June 2008 to July 2012. Dr. Meyer has been serving as a Director of the Grand Canyon University Foundation, a foundation formed to benefit public charities, since its formation in 2010 and as a director of GCU Community Fund, an entity formed to provide seed funding for entrepreneurial ventures initiated by Grand Canyon University students, since its formation in 2014. From August 2002 to June 2008, Dr. Meyer was employed by Apollo Education Group, Inc., a for-profit, postsecondary education company and the parent company of the University of Phoenix, serving between June 2006 to June 2008 as its executive vice president of marketing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-958215</wp:posOffset>
            </wp:positionV>
            <wp:extent cx="1235075" cy="1646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ind w:left="2520" w:right="240"/>
        <w:spacing w:after="0" w:line="270" w:lineRule="auto"/>
        <w:rPr>
          <w:sz w:val="20"/>
          <w:szCs w:val="20"/>
          <w:color w:val="auto"/>
        </w:rPr>
      </w:pPr>
      <w:r>
        <w:rPr>
          <w:rFonts w:ascii="Arial" w:cs="Arial" w:eastAsia="Arial" w:hAnsi="Arial"/>
          <w:sz w:val="17"/>
          <w:szCs w:val="17"/>
          <w:color w:val="auto"/>
        </w:rPr>
        <w:t>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79" w:lineRule="exact"/>
        <w:rPr>
          <w:sz w:val="20"/>
          <w:szCs w:val="20"/>
          <w:color w:val="auto"/>
        </w:rPr>
      </w:pPr>
    </w:p>
    <w:p>
      <w:pPr>
        <w:ind w:left="2520" w:right="20" w:firstLine="450"/>
        <w:spacing w:after="0" w:line="289"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Mr. Bachus has been serving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Director of the Grand Canyon University Foundation since its formation in 2010 and as a director of GCU Community Fund, an entity formed to provide seed funding for entrepreneurial ventures initiated by Grand Canyon University students, since its formation in 2014.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Mr. Bachus is also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-1256665</wp:posOffset>
            </wp:positionV>
            <wp:extent cx="1235075" cy="16465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520" w:firstLine="450"/>
        <w:spacing w:after="0" w:line="288" w:lineRule="auto"/>
        <w:rPr>
          <w:sz w:val="20"/>
          <w:szCs w:val="20"/>
          <w:color w:val="auto"/>
        </w:rPr>
      </w:pPr>
      <w:r>
        <w:rPr>
          <w:rFonts w:ascii="Arial" w:cs="Arial" w:eastAsia="Arial" w:hAnsi="Arial"/>
          <w:sz w:val="16"/>
          <w:szCs w:val="16"/>
          <w:i w:val="1"/>
          <w:iCs w:val="1"/>
          <w:color w:val="auto"/>
        </w:rPr>
        <w:t xml:space="preserve">Joseph N. Mildenhall </w:t>
      </w:r>
      <w:r>
        <w:rPr>
          <w:rFonts w:ascii="Arial" w:cs="Arial" w:eastAsia="Arial" w:hAnsi="Arial"/>
          <w:sz w:val="16"/>
          <w:szCs w:val="16"/>
          <w:color w:val="auto"/>
        </w:rPr>
        <w:t>has been serving as our Chief Information Officer since September 2009. From 1998 to</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2009, Mr. Mildenhall was 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-1391920</wp:posOffset>
            </wp:positionV>
            <wp:extent cx="1235075" cy="1646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520" w:firstLine="450"/>
        <w:spacing w:after="0" w:line="291" w:lineRule="auto"/>
        <w:rPr>
          <w:sz w:val="20"/>
          <w:szCs w:val="20"/>
          <w:color w:val="auto"/>
        </w:rPr>
      </w:pPr>
      <w:r>
        <w:rPr>
          <w:rFonts w:ascii="Arial" w:cs="Arial" w:eastAsia="Arial" w:hAnsi="Arial"/>
          <w:sz w:val="16"/>
          <w:szCs w:val="16"/>
          <w:i w:val="1"/>
          <w:iCs w:val="1"/>
          <w:color w:val="auto"/>
        </w:rPr>
        <w:t xml:space="preserve">Brian M. Roberts </w:t>
      </w:r>
      <w:r>
        <w:rPr>
          <w:rFonts w:ascii="Arial" w:cs="Arial" w:eastAsia="Arial" w:hAnsi="Arial"/>
          <w:sz w:val="16"/>
          <w:szCs w:val="16"/>
          <w:color w:val="auto"/>
        </w:rPr>
        <w:t>has been serving as our Senior Vice President and General Counsel since May 2012 and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since July 2012. Mr. Roberts has been serving as a director of GCU Community Fund, an entity formed to provide seed funding for entrepreneurial ventures initiated by Grand Canyon University students, since its formation in 2014. From August 2003 to May 2012, Mr. Roberts was employed by iGo, Inc., a publicly traded developer of electronics accessories, including serving as general counsel and secretary in charge of all legal functions since May 2005. From September 1998 to August 2003, Mr. Roberts was an attorney with the law firm of Snell &amp; Wilmer L.L.P. Mr. Roberts received a Bachelor of Science degree in Business Administration and a Juris Doctor from the University of 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-981710</wp:posOffset>
            </wp:positionV>
            <wp:extent cx="1235075" cy="1646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The following discussion and analysis should be read in conjunction with “Compensation of Named Executive Officers” and the related tables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are a comprehensive regionally accredited university that offers over 225 graduate and undergraduate degree programs, emphases and certificates across nine colleges both online and on ground at our over 275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90,300 students at December 31, 2017. At December 31, 2017, 79.1% of our students were enrolled in our online programs, and, of our working adult students (online and professional studies students), 50.5% were pursuing master’s or doctoral degrees.</w:t>
      </w:r>
    </w:p>
    <w:p>
      <w:pPr>
        <w:spacing w:after="0" w:line="132" w:lineRule="exact"/>
        <w:rPr>
          <w:sz w:val="20"/>
          <w:szCs w:val="20"/>
          <w:color w:val="auto"/>
        </w:rPr>
      </w:pPr>
    </w:p>
    <w:p>
      <w:pPr>
        <w:ind w:right="60" w:firstLine="571"/>
        <w:spacing w:after="0" w:line="297" w:lineRule="auto"/>
        <w:rPr>
          <w:sz w:val="20"/>
          <w:szCs w:val="20"/>
          <w:color w:val="auto"/>
        </w:rPr>
      </w:pPr>
      <w:r>
        <w:rPr>
          <w:rFonts w:ascii="Arial" w:cs="Arial" w:eastAsia="Arial" w:hAnsi="Arial"/>
          <w:sz w:val="16"/>
          <w:szCs w:val="16"/>
          <w:color w:val="auto"/>
        </w:rPr>
        <w:t>We define working adults as students age 25 or older who are pursuing a degree while employed. As of December 31, 2017, 86.1%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more readily recognize the benefits of a post-secondary degree, have higher persistence and completion rates than other students, and to finance their education generally.</w:t>
      </w:r>
    </w:p>
    <w:p>
      <w:pPr>
        <w:spacing w:after="0" w:line="118"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In 2017, we continued to increase the number of students in attendance at our expanding traditional ground campus. We attribute the significant growth in our enrollment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We plan to continue increasing enrollment growth for our traditional campus over the next few years, and seek to have more than 20,500 ground students in attendance at the beginning of our 2018-2019 academic year. In November 2012, we accepted an invitation to become a member of the Division I Western Athletic Conference beginning with the 2013-2014 academic year, and in 2013 we began the four-year process to reclassify our NCAA membership from Division II to Division I. In July 2017, the University successfully completed all “year four” requirements and is now a full member of Division I Western Athletic Conference and is eligible for post-season play.</w:t>
      </w:r>
    </w:p>
    <w:p>
      <w:pPr>
        <w:spacing w:after="0" w:line="17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continue to experience growth in enrollment, net revenue, and operating income. Our enrollment at December 31, 2017 was approximately 90,300, representing an increase of approximately 10.2% over our enrollment at December 31, 2016. We seek to achieve continued growth in a manner that reinforces our reputation for providing academically rigorous, professionally relevant educational programs that advance the educations and careers of our students.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2017 Financial Results</w:t>
      </w:r>
      <w:r>
        <w:rPr>
          <w:rFonts w:ascii="Arial" w:cs="Arial" w:eastAsia="Arial" w:hAnsi="Arial"/>
          <w:sz w:val="17"/>
          <w:szCs w:val="17"/>
          <w:color w:val="auto"/>
        </w:rPr>
        <w:t>. Our senior management guided our Company during 2017 to produce positive financial results.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43" w:lineRule="exact"/>
        <w:rPr>
          <w:sz w:val="20"/>
          <w:szCs w:val="20"/>
          <w:color w:val="auto"/>
        </w:rPr>
      </w:pPr>
    </w:p>
    <w:p>
      <w:pPr>
        <w:ind w:left="146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 increased 11.5% to $974.1 million for the year ended December 31, 2017, compared to $873.3 million for the same period in 2016.</w:t>
      </w:r>
    </w:p>
    <w:p>
      <w:pPr>
        <w:spacing w:after="0" w:line="102" w:lineRule="exact"/>
        <w:rPr>
          <w:rFonts w:ascii="Arial" w:cs="Arial" w:eastAsia="Arial" w:hAnsi="Arial"/>
          <w:sz w:val="18"/>
          <w:szCs w:val="18"/>
          <w:color w:val="auto"/>
        </w:rPr>
      </w:pPr>
    </w:p>
    <w:p>
      <w:pPr>
        <w:ind w:left="1460" w:right="8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End of period enrollment increased 10.2% to 90,297 at December 31, 2017, from 81,908 at December 31, 2016, as ground enrollment increased 9.2% to 18,842 at December 31, 2017, from 17,262 at December 31, 2016 and online enrollment increased 10.5% to 71,455 at December 31, 2017, from 64,646 at December 31, 2016.</w:t>
      </w:r>
    </w:p>
    <w:p>
      <w:pPr>
        <w:spacing w:after="0" w:line="113" w:lineRule="exact"/>
        <w:rPr>
          <w:rFonts w:ascii="Arial" w:cs="Arial" w:eastAsia="Arial" w:hAnsi="Arial"/>
          <w:sz w:val="18"/>
          <w:szCs w:val="18"/>
          <w:color w:val="auto"/>
        </w:rPr>
      </w:pPr>
    </w:p>
    <w:p>
      <w:pPr>
        <w:jc w:val="both"/>
        <w:ind w:left="1460" w:right="2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2017 was $282.8 million, an increase of 19.2% as compared to $237.2 million for the same period in 2016. The operating margin for the year ended December 31, 2017 was 29.0%, compared to 27.2% for the same period in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increased 36.9% to $203.3 million for the year ended December 31, 2017, compared to $148.5 million for the same period in 2016.</w:t>
      </w:r>
    </w:p>
    <w:p>
      <w:pPr>
        <w:spacing w:after="0" w:line="102"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Diluted net income per share was $4.22 for the year ended December 31, 2017, compared to $3.15 for the same period in 2016.</w:t>
      </w:r>
    </w:p>
    <w:p>
      <w:pPr>
        <w:spacing w:after="0" w:line="169" w:lineRule="exact"/>
        <w:rPr>
          <w:rFonts w:ascii="Arial" w:cs="Arial" w:eastAsia="Arial" w:hAnsi="Arial"/>
          <w:sz w:val="17"/>
          <w:szCs w:val="17"/>
          <w:color w:val="auto"/>
        </w:rPr>
      </w:pPr>
    </w:p>
    <w:p>
      <w:pPr>
        <w:ind w:left="1460" w:right="22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increased 16.6% to $354.6 million for the year ended December 31, 2017, compared to $304.1 million for the same period in 2016.</w:t>
      </w:r>
    </w:p>
    <w:p>
      <w:pPr>
        <w:spacing w:after="0" w:line="17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and Other Data, </w:t>
      </w:r>
      <w:r>
        <w:rPr>
          <w:rFonts w:ascii="Arial" w:cs="Arial" w:eastAsia="Arial" w:hAnsi="Arial"/>
          <w:sz w:val="18"/>
          <w:szCs w:val="18"/>
          <w:color w:val="auto"/>
        </w:rPr>
        <w:t>beginning on page 42 of our Annual Report on Form 10-K for the fiscal year ended December 31, 2017,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on February 21, 2018.</w:t>
      </w:r>
    </w:p>
    <w:p>
      <w:pPr>
        <w:spacing w:after="0" w:line="160"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i w:val="1"/>
          <w:iCs w:val="1"/>
          <w:color w:val="auto"/>
        </w:rPr>
        <w:t>Continued Ground Campus Expansion</w:t>
      </w:r>
      <w:r>
        <w:rPr>
          <w:rFonts w:ascii="Arial" w:cs="Arial" w:eastAsia="Arial" w:hAnsi="Arial"/>
          <w:sz w:val="18"/>
          <w:szCs w:val="18"/>
          <w:color w:val="auto"/>
        </w:rPr>
        <w:t>. Our capital expenditures in 2017 of $113.6 million were primarily related to the expansion of our over 275</w:t>
      </w:r>
      <w:r>
        <w:rPr>
          <w:rFonts w:ascii="Arial" w:cs="Arial" w:eastAsia="Arial" w:hAnsi="Arial"/>
          <w:sz w:val="18"/>
          <w:szCs w:val="18"/>
          <w:i w:val="1"/>
          <w:iCs w:val="1"/>
          <w:color w:val="auto"/>
        </w:rPr>
        <w:t xml:space="preserve"> </w:t>
      </w:r>
      <w:r>
        <w:rPr>
          <w:rFonts w:ascii="Arial" w:cs="Arial" w:eastAsia="Arial" w:hAnsi="Arial"/>
          <w:sz w:val="18"/>
          <w:szCs w:val="18"/>
          <w:color w:val="auto"/>
        </w:rPr>
        <w:t>acre physical campus in Phoenix, Arizona and significant investment in technology innovation to support our students and staff. In order to accommodate the continued growth of the traditional ground population, the University completed the construction of an additional dormitory, other ground campus building projects and land acquisitions adjacent to our campus, as well as purchases of computer equipment, other internal use software projects and furniture and equipment to support our increasing employee headcount.</w:t>
      </w:r>
    </w:p>
    <w:p>
      <w:pPr>
        <w:spacing w:after="0" w:line="148"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i w:val="1"/>
          <w:iCs w:val="1"/>
          <w:color w:val="auto"/>
        </w:rPr>
        <w:t xml:space="preserve">Community Involvement and the Public Good. </w:t>
      </w:r>
      <w:r>
        <w:rPr>
          <w:rFonts w:ascii="Arial" w:cs="Arial" w:eastAsia="Arial" w:hAnsi="Arial"/>
          <w:sz w:val="16"/>
          <w:szCs w:val="16"/>
          <w:color w:val="auto"/>
        </w:rPr>
        <w:t>The University has embarked on a five-point plan to revitalize its West Phoenix neighborhood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initiatives. We believe these initiatives reflect well on the University and its employees, make the University more appealing to students and prospective students, help us develop strong working relationships with local government bodies, and continue to build the Grand Canyon University brand.</w:t>
      </w:r>
    </w:p>
    <w:p>
      <w:pPr>
        <w:spacing w:after="0" w:line="79" w:lineRule="exact"/>
        <w:rPr>
          <w:sz w:val="20"/>
          <w:szCs w:val="20"/>
          <w:color w:val="auto"/>
        </w:rPr>
      </w:pPr>
    </w:p>
    <w:p>
      <w:pPr>
        <w:ind w:left="1480" w:right="280" w:hanging="446"/>
        <w:spacing w:after="0" w:line="259"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Significant support for K-12 education</w:t>
      </w:r>
      <w:r>
        <w:rPr>
          <w:rFonts w:ascii="Arial" w:cs="Arial" w:eastAsia="Arial" w:hAnsi="Arial"/>
          <w:sz w:val="18"/>
          <w:szCs w:val="18"/>
          <w:color w:val="auto"/>
        </w:rPr>
        <w:t>. We have expanded our free tutoring/mentoring program to 73 Phoenix-area schools.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which is served by over 1,200 University students, operates in partnership with Phoenix-area businesses to provide 100 full-tuition scholarships to attend Grand Canyon University each year for students from inner-city schools who have sought academic assistance at GCU’s Learning Lounge.</w:t>
      </w:r>
    </w:p>
    <w:p>
      <w:pPr>
        <w:spacing w:after="0" w:line="119" w:lineRule="exact"/>
        <w:rPr>
          <w:rFonts w:ascii="Arial" w:cs="Arial" w:eastAsia="Arial" w:hAnsi="Arial"/>
          <w:sz w:val="18"/>
          <w:szCs w:val="18"/>
          <w:color w:val="auto"/>
        </w:rPr>
      </w:pPr>
    </w:p>
    <w:p>
      <w:pPr>
        <w:jc w:val="both"/>
        <w:ind w:left="1480" w:right="60" w:hanging="446"/>
        <w:spacing w:after="0" w:line="286" w:lineRule="auto"/>
        <w:tabs>
          <w:tab w:leader="none" w:pos="14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Increased home values</w:t>
      </w:r>
      <w:r>
        <w:rPr>
          <w:rFonts w:ascii="Arial" w:cs="Arial" w:eastAsia="Arial" w:hAnsi="Arial"/>
          <w:sz w:val="17"/>
          <w:szCs w:val="17"/>
          <w:color w:val="auto"/>
        </w:rPr>
        <w:t>. Together with Habitat for Humanity, we participated in the largest home renovation project in the country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West Phoenix area. As of December 31, 2017, 346 different projects have been completed. These efforts, combined with the University’s expanded presence in the community, has resulted in a significant increase in home values in the 85017 zip code.</w:t>
      </w:r>
    </w:p>
    <w:p>
      <w:pPr>
        <w:spacing w:after="0" w:line="97" w:lineRule="exact"/>
        <w:rPr>
          <w:rFonts w:ascii="Arial" w:cs="Arial" w:eastAsia="Arial" w:hAnsi="Arial"/>
          <w:sz w:val="17"/>
          <w:szCs w:val="17"/>
          <w:color w:val="auto"/>
        </w:rPr>
      </w:pPr>
    </w:p>
    <w:p>
      <w:pPr>
        <w:ind w:left="1480" w:hanging="446"/>
        <w:spacing w:after="0" w:line="264"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Improved safety. </w:t>
      </w:r>
      <w:r>
        <w:rPr>
          <w:rFonts w:ascii="Arial" w:cs="Arial" w:eastAsia="Arial" w:hAnsi="Arial"/>
          <w:sz w:val="18"/>
          <w:szCs w:val="18"/>
          <w:color w:val="auto"/>
        </w:rPr>
        <w:t>We are in the sixth year of a $1.6 million partnership with City of Phoenix Police Department that focuses on improving</w:t>
      </w:r>
      <w:r>
        <w:rPr>
          <w:rFonts w:ascii="Arial" w:cs="Arial" w:eastAsia="Arial" w:hAnsi="Arial"/>
          <w:sz w:val="18"/>
          <w:szCs w:val="18"/>
          <w:i w:val="1"/>
          <w:iCs w:val="1"/>
          <w:color w:val="auto"/>
        </w:rPr>
        <w:t xml:space="preserve"> </w:t>
      </w:r>
      <w:r>
        <w:rPr>
          <w:rFonts w:ascii="Arial" w:cs="Arial" w:eastAsia="Arial" w:hAnsi="Arial"/>
          <w:sz w:val="18"/>
          <w:szCs w:val="18"/>
          <w:color w:val="auto"/>
        </w:rPr>
        <w:t>safety and reducing crime in the communities surrounding our campus. Since the initiation of this program, crime has decreased substantially in the two-mile radius surrounding the University.</w:t>
      </w:r>
    </w:p>
    <w:p>
      <w:pPr>
        <w:spacing w:after="0" w:line="113"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Job creation on the campus</w:t>
      </w:r>
      <w:r>
        <w:rPr>
          <w:rFonts w:ascii="Arial" w:cs="Arial" w:eastAsia="Arial" w:hAnsi="Arial"/>
          <w:sz w:val="18"/>
          <w:szCs w:val="18"/>
          <w:color w:val="auto"/>
        </w:rPr>
        <w:t>. We have tripled the number of our full-time employees from 1,219 in 2008 to nearly 4,000 by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total number of full-time, part-time/adjunct and student worker positions is approximately 10,000.</w:t>
      </w:r>
    </w:p>
    <w:p>
      <w:pPr>
        <w:spacing w:after="0" w:line="102" w:lineRule="exact"/>
        <w:rPr>
          <w:rFonts w:ascii="Arial" w:cs="Arial" w:eastAsia="Arial" w:hAnsi="Arial"/>
          <w:sz w:val="18"/>
          <w:szCs w:val="18"/>
          <w:color w:val="auto"/>
        </w:rPr>
      </w:pPr>
    </w:p>
    <w:p>
      <w:pPr>
        <w:ind w:left="1480" w:right="320" w:hanging="446"/>
        <w:spacing w:after="0" w:line="264"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Job creation off campus</w:t>
      </w:r>
      <w:r>
        <w:rPr>
          <w:rFonts w:ascii="Arial" w:cs="Arial" w:eastAsia="Arial" w:hAnsi="Arial"/>
          <w:sz w:val="18"/>
          <w:szCs w:val="18"/>
          <w:color w:val="auto"/>
        </w:rPr>
        <w:t>. We are launching a number of new business enterprises that reduce costs for the University,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opportunities for recent graduates and employment opportunities for current students and neighborhood residents, while spurring economic growth in the area.</w:t>
      </w:r>
    </w:p>
    <w:p>
      <w:pPr>
        <w:spacing w:after="0" w:line="141" w:lineRule="exact"/>
        <w:rPr>
          <w:sz w:val="20"/>
          <w:szCs w:val="20"/>
          <w:color w:val="auto"/>
        </w:rPr>
      </w:pPr>
    </w:p>
    <w:p>
      <w:pPr>
        <w:ind w:right="60" w:firstLine="571"/>
        <w:spacing w:after="0" w:line="302" w:lineRule="auto"/>
        <w:rPr>
          <w:sz w:val="20"/>
          <w:szCs w:val="20"/>
          <w:color w:val="auto"/>
        </w:rPr>
      </w:pPr>
      <w:r>
        <w:rPr>
          <w:rFonts w:ascii="Arial" w:cs="Arial" w:eastAsia="Arial" w:hAnsi="Arial"/>
          <w:sz w:val="16"/>
          <w:szCs w:val="16"/>
          <w:color w:val="auto"/>
        </w:rPr>
        <w:t>The University is also involved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faculty, staff and students also go out into our surrounding neighborhoods to participate in University-sponsored programs such as Serve the City, Canyon Kids, Salute Our Troops, Colter Commons senior home visits and the Run to Fight Children’s Cancer.</w:t>
      </w:r>
    </w:p>
    <w:p>
      <w:pPr>
        <w:spacing w:after="0" w:line="127" w:lineRule="exact"/>
        <w:rPr>
          <w:sz w:val="20"/>
          <w:szCs w:val="20"/>
          <w:color w:val="auto"/>
        </w:rPr>
      </w:pPr>
    </w:p>
    <w:p>
      <w:pPr>
        <w:ind w:right="100" w:firstLine="571"/>
        <w:spacing w:after="0" w:line="297" w:lineRule="auto"/>
        <w:rPr>
          <w:sz w:val="20"/>
          <w:szCs w:val="20"/>
          <w:color w:val="auto"/>
        </w:rPr>
      </w:pPr>
      <w:r>
        <w:rPr>
          <w:rFonts w:ascii="Arial" w:cs="Arial" w:eastAsia="Arial" w:hAnsi="Arial"/>
          <w:sz w:val="16"/>
          <w:szCs w:val="16"/>
          <w:i w:val="1"/>
          <w:iCs w:val="1"/>
          <w:color w:val="auto"/>
        </w:rPr>
        <w:t>Stockholder Approval of Executive Compensation</w:t>
      </w:r>
      <w:r>
        <w:rPr>
          <w:rFonts w:ascii="Arial" w:cs="Arial" w:eastAsia="Arial" w:hAnsi="Arial"/>
          <w:sz w:val="16"/>
          <w:szCs w:val="16"/>
          <w:color w:val="auto"/>
        </w:rPr>
        <w:t>. We have held stockholder advisory votes on the compensation of our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commonly referred to as a Say-on-Pay vote, since 2011 and, in each case, our stockholders approved the compensation of our named executive officers by wide margins, including receiving the support of 95.0% of shares voted in 2017. As we evaluated our compensation practices for 2017 and into 2018 in light of such votes, we gave great consideration to the strong support our stockholders expressed for our current compensation philosophy and practices. As a result, our Compensation Committee retained our general approach to executive compensation in 2017 and into 2018, as discussed below.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continued practices that are considered standard for good corporate governance and executive compensation, including:</w:t>
      </w:r>
    </w:p>
    <w:p>
      <w:pPr>
        <w:spacing w:after="0" w:line="92" w:lineRule="exact"/>
        <w:rPr>
          <w:sz w:val="20"/>
          <w:szCs w:val="20"/>
          <w:color w:val="auto"/>
        </w:rPr>
      </w:pPr>
    </w:p>
    <w:p>
      <w:pPr>
        <w:ind w:left="1120" w:hanging="545"/>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Strong alignment between company-wide performance and payouts under our annual cash incentive plan (“Annual Cash Incentive Plan”);</w:t>
      </w:r>
    </w:p>
    <w:p>
      <w:pPr>
        <w:spacing w:after="0" w:line="153" w:lineRule="exact"/>
        <w:rPr>
          <w:rFonts w:ascii="Arial" w:cs="Arial" w:eastAsia="Arial" w:hAnsi="Arial"/>
          <w:sz w:val="16"/>
          <w:szCs w:val="16"/>
          <w:color w:val="auto"/>
        </w:rPr>
      </w:pPr>
    </w:p>
    <w:p>
      <w:pPr>
        <w:ind w:left="1120" w:hanging="545"/>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130" w:lineRule="exact"/>
        <w:rPr>
          <w:rFonts w:ascii="Arial" w:cs="Arial" w:eastAsia="Arial" w:hAnsi="Arial"/>
          <w:sz w:val="18"/>
          <w:szCs w:val="18"/>
          <w:color w:val="auto"/>
        </w:rPr>
      </w:pPr>
    </w:p>
    <w:p>
      <w:pPr>
        <w:ind w:left="1120" w:right="40" w:hanging="545"/>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stock-based awards are subject to five-year vesting periods, with 20% of each grant vesting annually on each of the first five anniversaries of the date of grant;</w:t>
      </w:r>
    </w:p>
    <w:p>
      <w:pPr>
        <w:spacing w:after="0" w:line="75" w:lineRule="exact"/>
        <w:rPr>
          <w:rFonts w:ascii="Arial" w:cs="Arial" w:eastAsia="Arial" w:hAnsi="Arial"/>
          <w:sz w:val="18"/>
          <w:szCs w:val="18"/>
          <w:color w:val="auto"/>
        </w:rPr>
      </w:pPr>
    </w:p>
    <w:p>
      <w:pPr>
        <w:ind w:left="1120" w:right="300" w:hanging="545"/>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(base salary and target bonus) and benefits and limited acceleration of vesting; and</w:t>
      </w:r>
    </w:p>
    <w:p>
      <w:pPr>
        <w:spacing w:after="0" w:line="75" w:lineRule="exact"/>
        <w:rPr>
          <w:rFonts w:ascii="Arial" w:cs="Arial" w:eastAsia="Arial" w:hAnsi="Arial"/>
          <w:sz w:val="18"/>
          <w:szCs w:val="18"/>
          <w:color w:val="auto"/>
        </w:rPr>
      </w:pPr>
    </w:p>
    <w:p>
      <w:pPr>
        <w:ind w:left="1120" w:hanging="545"/>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2017 appropriately reflected the economic and regulatory environments, the performance of the Company and the relationship with market compensation necessary to retain and motivate our executives, and that the continuation of these practices in 2018 is appropriate given the continued regulatory, economic and competitive challenges that we expect to face.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2017 Executive Compensation</w:t>
      </w:r>
    </w:p>
    <w:p>
      <w:pPr>
        <w:spacing w:after="0" w:line="117" w:lineRule="exact"/>
        <w:rPr>
          <w:sz w:val="20"/>
          <w:szCs w:val="20"/>
          <w:color w:val="auto"/>
        </w:rPr>
      </w:pPr>
    </w:p>
    <w:p>
      <w:pPr>
        <w:ind w:right="200" w:firstLine="571"/>
        <w:spacing w:after="0" w:line="302"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the individuals set forth in the Summary Compensation Table set forth below (our “named executive officers”), including our principal executive officer, our principal financial officer, and our three other most highly compensated executive officers whose total compensation for the fiscal year ended December 31, 2017, was in excess of $100,000 and who were serving as executive officers at the end of that fiscal year.</w:t>
      </w:r>
    </w:p>
    <w:p>
      <w:pPr>
        <w:spacing w:after="0" w:line="154" w:lineRule="exact"/>
        <w:rPr>
          <w:sz w:val="20"/>
          <w:szCs w:val="20"/>
          <w:color w:val="auto"/>
        </w:rPr>
      </w:pPr>
    </w:p>
    <w:p>
      <w:pPr>
        <w:ind w:right="160" w:firstLine="571"/>
        <w:spacing w:after="0" w:line="264"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2017, the numerical and related information contained in the summary compensation and related tables presented below, and actions we have taken regarding executive compensation since the end of our 2017 fiscal year. Specifically, this Compensation Discussion and Analysis addresses:</w:t>
      </w:r>
    </w:p>
    <w:p>
      <w:pPr>
        <w:spacing w:after="0" w:line="87" w:lineRule="exact"/>
        <w:rPr>
          <w:sz w:val="20"/>
          <w:szCs w:val="20"/>
          <w:color w:val="auto"/>
        </w:rPr>
      </w:pPr>
    </w:p>
    <w:p>
      <w:pPr>
        <w:ind w:left="1120" w:hanging="54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130" w:lineRule="exact"/>
        <w:rPr>
          <w:rFonts w:ascii="Arial" w:cs="Arial" w:eastAsia="Arial" w:hAnsi="Arial"/>
          <w:sz w:val="18"/>
          <w:szCs w:val="18"/>
          <w:color w:val="auto"/>
        </w:rPr>
      </w:pPr>
    </w:p>
    <w:p>
      <w:pPr>
        <w:ind w:left="1120" w:hanging="545"/>
        <w:spacing w:after="0"/>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what our compensation program is designed to reward (also described in the section entitled “Objectives of Compensation Programs”);</w:t>
      </w:r>
    </w:p>
    <w:p>
      <w:pPr>
        <w:spacing w:after="0" w:line="142" w:lineRule="exact"/>
        <w:rPr>
          <w:rFonts w:ascii="Arial" w:cs="Arial" w:eastAsia="Arial" w:hAnsi="Arial"/>
          <w:sz w:val="17"/>
          <w:szCs w:val="17"/>
          <w:color w:val="auto"/>
        </w:rPr>
      </w:pPr>
    </w:p>
    <w:p>
      <w:pPr>
        <w:ind w:left="1120" w:hanging="545"/>
        <w:spacing w:after="0"/>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element of compensation (set forth in the section entitled “Compensation Program Design and Elements of Compensation”);</w:t>
      </w:r>
    </w:p>
    <w:p>
      <w:pPr>
        <w:spacing w:after="0" w:line="142" w:lineRule="exact"/>
        <w:rPr>
          <w:rFonts w:ascii="Arial" w:cs="Arial" w:eastAsia="Arial" w:hAnsi="Arial"/>
          <w:sz w:val="17"/>
          <w:szCs w:val="17"/>
          <w:color w:val="auto"/>
        </w:rPr>
      </w:pPr>
    </w:p>
    <w:p>
      <w:pPr>
        <w:ind w:left="1120" w:right="620" w:hanging="545"/>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75" w:lineRule="exact"/>
        <w:rPr>
          <w:rFonts w:ascii="Arial" w:cs="Arial" w:eastAsia="Arial" w:hAnsi="Arial"/>
          <w:sz w:val="18"/>
          <w:szCs w:val="18"/>
          <w:color w:val="auto"/>
        </w:rPr>
      </w:pPr>
    </w:p>
    <w:p>
      <w:pPr>
        <w:ind w:left="1120" w:right="360" w:hanging="545"/>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amounts and formulas for pay are calculated and determined (also described with each element of compensation, including base pay, short-term incentives and long-term incentives); and</w:t>
      </w:r>
    </w:p>
    <w:p>
      <w:pPr>
        <w:spacing w:after="0" w:line="75" w:lineRule="exact"/>
        <w:rPr>
          <w:rFonts w:ascii="Arial" w:cs="Arial" w:eastAsia="Arial" w:hAnsi="Arial"/>
          <w:sz w:val="18"/>
          <w:szCs w:val="18"/>
          <w:color w:val="auto"/>
        </w:rPr>
      </w:pPr>
    </w:p>
    <w:p>
      <w:pPr>
        <w:ind w:left="1120" w:right="300" w:hanging="545"/>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1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87"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17"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81"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i w:val="1"/>
          <w:iCs w:val="1"/>
          <w:color w:val="auto"/>
        </w:rPr>
        <w:t xml:space="preserve">Compensation philosophy. </w:t>
      </w:r>
      <w:r>
        <w:rPr>
          <w:rFonts w:ascii="Arial" w:cs="Arial" w:eastAsia="Arial" w:hAnsi="Arial"/>
          <w:sz w:val="18"/>
          <w:szCs w:val="18"/>
          <w:color w:val="auto"/>
        </w:rPr>
        <w:t>Under our compensation philosophy, a named executive officer’s total compensation will vary based on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131" w:lineRule="exact"/>
        <w:rPr>
          <w:sz w:val="20"/>
          <w:szCs w:val="20"/>
          <w:color w:val="auto"/>
        </w:rPr>
      </w:pPr>
    </w:p>
    <w:p>
      <w:pPr>
        <w:ind w:left="1120" w:right="100" w:hanging="545"/>
        <w:spacing w:after="0" w:line="286" w:lineRule="auto"/>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 individual’s total compensation should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70" w:lineRule="exact"/>
        <w:rPr>
          <w:rFonts w:ascii="Arial" w:cs="Arial" w:eastAsia="Arial" w:hAnsi="Arial"/>
          <w:sz w:val="17"/>
          <w:szCs w:val="17"/>
          <w:color w:val="auto"/>
        </w:rPr>
      </w:pPr>
    </w:p>
    <w:p>
      <w:pPr>
        <w:ind w:left="1120" w:right="40" w:hanging="545"/>
        <w:spacing w:after="0" w:line="25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 should foster an innovative, high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88"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2017, our named executive officers’ total in-service compensation consisted of base salaries, cash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compensation, and other benefits generally available to all employees. With regard to these components, we adhere to the following compensation policies:</w:t>
      </w:r>
    </w:p>
    <w:p>
      <w:pPr>
        <w:spacing w:after="0" w:line="87" w:lineRule="exact"/>
        <w:rPr>
          <w:sz w:val="20"/>
          <w:szCs w:val="20"/>
          <w:color w:val="auto"/>
        </w:rPr>
      </w:pPr>
    </w:p>
    <w:p>
      <w:pPr>
        <w:ind w:left="1120" w:right="200" w:hanging="545"/>
        <w:spacing w:after="0" w:line="259"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Cash should be a significant component of compensation. </w:t>
      </w:r>
      <w:r>
        <w:rPr>
          <w:rFonts w:ascii="Arial" w:cs="Arial" w:eastAsia="Arial" w:hAnsi="Arial"/>
          <w:sz w:val="18"/>
          <w:szCs w:val="18"/>
          <w:color w:val="auto"/>
        </w:rPr>
        <w:t>The Company’s compensation policy focuses on providing the opportunity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92" w:lineRule="exact"/>
        <w:rPr>
          <w:rFonts w:ascii="Arial" w:cs="Arial" w:eastAsia="Arial" w:hAnsi="Arial"/>
          <w:sz w:val="18"/>
          <w:szCs w:val="18"/>
          <w:color w:val="auto"/>
        </w:rPr>
      </w:pPr>
    </w:p>
    <w:p>
      <w:pPr>
        <w:ind w:left="1120" w:right="200" w:hanging="545"/>
        <w:spacing w:after="0" w:line="302"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Base salaries should generally be the largest component of cash compensation</w:t>
      </w:r>
      <w:r>
        <w:rPr>
          <w:rFonts w:ascii="Arial" w:cs="Arial" w:eastAsia="Arial" w:hAnsi="Arial"/>
          <w:sz w:val="16"/>
          <w:szCs w:val="16"/>
          <w:color w:val="auto"/>
        </w:rPr>
        <w:t>. Our compensation programs generally reflect our view that</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59" w:lineRule="exact"/>
        <w:rPr>
          <w:rFonts w:ascii="Arial" w:cs="Arial" w:eastAsia="Arial" w:hAnsi="Arial"/>
          <w:sz w:val="16"/>
          <w:szCs w:val="16"/>
          <w:color w:val="auto"/>
        </w:rPr>
      </w:pPr>
    </w:p>
    <w:p>
      <w:pPr>
        <w:ind w:left="1120" w:right="260" w:hanging="545"/>
        <w:spacing w:after="0" w:line="286" w:lineRule="auto"/>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Cash incentives should be linked to performance. </w:t>
      </w:r>
      <w:r>
        <w:rPr>
          <w:rFonts w:ascii="Arial" w:cs="Arial" w:eastAsia="Arial" w:hAnsi="Arial"/>
          <w:sz w:val="17"/>
          <w:szCs w:val="17"/>
          <w:color w:val="auto"/>
        </w:rPr>
        <w:t>Under our Annual Cash Incentive Plan, bonuses paid to our named executive officers are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overall company financial performance, but are subject to reduction based on the Compensation Committee’s assessment of the particular named executive officer’s personal performance and contribution to our overall results.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17" w:lineRule="exact"/>
        <w:rPr>
          <w:sz w:val="20"/>
          <w:szCs w:val="20"/>
          <w:color w:val="auto"/>
        </w:rPr>
      </w:pPr>
    </w:p>
    <w:p>
      <w:pPr>
        <w:ind w:right="200" w:firstLine="571"/>
        <w:spacing w:after="0" w:line="277"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70"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i w:val="1"/>
          <w:iCs w:val="1"/>
          <w:color w:val="auto"/>
        </w:rPr>
        <w:t xml:space="preserve">Elements of In-Service Compensation. </w:t>
      </w:r>
      <w:r>
        <w:rPr>
          <w:rFonts w:ascii="Arial" w:cs="Arial" w:eastAsia="Arial" w:hAnsi="Arial"/>
          <w:sz w:val="16"/>
          <w:szCs w:val="16"/>
          <w:color w:val="auto"/>
        </w:rPr>
        <w:t>For our 2017 fiscal year, our executive compensation mix included base salaries, performance-based cash</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2017, we did not provide any perquisites to our named executive officers. We generally determine the nature and amount of each element of compensation as follows:</w:t>
      </w:r>
    </w:p>
    <w:p>
      <w:pPr>
        <w:spacing w:after="0" w:line="60" w:lineRule="exact"/>
        <w:rPr>
          <w:sz w:val="20"/>
          <w:szCs w:val="20"/>
          <w:color w:val="auto"/>
        </w:rPr>
      </w:pPr>
    </w:p>
    <w:p>
      <w:pPr>
        <w:ind w:left="1120" w:right="100" w:hanging="545"/>
        <w:spacing w:after="0" w:line="254"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typically agree upon a base salary with a named executive officer at the time of initial employment. The amount of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97" w:lineRule="exact"/>
        <w:rPr>
          <w:rFonts w:ascii="Arial" w:cs="Arial" w:eastAsia="Arial" w:hAnsi="Arial"/>
          <w:sz w:val="18"/>
          <w:szCs w:val="18"/>
          <w:color w:val="auto"/>
        </w:rPr>
      </w:pPr>
    </w:p>
    <w:p>
      <w:pPr>
        <w:ind w:left="1120" w:right="120" w:hanging="545"/>
        <w:spacing w:after="0" w:line="264"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 based on our success in</w:t>
      </w:r>
      <w:r>
        <w:rPr>
          <w:rFonts w:ascii="Arial" w:cs="Arial" w:eastAsia="Arial" w:hAnsi="Arial"/>
          <w:sz w:val="18"/>
          <w:szCs w:val="18"/>
          <w:i w:val="1"/>
          <w:iCs w:val="1"/>
          <w:color w:val="auto"/>
        </w:rPr>
        <w:t xml:space="preserve"> </w:t>
      </w:r>
      <w:r>
        <w:rPr>
          <w:rFonts w:ascii="Arial" w:cs="Arial" w:eastAsia="Arial" w:hAnsi="Arial"/>
          <w:sz w:val="18"/>
          <w:szCs w:val="18"/>
          <w:color w:val="auto"/>
        </w:rPr>
        <w:t>a given year. For 2017, we awarded performance-related bonuses under our Annual Cash Incentive Plan. The operation of this plan as it relates to our named executive officers is described in more detail below.</w:t>
      </w:r>
    </w:p>
    <w:p>
      <w:pPr>
        <w:spacing w:after="0" w:line="86" w:lineRule="exact"/>
        <w:rPr>
          <w:rFonts w:ascii="Arial" w:cs="Arial" w:eastAsia="Arial" w:hAnsi="Arial"/>
          <w:sz w:val="18"/>
          <w:szCs w:val="18"/>
          <w:color w:val="auto"/>
        </w:rPr>
      </w:pPr>
    </w:p>
    <w:p>
      <w:pPr>
        <w:ind w:left="1120" w:hanging="545"/>
        <w:spacing w:after="0" w:line="255"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Prior to June 2017, the Company made grants of restricted stock and stock options under its 2008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“2008 Plan”). In January 2017, the Board of Directors approved, and at the University’s 2017 annual meeting of stockholders held on June 14, 2017, the University’s stockholders adopted a 2017 Equity Incentive Plan (the “2017 Plan”) under which a maximum of 3,000,000 shares may be granted. In 2017, our named executive officers received grants of restricted stock under the 2008 plan, as our new 2017 Plan was not yet formally approved, as part of an overall, annual equity incentive grant made to Company employees. All future grants of equity incentives will be made from the 2017 Plan.</w:t>
      </w:r>
    </w:p>
    <w:p>
      <w:pPr>
        <w:spacing w:after="0" w:line="98" w:lineRule="exact"/>
        <w:rPr>
          <w:rFonts w:ascii="Arial" w:cs="Arial" w:eastAsia="Arial" w:hAnsi="Arial"/>
          <w:sz w:val="18"/>
          <w:szCs w:val="18"/>
          <w:color w:val="auto"/>
        </w:rPr>
      </w:pPr>
    </w:p>
    <w:p>
      <w:pPr>
        <w:ind w:left="1120" w:right="80" w:hanging="545"/>
        <w:spacing w:after="0" w:line="272"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 and future health and security needs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78"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i w:val="1"/>
          <w:iCs w:val="1"/>
          <w:color w:val="auto"/>
        </w:rPr>
        <w:t xml:space="preserve">Elements of Post-Termination Compensation and Benefits. </w:t>
      </w:r>
      <w:r>
        <w:rPr>
          <w:rFonts w:ascii="Arial" w:cs="Arial" w:eastAsia="Arial" w:hAnsi="Arial"/>
          <w:sz w:val="17"/>
          <w:szCs w:val="17"/>
          <w:color w:val="auto"/>
        </w:rPr>
        <w:t>The employment agreements of our named executive officers provide for post-termination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2017 pursuant to the written employment agreements consisted of the following:</w:t>
      </w:r>
    </w:p>
    <w:p>
      <w:pPr>
        <w:spacing w:after="0" w:line="84" w:lineRule="exact"/>
        <w:rPr>
          <w:sz w:val="20"/>
          <w:szCs w:val="20"/>
          <w:color w:val="auto"/>
        </w:rPr>
      </w:pPr>
    </w:p>
    <w:p>
      <w:pPr>
        <w:ind w:left="1120" w:right="240" w:hanging="545"/>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twelve (12) months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any qualifying termination of employment.</w:t>
      </w:r>
    </w:p>
    <w:p>
      <w:pPr>
        <w:spacing w:after="0" w:line="75" w:lineRule="exact"/>
        <w:rPr>
          <w:rFonts w:ascii="Arial" w:cs="Arial" w:eastAsia="Arial" w:hAnsi="Arial"/>
          <w:sz w:val="18"/>
          <w:szCs w:val="18"/>
          <w:color w:val="auto"/>
        </w:rPr>
      </w:pPr>
    </w:p>
    <w:p>
      <w:pPr>
        <w:ind w:left="1120" w:right="220" w:hanging="545"/>
        <w:spacing w:after="0" w:line="264"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would receive an additional amount equal to 100% of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target bonus for the year in which such termination occurs, with such amount also payable over twelve (12) months following any qualifying termination of employment.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60" w:hanging="545"/>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Company-paid premiums for continued group health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COBRA during the salary continuation period.</w:t>
      </w:r>
    </w:p>
    <w:p>
      <w:pPr>
        <w:spacing w:after="0" w:line="75" w:lineRule="exact"/>
        <w:rPr>
          <w:rFonts w:ascii="Arial" w:cs="Arial" w:eastAsia="Arial" w:hAnsi="Arial"/>
          <w:sz w:val="18"/>
          <w:szCs w:val="18"/>
          <w:color w:val="auto"/>
        </w:rPr>
      </w:pPr>
    </w:p>
    <w:p>
      <w:pPr>
        <w:ind w:left="1120" w:right="40" w:hanging="545"/>
        <w:spacing w:after="0" w:line="264"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Certain of our named executive officers would receive partial acceleration of the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any outstanding stock options or restricted stock awards to the next vesting date immediately following the date of termination, in the event of a termination by us without Cause or by the executive for Good Reason.</w:t>
      </w:r>
    </w:p>
    <w:p>
      <w:pPr>
        <w:spacing w:after="0" w:line="86" w:lineRule="exact"/>
        <w:rPr>
          <w:rFonts w:ascii="Arial" w:cs="Arial" w:eastAsia="Arial" w:hAnsi="Arial"/>
          <w:sz w:val="18"/>
          <w:szCs w:val="18"/>
          <w:color w:val="auto"/>
        </w:rPr>
      </w:pPr>
    </w:p>
    <w:p>
      <w:pPr>
        <w:ind w:left="1120" w:right="460" w:hanging="545"/>
        <w:spacing w:after="0" w:line="264"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 Good Reason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twelve (12) months following a Change in Control, each named executive officer would receive full acceleration of the vesting of their outstanding stock options or restricted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“Executive Employment Agreements” and “Potential Payments Upon Termination or Change in Control” for additional detail.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17" w:lineRule="exact"/>
        <w:rPr>
          <w:sz w:val="20"/>
          <w:szCs w:val="20"/>
          <w:color w:val="auto"/>
        </w:rPr>
      </w:pPr>
    </w:p>
    <w:p>
      <w:pPr>
        <w:ind w:right="100" w:firstLine="571"/>
        <w:spacing w:after="0" w:line="272" w:lineRule="auto"/>
        <w:rPr>
          <w:sz w:val="20"/>
          <w:szCs w:val="20"/>
          <w:color w:val="auto"/>
        </w:rPr>
      </w:pPr>
      <w:r>
        <w:rPr>
          <w:rFonts w:ascii="Arial" w:cs="Arial" w:eastAsia="Arial" w:hAnsi="Arial"/>
          <w:sz w:val="17"/>
          <w:szCs w:val="17"/>
          <w:color w:val="auto"/>
        </w:rPr>
        <w:t xml:space="preserve">Under the Annual Cash Incentive Plan as in effect for 2017,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2017, we defined Adjusted EBITDA for purposes of the Annual Cash Incentive Plan in a manner consistent with the definition we use when reporting our financial results. See Item 6, </w:t>
      </w:r>
      <w:r>
        <w:rPr>
          <w:rFonts w:ascii="Arial" w:cs="Arial" w:eastAsia="Arial" w:hAnsi="Arial"/>
          <w:sz w:val="17"/>
          <w:szCs w:val="17"/>
          <w:i w:val="1"/>
          <w:iCs w:val="1"/>
          <w:color w:val="auto"/>
        </w:rPr>
        <w:t>Selected Consolidated Financial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Data, </w:t>
      </w:r>
      <w:r>
        <w:rPr>
          <w:rFonts w:ascii="Arial" w:cs="Arial" w:eastAsia="Arial" w:hAnsi="Arial"/>
          <w:sz w:val="17"/>
          <w:szCs w:val="17"/>
          <w:color w:val="auto"/>
        </w:rPr>
        <w:t>beginning on page 42 of our Annual Report on Form 10-K for the fiscal year ended December 31, 2017 for information regarding our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calculation of Adjusted EBITDA. As such, we believe it is fair and reasonable to our executives to assess their individual performance on the same basis as our performance is assessed by our Board of Directors and investors.</w:t>
      </w:r>
    </w:p>
    <w:p>
      <w:pPr>
        <w:spacing w:after="0" w:line="13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For our named executive officers, the financial metrics account for 100% of the target bonus, with the resulting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reduction based on the Compensation Committee’s assessment of the particular named executive officer’s personal performance and contribution to our overall results. For other plan participants, the financial metrics account for 60% of the target bonus and specific individual performance goals account for 40% of the target bonus.</w:t>
      </w:r>
    </w:p>
    <w:p>
      <w:pPr>
        <w:spacing w:after="0" w:line="146"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given participant, may include achieving objectives related to, among other things, program development and expansion, regulatory compliance, student retention and academic outcomes.</w:t>
      </w:r>
    </w:p>
    <w:p>
      <w:pPr>
        <w:spacing w:after="0" w:line="154" w:lineRule="exact"/>
        <w:rPr>
          <w:sz w:val="20"/>
          <w:szCs w:val="20"/>
          <w:color w:val="auto"/>
        </w:rPr>
      </w:pPr>
    </w:p>
    <w:p>
      <w:pPr>
        <w:ind w:right="80" w:firstLine="571"/>
        <w:spacing w:after="0" w:line="264" w:lineRule="auto"/>
        <w:rPr>
          <w:sz w:val="20"/>
          <w:szCs w:val="20"/>
          <w:color w:val="auto"/>
        </w:rPr>
      </w:pPr>
      <w:r>
        <w:rPr>
          <w:rFonts w:ascii="Arial" w:cs="Arial" w:eastAsia="Arial" w:hAnsi="Arial"/>
          <w:sz w:val="18"/>
          <w:szCs w:val="18"/>
          <w:i w:val="1"/>
          <w:iCs w:val="1"/>
          <w:color w:val="auto"/>
        </w:rPr>
        <w:t>Calculation of bonuses</w:t>
      </w:r>
      <w:r>
        <w:rPr>
          <w:rFonts w:ascii="Arial" w:cs="Arial" w:eastAsia="Arial" w:hAnsi="Arial"/>
          <w:sz w:val="18"/>
          <w:szCs w:val="18"/>
          <w:color w:val="auto"/>
        </w:rPr>
        <w:t>. For each named executive officer, the Compensation Committee establishes a target bonus, which is stated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named executive officer’s base salary. For 2017, the bonus opportunity as a percentage of base salary for each of the named executive officers were as follows:</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20" w:type="dxa"/>
            <w:vAlign w:val="bottom"/>
          </w:tcPr>
          <w:p>
            <w:pPr>
              <w:jc w:val="center"/>
              <w:ind w:left="58"/>
              <w:spacing w:after="0"/>
              <w:rPr>
                <w:sz w:val="20"/>
                <w:szCs w:val="20"/>
                <w:color w:val="auto"/>
              </w:rPr>
            </w:pPr>
            <w:r>
              <w:rPr>
                <w:rFonts w:ascii="Arial" w:cs="Arial" w:eastAsia="Arial" w:hAnsi="Arial"/>
                <w:sz w:val="14"/>
                <w:szCs w:val="14"/>
                <w:b w:val="1"/>
                <w:bCs w:val="1"/>
                <w:color w:val="auto"/>
                <w:w w:val="91"/>
              </w:rPr>
              <w:t>Bonus Opportunity as a</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120" w:type="dxa"/>
            <w:vAlign w:val="bottom"/>
          </w:tcPr>
          <w:p>
            <w:pPr>
              <w:jc w:val="center"/>
              <w:ind w:left="58"/>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0"/>
              </w:rPr>
              <w:t>Base Salary</w:t>
            </w:r>
          </w:p>
        </w:tc>
        <w:tc>
          <w:tcPr>
            <w:tcW w:w="1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Threshold</w:t>
            </w:r>
          </w:p>
        </w:tc>
        <w:tc>
          <w:tcPr>
            <w:tcW w:w="2120" w:type="dxa"/>
            <w:vAlign w:val="bottom"/>
            <w:tcBorders>
              <w:bottom w:val="single" w:sz="8" w:color="auto"/>
            </w:tcBorders>
          </w:tcPr>
          <w:p>
            <w:pPr>
              <w:jc w:val="right"/>
              <w:ind w:right="938"/>
              <w:spacing w:after="0" w:line="142" w:lineRule="exact"/>
              <w:rPr>
                <w:sz w:val="20"/>
                <w:szCs w:val="20"/>
                <w:color w:val="auto"/>
              </w:rPr>
            </w:pPr>
            <w:r>
              <w:rPr>
                <w:rFonts w:ascii="Arial" w:cs="Arial" w:eastAsia="Arial" w:hAnsi="Arial"/>
                <w:sz w:val="14"/>
                <w:szCs w:val="14"/>
                <w:b w:val="1"/>
                <w:bCs w:val="1"/>
                <w:color w:val="auto"/>
              </w:rPr>
              <w:t>Target</w:t>
            </w:r>
          </w:p>
        </w:tc>
        <w:tc>
          <w:tcPr>
            <w:tcW w:w="140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Maximum</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50.00%</w:t>
            </w:r>
          </w:p>
        </w:tc>
        <w:tc>
          <w:tcPr>
            <w:tcW w:w="21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Dr. W. Stan Meyer</w:t>
            </w:r>
          </w:p>
        </w:tc>
        <w:tc>
          <w:tcPr>
            <w:tcW w:w="1500" w:type="dxa"/>
            <w:vAlign w:val="bottom"/>
            <w:gridSpan w:val="2"/>
          </w:tcPr>
          <w:p>
            <w:pPr>
              <w:jc w:val="right"/>
              <w:ind w:right="328"/>
              <w:spacing w:after="0"/>
              <w:rPr>
                <w:sz w:val="20"/>
                <w:szCs w:val="20"/>
                <w:color w:val="auto"/>
              </w:rPr>
            </w:pPr>
            <w:r>
              <w:rPr>
                <w:rFonts w:ascii="Arial" w:cs="Arial" w:eastAsia="Arial" w:hAnsi="Arial"/>
                <w:sz w:val="18"/>
                <w:szCs w:val="18"/>
                <w:color w:val="auto"/>
              </w:rPr>
              <w:t>37.50%</w:t>
            </w:r>
          </w:p>
        </w:tc>
        <w:tc>
          <w:tcPr>
            <w:tcW w:w="2120" w:type="dxa"/>
            <w:vAlign w:val="bottom"/>
          </w:tcPr>
          <w:p>
            <w:pPr>
              <w:jc w:val="right"/>
              <w:ind w:right="798"/>
              <w:spacing w:after="0"/>
              <w:rPr>
                <w:sz w:val="20"/>
                <w:szCs w:val="20"/>
                <w:color w:val="auto"/>
              </w:rPr>
            </w:pPr>
            <w:r>
              <w:rPr>
                <w:rFonts w:ascii="Arial" w:cs="Arial" w:eastAsia="Arial" w:hAnsi="Arial"/>
                <w:sz w:val="18"/>
                <w:szCs w:val="18"/>
                <w:color w:val="auto"/>
              </w:rPr>
              <w:t>75.0%</w:t>
            </w:r>
          </w:p>
        </w:tc>
        <w:tc>
          <w:tcPr>
            <w:tcW w:w="1400" w:type="dxa"/>
            <w:vAlign w:val="bottom"/>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37.50%</w:t>
            </w:r>
          </w:p>
        </w:tc>
        <w:tc>
          <w:tcPr>
            <w:tcW w:w="21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75.0%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Joseph N. Mildenhall</w:t>
            </w:r>
          </w:p>
        </w:tc>
        <w:tc>
          <w:tcPr>
            <w:tcW w:w="1500" w:type="dxa"/>
            <w:vAlign w:val="bottom"/>
            <w:gridSpan w:val="2"/>
          </w:tcPr>
          <w:p>
            <w:pPr>
              <w:jc w:val="right"/>
              <w:ind w:right="328"/>
              <w:spacing w:after="0"/>
              <w:rPr>
                <w:sz w:val="20"/>
                <w:szCs w:val="20"/>
                <w:color w:val="auto"/>
              </w:rPr>
            </w:pPr>
            <w:r>
              <w:rPr>
                <w:rFonts w:ascii="Arial" w:cs="Arial" w:eastAsia="Arial" w:hAnsi="Arial"/>
                <w:sz w:val="18"/>
                <w:szCs w:val="18"/>
                <w:color w:val="auto"/>
              </w:rPr>
              <w:t>25.00%</w:t>
            </w:r>
          </w:p>
        </w:tc>
        <w:tc>
          <w:tcPr>
            <w:tcW w:w="2120" w:type="dxa"/>
            <w:vAlign w:val="bottom"/>
          </w:tcPr>
          <w:p>
            <w:pPr>
              <w:jc w:val="right"/>
              <w:ind w:right="798"/>
              <w:spacing w:after="0"/>
              <w:rPr>
                <w:sz w:val="20"/>
                <w:szCs w:val="20"/>
                <w:color w:val="auto"/>
              </w:rPr>
            </w:pPr>
            <w:r>
              <w:rPr>
                <w:rFonts w:ascii="Arial" w:cs="Arial" w:eastAsia="Arial" w:hAnsi="Arial"/>
                <w:sz w:val="18"/>
                <w:szCs w:val="18"/>
                <w:color w:val="auto"/>
              </w:rPr>
              <w:t>50.0%</w:t>
            </w:r>
          </w:p>
        </w:tc>
        <w:tc>
          <w:tcPr>
            <w:tcW w:w="140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25.00%</w:t>
            </w:r>
          </w:p>
        </w:tc>
        <w:tc>
          <w:tcPr>
            <w:tcW w:w="212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50.0%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firstLine="571"/>
        <w:spacing w:after="0" w:line="272" w:lineRule="auto"/>
        <w:rPr>
          <w:sz w:val="20"/>
          <w:szCs w:val="20"/>
          <w:color w:val="auto"/>
        </w:rPr>
      </w:pPr>
      <w:r>
        <w:rPr>
          <w:rFonts w:ascii="Arial" w:cs="Arial" w:eastAsia="Arial" w:hAnsi="Arial"/>
          <w:sz w:val="17"/>
          <w:szCs w:val="17"/>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96% of both the revenue and Adjusted EBITDA goals. Assuming both of these thresholds are achieved, payouts are made based on the Company’s achievement of a minimum of 96% of both the revenue goal and Adjusted EBITDA goal (resulting in a bonus of 50% of the target bonus) and a maximum of 104% of the revenue goal and 106% of the Adjusted EBITDA goal (resulting in a bonus of 150% of the target bonus). Performance between threshold and maximum levels results in prorated payments using straight-line interpolation.</w:t>
      </w:r>
    </w:p>
    <w:p>
      <w:pPr>
        <w:sectPr>
          <w:pgSz w:w="11900" w:h="16838" w:orient="portrait"/>
          <w:cols w:equalWidth="0" w:num="1">
            <w:col w:w="11420"/>
          </w:cols>
          <w:pgMar w:left="240" w:top="459" w:right="239" w:bottom="1440" w:gutter="0" w:footer="0" w:header="0"/>
        </w:sectPr>
      </w:pP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Shown below is a summary of the matrix described above:</w:t>
      </w:r>
    </w:p>
    <w:p>
      <w:pPr>
        <w:spacing w:after="0" w:line="253"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Goal</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goal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Bonus payout as a % of 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5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5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466"/>
        </w:trPr>
        <w:tc>
          <w:tcPr>
            <w:tcW w:w="170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96% of goal</w:t>
            </w:r>
          </w:p>
        </w:tc>
        <w:tc>
          <w:tcPr>
            <w:tcW w:w="18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100% of goal</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 of goal</w:t>
            </w:r>
          </w:p>
        </w:tc>
      </w:tr>
      <w:tr>
        <w:trPr>
          <w:trHeight w:val="431"/>
        </w:trPr>
        <w:tc>
          <w:tcPr>
            <w:tcW w:w="170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96% of goal</w:t>
            </w:r>
          </w:p>
        </w:tc>
        <w:tc>
          <w:tcPr>
            <w:tcW w:w="18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100% of goal</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106% of goal</w:t>
            </w:r>
          </w:p>
        </w:tc>
      </w:tr>
      <w:tr>
        <w:trPr>
          <w:trHeight w:val="230"/>
        </w:trPr>
        <w:tc>
          <w:tcPr>
            <w:tcW w:w="114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5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-728345</wp:posOffset>
            </wp:positionV>
            <wp:extent cx="6080125"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0125" cy="30861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-136525</wp:posOffset>
            </wp:positionV>
            <wp:extent cx="608012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5020" w:space="720"/>
            <w:col w:w="56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2017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(50% of the revenue component) plus $75,000 (100% of the Adjusted EBITDA component).</w:t>
      </w:r>
    </w:p>
    <w:p>
      <w:pPr>
        <w:spacing w:after="0" w:line="16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plan for eligible senior management other than the named executive officers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93"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i w:val="1"/>
          <w:iCs w:val="1"/>
          <w:color w:val="auto"/>
        </w:rPr>
        <w:t>Changes to performance goals and target awards</w:t>
      </w:r>
      <w:r>
        <w:rPr>
          <w:rFonts w:ascii="Arial" w:cs="Arial" w:eastAsia="Arial" w:hAnsi="Arial"/>
          <w:sz w:val="18"/>
          <w:szCs w:val="18"/>
          <w:color w:val="auto"/>
        </w:rPr>
        <w:t>. In accordance with the terms of the Annual Cash Incentive Plan, at any time prior to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92" w:lineRule="exact"/>
        <w:rPr>
          <w:sz w:val="20"/>
          <w:szCs w:val="20"/>
          <w:color w:val="auto"/>
        </w:rPr>
      </w:pPr>
    </w:p>
    <w:p>
      <w:pPr>
        <w:jc w:val="both"/>
        <w:ind w:right="480" w:firstLine="571"/>
        <w:spacing w:after="0" w:line="286" w:lineRule="auto"/>
        <w:rPr>
          <w:sz w:val="20"/>
          <w:szCs w:val="20"/>
          <w:color w:val="auto"/>
        </w:rPr>
      </w:pPr>
      <w:r>
        <w:rPr>
          <w:rFonts w:ascii="Arial" w:cs="Arial" w:eastAsia="Arial" w:hAnsi="Arial"/>
          <w:sz w:val="17"/>
          <w:szCs w:val="17"/>
          <w:i w:val="1"/>
          <w:iCs w:val="1"/>
          <w:color w:val="auto"/>
        </w:rPr>
        <w:t xml:space="preserve">2017 financial goals. </w:t>
      </w:r>
      <w:r>
        <w:rPr>
          <w:rFonts w:ascii="Arial" w:cs="Arial" w:eastAsia="Arial" w:hAnsi="Arial"/>
          <w:sz w:val="17"/>
          <w:szCs w:val="17"/>
          <w:color w:val="auto"/>
        </w:rPr>
        <w:t>The following table shows the company-wide financial goals established for the named executive officers for 2017. These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were selected based upon a combination of the Company’s internal budget and analyst estimates, which the Board of Directors believes establishes an appropriate level at which to set goals in order to maximize the incentive for superior performance.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5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Threshold</w:t>
            </w:r>
          </w:p>
        </w:tc>
        <w:tc>
          <w:tcPr>
            <w:tcW w:w="15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(104% of Goal for</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Revenue/106% of Goal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(96% of Goal)</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(100% of Goal)</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Adjusted EBITDA)</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$912,000,000</w:t>
            </w:r>
          </w:p>
        </w:tc>
        <w:tc>
          <w:tcPr>
            <w:tcW w:w="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$950,000,000</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988,000,000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$316,846,080</w:t>
            </w: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$330,048,000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w w:val="93"/>
              </w:rPr>
              <w:t>349,850,880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i w:val="1"/>
          <w:iCs w:val="1"/>
          <w:color w:val="auto"/>
        </w:rPr>
        <w:t>Actual performance vs. compensation paid for 2017</w:t>
      </w:r>
      <w:r>
        <w:rPr>
          <w:rFonts w:ascii="Arial" w:cs="Arial" w:eastAsia="Arial" w:hAnsi="Arial"/>
          <w:sz w:val="18"/>
          <w:szCs w:val="18"/>
          <w:color w:val="auto"/>
        </w:rPr>
        <w:t>. For 2017, the Company achieved revenue of $974.1 million, which is equal to 102.5%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target, and Adjusted EBITDA of $354.6 million, which is equal to 107.3% of the Adjusted EBITDA target, resulting in performance payout percentages equal to 131.8% for the revenue component of the incentive bonus and 150.0% for the Adjusted EBITDA component of the incentive target bonus. Accordingly, the named executive officers achieved incentive bonuses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Adjusted</w:t>
            </w:r>
          </w:p>
        </w:tc>
        <w:tc>
          <w:tcPr>
            <w:tcW w:w="15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7"/>
              </w:rPr>
              <w:t>2017 Bonus as</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2017 Bonus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Revenue</w:t>
            </w:r>
          </w:p>
        </w:tc>
        <w:tc>
          <w:tcPr>
            <w:tcW w:w="14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as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EBITDA</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Percentage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Base</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040" w:type="dxa"/>
            <w:vAlign w:val="bottom"/>
            <w:tcBorders>
              <w:bottom w:val="single" w:sz="8" w:color="CCEEFF"/>
            </w:tcBorders>
            <w:gridSpan w:val="3"/>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Payout (%)</w:t>
            </w:r>
          </w:p>
        </w:tc>
        <w:tc>
          <w:tcPr>
            <w:tcW w:w="6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Payout (%)</w:t>
            </w:r>
          </w:p>
        </w:tc>
        <w:tc>
          <w:tcPr>
            <w:tcW w:w="6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Salary($)</w:t>
            </w:r>
          </w:p>
        </w:tc>
        <w:tc>
          <w:tcPr>
            <w:tcW w:w="6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5"/>
              </w:rPr>
              <w:t>Brian</w:t>
            </w:r>
          </w:p>
        </w:tc>
        <w:tc>
          <w:tcPr>
            <w:tcW w:w="4660" w:type="dxa"/>
            <w:vAlign w:val="bottom"/>
            <w:tcBorders>
              <w:top w:val="single" w:sz="8" w:color="CCEEFF"/>
            </w:tcBorders>
            <w:gridSpan w:val="2"/>
            <w:shd w:val="clear" w:color="auto" w:fill="CCEEFF"/>
          </w:tcPr>
          <w:p>
            <w:pPr>
              <w:ind w:left="80"/>
              <w:spacing w:after="0" w:line="189" w:lineRule="exact"/>
              <w:rPr>
                <w:sz w:val="20"/>
                <w:szCs w:val="20"/>
                <w:color w:val="auto"/>
              </w:rPr>
            </w:pPr>
            <w:r>
              <w:rPr>
                <w:rFonts w:ascii="Arial" w:cs="Arial" w:eastAsia="Arial" w:hAnsi="Arial"/>
                <w:sz w:val="18"/>
                <w:szCs w:val="18"/>
                <w:color w:val="auto"/>
              </w:rPr>
              <w:t>E. Mueller</w:t>
            </w:r>
          </w:p>
        </w:tc>
        <w:tc>
          <w:tcPr>
            <w:tcW w:w="1420" w:type="dxa"/>
            <w:vAlign w:val="bottom"/>
            <w:tcBorders>
              <w:top w:val="single" w:sz="8" w:color="CCEEFF"/>
            </w:tcBorders>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auto"/>
                <w:w w:val="91"/>
              </w:rPr>
              <w:t>131.8%</w:t>
            </w:r>
          </w:p>
        </w:tc>
        <w:tc>
          <w:tcPr>
            <w:tcW w:w="1400" w:type="dxa"/>
            <w:vAlign w:val="bottom"/>
            <w:tcBorders>
              <w:top w:val="single" w:sz="8" w:color="CCEEFF"/>
            </w:tcBorders>
            <w:gridSpan w:val="2"/>
            <w:shd w:val="clear" w:color="auto" w:fill="CCEEFF"/>
          </w:tcPr>
          <w:p>
            <w:pPr>
              <w:jc w:val="right"/>
              <w:ind w:right="440"/>
              <w:spacing w:after="0" w:line="189" w:lineRule="exact"/>
              <w:rPr>
                <w:sz w:val="20"/>
                <w:szCs w:val="20"/>
                <w:color w:val="auto"/>
              </w:rPr>
            </w:pPr>
            <w:r>
              <w:rPr>
                <w:rFonts w:ascii="Arial" w:cs="Arial" w:eastAsia="Arial" w:hAnsi="Arial"/>
                <w:sz w:val="18"/>
                <w:szCs w:val="18"/>
                <w:color w:val="auto"/>
              </w:rPr>
              <w:t>150.0%</w:t>
            </w:r>
          </w:p>
        </w:tc>
        <w:tc>
          <w:tcPr>
            <w:tcW w:w="1500" w:type="dxa"/>
            <w:vAlign w:val="bottom"/>
            <w:tcBorders>
              <w:top w:val="single" w:sz="8" w:color="CCEEFF"/>
            </w:tcBorders>
            <w:gridSpan w:val="2"/>
            <w:shd w:val="clear" w:color="auto" w:fill="CCEEFF"/>
          </w:tcPr>
          <w:p>
            <w:pPr>
              <w:jc w:val="right"/>
              <w:ind w:right="460"/>
              <w:spacing w:after="0" w:line="189" w:lineRule="exact"/>
              <w:rPr>
                <w:sz w:val="20"/>
                <w:szCs w:val="20"/>
                <w:color w:val="auto"/>
              </w:rPr>
            </w:pPr>
            <w:r>
              <w:rPr>
                <w:rFonts w:ascii="Arial" w:cs="Arial" w:eastAsia="Arial" w:hAnsi="Arial"/>
                <w:sz w:val="18"/>
                <w:szCs w:val="18"/>
                <w:color w:val="auto"/>
              </w:rPr>
              <w:t>140.9%</w:t>
            </w:r>
          </w:p>
        </w:tc>
        <w:tc>
          <w:tcPr>
            <w:tcW w:w="1320" w:type="dxa"/>
            <w:vAlign w:val="bottom"/>
            <w:tcBorders>
              <w:top w:val="single" w:sz="8" w:color="CCEEFF"/>
            </w:tcBorders>
            <w:gridSpan w:val="2"/>
            <w:shd w:val="clear" w:color="auto" w:fill="CCEEFF"/>
          </w:tcPr>
          <w:p>
            <w:pPr>
              <w:jc w:val="right"/>
              <w:ind w:right="460"/>
              <w:spacing w:after="0" w:line="189" w:lineRule="exact"/>
              <w:rPr>
                <w:sz w:val="20"/>
                <w:szCs w:val="20"/>
                <w:color w:val="auto"/>
              </w:rPr>
            </w:pPr>
            <w:r>
              <w:rPr>
                <w:rFonts w:ascii="Arial" w:cs="Arial" w:eastAsia="Arial" w:hAnsi="Arial"/>
                <w:sz w:val="18"/>
                <w:szCs w:val="18"/>
                <w:color w:val="auto"/>
              </w:rPr>
              <w:t>140.9%</w:t>
            </w:r>
          </w:p>
        </w:tc>
        <w:tc>
          <w:tcPr>
            <w:tcW w:w="6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$904,434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Dr. W. Stan Meyer</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131.8%</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140.9%</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105.7%</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$412,067</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4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131.8%</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140.9%</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105.7%</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$412,067</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Joseph N. Mildenhall</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131.8%</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140.9%</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70.4%</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$239,492</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4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131.8%</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140.9%</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$228,926</w:t>
            </w: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800" w:type="dxa"/>
            <w:vAlign w:val="bottom"/>
            <w:vMerge w:val="restart"/>
          </w:tcPr>
          <w:p>
            <w:pPr>
              <w:jc w:val="center"/>
              <w:ind w:left="456"/>
              <w:spacing w:after="0"/>
              <w:rPr>
                <w:sz w:val="20"/>
                <w:szCs w:val="20"/>
                <w:color w:val="auto"/>
              </w:rPr>
            </w:pPr>
            <w:r>
              <w:rPr>
                <w:rFonts w:ascii="Arial" w:cs="Arial" w:eastAsia="Arial" w:hAnsi="Arial"/>
                <w:sz w:val="18"/>
                <w:szCs w:val="18"/>
                <w:color w:val="auto"/>
                <w:w w:val="89"/>
              </w:rPr>
              <w:t>28</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i w:val="1"/>
          <w:iCs w:val="1"/>
          <w:color w:val="auto"/>
        </w:rPr>
        <w:t>2017 individual goals</w:t>
      </w:r>
      <w:r>
        <w:rPr>
          <w:rFonts w:ascii="Arial" w:cs="Arial" w:eastAsia="Arial" w:hAnsi="Arial"/>
          <w:sz w:val="16"/>
          <w:szCs w:val="16"/>
          <w:color w:val="auto"/>
        </w:rPr>
        <w:t>. The individual performance goals applicable to the named executive officers in 2017 focused on each executive’s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one or more objectives that related to their specific duties and responsibilities on behalf of the Company. For Dr. Meyer, Mr. Bachus, Mr. Mildenhall, and Mr. Roberts, one individual performance goal was to manage their individual departments within budget. The individual performance goals for Mr. Mueller, Dr. Meyer, and Mr. Bachus included continuing to work on initiatives to increase the percentage of students studying in high retention rate programs, expanding public good projects in our surrounding neighborhoods and developing campus infrastructure. The individual performance goals for Mr. Mueller, Dr. Meyer and Mr. Bachus also included participation in a specified number of investor conferences and/or investor meetings. Mr. Mueller’s individual performance goals included continuing to develop economic drivers to enhance the surrounding community and serve the public good. Dr. Meyer’s individual performance goals included demonstrating leadership over key functional areas such as marketing, online operations and campus operations. Mr. Bachus’ individual performance goals included managing the financial and reporting functions to ensure that no material weaknesses occurred within the Company’s financial reporting structure. Mr. Mildenhall’s individual performance goals included improving and building additional software engineering capabilities to address key needs in student scheduling, demonstration of improvement in application availability, managing the learning management system and overseeing the relationship with CampusVue and LoudCloud to ensure continued improvements are made to the product to eliminate manual processes. Mr. Roberts’ individual performance goals included Company compliance with regulatory and Securities and Exchange Commission rules and regulations and timely resolution to litigation matters. Mr. Roberts’s individual performance goals also included demonstrating leadership over key functional areas such as legal, real estate and government relations. Based on each individual named executive officer’s achievement or substantial achievement of their individual performance goals, and in light of the superior financial performance achieved by the Company in 2017,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Equity Incentive Plan</w:t>
      </w:r>
    </w:p>
    <w:p>
      <w:pPr>
        <w:spacing w:after="0" w:line="117" w:lineRule="exact"/>
        <w:rPr>
          <w:sz w:val="20"/>
          <w:szCs w:val="20"/>
          <w:color w:val="auto"/>
        </w:rPr>
      </w:pPr>
    </w:p>
    <w:p>
      <w:pPr>
        <w:ind w:right="60" w:firstLine="571"/>
        <w:spacing w:after="0" w:line="279" w:lineRule="auto"/>
        <w:rPr>
          <w:sz w:val="20"/>
          <w:szCs w:val="20"/>
          <w:color w:val="auto"/>
        </w:rPr>
      </w:pPr>
      <w:r>
        <w:rPr>
          <w:rFonts w:ascii="Arial" w:cs="Arial" w:eastAsia="Arial" w:hAnsi="Arial"/>
          <w:sz w:val="17"/>
          <w:szCs w:val="17"/>
          <w:color w:val="auto"/>
        </w:rPr>
        <w:t>Prior to June 2017, the Company made grants of restricted stock and stock options under its 2008 Equity Incentive Plan (the “2008 Plan”). On January 26, 2017, the Board of Directors of the Company adopted the 2017 Equity Incentive Plan (the “2017 Plan”), and at the Company’s annual meeting of stockholders held on June 14, 2017, the Company’s stockholders adopted the 2017 Plan under which a maximum of 3,000,000 shares may be granted. As of December 31, 2017 there were 2,016,782 shares available for grant under the 2017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117" w:lineRule="exact"/>
        <w:rPr>
          <w:sz w:val="20"/>
          <w:szCs w:val="20"/>
          <w:color w:val="auto"/>
        </w:rPr>
      </w:pPr>
    </w:p>
    <w:p>
      <w:pPr>
        <w:ind w:right="440" w:firstLine="571"/>
        <w:spacing w:after="0" w:line="277" w:lineRule="auto"/>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which policy will apply to grants made under the 2017 Plan, if approved. Under this policy:</w:t>
      </w:r>
    </w:p>
    <w:p>
      <w:pPr>
        <w:spacing w:after="0" w:line="76" w:lineRule="exact"/>
        <w:rPr>
          <w:sz w:val="20"/>
          <w:szCs w:val="20"/>
          <w:color w:val="auto"/>
        </w:rPr>
      </w:pPr>
    </w:p>
    <w:p>
      <w:pPr>
        <w:ind w:left="1120" w:right="140" w:hanging="545"/>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awards, must be approved by the Compensation Committee;</w:t>
      </w:r>
    </w:p>
    <w:p>
      <w:pPr>
        <w:spacing w:after="0" w:line="75" w:lineRule="exact"/>
        <w:rPr>
          <w:rFonts w:ascii="Arial" w:cs="Arial" w:eastAsia="Arial" w:hAnsi="Arial"/>
          <w:sz w:val="18"/>
          <w:szCs w:val="18"/>
          <w:color w:val="auto"/>
        </w:rPr>
      </w:pPr>
    </w:p>
    <w:p>
      <w:pPr>
        <w:ind w:left="1120" w:right="80" w:hanging="545"/>
        <w:spacing w:after="0" w:line="264"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86" w:lineRule="exact"/>
        <w:rPr>
          <w:rFonts w:ascii="Arial" w:cs="Arial" w:eastAsia="Arial" w:hAnsi="Arial"/>
          <w:sz w:val="18"/>
          <w:szCs w:val="18"/>
          <w:color w:val="auto"/>
        </w:rPr>
      </w:pPr>
    </w:p>
    <w:p>
      <w:pPr>
        <w:ind w:left="1120" w:hanging="545"/>
        <w:spacing w:after="0" w:line="277"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75" w:lineRule="exact"/>
        <w:rPr>
          <w:rFonts w:ascii="Arial" w:cs="Arial" w:eastAsia="Arial" w:hAnsi="Arial"/>
          <w:sz w:val="18"/>
          <w:szCs w:val="18"/>
          <w:color w:val="auto"/>
        </w:rPr>
      </w:pPr>
    </w:p>
    <w:p>
      <w:pPr>
        <w:ind w:left="1120" w:hanging="545"/>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Compensation Committee will approve stock-based grants only for persons specifically identified at the meeting by management.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7" w:lineRule="exact"/>
        <w:rPr>
          <w:sz w:val="20"/>
          <w:szCs w:val="20"/>
          <w:color w:val="auto"/>
        </w:rPr>
      </w:pPr>
    </w:p>
    <w:p>
      <w:pPr>
        <w:ind w:right="280" w:firstLine="571"/>
        <w:spacing w:after="0" w:line="272" w:lineRule="auto"/>
        <w:rPr>
          <w:sz w:val="20"/>
          <w:szCs w:val="20"/>
          <w:color w:val="auto"/>
        </w:rPr>
      </w:pPr>
      <w:r>
        <w:rPr>
          <w:rFonts w:ascii="Arial" w:cs="Arial" w:eastAsia="Arial" w:hAnsi="Arial"/>
          <w:sz w:val="17"/>
          <w:szCs w:val="17"/>
          <w:color w:val="auto"/>
        </w:rPr>
        <w:t>The Compensation Committee has the sole authority, delegated from the Board of Directors, to appoint, compensate and oversee the work of our outside compensation consultant. In prior years, the Compensation Committee has retained Mercer as its consultant to assist the Compensation Committee with its responsibilities related to our executive compensation programs. In 2016, the executive compensation services that Mercer provided to the Compensation Committee included providing market benchmark information and advising on changes to executive officer and non-employee director compensation levels as well as best practices advice on certain compensation matters. In connection with its engagement of Mercer, the Compensation Committee determined that Mercer’s work for the Compensation Committee did not raise any conflicts of interest, consistent with the guidance provided under the Dodd-Frank Act, the SEC and the Nasdaq.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117" w:lineRule="exact"/>
        <w:rPr>
          <w:sz w:val="20"/>
          <w:szCs w:val="20"/>
          <w:color w:val="auto"/>
        </w:rPr>
      </w:pPr>
    </w:p>
    <w:p>
      <w:pPr>
        <w:ind w:right="120" w:firstLine="571"/>
        <w:spacing w:after="0" w:line="269" w:lineRule="auto"/>
        <w:rPr>
          <w:sz w:val="20"/>
          <w:szCs w:val="20"/>
          <w:color w:val="auto"/>
        </w:rPr>
      </w:pPr>
      <w:r>
        <w:rPr>
          <w:rFonts w:ascii="Arial" w:cs="Arial" w:eastAsia="Arial" w:hAnsi="Arial"/>
          <w:sz w:val="17"/>
          <w:szCs w:val="17"/>
          <w:color w:val="auto"/>
        </w:rPr>
        <w:t>Prior to January 1, 2018, Section 162(m) of the Internal Revenue Code (“Section 162(m)”) generally placed a limit of $1.0 million on the amount of compensation that we may deduct in any calendar year with respect to our Chief Executive Officer and each of our three most highly paid executive officers (excluding our Chief Financial Officer). However, an exception to the $1.0 million limitation was provided for commission-based and performance-based compensation meeting certain requirements. Pursuant to the Tax Cuts and Jobs Act of 2017, which was signed into law on December 22, 2017 (the “Tax Act”), for taxable years beginning after December 31, 2017, the remuneration of a publicly-traded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exemptions from the deduction limit for commission-based and performance-based compensation are no longer available. Consequently, for fiscal years beginning after December 31, 2017, all remuneration in excess of $1.0 million paid to a specified executive generally will not be deductible. Our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the Company and our stockholders.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1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w:t>
      </w:r>
    </w:p>
    <w:p>
      <w:pPr>
        <w:spacing w:after="0" w:line="11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2017 were reasonable and appropriate and in our best interests.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117" w:lineRule="exact"/>
        <w:rPr>
          <w:sz w:val="20"/>
          <w:szCs w:val="20"/>
          <w:color w:val="auto"/>
        </w:rPr>
      </w:pPr>
    </w:p>
    <w:p>
      <w:pPr>
        <w:ind w:right="400" w:firstLine="571"/>
        <w:spacing w:after="0" w:line="34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29" w:lineRule="exact"/>
        <w:rPr>
          <w:sz w:val="20"/>
          <w:szCs w:val="20"/>
          <w:color w:val="auto"/>
        </w:rPr>
      </w:pPr>
    </w:p>
    <w:p>
      <w:pPr>
        <w:ind w:left="1120" w:right="40" w:hanging="545"/>
        <w:spacing w:after="0" w:line="342" w:lineRule="auto"/>
        <w:tabs>
          <w:tab w:leader="none" w:pos="11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29" w:lineRule="exact"/>
        <w:rPr>
          <w:rFonts w:ascii="Arial" w:cs="Arial" w:eastAsia="Arial" w:hAnsi="Arial"/>
          <w:sz w:val="16"/>
          <w:szCs w:val="16"/>
          <w:color w:val="auto"/>
        </w:rPr>
      </w:pPr>
    </w:p>
    <w:p>
      <w:pPr>
        <w:ind w:left="1120" w:right="620" w:hanging="545"/>
        <w:spacing w:after="0" w:line="308" w:lineRule="auto"/>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51" w:lineRule="exact"/>
        <w:rPr>
          <w:rFonts w:ascii="Arial" w:cs="Arial" w:eastAsia="Arial" w:hAnsi="Arial"/>
          <w:sz w:val="17"/>
          <w:szCs w:val="17"/>
          <w:color w:val="auto"/>
        </w:rPr>
      </w:pPr>
    </w:p>
    <w:p>
      <w:pPr>
        <w:ind w:left="1120" w:right="220" w:hanging="545"/>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75" w:lineRule="exact"/>
        <w:rPr>
          <w:rFonts w:ascii="Arial" w:cs="Arial" w:eastAsia="Arial" w:hAnsi="Arial"/>
          <w:sz w:val="18"/>
          <w:szCs w:val="18"/>
          <w:color w:val="auto"/>
        </w:rPr>
      </w:pPr>
    </w:p>
    <w:p>
      <w:pPr>
        <w:ind w:left="1120" w:right="220" w:hanging="545"/>
        <w:spacing w:after="0" w:line="277"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our equity plan all vest in annual increments over a period of five years, which we believe discourages excessive or inappropriate short-term risk taking.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The following table sets forth the total compensation earned for services rendered by our principal executive officer, our principal financial officer, and our three other most highly compensated executive officers whose total compensation for the fiscal year ended December 31, 2017 was in excess of $100,000 and who were serving as executive officers at the end of that fiscal year. The listed individuals are referred to herein as the “named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Non-Equity</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vMerge w:val="continue"/>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5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20" w:type="dxa"/>
            <w:vAlign w:val="bottom"/>
          </w:tcPr>
          <w:p>
            <w:pPr>
              <w:jc w:val="right"/>
              <w:ind w:righ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center"/>
              <w:ind w:righ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80" w:type="dxa"/>
            <w:vAlign w:val="bottom"/>
          </w:tcPr>
          <w:p>
            <w:pPr>
              <w:spacing w:after="0"/>
              <w:rPr>
                <w:sz w:val="15"/>
                <w:szCs w:val="15"/>
                <w:color w:val="auto"/>
              </w:rPr>
            </w:pPr>
          </w:p>
        </w:tc>
        <w:tc>
          <w:tcPr>
            <w:tcW w:w="980" w:type="dxa"/>
            <w:vAlign w:val="bottom"/>
          </w:tcPr>
          <w:p>
            <w:pPr>
              <w:jc w:val="right"/>
              <w:ind w:right="26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3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w w:val="98"/>
              </w:rPr>
              <w:t>Brian E. Mueller</w:t>
            </w:r>
          </w:p>
        </w:tc>
        <w:tc>
          <w:tcPr>
            <w:tcW w:w="3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Chief Executive Officer and Chairman</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2017</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$642,000</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$1,249,916</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$904,434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3,564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$2,799,914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(Principal Executive Officer)</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$642,000</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$1,230,132</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$784,240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3,564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$2,659,936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$666,692</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$1,578,375</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$771,363</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3,564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$3,019,994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540" w:type="dxa"/>
            <w:vAlign w:val="bottom"/>
            <w:gridSpan w:val="3"/>
          </w:tcPr>
          <w:p>
            <w:pPr>
              <w:spacing w:after="0"/>
              <w:rPr>
                <w:sz w:val="20"/>
                <w:szCs w:val="20"/>
                <w:color w:val="auto"/>
              </w:rPr>
            </w:pPr>
            <w:r>
              <w:rPr>
                <w:rFonts w:ascii="Arial" w:cs="Arial" w:eastAsia="Arial" w:hAnsi="Arial"/>
                <w:sz w:val="16"/>
                <w:szCs w:val="16"/>
                <w:color w:val="auto"/>
              </w:rPr>
              <w:t>Dr. W. Stan Meyer</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2017</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$390,000</w:t>
            </w: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667,090</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$412,067</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8,954</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$1,478,111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tcPr>
          <w:p>
            <w:pPr>
              <w:ind w:left="160"/>
              <w:spacing w:after="0"/>
              <w:rPr>
                <w:sz w:val="20"/>
                <w:szCs w:val="20"/>
                <w:color w:val="auto"/>
              </w:rPr>
            </w:pPr>
            <w:r>
              <w:rPr>
                <w:rFonts w:ascii="Arial" w:cs="Arial" w:eastAsia="Arial" w:hAnsi="Arial"/>
                <w:sz w:val="16"/>
                <w:szCs w:val="16"/>
                <w:i w:val="1"/>
                <w:iCs w:val="1"/>
                <w:color w:val="auto"/>
              </w:rPr>
              <w:t>Chief Operating Officer</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2016</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$375,000</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656,070</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$343,563</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7,377</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$1,382,010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2015</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$389,423</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841,800</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$337,922</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7,077</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$1,576,222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2017</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667,090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$412,067</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612</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$1,469,769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Chief Financial Officer</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656,070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$343,563</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585</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(Principal Financial Officer)</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$389,423</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841,800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$337,922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585</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$1,569,730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540" w:type="dxa"/>
            <w:vAlign w:val="bottom"/>
            <w:gridSpan w:val="3"/>
          </w:tcPr>
          <w:p>
            <w:pPr>
              <w:spacing w:after="0"/>
              <w:rPr>
                <w:sz w:val="20"/>
                <w:szCs w:val="20"/>
                <w:color w:val="auto"/>
              </w:rPr>
            </w:pPr>
            <w:r>
              <w:rPr>
                <w:rFonts w:ascii="Arial" w:cs="Arial" w:eastAsia="Arial" w:hAnsi="Arial"/>
                <w:sz w:val="16"/>
                <w:szCs w:val="16"/>
                <w:color w:val="auto"/>
              </w:rPr>
              <w:t>Joseph N. Mildenhall</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2017</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$340,000</w:t>
            </w: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667,090</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$239,492</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2,297</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$1,248,879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tcPr>
          <w:p>
            <w:pPr>
              <w:ind w:left="160"/>
              <w:spacing w:after="0"/>
              <w:rPr>
                <w:sz w:val="20"/>
                <w:szCs w:val="20"/>
                <w:color w:val="auto"/>
              </w:rPr>
            </w:pPr>
            <w:r>
              <w:rPr>
                <w:rFonts w:ascii="Arial" w:cs="Arial" w:eastAsia="Arial" w:hAnsi="Arial"/>
                <w:sz w:val="16"/>
                <w:szCs w:val="16"/>
                <w:i w:val="1"/>
                <w:iCs w:val="1"/>
                <w:color w:val="auto"/>
              </w:rPr>
              <w:t>Chief Information Officer</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2016</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$321,000</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656,070</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$196,060</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2,146</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$1,175,276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9"/>
              </w:rPr>
              <w:t>2015</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$333,346</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841,800</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$192,841</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80"/>
              <w:spacing w:after="0"/>
              <w:rPr>
                <w:sz w:val="20"/>
                <w:szCs w:val="20"/>
                <w:color w:val="auto"/>
              </w:rPr>
            </w:pPr>
            <w:r>
              <w:rPr>
                <w:rFonts w:ascii="Arial" w:cs="Arial" w:eastAsia="Arial" w:hAnsi="Arial"/>
                <w:sz w:val="16"/>
                <w:szCs w:val="16"/>
                <w:color w:val="auto"/>
                <w:w w:val="84"/>
              </w:rPr>
              <w:t>2,146</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$1,370,133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M. Roberts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2017</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667,090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$228,926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9,083</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$1,230,099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General Counsel</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656,070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$152,695</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4,097</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$285,577</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841,800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$150,188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w w:val="84"/>
              </w:rPr>
              <w:t>4,454</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865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62" w:lineRule="exact"/>
        <w:rPr>
          <w:sz w:val="20"/>
          <w:szCs w:val="20"/>
          <w:color w:val="auto"/>
        </w:rPr>
      </w:pPr>
    </w:p>
    <w:p>
      <w:pPr>
        <w:ind w:left="580" w:right="240" w:hanging="572"/>
        <w:spacing w:after="0" w:line="266"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in this column reflect the base salary cash payments made in each year. The named executive officers last pay increase prior to 2017 occurred in April 2014. There were 27 payrolls in the 2015 calendar year, resulting in one additional pay period in 2015.</w:t>
      </w:r>
    </w:p>
    <w:p>
      <w:pPr>
        <w:spacing w:after="0" w:line="1" w:lineRule="exact"/>
        <w:rPr>
          <w:rFonts w:ascii="Arial" w:cs="Arial" w:eastAsia="Arial" w:hAnsi="Arial"/>
          <w:sz w:val="16"/>
          <w:szCs w:val="16"/>
          <w:color w:val="auto"/>
        </w:rPr>
      </w:pPr>
    </w:p>
    <w:p>
      <w:pPr>
        <w:ind w:left="580" w:right="60" w:hanging="572"/>
        <w:spacing w:after="0" w:line="281" w:lineRule="auto"/>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amounts shown in this column reflect the compensation costs attributable to the restricted stock awards granted in 2017, 2016 and 2015.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2017, 2016, and 2015 fiscal years are set forth in Notes 2 and 13 to our financial statements for the fiscal year ended December 31, 2017 included in our 2017 Annual Report on Form 10-K.</w:t>
      </w:r>
    </w:p>
    <w:p>
      <w:pPr>
        <w:spacing w:after="0" w:line="2" w:lineRule="exact"/>
        <w:rPr>
          <w:rFonts w:ascii="Arial" w:cs="Arial" w:eastAsia="Arial" w:hAnsi="Arial"/>
          <w:sz w:val="15"/>
          <w:szCs w:val="15"/>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amounts in this column reflect non-equity incentive payments earned pursuant to our Annual Cash Incentive Plan.</w:t>
      </w:r>
    </w:p>
    <w:p>
      <w:pPr>
        <w:spacing w:after="0" w:line="18" w:lineRule="exact"/>
        <w:rPr>
          <w:rFonts w:ascii="Arial" w:cs="Arial" w:eastAsia="Arial" w:hAnsi="Arial"/>
          <w:sz w:val="16"/>
          <w:szCs w:val="16"/>
          <w:color w:val="auto"/>
        </w:rPr>
      </w:pPr>
    </w:p>
    <w:p>
      <w:pPr>
        <w:ind w:left="580" w:right="100" w:hanging="572"/>
        <w:spacing w:after="0" w:line="276"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2017, 2016, and 2015, the amounts in this column include company paid life insurance premiums for all named executive officers. For Dr. Meyer and Mr. Roberts, the amounts in this column also reflect matching payments made by the Company under our 401(k) plan. For Mr. Roberts, the amounts in this column also reflect payment for curriculum design of a program.</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Grants of Plan-Based Awards</w:t>
      </w:r>
    </w:p>
    <w:p>
      <w:pPr>
        <w:spacing w:after="0" w:line="117" w:lineRule="exact"/>
        <w:rPr>
          <w:sz w:val="20"/>
          <w:szCs w:val="20"/>
          <w:color w:val="auto"/>
        </w:rPr>
      </w:pPr>
    </w:p>
    <w:p>
      <w:pPr>
        <w:ind w:right="280" w:firstLine="571"/>
        <w:spacing w:after="0" w:line="277"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2008 equity plan for the fiscal year ended December 31, 2017 to each of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Estimated Future Payouts Under Non-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gridSpan w:val="7"/>
            <w:vMerge w:val="continue"/>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2"/>
                <w:szCs w:val="12"/>
                <w:color w:val="auto"/>
              </w:rPr>
            </w:pP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Equity Incentive Plan Awards</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Maximum</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Threshold($</w:t>
            </w:r>
            <w:r>
              <w:rPr>
                <w:rFonts w:ascii="Arial" w:cs="Arial" w:eastAsia="Arial" w:hAnsi="Arial"/>
                <w:sz w:val="14"/>
                <w:szCs w:val="14"/>
                <w:b w:val="1"/>
                <w:bCs w:val="1"/>
                <w:color w:val="auto"/>
              </w:rPr>
              <w:t>)</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u w:val="single" w:color="auto"/>
                <w:color w:val="auto"/>
              </w:rPr>
              <w:t>Target($</w:t>
            </w:r>
            <w:r>
              <w:rPr>
                <w:rFonts w:ascii="Arial" w:cs="Arial" w:eastAsia="Arial" w:hAnsi="Arial"/>
                <w:sz w:val="14"/>
                <w:szCs w:val="14"/>
                <w:b w:val="1"/>
                <w:bCs w:val="1"/>
                <w:color w:val="auto"/>
              </w:rPr>
              <w:t>)</w:t>
            </w:r>
          </w:p>
        </w:tc>
        <w:tc>
          <w:tcPr>
            <w:tcW w:w="108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91"/>
        </w:trPr>
        <w:tc>
          <w:tcPr>
            <w:tcW w:w="50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of Stock (#)</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Awards(2)</w:t>
            </w:r>
          </w:p>
        </w:tc>
        <w:tc>
          <w:tcPr>
            <w:tcW w:w="0" w:type="dxa"/>
            <w:vAlign w:val="bottom"/>
          </w:tcPr>
          <w:p>
            <w:pPr>
              <w:spacing w:after="0"/>
              <w:rPr>
                <w:sz w:val="1"/>
                <w:szCs w:val="1"/>
                <w:color w:val="auto"/>
              </w:rPr>
            </w:pPr>
          </w:p>
        </w:tc>
      </w:tr>
      <w:tr>
        <w:trPr>
          <w:trHeight w:val="176"/>
        </w:trPr>
        <w:tc>
          <w:tcPr>
            <w:tcW w:w="3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w w:val="96"/>
              </w:rPr>
              <w:t>Brian</w:t>
            </w:r>
          </w:p>
        </w:tc>
        <w:tc>
          <w:tcPr>
            <w:tcW w:w="4620" w:type="dxa"/>
            <w:vAlign w:val="bottom"/>
            <w:tcBorders>
              <w:top w:val="single" w:sz="8" w:color="CCEEFF"/>
            </w:tcBorders>
            <w:shd w:val="clear" w:color="auto" w:fill="CCEEFF"/>
          </w:tcPr>
          <w:p>
            <w:pPr>
              <w:ind w:left="20"/>
              <w:spacing w:after="0" w:line="167" w:lineRule="exact"/>
              <w:rPr>
                <w:sz w:val="20"/>
                <w:szCs w:val="20"/>
                <w:color w:val="auto"/>
              </w:rPr>
            </w:pPr>
            <w:r>
              <w:rPr>
                <w:rFonts w:ascii="Arial" w:cs="Arial" w:eastAsia="Arial" w:hAnsi="Arial"/>
                <w:sz w:val="16"/>
                <w:szCs w:val="16"/>
                <w:color w:val="auto"/>
              </w:rPr>
              <w:t>E. Mueller</w:t>
            </w: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321,000</w:t>
            </w: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$ 642,000</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963,000</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Mar 28, 2017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17,800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1,249,916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W. Stan Meyer</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146,250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$ 292,500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438,750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Mar 28, 2017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9,500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667,090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146,250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$ 292,500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438,750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Mar 28, 2017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9,500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667,090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N. Mildenhall</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$ 170,000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255,000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Mar 28, 2017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9,500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667,090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M. Roberts</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$ 162,500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243,750</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Mar 28, 2017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6"/>
                <w:szCs w:val="16"/>
                <w:color w:val="auto"/>
              </w:rPr>
              <w:t>9,500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667,090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1886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80" w:right="280" w:hanging="572"/>
        <w:spacing w:after="0" w:line="304" w:lineRule="auto"/>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w:t>
      </w:r>
    </w:p>
    <w:p>
      <w:pPr>
        <w:spacing w:after="0" w:line="1" w:lineRule="exact"/>
        <w:rPr>
          <w:rFonts w:ascii="Arial" w:cs="Arial" w:eastAsia="Arial" w:hAnsi="Arial"/>
          <w:sz w:val="14"/>
          <w:szCs w:val="14"/>
          <w:color w:val="auto"/>
        </w:rPr>
      </w:pPr>
    </w:p>
    <w:p>
      <w:pPr>
        <w:ind w:left="580" w:right="80" w:hanging="572"/>
        <w:spacing w:after="0" w:line="27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2017.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2017 are set forth in Notes 2 and 13 to our financial statements for the fiscal year ended December 31, 2017 included in our 2017 Annual Report on Form 10-K.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Outstanding Equity Awards at Fiscal Year-End</w:t>
      </w:r>
    </w:p>
    <w:p>
      <w:pPr>
        <w:spacing w:after="0" w:line="117" w:lineRule="exact"/>
        <w:rPr>
          <w:sz w:val="20"/>
          <w:szCs w:val="20"/>
          <w:color w:val="auto"/>
        </w:rPr>
      </w:pPr>
    </w:p>
    <w:p>
      <w:pPr>
        <w:ind w:right="740" w:firstLine="571"/>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w w:val="94"/>
              </w:rPr>
              <w:t>Option Awards</w:t>
            </w:r>
            <w:r>
              <w:rPr>
                <w:rFonts w:ascii="Arial" w:cs="Arial" w:eastAsia="Arial" w:hAnsi="Arial"/>
                <w:sz w:val="12"/>
                <w:szCs w:val="12"/>
                <w:b w:val="1"/>
                <w:bCs w:val="1"/>
                <w:color w:val="auto"/>
                <w:w w:val="94"/>
              </w:rPr>
              <w:t>(1)</w:t>
            </w: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1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3"/>
              </w:rPr>
              <w:t>Option</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 Expiration</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4"/>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Options (#)</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Options (#)</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Exercise Price</w:t>
            </w:r>
          </w:p>
        </w:tc>
        <w:tc>
          <w:tcPr>
            <w:tcW w:w="3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6"/>
        </w:trPr>
        <w:tc>
          <w:tcPr>
            <w:tcW w:w="3960" w:type="dxa"/>
            <w:vAlign w:val="bottom"/>
            <w:gridSpan w:val="2"/>
            <w:vMerge w:val="continue"/>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Exercisable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ind w:right="8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2"/>
                <w:szCs w:val="12"/>
                <w:b w:val="1"/>
                <w:bCs w:val="1"/>
                <w:color w:val="auto"/>
                <w:w w:val="89"/>
              </w:rPr>
              <w:t>(2)</w:t>
            </w:r>
          </w:p>
        </w:tc>
        <w:tc>
          <w:tcPr>
            <w:tcW w:w="14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6"/>
        </w:trPr>
        <w:tc>
          <w:tcPr>
            <w:tcW w:w="3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w w:val="96"/>
              </w:rPr>
              <w:t>Brian</w:t>
            </w:r>
          </w:p>
        </w:tc>
        <w:tc>
          <w:tcPr>
            <w:tcW w:w="3580" w:type="dxa"/>
            <w:vAlign w:val="bottom"/>
            <w:tcBorders>
              <w:top w:val="single" w:sz="8" w:color="CCEEFF"/>
            </w:tcBorders>
            <w:shd w:val="clear" w:color="auto" w:fill="CCEEFF"/>
          </w:tcPr>
          <w:p>
            <w:pPr>
              <w:ind w:left="20"/>
              <w:spacing w:after="0" w:line="167" w:lineRule="exact"/>
              <w:rPr>
                <w:sz w:val="20"/>
                <w:szCs w:val="20"/>
                <w:color w:val="auto"/>
              </w:rPr>
            </w:pPr>
            <w:r>
              <w:rPr>
                <w:rFonts w:ascii="Arial" w:cs="Arial" w:eastAsia="Arial" w:hAnsi="Arial"/>
                <w:sz w:val="16"/>
                <w:szCs w:val="16"/>
                <w:color w:val="auto"/>
              </w:rPr>
              <w:t>E. Mueller</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150,000</w:t>
            </w:r>
          </w:p>
        </w:tc>
        <w:tc>
          <w:tcPr>
            <w:tcW w:w="3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700"/>
              <w:spacing w:after="0" w:line="176"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15.34</w:t>
            </w:r>
          </w:p>
        </w:tc>
        <w:tc>
          <w:tcPr>
            <w:tcW w:w="3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March 11, 2021</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87,880</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98"/>
              </w:rPr>
              <w:t>7,867,896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100,000</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21.10</w:t>
            </w:r>
          </w:p>
        </w:tc>
        <w:tc>
          <w:tcPr>
            <w:tcW w:w="2140" w:type="dxa"/>
            <w:vAlign w:val="bottom"/>
            <w:gridSpan w:val="3"/>
          </w:tcPr>
          <w:p>
            <w:pPr>
              <w:ind w:left="320"/>
              <w:spacing w:after="0"/>
              <w:rPr>
                <w:sz w:val="20"/>
                <w:szCs w:val="20"/>
                <w:color w:val="auto"/>
              </w:rPr>
            </w:pPr>
            <w:r>
              <w:rPr>
                <w:rFonts w:ascii="Arial" w:cs="Arial" w:eastAsia="Arial" w:hAnsi="Arial"/>
                <w:sz w:val="16"/>
                <w:szCs w:val="16"/>
                <w:color w:val="auto"/>
              </w:rPr>
              <w:t>February 25, 2020</w:t>
            </w:r>
          </w:p>
        </w:tc>
        <w:tc>
          <w:tcPr>
            <w:tcW w:w="10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 W. Stan Meyer</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80,000</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21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March 11,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4,196,808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40,000</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21.10</w:t>
            </w:r>
          </w:p>
        </w:tc>
        <w:tc>
          <w:tcPr>
            <w:tcW w:w="2140" w:type="dxa"/>
            <w:vAlign w:val="bottom"/>
            <w:gridSpan w:val="3"/>
          </w:tcPr>
          <w:p>
            <w:pPr>
              <w:ind w:left="320"/>
              <w:spacing w:after="0"/>
              <w:rPr>
                <w:sz w:val="20"/>
                <w:szCs w:val="20"/>
                <w:color w:val="auto"/>
              </w:rPr>
            </w:pPr>
            <w:r>
              <w:rPr>
                <w:rFonts w:ascii="Arial" w:cs="Arial" w:eastAsia="Arial" w:hAnsi="Arial"/>
                <w:sz w:val="16"/>
                <w:szCs w:val="16"/>
                <w:color w:val="auto"/>
              </w:rPr>
              <w:t>February 25, 2020</w:t>
            </w:r>
          </w:p>
        </w:tc>
        <w:tc>
          <w:tcPr>
            <w:tcW w:w="10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80,000</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21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March 11,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4,196,808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40,000</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21.10</w:t>
            </w:r>
          </w:p>
        </w:tc>
        <w:tc>
          <w:tcPr>
            <w:tcW w:w="2140" w:type="dxa"/>
            <w:vAlign w:val="bottom"/>
            <w:gridSpan w:val="3"/>
          </w:tcPr>
          <w:p>
            <w:pPr>
              <w:ind w:left="320"/>
              <w:spacing w:after="0"/>
              <w:rPr>
                <w:sz w:val="20"/>
                <w:szCs w:val="20"/>
                <w:color w:val="auto"/>
              </w:rPr>
            </w:pPr>
            <w:r>
              <w:rPr>
                <w:rFonts w:ascii="Arial" w:cs="Arial" w:eastAsia="Arial" w:hAnsi="Arial"/>
                <w:sz w:val="16"/>
                <w:szCs w:val="16"/>
                <w:color w:val="auto"/>
              </w:rPr>
              <w:t>February 25, 2020</w:t>
            </w:r>
          </w:p>
        </w:tc>
        <w:tc>
          <w:tcPr>
            <w:tcW w:w="10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N. Mildenhall</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19,900</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21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February 25,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4,196,808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gridSpan w:val="2"/>
          </w:tcPr>
          <w:p>
            <w:pPr>
              <w:spacing w:after="0"/>
              <w:rPr>
                <w:sz w:val="20"/>
                <w:szCs w:val="20"/>
                <w:color w:val="auto"/>
              </w:rPr>
            </w:pPr>
            <w:r>
              <w:rPr>
                <w:rFonts w:ascii="Arial" w:cs="Arial" w:eastAsia="Arial" w:hAnsi="Arial"/>
                <w:sz w:val="16"/>
                <w:szCs w:val="16"/>
                <w:color w:val="auto"/>
              </w:rPr>
              <w:t>Brian M. Roberts</w:t>
            </w:r>
          </w:p>
        </w:tc>
        <w:tc>
          <w:tcPr>
            <w:tcW w:w="11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43,676</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3,910,312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18865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80" w:right="280" w:hanging="572"/>
        <w:spacing w:after="0" w:line="304" w:lineRule="auto"/>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shares covered by the options granted to Mr. Mueller, Dr. Meyer, Mr. Bachus, and Mr. Mildenhall vested in five successive equal annual installments upon the completion of each year of service with us over the five year period measured from the respective date of grant. All such options are fully vested and exercisable.</w:t>
      </w:r>
    </w:p>
    <w:p>
      <w:pPr>
        <w:spacing w:after="0" w:line="1" w:lineRule="exact"/>
        <w:rPr>
          <w:rFonts w:ascii="Arial" w:cs="Arial" w:eastAsia="Arial" w:hAnsi="Arial"/>
          <w:sz w:val="14"/>
          <w:szCs w:val="14"/>
          <w:color w:val="auto"/>
        </w:rPr>
      </w:pPr>
    </w:p>
    <w:p>
      <w:pPr>
        <w:ind w:left="580" w:right="20" w:hanging="572"/>
        <w:spacing w:after="0" w:line="317" w:lineRule="auto"/>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restricted stock awards granted to Mr. Mueller, Dr. Meyer, Mr. Bachus, Mr. Mildenhall, and Mr. Roberts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Mueller, Dr. Meyer, Mr. Bachus and Mr. Mildenhall also receive partial accelerated vesting through the next vesting date immediately following the date of termination, upon the termination of employment by us without Cause or by the executive for Good Reason (as further discussed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Option Exercises and Stock Vested</w:t>
      </w:r>
    </w:p>
    <w:p>
      <w:pPr>
        <w:spacing w:after="0" w:line="117"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and restricted stock awards made to our named executive officers that vested, during the fiscal year ended December 31,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Option Awards</w:t>
            </w:r>
          </w:p>
        </w:tc>
        <w:tc>
          <w:tcPr>
            <w:tcW w:w="4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33"/>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1"/>
                <w:szCs w:val="11"/>
                <w:color w:val="auto"/>
              </w:rPr>
            </w:pPr>
          </w:p>
        </w:tc>
        <w:tc>
          <w:tcPr>
            <w:tcW w:w="15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Number of Shares</w:t>
            </w:r>
          </w:p>
        </w:tc>
        <w:tc>
          <w:tcPr>
            <w:tcW w:w="4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4"/>
                <w:szCs w:val="14"/>
                <w:b w:val="1"/>
                <w:bCs w:val="1"/>
                <w:color w:val="auto"/>
                <w:w w:val="91"/>
              </w:rPr>
              <w:t>Value Realized</w:t>
            </w:r>
          </w:p>
        </w:tc>
        <w:tc>
          <w:tcPr>
            <w:tcW w:w="44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520" w:type="dxa"/>
            <w:vAlign w:val="bottom"/>
            <w:gridSpan w:val="3"/>
          </w:tcPr>
          <w:p>
            <w:pPr>
              <w:ind w:left="280"/>
              <w:spacing w:after="0" w:line="133"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Acquired on Exercise (#)</w:t>
            </w:r>
          </w:p>
        </w:tc>
        <w:tc>
          <w:tcPr>
            <w:tcW w:w="4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90"/>
              </w:rPr>
              <w:t xml:space="preserve">on Exercise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Acquired on Vesting (#)</w:t>
            </w:r>
          </w:p>
        </w:tc>
        <w:tc>
          <w:tcPr>
            <w:tcW w:w="1520" w:type="dxa"/>
            <w:vAlign w:val="bottom"/>
            <w:gridSpan w:val="3"/>
          </w:tcPr>
          <w:p>
            <w:pPr>
              <w:ind w:left="320"/>
              <w:spacing w:after="0"/>
              <w:rPr>
                <w:sz w:val="20"/>
                <w:szCs w:val="20"/>
                <w:color w:val="auto"/>
              </w:rPr>
            </w:pPr>
            <w:r>
              <w:rPr>
                <w:rFonts w:ascii="Arial" w:cs="Arial" w:eastAsia="Arial" w:hAnsi="Arial"/>
                <w:sz w:val="14"/>
                <w:szCs w:val="14"/>
                <w:b w:val="1"/>
                <w:bCs w:val="1"/>
                <w:color w:val="auto"/>
              </w:rPr>
              <w:t xml:space="preserve">on Vesting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Mr. Brian E. Mueller</w:t>
            </w:r>
          </w:p>
        </w:tc>
        <w:tc>
          <w:tcPr>
            <w:tcW w:w="1860" w:type="dxa"/>
            <w:vAlign w:val="bottom"/>
            <w:gridSpan w:val="2"/>
            <w:shd w:val="clear" w:color="auto" w:fill="CCEEFF"/>
          </w:tcPr>
          <w:p>
            <w:pPr>
              <w:jc w:val="center"/>
              <w:ind w:left="239"/>
              <w:spacing w:after="0"/>
              <w:rPr>
                <w:sz w:val="20"/>
                <w:szCs w:val="20"/>
                <w:color w:val="auto"/>
              </w:rPr>
            </w:pPr>
            <w:r>
              <w:rPr>
                <w:rFonts w:ascii="Arial" w:cs="Arial" w:eastAsia="Arial" w:hAnsi="Arial"/>
                <w:sz w:val="16"/>
                <w:szCs w:val="16"/>
                <w:color w:val="auto"/>
                <w:w w:val="93"/>
              </w:rPr>
              <w:t>209,788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12,202,822</w:t>
            </w:r>
          </w:p>
        </w:tc>
        <w:tc>
          <w:tcPr>
            <w:tcW w:w="1900" w:type="dxa"/>
            <w:vAlign w:val="bottom"/>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46,320</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$3,002,763</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800" w:type="dxa"/>
            <w:vAlign w:val="bottom"/>
            <w:gridSpan w:val="2"/>
          </w:tcPr>
          <w:p>
            <w:pPr>
              <w:spacing w:after="0"/>
              <w:rPr>
                <w:sz w:val="20"/>
                <w:szCs w:val="20"/>
                <w:color w:val="auto"/>
              </w:rPr>
            </w:pPr>
            <w:r>
              <w:rPr>
                <w:rFonts w:ascii="Arial" w:cs="Arial" w:eastAsia="Arial" w:hAnsi="Arial"/>
                <w:sz w:val="16"/>
                <w:szCs w:val="16"/>
                <w:color w:val="auto"/>
              </w:rPr>
              <w:t>Dr. W. Stan Meyer</w:t>
            </w:r>
          </w:p>
        </w:tc>
        <w:tc>
          <w:tcPr>
            <w:tcW w:w="186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141,315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20"/>
              <w:spacing w:after="0"/>
              <w:rPr>
                <w:sz w:val="20"/>
                <w:szCs w:val="20"/>
                <w:color w:val="auto"/>
              </w:rPr>
            </w:pPr>
            <w:r>
              <w:rPr>
                <w:rFonts w:ascii="Arial" w:cs="Arial" w:eastAsia="Arial" w:hAnsi="Arial"/>
                <w:sz w:val="16"/>
                <w:szCs w:val="16"/>
                <w:color w:val="auto"/>
              </w:rPr>
              <w:t>8,237,141</w:t>
            </w:r>
          </w:p>
        </w:tc>
        <w:tc>
          <w:tcPr>
            <w:tcW w:w="19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24,704</w:t>
            </w:r>
          </w:p>
        </w:tc>
        <w:tc>
          <w:tcPr>
            <w:tcW w:w="1160" w:type="dxa"/>
            <w:vAlign w:val="bottom"/>
            <w:gridSpan w:val="2"/>
          </w:tcPr>
          <w:p>
            <w:pPr>
              <w:ind w:left="280"/>
              <w:spacing w:after="0"/>
              <w:rPr>
                <w:sz w:val="20"/>
                <w:szCs w:val="20"/>
                <w:color w:val="auto"/>
              </w:rPr>
            </w:pPr>
            <w:r>
              <w:rPr>
                <w:rFonts w:ascii="Arial" w:cs="Arial" w:eastAsia="Arial" w:hAnsi="Arial"/>
                <w:sz w:val="16"/>
                <w:szCs w:val="16"/>
                <w:color w:val="auto"/>
              </w:rPr>
              <w:t>$1,601,474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Mr. Daniel E. Bachus</w:t>
            </w:r>
          </w:p>
        </w:tc>
        <w:tc>
          <w:tcPr>
            <w:tcW w:w="1860" w:type="dxa"/>
            <w:vAlign w:val="bottom"/>
            <w:gridSpan w:val="2"/>
            <w:shd w:val="clear" w:color="auto" w:fill="CCEEFF"/>
          </w:tcPr>
          <w:p>
            <w:pPr>
              <w:jc w:val="center"/>
              <w:ind w:left="239"/>
              <w:spacing w:after="0"/>
              <w:rPr>
                <w:sz w:val="20"/>
                <w:szCs w:val="20"/>
                <w:color w:val="auto"/>
              </w:rPr>
            </w:pPr>
            <w:r>
              <w:rPr>
                <w:rFonts w:ascii="Arial" w:cs="Arial" w:eastAsia="Arial" w:hAnsi="Arial"/>
                <w:sz w:val="16"/>
                <w:szCs w:val="16"/>
                <w:color w:val="auto"/>
                <w:w w:val="93"/>
              </w:rPr>
              <w:t>94,128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5,450,920</w:t>
            </w:r>
          </w:p>
        </w:tc>
        <w:tc>
          <w:tcPr>
            <w:tcW w:w="1900" w:type="dxa"/>
            <w:vAlign w:val="bottom"/>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24,704</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$1,601,474</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800" w:type="dxa"/>
            <w:vAlign w:val="bottom"/>
            <w:gridSpan w:val="2"/>
          </w:tcPr>
          <w:p>
            <w:pPr>
              <w:spacing w:after="0"/>
              <w:rPr>
                <w:sz w:val="20"/>
                <w:szCs w:val="20"/>
                <w:color w:val="auto"/>
              </w:rPr>
            </w:pPr>
            <w:r>
              <w:rPr>
                <w:rFonts w:ascii="Arial" w:cs="Arial" w:eastAsia="Arial" w:hAnsi="Arial"/>
                <w:sz w:val="16"/>
                <w:szCs w:val="16"/>
                <w:color w:val="auto"/>
              </w:rPr>
              <w:t>Mr. Joseph N. Mildenhall</w:t>
            </w:r>
          </w:p>
        </w:tc>
        <w:tc>
          <w:tcPr>
            <w:tcW w:w="320" w:type="dxa"/>
            <w:vAlign w:val="bottom"/>
          </w:tcPr>
          <w:p>
            <w:pPr>
              <w:spacing w:after="0"/>
              <w:rPr>
                <w:sz w:val="24"/>
                <w:szCs w:val="24"/>
                <w:color w:val="auto"/>
              </w:rPr>
            </w:pPr>
          </w:p>
        </w:tc>
        <w:tc>
          <w:tcPr>
            <w:tcW w:w="1540" w:type="dxa"/>
            <w:vAlign w:val="bottom"/>
          </w:tcPr>
          <w:p>
            <w:pPr>
              <w:ind w:left="6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300"/>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27,504</w:t>
            </w:r>
          </w:p>
        </w:tc>
        <w:tc>
          <w:tcPr>
            <w:tcW w:w="1160" w:type="dxa"/>
            <w:vAlign w:val="bottom"/>
            <w:gridSpan w:val="2"/>
          </w:tcPr>
          <w:p>
            <w:pPr>
              <w:ind w:left="280"/>
              <w:spacing w:after="0"/>
              <w:rPr>
                <w:sz w:val="20"/>
                <w:szCs w:val="20"/>
                <w:color w:val="auto"/>
              </w:rPr>
            </w:pPr>
            <w:r>
              <w:rPr>
                <w:rFonts w:ascii="Arial" w:cs="Arial" w:eastAsia="Arial" w:hAnsi="Arial"/>
                <w:sz w:val="16"/>
                <w:szCs w:val="16"/>
                <w:color w:val="auto"/>
              </w:rPr>
              <w:t>$1,796,102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Mr. Brian M. Roberts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18,304</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$1,209,042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Ratio Disclosure</w:t>
      </w:r>
    </w:p>
    <w:p>
      <w:pPr>
        <w:spacing w:after="0" w:line="117" w:lineRule="exact"/>
        <w:rPr>
          <w:sz w:val="20"/>
          <w:szCs w:val="20"/>
          <w:color w:val="auto"/>
        </w:rPr>
      </w:pPr>
    </w:p>
    <w:p>
      <w:pPr>
        <w:jc w:val="both"/>
        <w:ind w:right="220" w:firstLine="571"/>
        <w:spacing w:after="0" w:line="264" w:lineRule="auto"/>
        <w:rPr>
          <w:sz w:val="20"/>
          <w:szCs w:val="20"/>
          <w:color w:val="auto"/>
        </w:rPr>
      </w:pPr>
      <w:r>
        <w:rPr>
          <w:rFonts w:ascii="Arial" w:cs="Arial" w:eastAsia="Arial" w:hAnsi="Arial"/>
          <w:sz w:val="18"/>
          <w:szCs w:val="18"/>
          <w:color w:val="auto"/>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2017, our last completed fiscal year:</w:t>
      </w:r>
    </w:p>
    <w:p>
      <w:pPr>
        <w:spacing w:after="0" w:line="131" w:lineRule="exact"/>
        <w:rPr>
          <w:sz w:val="20"/>
          <w:szCs w:val="20"/>
          <w:color w:val="auto"/>
        </w:rPr>
      </w:pPr>
    </w:p>
    <w:p>
      <w:pPr>
        <w:ind w:left="1480" w:hanging="446"/>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median annual total compensation of all of our employees (other than the Chief Executive Officer) was $24,263; and</w:t>
      </w:r>
    </w:p>
    <w:p>
      <w:pPr>
        <w:spacing w:after="0" w:line="130" w:lineRule="exact"/>
        <w:rPr>
          <w:rFonts w:ascii="Arial" w:cs="Arial" w:eastAsia="Arial" w:hAnsi="Arial"/>
          <w:sz w:val="18"/>
          <w:szCs w:val="18"/>
          <w:color w:val="auto"/>
        </w:rPr>
      </w:pPr>
    </w:p>
    <w:p>
      <w:pPr>
        <w:ind w:left="1120" w:hanging="54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total compensation of Mr. Mueller, as reported above in the Summary Compensation Table, was $2,799,914.</w:t>
      </w:r>
    </w:p>
    <w:p>
      <w:pPr>
        <w:spacing w:after="0" w:line="266" w:lineRule="exact"/>
        <w:rPr>
          <w:sz w:val="20"/>
          <w:szCs w:val="20"/>
          <w:color w:val="auto"/>
        </w:rPr>
      </w:pPr>
    </w:p>
    <w:p>
      <w:pPr>
        <w:ind w:left="1660" w:right="760"/>
        <w:spacing w:after="0" w:line="277" w:lineRule="auto"/>
        <w:rPr>
          <w:sz w:val="20"/>
          <w:szCs w:val="20"/>
          <w:color w:val="auto"/>
        </w:rPr>
      </w:pPr>
      <w:r>
        <w:rPr>
          <w:rFonts w:ascii="Arial" w:cs="Arial" w:eastAsia="Arial" w:hAnsi="Arial"/>
          <w:sz w:val="18"/>
          <w:szCs w:val="18"/>
          <w:i w:val="1"/>
          <w:iCs w:val="1"/>
          <w:color w:val="auto"/>
        </w:rPr>
        <w:t>Based on this information, for 2017 the ratio of the annual total compensation of Mr. Mueller, our Chief Executive Officer, to the median of the annual total compensation of all employees was 115.4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-302260</wp:posOffset>
            </wp:positionV>
            <wp:extent cx="5925820"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25820" cy="2914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571"/>
        <w:spacing w:after="0" w:line="27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we took the following steps:</w:t>
      </w:r>
    </w:p>
    <w:p>
      <w:pPr>
        <w:spacing w:after="0" w:line="76" w:lineRule="exact"/>
        <w:rPr>
          <w:sz w:val="20"/>
          <w:szCs w:val="20"/>
          <w:color w:val="auto"/>
        </w:rPr>
      </w:pPr>
    </w:p>
    <w:p>
      <w:pPr>
        <w:ind w:left="1120" w:right="400" w:hanging="545"/>
        <w:spacing w:after="0" w:line="291"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determined that, as of December 31, 2017, our employee population consisted of 9,103 individuals, all of whom were located in the United States and of which 4,013, or 44.1%, were full-time employees, 1,989, or 21.8%, were full-time salaried employees, and 1,804, or</w:t>
      </w:r>
    </w:p>
    <w:p>
      <w:pPr>
        <w:ind w:left="1120" w:right="40"/>
        <w:spacing w:after="0" w:line="261" w:lineRule="auto"/>
        <w:rPr>
          <w:rFonts w:ascii="Arial" w:cs="Arial" w:eastAsia="Arial" w:hAnsi="Arial"/>
          <w:sz w:val="16"/>
          <w:szCs w:val="16"/>
          <w:color w:val="auto"/>
        </w:rPr>
      </w:pPr>
      <w:r>
        <w:rPr>
          <w:rFonts w:ascii="Arial" w:cs="Arial" w:eastAsia="Arial" w:hAnsi="Arial"/>
          <w:sz w:val="18"/>
          <w:szCs w:val="18"/>
          <w:color w:val="auto"/>
        </w:rPr>
        <w:t>19.8%, were student employees. We selected December 31, 2017 as the date upon which we would identify the “median employee” because it enabled us to make such identification in a reasonably efficient and economical manner.</w:t>
      </w:r>
    </w:p>
    <w:p>
      <w:pPr>
        <w:spacing w:after="0" w:line="89" w:lineRule="exact"/>
        <w:rPr>
          <w:rFonts w:ascii="Arial" w:cs="Arial" w:eastAsia="Arial" w:hAnsi="Arial"/>
          <w:sz w:val="16"/>
          <w:szCs w:val="16"/>
          <w:color w:val="auto"/>
        </w:rPr>
      </w:pPr>
    </w:p>
    <w:p>
      <w:pPr>
        <w:ind w:left="1120" w:hanging="545"/>
        <w:spacing w:after="0" w:line="273"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base salary of our employees as reflected in our payroll records and included as part of the total compensation reported to the Internal Revenue Service on Form W-2 for 2017. In making this determination, we annualized the compensation of approximately 802 full-time employees who were hired after January 1, 2017 but did not work for us for the entire fiscal year. We identified our median employee using this compensation measure, which was consistently applied to all our employees included in the calculation. Since all our employees are located in the United States, as is our Chief Executive Officer, we did not make any cost-of-living adjustments in identifying the “median employee.”</w:t>
      </w:r>
    </w:p>
    <w:p>
      <w:pPr>
        <w:spacing w:after="0" w:line="83" w:lineRule="exact"/>
        <w:rPr>
          <w:rFonts w:ascii="Arial" w:cs="Arial" w:eastAsia="Arial" w:hAnsi="Arial"/>
          <w:sz w:val="17"/>
          <w:szCs w:val="17"/>
          <w:color w:val="auto"/>
        </w:rPr>
      </w:pPr>
    </w:p>
    <w:p>
      <w:pPr>
        <w:ind w:left="1120" w:right="80" w:hanging="545"/>
        <w:spacing w:after="0" w:line="293"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of the elements of such employee’s compensation for 2017 in accordance with the requirements of Item 402(c)(2)(x) of Regulation S-K, resulting in annual total compensation of $24,263. The difference between such employee’s base salary and the employee’s annual total compensation represents the employee’s overtime pay, annual bonus and company matching contributions on behalf of the employee to our 401(k) employee savings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p>
      <w:pPr>
        <w:spacing w:after="0" w:line="165" w:lineRule="exact"/>
        <w:rPr>
          <w:sz w:val="20"/>
          <w:szCs w:val="20"/>
          <w:color w:val="auto"/>
        </w:rPr>
      </w:pPr>
    </w:p>
    <w:p>
      <w:pPr>
        <w:jc w:val="both"/>
        <w:ind w:right="240" w:firstLine="571"/>
        <w:spacing w:after="0" w:line="264" w:lineRule="auto"/>
        <w:rPr>
          <w:sz w:val="20"/>
          <w:szCs w:val="20"/>
          <w:color w:val="auto"/>
        </w:rPr>
      </w:pPr>
      <w:r>
        <w:rPr>
          <w:rFonts w:ascii="Arial" w:cs="Arial" w:eastAsia="Arial" w:hAnsi="Arial"/>
          <w:sz w:val="18"/>
          <w:szCs w:val="18"/>
          <w:color w:val="auto"/>
        </w:rPr>
        <w:t>The Pay Ratio Disclosure presented above is a reasonable estimate. Because the SEC rules for identifying the median employee and calculating the pay ratio allow companies to use different methodologies, exemptions, estimates, and assumptions, the Pay Ratio Disclosure may not be comparable to the pay ratio reported by other companies.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 Pay Ratio</w:t>
      </w:r>
    </w:p>
    <w:p>
      <w:pPr>
        <w:spacing w:after="0" w:line="117" w:lineRule="exact"/>
        <w:rPr>
          <w:sz w:val="20"/>
          <w:szCs w:val="20"/>
          <w:color w:val="auto"/>
        </w:rPr>
      </w:pPr>
    </w:p>
    <w:p>
      <w:pPr>
        <w:ind w:right="20" w:firstLine="571"/>
        <w:spacing w:after="0" w:line="270" w:lineRule="auto"/>
        <w:rPr>
          <w:sz w:val="20"/>
          <w:szCs w:val="20"/>
          <w:color w:val="auto"/>
        </w:rPr>
      </w:pPr>
      <w:r>
        <w:rPr>
          <w:rFonts w:ascii="Arial" w:cs="Arial" w:eastAsia="Arial" w:hAnsi="Arial"/>
          <w:sz w:val="17"/>
          <w:szCs w:val="17"/>
          <w:color w:val="auto"/>
        </w:rPr>
        <w:t>At December 31, 2017, we employed 1,804 student employees, representing 19.8% of our total employees, through work-study programs and other on-campus employment opportunities. In some instances, various laws and regulations limit the amount of time a student-employee can work for us and most do not work during the summer and holiday breaks. At December 31, 2017, we employed 1,378 adjunct faculty, representing 15.1% of our total employees. These are faculty instructors that are paid for course instruction on a course-by-course basis and therefore often take breaks between courses. Pursuant to Item 402(u) of Regulation S-K, we are required to include our student- employees and adjunct faculty in our employee population when determining our median employee for purposes of the Pay Ratio Disclosure. If student employees and adjunct only employees were excluded from consideration in the Pay Ratio Disclosure, the annual total compensation of our median employee for 2017 would have been $44,373 for 2017. As a result, the ratio of the compensation of the Chief Executive Officer to the median annual total compensation of all other employees (excluding student employees and adjunct faculty) would have been approximately 63.1 to 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121" w:lineRule="exact"/>
        <w:rPr>
          <w:sz w:val="20"/>
          <w:szCs w:val="20"/>
          <w:color w:val="auto"/>
        </w:rPr>
      </w:pPr>
    </w:p>
    <w:p>
      <w:pPr>
        <w:ind w:right="160" w:firstLine="571"/>
        <w:spacing w:after="0" w:line="297" w:lineRule="auto"/>
        <w:rPr>
          <w:sz w:val="20"/>
          <w:szCs w:val="20"/>
          <w:color w:val="auto"/>
        </w:rPr>
      </w:pPr>
      <w:r>
        <w:rPr>
          <w:rFonts w:ascii="Arial" w:cs="Arial" w:eastAsia="Arial" w:hAnsi="Arial"/>
          <w:sz w:val="16"/>
          <w:szCs w:val="16"/>
          <w:color w:val="auto"/>
        </w:rPr>
        <w:t>We are party to employment agreements with each of our named executive officers. Each of the agreements have a four-year term that automatically renews for one year periods after the initial four-year term unless either party provides written notice that it does not wish to renew the respective agreement. On January 21, 2016, the Compensation Committee approved an amendment to the employment agreements for each of our named executive officers to re-set the term of each employment agreement, such that each agreement has been extended for an additional four-years through June 30, 2020. Except with respect to certain items of compensation, as described below, the terms of each agreement are similar in all material respects.</w:t>
      </w:r>
    </w:p>
    <w:p>
      <w:pPr>
        <w:spacing w:after="0" w:line="64" w:lineRule="exact"/>
        <w:rPr>
          <w:sz w:val="20"/>
          <w:szCs w:val="20"/>
          <w:color w:val="auto"/>
        </w:rPr>
      </w:pPr>
    </w:p>
    <w:p>
      <w:pPr>
        <w:ind w:left="1120" w:right="440" w:hanging="545"/>
        <w:spacing w:after="0" w:line="277"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and Mr. Roberts provide for a base salary and a target bonus under our Annual Cash Incentive Plan.</w:t>
      </w:r>
    </w:p>
    <w:p>
      <w:pPr>
        <w:spacing w:after="0" w:line="75" w:lineRule="exact"/>
        <w:rPr>
          <w:rFonts w:ascii="Arial" w:cs="Arial" w:eastAsia="Arial" w:hAnsi="Arial"/>
          <w:sz w:val="18"/>
          <w:szCs w:val="18"/>
          <w:color w:val="auto"/>
        </w:rPr>
      </w:pPr>
    </w:p>
    <w:p>
      <w:pPr>
        <w:ind w:left="1120" w:right="140" w:hanging="545"/>
        <w:spacing w:after="0" w:line="277"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75" w:lineRule="exact"/>
        <w:rPr>
          <w:rFonts w:ascii="Arial" w:cs="Arial" w:eastAsia="Arial" w:hAnsi="Arial"/>
          <w:sz w:val="18"/>
          <w:szCs w:val="18"/>
          <w:color w:val="auto"/>
        </w:rPr>
      </w:pPr>
    </w:p>
    <w:p>
      <w:pPr>
        <w:ind w:left="1120" w:hanging="545"/>
        <w:spacing w:after="0"/>
        <w:tabs>
          <w:tab w:leader="none" w:pos="1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agreement entitles the executive to certain benefits upon his or her termination of employment under specified circumstances.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each of the above employment agreements provides for payments upon certain terminations of the executive’s employment,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1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117"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87" w:lineRule="exact"/>
        <w:rPr>
          <w:sz w:val="20"/>
          <w:szCs w:val="20"/>
          <w:color w:val="auto"/>
        </w:rPr>
      </w:pPr>
    </w:p>
    <w:p>
      <w:pPr>
        <w:ind w:left="1120" w:right="140" w:hanging="545"/>
        <w:spacing w:after="0" w:line="255"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severance payment in an amount equal to the sum of (i) twelve (12) months of the executive’s base salary then in effect on the date of termination date (except for Mr. Roberts, whose payments would be equivalent to six (6) months of his base salary), and (ii) for Mr. Mueller, Dr. Meyer, Mr. Bachus and Mr. Mildenhall,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98" w:lineRule="exact"/>
        <w:rPr>
          <w:rFonts w:ascii="Arial" w:cs="Arial" w:eastAsia="Arial" w:hAnsi="Arial"/>
          <w:sz w:val="18"/>
          <w:szCs w:val="18"/>
          <w:color w:val="auto"/>
        </w:rPr>
      </w:pPr>
    </w:p>
    <w:p>
      <w:pPr>
        <w:ind w:left="1120" w:right="100" w:hanging="545"/>
        <w:spacing w:after="0" w:line="25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twelve (12) months following the executive’s termination (except for Mr. Roberts whose payments would be for a period of six (6) months following his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93" w:lineRule="exact"/>
        <w:rPr>
          <w:rFonts w:ascii="Arial" w:cs="Arial" w:eastAsia="Arial" w:hAnsi="Arial"/>
          <w:sz w:val="18"/>
          <w:szCs w:val="18"/>
          <w:color w:val="auto"/>
        </w:rPr>
      </w:pPr>
    </w:p>
    <w:p>
      <w:pPr>
        <w:jc w:val="both"/>
        <w:ind w:left="1120" w:right="220" w:hanging="545"/>
        <w:spacing w:after="0" w:line="264"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w:t>
      </w:r>
    </w:p>
    <w:p>
      <w:pPr>
        <w:spacing w:after="0" w:line="181"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188" w:lineRule="exact"/>
        <w:rPr>
          <w:sz w:val="20"/>
          <w:szCs w:val="20"/>
          <w:color w:val="auto"/>
        </w:rPr>
      </w:pPr>
    </w:p>
    <w:p>
      <w:pPr>
        <w:ind w:right="160" w:firstLine="571"/>
        <w:spacing w:after="0" w:line="272" w:lineRule="auto"/>
        <w:rPr>
          <w:sz w:val="20"/>
          <w:szCs w:val="20"/>
          <w:color w:val="auto"/>
        </w:rPr>
      </w:pPr>
      <w:r>
        <w:rPr>
          <w:rFonts w:ascii="Arial" w:cs="Arial" w:eastAsia="Arial" w:hAnsi="Arial"/>
          <w:sz w:val="17"/>
          <w:szCs w:val="17"/>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117" w:lineRule="exact"/>
        <w:rPr>
          <w:sz w:val="20"/>
          <w:szCs w:val="20"/>
          <w:color w:val="auto"/>
        </w:rPr>
      </w:pPr>
    </w:p>
    <w:p>
      <w:pPr>
        <w:jc w:val="both"/>
        <w:ind w:firstLine="571"/>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17" w:lineRule="exact"/>
        <w:rPr>
          <w:sz w:val="20"/>
          <w:szCs w:val="20"/>
          <w:color w:val="auto"/>
        </w:rPr>
      </w:pPr>
    </w:p>
    <w:p>
      <w:pPr>
        <w:ind w:right="180" w:firstLine="571"/>
        <w:spacing w:after="0" w:line="291"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w:t>
      </w:r>
    </w:p>
    <w:p>
      <w:pPr>
        <w:ind w:right="20" w:firstLine="8"/>
        <w:spacing w:after="0" w:line="268" w:lineRule="auto"/>
        <w:tabs>
          <w:tab w:leader="none" w:pos="3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20" w:firstLine="571"/>
        <w:spacing w:after="0" w:line="257"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2017, the last business day of fiscal year 2017.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18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Termination without Cause or for Good Reason</w:t>
            </w:r>
          </w:p>
        </w:tc>
        <w:tc>
          <w:tcPr>
            <w:tcW w:w="240" w:type="dxa"/>
            <w:vAlign w:val="bottom"/>
          </w:tcPr>
          <w:p>
            <w:pPr>
              <w:spacing w:after="0"/>
              <w:rPr>
                <w:sz w:val="14"/>
                <w:szCs w:val="14"/>
                <w:color w:val="auto"/>
              </w:rPr>
            </w:pPr>
          </w:p>
        </w:tc>
        <w:tc>
          <w:tcPr>
            <w:tcW w:w="3540" w:type="dxa"/>
            <w:vAlign w:val="bottom"/>
            <w:gridSpan w:val="7"/>
          </w:tcPr>
          <w:p>
            <w:pPr>
              <w:ind w:left="200"/>
              <w:spacing w:after="0"/>
              <w:rPr>
                <w:sz w:val="20"/>
                <w:szCs w:val="20"/>
                <w:color w:val="auto"/>
              </w:rPr>
            </w:pPr>
            <w:r>
              <w:rPr>
                <w:rFonts w:ascii="Arial" w:cs="Arial" w:eastAsia="Arial" w:hAnsi="Arial"/>
                <w:sz w:val="14"/>
                <w:szCs w:val="14"/>
                <w:b w:val="1"/>
                <w:bCs w:val="1"/>
                <w:color w:val="auto"/>
              </w:rPr>
              <w:t>Termination without Cause or for Good Reason</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4180" w:type="dxa"/>
            <w:vAlign w:val="bottom"/>
            <w:gridSpan w:val="7"/>
            <w:vMerge w:val="continue"/>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gridSpan w:val="7"/>
          </w:tcPr>
          <w:p>
            <w:pPr>
              <w:ind w:left="700"/>
              <w:spacing w:after="0"/>
              <w:rPr>
                <w:sz w:val="20"/>
                <w:szCs w:val="20"/>
                <w:color w:val="auto"/>
              </w:rPr>
            </w:pPr>
            <w:r>
              <w:rPr>
                <w:rFonts w:ascii="Arial" w:cs="Arial" w:eastAsia="Arial" w:hAnsi="Arial"/>
                <w:sz w:val="14"/>
                <w:szCs w:val="14"/>
                <w:b w:val="1"/>
                <w:bCs w:val="1"/>
                <w:color w:val="auto"/>
              </w:rPr>
              <w:t>following a Change in Control</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32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Cash</w:t>
            </w: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84"/>
              <w:spacing w:after="0" w:line="119" w:lineRule="exact"/>
              <w:rPr>
                <w:sz w:val="20"/>
                <w:szCs w:val="20"/>
                <w:color w:val="auto"/>
              </w:rPr>
            </w:pPr>
            <w:r>
              <w:rPr>
                <w:rFonts w:ascii="Arial" w:cs="Arial" w:eastAsia="Arial" w:hAnsi="Arial"/>
                <w:sz w:val="13"/>
                <w:szCs w:val="13"/>
                <w:b w:val="1"/>
                <w:bCs w:val="1"/>
                <w:color w:val="auto"/>
              </w:rPr>
              <w:t>Acceleration of</w:t>
            </w:r>
          </w:p>
        </w:tc>
        <w:tc>
          <w:tcPr>
            <w:tcW w:w="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4"/>
              <w:spacing w:after="0" w:line="119" w:lineRule="exact"/>
              <w:rPr>
                <w:sz w:val="20"/>
                <w:szCs w:val="20"/>
                <w:color w:val="auto"/>
              </w:rPr>
            </w:pPr>
            <w:r>
              <w:rPr>
                <w:rFonts w:ascii="Arial" w:cs="Arial" w:eastAsia="Arial" w:hAnsi="Arial"/>
                <w:sz w:val="13"/>
                <w:szCs w:val="13"/>
                <w:b w:val="1"/>
                <w:bCs w:val="1"/>
                <w:color w:val="auto"/>
              </w:rPr>
              <w:t>Acceleration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Cash Payment</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Payment</w:t>
            </w: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and Options</w:t>
            </w:r>
          </w:p>
        </w:tc>
        <w:tc>
          <w:tcPr>
            <w:tcW w:w="14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and Options</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9"/>
              </w:rPr>
              <w:t>($)(3)</w:t>
            </w: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Brian E. Mueller</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1,284,000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18,857</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3,257,101</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1,284,000</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$ 18,857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7,867,896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Dr. W. Stan Meyer</w:t>
            </w:r>
          </w:p>
        </w:tc>
        <w:tc>
          <w:tcPr>
            <w:tcW w:w="960" w:type="dxa"/>
            <w:vAlign w:val="bottom"/>
          </w:tcPr>
          <w:p>
            <w:pPr>
              <w:jc w:val="right"/>
              <w:spacing w:after="0"/>
              <w:rPr>
                <w:sz w:val="20"/>
                <w:szCs w:val="20"/>
                <w:color w:val="auto"/>
              </w:rPr>
            </w:pPr>
            <w:r>
              <w:rPr>
                <w:rFonts w:ascii="Arial" w:cs="Arial" w:eastAsia="Arial" w:hAnsi="Arial"/>
                <w:sz w:val="16"/>
                <w:szCs w:val="16"/>
                <w:color w:val="auto"/>
              </w:rPr>
              <w:t>682,500</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18,997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1,737,240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682,500</w:t>
            </w:r>
          </w:p>
        </w:tc>
        <w:tc>
          <w:tcPr>
            <w:tcW w:w="660" w:type="dxa"/>
            <w:vAlign w:val="bottom"/>
          </w:tcPr>
          <w:p>
            <w:pPr>
              <w:jc w:val="right"/>
              <w:spacing w:after="0"/>
              <w:rPr>
                <w:sz w:val="20"/>
                <w:szCs w:val="20"/>
                <w:color w:val="auto"/>
              </w:rPr>
            </w:pPr>
            <w:r>
              <w:rPr>
                <w:rFonts w:ascii="Arial" w:cs="Arial" w:eastAsia="Arial" w:hAnsi="Arial"/>
                <w:sz w:val="16"/>
                <w:szCs w:val="16"/>
                <w:color w:val="auto"/>
              </w:rPr>
              <w:t>18,997</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4,196,808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Daniel E. Bachus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18,997</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1,737,240</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682,500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4,196,808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Joseph N. Mildenhall</w:t>
            </w:r>
          </w:p>
        </w:tc>
        <w:tc>
          <w:tcPr>
            <w:tcW w:w="960" w:type="dxa"/>
            <w:vAlign w:val="bottom"/>
          </w:tcPr>
          <w:p>
            <w:pPr>
              <w:jc w:val="right"/>
              <w:spacing w:after="0"/>
              <w:rPr>
                <w:sz w:val="20"/>
                <w:szCs w:val="20"/>
                <w:color w:val="auto"/>
              </w:rPr>
            </w:pPr>
            <w:r>
              <w:rPr>
                <w:rFonts w:ascii="Arial" w:cs="Arial" w:eastAsia="Arial" w:hAnsi="Arial"/>
                <w:sz w:val="16"/>
                <w:szCs w:val="16"/>
                <w:color w:val="auto"/>
              </w:rPr>
              <w:t>510,000</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12,652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1,737,240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510,000</w:t>
            </w:r>
          </w:p>
        </w:tc>
        <w:tc>
          <w:tcPr>
            <w:tcW w:w="660" w:type="dxa"/>
            <w:vAlign w:val="bottom"/>
          </w:tcPr>
          <w:p>
            <w:pPr>
              <w:jc w:val="right"/>
              <w:spacing w:after="0"/>
              <w:rPr>
                <w:sz w:val="20"/>
                <w:szCs w:val="20"/>
                <w:color w:val="auto"/>
              </w:rPr>
            </w:pPr>
            <w:r>
              <w:rPr>
                <w:rFonts w:ascii="Arial" w:cs="Arial" w:eastAsia="Arial" w:hAnsi="Arial"/>
                <w:sz w:val="16"/>
                <w:szCs w:val="16"/>
                <w:color w:val="auto"/>
              </w:rPr>
              <w:t>12,652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4,196,808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Brian M. Roberts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162,500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3,910,312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865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Assumes a termination date of December 31, 2017, and is based on the executive’s salary and target bonus in effect at such date.</w:t>
      </w:r>
    </w:p>
    <w:p>
      <w:pPr>
        <w:spacing w:after="0" w:line="22" w:lineRule="exact"/>
        <w:rPr>
          <w:rFonts w:ascii="Arial" w:cs="Arial" w:eastAsia="Arial" w:hAnsi="Arial"/>
          <w:sz w:val="16"/>
          <w:szCs w:val="16"/>
          <w:color w:val="auto"/>
        </w:rPr>
      </w:pPr>
    </w:p>
    <w:p>
      <w:pPr>
        <w:ind w:left="580" w:hanging="572"/>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the cost related to the continuation of the executive’s health benefits for the period specified.</w:t>
      </w:r>
    </w:p>
    <w:p>
      <w:pPr>
        <w:spacing w:after="0" w:line="18" w:lineRule="exact"/>
        <w:rPr>
          <w:rFonts w:ascii="Arial" w:cs="Arial" w:eastAsia="Arial" w:hAnsi="Arial"/>
          <w:sz w:val="16"/>
          <w:szCs w:val="16"/>
          <w:color w:val="auto"/>
        </w:rPr>
      </w:pPr>
    </w:p>
    <w:p>
      <w:pPr>
        <w:ind w:left="580" w:hanging="572"/>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Calculated based on an assumed termination date of December 31, 2017 and the closing market price of our common stock on the Nasdaq Global Market on such date.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Kevin F. Warren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Sara R. Dial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409"/>
        </w:trPr>
        <w:tc>
          <w:tcPr>
            <w:tcW w:w="960" w:type="dxa"/>
            <w:vAlign w:val="bottom"/>
            <w:tcBorders>
              <w:top w:val="single" w:sz="8" w:color="auto"/>
              <w:left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34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i w:val="1"/>
                <w:iCs w:val="1"/>
                <w:color w:val="auto"/>
              </w:rPr>
              <w:t>What am I voting on?</w:t>
            </w:r>
          </w:p>
        </w:tc>
        <w:tc>
          <w:tcPr>
            <w:tcW w:w="81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6"/>
                <w:szCs w:val="16"/>
                <w:color w:val="auto"/>
                <w:w w:val="94"/>
              </w:rPr>
              <w:t>Stockholders are being asked to ratify the appointment of KPMG LLP, a registered public accounting firm, to serve</w:t>
            </w:r>
          </w:p>
        </w:tc>
      </w:tr>
      <w:tr>
        <w:trPr>
          <w:trHeight w:val="206"/>
        </w:trPr>
        <w:tc>
          <w:tcPr>
            <w:tcW w:w="960" w:type="dxa"/>
            <w:vAlign w:val="bottom"/>
            <w:tcBorders>
              <w:left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81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w w:val="97"/>
              </w:rPr>
              <w:t>as the Company’s independent registered public accounting firm for the fiscal year ending December 31, 2018.</w:t>
            </w:r>
          </w:p>
        </w:tc>
      </w:tr>
      <w:tr>
        <w:trPr>
          <w:trHeight w:val="415"/>
        </w:trPr>
        <w:tc>
          <w:tcPr>
            <w:tcW w:w="960" w:type="dxa"/>
            <w:vAlign w:val="bottom"/>
            <w:tcBorders>
              <w:left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34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Voting recommendation:</w:t>
            </w:r>
          </w:p>
        </w:tc>
        <w:tc>
          <w:tcPr>
            <w:tcW w:w="81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w w:val="94"/>
              </w:rPr>
              <w:t>Our Board of Directors unanimously recommends that you vote “</w:t>
            </w:r>
            <w:r>
              <w:rPr>
                <w:rFonts w:ascii="Arial" w:cs="Arial" w:eastAsia="Arial" w:hAnsi="Arial"/>
                <w:sz w:val="16"/>
                <w:szCs w:val="16"/>
                <w:b w:val="1"/>
                <w:bCs w:val="1"/>
                <w:color w:val="auto"/>
                <w:w w:val="94"/>
              </w:rPr>
              <w:t>FOR</w:t>
            </w:r>
            <w:r>
              <w:rPr>
                <w:rFonts w:ascii="Arial" w:cs="Arial" w:eastAsia="Arial" w:hAnsi="Arial"/>
                <w:sz w:val="16"/>
                <w:szCs w:val="16"/>
                <w:color w:val="auto"/>
                <w:w w:val="94"/>
              </w:rPr>
              <w:t>” the ratification of the appointment of KPMG</w:t>
            </w:r>
          </w:p>
        </w:tc>
      </w:tr>
      <w:tr>
        <w:trPr>
          <w:trHeight w:val="206"/>
        </w:trPr>
        <w:tc>
          <w:tcPr>
            <w:tcW w:w="960" w:type="dxa"/>
            <w:vAlign w:val="bottom"/>
            <w:tcBorders>
              <w:left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81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LLP as our independent registered public accounting firm for the fiscal year ending December 31, 2018.</w:t>
            </w:r>
          </w:p>
        </w:tc>
      </w:tr>
      <w:tr>
        <w:trPr>
          <w:trHeight w:val="415"/>
        </w:trPr>
        <w:tc>
          <w:tcPr>
            <w:tcW w:w="960" w:type="dxa"/>
            <w:vAlign w:val="bottom"/>
            <w:tcBorders>
              <w:left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34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Vote required:</w:t>
            </w:r>
          </w:p>
        </w:tc>
        <w:tc>
          <w:tcPr>
            <w:tcW w:w="81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w w:val="94"/>
              </w:rPr>
              <w:t>The affirmative vote of the majority of shares present in person or represented by proxy at the Annual Meeting and</w:t>
            </w:r>
          </w:p>
        </w:tc>
      </w:tr>
      <w:tr>
        <w:trPr>
          <w:trHeight w:val="203"/>
        </w:trPr>
        <w:tc>
          <w:tcPr>
            <w:tcW w:w="960" w:type="dxa"/>
            <w:vAlign w:val="bottom"/>
            <w:tcBorders>
              <w:left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814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w w:val="92"/>
              </w:rPr>
              <w:t>entitled to vote. Brokers have discretion to vote on the ratification of our independent auditors and, as such, no votes</w:t>
            </w:r>
          </w:p>
        </w:tc>
      </w:tr>
      <w:tr>
        <w:trPr>
          <w:trHeight w:val="209"/>
        </w:trPr>
        <w:tc>
          <w:tcPr>
            <w:tcW w:w="960" w:type="dxa"/>
            <w:vAlign w:val="bottom"/>
            <w:tcBorders>
              <w:left w:val="single" w:sz="8" w:color="auto"/>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81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w w:val="93"/>
              </w:rPr>
              <w:t>on this proposal will be considered broker non-votes. Abstentions will have the effect of a vote against this proposal</w:t>
            </w:r>
          </w:p>
        </w:tc>
      </w:tr>
    </w:tbl>
    <w:p>
      <w:pPr>
        <w:spacing w:after="0" w:line="202" w:lineRule="exact"/>
        <w:rPr>
          <w:sz w:val="20"/>
          <w:szCs w:val="20"/>
          <w:color w:val="auto"/>
        </w:rPr>
      </w:pPr>
    </w:p>
    <w:p>
      <w:pPr>
        <w:ind w:right="40" w:firstLine="571"/>
        <w:spacing w:after="0" w:line="270"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2018.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2018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2018.</w:t>
      </w:r>
    </w:p>
    <w:p>
      <w:pPr>
        <w:spacing w:after="0" w:line="182" w:lineRule="exact"/>
        <w:rPr>
          <w:sz w:val="20"/>
          <w:szCs w:val="20"/>
          <w:color w:val="auto"/>
        </w:rPr>
      </w:pPr>
    </w:p>
    <w:p>
      <w:pPr>
        <w:ind w:right="40" w:firstLine="571"/>
        <w:spacing w:after="0" w:line="277" w:lineRule="auto"/>
        <w:rPr>
          <w:sz w:val="20"/>
          <w:szCs w:val="20"/>
          <w:color w:val="auto"/>
        </w:rPr>
      </w:pPr>
      <w:r>
        <w:rPr>
          <w:rFonts w:ascii="Arial" w:cs="Arial" w:eastAsia="Arial" w:hAnsi="Arial"/>
          <w:sz w:val="18"/>
          <w:szCs w:val="18"/>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383"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jc w:val="both"/>
        <w:ind w:right="80" w:firstLine="571"/>
        <w:spacing w:after="0" w:line="286" w:lineRule="auto"/>
        <w:rPr>
          <w:sz w:val="20"/>
          <w:szCs w:val="20"/>
          <w:color w:val="auto"/>
        </w:rPr>
      </w:pPr>
      <w:r>
        <w:rPr>
          <w:rFonts w:ascii="Arial" w:cs="Arial" w:eastAsia="Arial" w:hAnsi="Arial"/>
          <w:sz w:val="17"/>
          <w:szCs w:val="17"/>
          <w:color w:val="auto"/>
        </w:rPr>
        <w:t>For the years ended December 31, 2017 and 2016,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Services Rendered</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6"/>
                <w:szCs w:val="16"/>
                <w:color w:val="auto"/>
              </w:rPr>
            </w:pP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3"/>
                <w:szCs w:val="13"/>
                <w:color w:val="auto"/>
              </w:rPr>
              <w:t>Audit Fees</w:t>
            </w:r>
            <w:r>
              <w:rPr>
                <w:rFonts w:ascii="Arial" w:cs="Arial" w:eastAsia="Arial" w:hAnsi="Arial"/>
                <w:sz w:val="20"/>
                <w:szCs w:val="20"/>
                <w:color w:val="auto"/>
                <w:vertAlign w:val="superscript"/>
              </w:rPr>
              <w:t>(1)</w:t>
            </w:r>
          </w:p>
        </w:tc>
        <w:tc>
          <w:tcPr>
            <w:tcW w:w="6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93"/>
              </w:rPr>
              <w:t>691,318</w:t>
            </w: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93"/>
              </w:rPr>
              <w:t>615,000</w:t>
            </w: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7480" w:type="dxa"/>
            <w:vAlign w:val="bottom"/>
            <w:gridSpan w:val="2"/>
          </w:tcPr>
          <w:p>
            <w:pPr>
              <w:spacing w:after="0"/>
              <w:rPr>
                <w:sz w:val="20"/>
                <w:szCs w:val="20"/>
                <w:color w:val="auto"/>
              </w:rPr>
            </w:pPr>
            <w:r>
              <w:rPr>
                <w:rFonts w:ascii="Arial" w:cs="Arial" w:eastAsia="Arial" w:hAnsi="Arial"/>
                <w:sz w:val="16"/>
                <w:szCs w:val="16"/>
                <w:color w:val="auto"/>
              </w:rPr>
              <w:t>Audit-Related Fees</w:t>
            </w:r>
          </w:p>
        </w:tc>
        <w:tc>
          <w:tcPr>
            <w:tcW w:w="120" w:type="dxa"/>
            <w:vAlign w:val="bottom"/>
          </w:tcPr>
          <w:p>
            <w:pPr>
              <w:spacing w:after="0"/>
              <w:rPr>
                <w:sz w:val="17"/>
                <w:szCs w:val="17"/>
                <w:color w:val="auto"/>
              </w:rPr>
            </w:pPr>
          </w:p>
        </w:tc>
        <w:tc>
          <w:tcPr>
            <w:tcW w:w="12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r>
      <w:tr>
        <w:trPr>
          <w:trHeight w:val="203"/>
        </w:trPr>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r>
      <w:tr>
        <w:trPr>
          <w:trHeight w:val="210"/>
        </w:trPr>
        <w:tc>
          <w:tcPr>
            <w:tcW w:w="748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3"/>
        </w:trPr>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w w:val="93"/>
              </w:rPr>
              <w:t>691,318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615,000</w:t>
            </w:r>
          </w:p>
        </w:tc>
        <w:tc>
          <w:tcPr>
            <w:tcW w:w="40" w:type="dxa"/>
            <w:vAlign w:val="bottom"/>
            <w:shd w:val="clear" w:color="auto" w:fill="CCEEFF"/>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2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 Fees in 2017 and 2016 relate to services rendered for the audits of our annual consolidated financial statements including accounting and reporting consultations, for the review of our quarterly financial statements, and for services that are normally provided by the auditor in connection with statutory and regulatory filings or engagements.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459"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12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87"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87"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2017 and 2016 were approved by our Audit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 xml:space="preserve">The Audit Committee operates under a written charter adopted by the Board that outlines its responsibilities and the practices it follows. You can view the charter on the Company’s website, </w:t>
      </w:r>
      <w:r>
        <w:rPr>
          <w:rFonts w:ascii="Arial" w:cs="Arial" w:eastAsia="Arial" w:hAnsi="Arial"/>
          <w:sz w:val="18"/>
          <w:szCs w:val="18"/>
          <w:i w:val="1"/>
          <w:iCs w:val="1"/>
          <w:u w:val="single" w:color="auto"/>
          <w:color w:val="auto"/>
        </w:rPr>
        <w:t>www.gcu.edu</w:t>
      </w:r>
      <w:r>
        <w:rPr>
          <w:rFonts w:ascii="Arial" w:cs="Arial" w:eastAsia="Arial" w:hAnsi="Arial"/>
          <w:sz w:val="18"/>
          <w:szCs w:val="18"/>
          <w:i w:val="1"/>
          <w:iCs w:val="1"/>
          <w:color w:val="auto"/>
        </w:rPr>
        <w:t>.</w:t>
      </w:r>
      <w:r>
        <w:rPr>
          <w:rFonts w:ascii="Arial" w:cs="Arial" w:eastAsia="Arial" w:hAnsi="Arial"/>
          <w:sz w:val="18"/>
          <w:szCs w:val="18"/>
          <w:color w:val="auto"/>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w:t>
      </w:r>
      <w:r>
        <w:rPr>
          <w:rFonts w:ascii="Arial" w:cs="Arial" w:eastAsia="Arial" w:hAnsi="Arial"/>
          <w:sz w:val="18"/>
          <w:szCs w:val="18"/>
          <w:i w:val="1"/>
          <w:iCs w:val="1"/>
          <w:color w:val="auto"/>
        </w:rPr>
        <w:t>Committees of Our Board of Directors</w:t>
      </w:r>
      <w:r>
        <w:rPr>
          <w:rFonts w:ascii="Arial" w:cs="Arial" w:eastAsia="Arial" w:hAnsi="Arial"/>
          <w:sz w:val="18"/>
          <w:szCs w:val="18"/>
          <w:color w:val="auto"/>
        </w:rPr>
        <w:t>.</w:t>
      </w:r>
    </w:p>
    <w:p>
      <w:pPr>
        <w:spacing w:after="0" w:line="18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Audit Committee is composed of three,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Jack A. Henry, David J. Johnson and Kevin F. Warren as “audit committee financial experts” under the SEC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 of the Audit Committee and the Audit Committee’s Activities in 2017</w:t>
      </w:r>
    </w:p>
    <w:p>
      <w:pPr>
        <w:spacing w:after="0" w:line="229"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2017, among other things, the Audit Committee:</w:t>
      </w:r>
    </w:p>
    <w:p>
      <w:pPr>
        <w:spacing w:after="0" w:line="252" w:lineRule="exact"/>
        <w:rPr>
          <w:sz w:val="20"/>
          <w:szCs w:val="20"/>
          <w:color w:val="auto"/>
        </w:rPr>
      </w:pPr>
    </w:p>
    <w:p>
      <w:pPr>
        <w:ind w:left="1120" w:hanging="31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Engaged KPMG LLP (“KPMG”) as our independent auditors;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met with the senior members of the Company’s financial management team at each regularly scheduled meeting;</w:t>
      </w:r>
    </w:p>
    <w:p>
      <w:pPr>
        <w:spacing w:after="0" w:line="9" w:lineRule="exact"/>
        <w:rPr>
          <w:rFonts w:ascii="Arial" w:cs="Arial" w:eastAsia="Arial" w:hAnsi="Arial"/>
          <w:sz w:val="18"/>
          <w:szCs w:val="18"/>
          <w:color w:val="auto"/>
        </w:rPr>
      </w:pPr>
    </w:p>
    <w:p>
      <w:pPr>
        <w:ind w:left="1120" w:right="500" w:hanging="315"/>
        <w:spacing w:after="0" w:line="265" w:lineRule="auto"/>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ind w:left="1120" w:right="160" w:hanging="315"/>
        <w:spacing w:after="0" w:line="250"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1" w:lineRule="exact"/>
        <w:rPr>
          <w:rFonts w:ascii="Arial" w:cs="Arial" w:eastAsia="Arial" w:hAnsi="Arial"/>
          <w:sz w:val="18"/>
          <w:szCs w:val="18"/>
          <w:color w:val="auto"/>
        </w:rPr>
      </w:pPr>
    </w:p>
    <w:p>
      <w:pPr>
        <w:ind w:left="1120" w:right="540" w:hanging="315"/>
        <w:spacing w:after="0" w:line="250"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discussed with KPMG the Company’s internal control assessment process, management’s assessment with respect thereto and KPMG’s evaluation of the Company’s system of internal control over financial reporting;</w:t>
      </w:r>
    </w:p>
    <w:p>
      <w:pPr>
        <w:ind w:left="1120" w:hanging="31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reviewed and discussed with management and KPMG the Company’s periodic reports prior to filing with the SEC;</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reviewed the Company’s internal audit plan and the performance of the Company’s internal audit function;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20" w:right="60" w:hanging="315"/>
        <w:spacing w:after="0" w:line="256"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ind w:left="1120" w:right="120" w:hanging="315"/>
        <w:spacing w:after="0" w:line="255"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reviewed with management, including our Chief Risk Officer and General Counsel, and KPMG significant risks and exposures identified by management, the overall adequacy and effectiveness of the Company’s legal, regulatory and ethical compliance programs, including the Company’s code of conduct and cybersecurity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Audited Financial Statements</w:t>
      </w:r>
    </w:p>
    <w:p>
      <w:pPr>
        <w:spacing w:after="0" w:line="229" w:lineRule="exact"/>
        <w:rPr>
          <w:sz w:val="20"/>
          <w:szCs w:val="20"/>
          <w:color w:val="auto"/>
        </w:rPr>
      </w:pPr>
    </w:p>
    <w:p>
      <w:pPr>
        <w:ind w:firstLine="571"/>
        <w:spacing w:after="0" w:line="286"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2017, with management;</w:t>
      </w:r>
    </w:p>
    <w:p>
      <w:pPr>
        <w:spacing w:after="0" w:line="46" w:lineRule="exact"/>
        <w:rPr>
          <w:sz w:val="20"/>
          <w:szCs w:val="20"/>
          <w:color w:val="auto"/>
        </w:rPr>
      </w:pPr>
    </w:p>
    <w:p>
      <w:pPr>
        <w:ind w:right="40" w:firstLine="8"/>
        <w:spacing w:after="0" w:line="281"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discussed with our Company’s independent registered public accounting firm the matters required to be discussed by Public Company Oversight Board (PCAOB) Auditing Standard Number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(PCAOB General Auditing Standards 1300, </w:t>
      </w:r>
      <w:r>
        <w:rPr>
          <w:rFonts w:ascii="Arial" w:cs="Arial" w:eastAsia="Arial" w:hAnsi="Arial"/>
          <w:sz w:val="16"/>
          <w:szCs w:val="16"/>
          <w:i w:val="1"/>
          <w:iCs w:val="1"/>
          <w:color w:val="auto"/>
        </w:rPr>
        <w:t>Auditor Communications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80" w:firstLine="8"/>
        <w:spacing w:after="0" w:line="255"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190"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2017, for filing with the Securities and Exchange Commission.</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David J. Johnson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Kevin F. Warren</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March 31, 2018 for:</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calculations of beneficial ownership in this table are based on 48,221,844 shares outstanding at March 31, 2018</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3"/>
              </w:rPr>
              <w:t>Amount and Nature of</w:t>
            </w:r>
          </w:p>
        </w:tc>
        <w:tc>
          <w:tcPr>
            <w:tcW w:w="254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11"/>
        </w:trPr>
        <w:tc>
          <w:tcPr>
            <w:tcW w:w="12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Percent of Class</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Beneficial Ownership</w:t>
            </w:r>
          </w:p>
        </w:tc>
        <w:tc>
          <w:tcPr>
            <w:tcW w:w="1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Principal Stockholders:</w:t>
            </w:r>
          </w:p>
        </w:tc>
        <w:tc>
          <w:tcPr>
            <w:tcW w:w="1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4"/>
                <w:szCs w:val="14"/>
                <w:color w:val="auto"/>
              </w:rPr>
              <w:t>The Vanguard Group – 23-1945930</w:t>
            </w:r>
            <w:r>
              <w:rPr>
                <w:rFonts w:ascii="Arial" w:cs="Arial" w:eastAsia="Arial" w:hAnsi="Arial"/>
                <w:sz w:val="23"/>
                <w:szCs w:val="23"/>
                <w:color w:val="auto"/>
                <w:vertAlign w:val="superscript"/>
              </w:rPr>
              <w:t>(2)</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4,149,027</w:t>
            </w:r>
          </w:p>
        </w:tc>
        <w:tc>
          <w:tcPr>
            <w:tcW w:w="2540" w:type="dxa"/>
            <w:vAlign w:val="bottom"/>
            <w:gridSpan w:val="3"/>
          </w:tcPr>
          <w:p>
            <w:pPr>
              <w:jc w:val="right"/>
              <w:ind w:right="4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FMR LLC</w:t>
            </w:r>
            <w:r>
              <w:rPr>
                <w:rFonts w:ascii="Arial" w:cs="Arial" w:eastAsia="Arial" w:hAnsi="Arial"/>
                <w:sz w:val="23"/>
                <w:szCs w:val="23"/>
                <w:color w:val="auto"/>
                <w:vertAlign w:val="superscript"/>
              </w:rPr>
              <w:t>(3)</w:t>
            </w:r>
          </w:p>
        </w:tc>
        <w:tc>
          <w:tcPr>
            <w:tcW w:w="4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4,178,772</w:t>
            </w:r>
          </w:p>
        </w:tc>
        <w:tc>
          <w:tcPr>
            <w:tcW w:w="2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4"/>
                <w:szCs w:val="14"/>
                <w:color w:val="auto"/>
              </w:rPr>
              <w:t xml:space="preserve">BlackRock Inc. </w:t>
            </w:r>
            <w:r>
              <w:rPr>
                <w:rFonts w:ascii="Arial" w:cs="Arial" w:eastAsia="Arial" w:hAnsi="Arial"/>
                <w:sz w:val="23"/>
                <w:szCs w:val="23"/>
                <w:color w:val="auto"/>
                <w:vertAlign w:val="superscript"/>
              </w:rPr>
              <w:t>(4)</w:t>
            </w:r>
          </w:p>
        </w:tc>
        <w:tc>
          <w:tcPr>
            <w:tcW w:w="43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3,337,084</w:t>
            </w:r>
          </w:p>
        </w:tc>
        <w:tc>
          <w:tcPr>
            <w:tcW w:w="2540" w:type="dxa"/>
            <w:vAlign w:val="bottom"/>
            <w:gridSpan w:val="3"/>
          </w:tcPr>
          <w:p>
            <w:pPr>
              <w:jc w:val="right"/>
              <w:ind w:righ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Directors and Named Executive Officers:</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Brian E. Mueller</w:t>
            </w:r>
          </w:p>
        </w:tc>
        <w:tc>
          <w:tcPr>
            <w:tcW w:w="4380" w:type="dxa"/>
            <w:vAlign w:val="bottom"/>
          </w:tcPr>
          <w:p>
            <w:pPr>
              <w:jc w:val="right"/>
              <w:ind w:right="4131"/>
              <w:spacing w:after="0"/>
              <w:rPr>
                <w:sz w:val="20"/>
                <w:szCs w:val="20"/>
                <w:color w:val="auto"/>
              </w:rPr>
            </w:pPr>
            <w:r>
              <w:rPr>
                <w:rFonts w:ascii="Arial" w:cs="Arial" w:eastAsia="Arial" w:hAnsi="Arial"/>
                <w:sz w:val="14"/>
                <w:szCs w:val="14"/>
                <w:color w:val="auto"/>
                <w:w w:val="93"/>
              </w:rPr>
              <w:t>(5)</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528,739</w:t>
            </w:r>
          </w:p>
        </w:tc>
        <w:tc>
          <w:tcPr>
            <w:tcW w:w="2540" w:type="dxa"/>
            <w:vAlign w:val="bottom"/>
            <w:gridSpan w:val="3"/>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Dr. W. Stan Meyer </w:t>
            </w:r>
            <w:r>
              <w:rPr>
                <w:rFonts w:ascii="Arial" w:cs="Arial" w:eastAsia="Arial" w:hAnsi="Arial"/>
                <w:sz w:val="23"/>
                <w:szCs w:val="23"/>
                <w:color w:val="auto"/>
                <w:vertAlign w:val="superscript"/>
              </w:rPr>
              <w:t>(6)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217,261</w:t>
            </w:r>
          </w:p>
        </w:tc>
        <w:tc>
          <w:tcPr>
            <w:tcW w:w="2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w w:val="99"/>
              </w:rPr>
              <w:t>Daniel E. Bachus</w:t>
            </w:r>
          </w:p>
        </w:tc>
        <w:tc>
          <w:tcPr>
            <w:tcW w:w="4380" w:type="dxa"/>
            <w:vAlign w:val="bottom"/>
          </w:tcPr>
          <w:p>
            <w:pPr>
              <w:jc w:val="right"/>
              <w:ind w:right="4091"/>
              <w:spacing w:after="0"/>
              <w:rPr>
                <w:sz w:val="20"/>
                <w:szCs w:val="20"/>
                <w:color w:val="auto"/>
              </w:rPr>
            </w:pPr>
            <w:r>
              <w:rPr>
                <w:rFonts w:ascii="Arial" w:cs="Arial" w:eastAsia="Arial" w:hAnsi="Arial"/>
                <w:sz w:val="14"/>
                <w:szCs w:val="14"/>
                <w:color w:val="auto"/>
              </w:rPr>
              <w:t>(7)</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224,023</w:t>
            </w:r>
          </w:p>
        </w:tc>
        <w:tc>
          <w:tcPr>
            <w:tcW w:w="2540" w:type="dxa"/>
            <w:vAlign w:val="bottom"/>
            <w:gridSpan w:val="3"/>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Joseph N. Mildenhall </w:t>
            </w:r>
            <w:r>
              <w:rPr>
                <w:rFonts w:ascii="Arial" w:cs="Arial" w:eastAsia="Arial" w:hAnsi="Arial"/>
                <w:sz w:val="23"/>
                <w:szCs w:val="23"/>
                <w:color w:val="auto"/>
                <w:vertAlign w:val="superscript"/>
              </w:rPr>
              <w:t>(8)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107,652</w:t>
            </w:r>
          </w:p>
        </w:tc>
        <w:tc>
          <w:tcPr>
            <w:tcW w:w="2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Brian M. Roberts</w:t>
            </w:r>
          </w:p>
        </w:tc>
        <w:tc>
          <w:tcPr>
            <w:tcW w:w="43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46,185</w:t>
            </w:r>
          </w:p>
        </w:tc>
        <w:tc>
          <w:tcPr>
            <w:tcW w:w="2540" w:type="dxa"/>
            <w:vAlign w:val="bottom"/>
            <w:gridSpan w:val="3"/>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Sara R. Dial</w:t>
            </w:r>
          </w:p>
        </w:tc>
        <w:tc>
          <w:tcPr>
            <w:tcW w:w="4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8,885</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Jack A. Henry</w:t>
            </w:r>
          </w:p>
        </w:tc>
        <w:tc>
          <w:tcPr>
            <w:tcW w:w="43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16,396</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Kevin F. Warren</w:t>
            </w:r>
          </w:p>
        </w:tc>
        <w:tc>
          <w:tcPr>
            <w:tcW w:w="4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8,954</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w w:val="99"/>
              </w:rPr>
              <w:t>David J. Johnson</w:t>
            </w:r>
          </w:p>
        </w:tc>
        <w:tc>
          <w:tcPr>
            <w:tcW w:w="43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14,056</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All directors and executive officers as a group (9 persons)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1,172,151</w:t>
            </w:r>
          </w:p>
        </w:tc>
        <w:tc>
          <w:tcPr>
            <w:tcW w:w="2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beneficial ownership of less than 1.0%</w:t>
      </w:r>
    </w:p>
    <w:p>
      <w:pPr>
        <w:spacing w:after="0" w:line="252" w:lineRule="exact"/>
        <w:rPr>
          <w:sz w:val="20"/>
          <w:szCs w:val="20"/>
          <w:color w:val="auto"/>
        </w:rPr>
      </w:pPr>
    </w:p>
    <w:p>
      <w:pPr>
        <w:ind w:left="460" w:right="40" w:hanging="452"/>
        <w:spacing w:after="0" w:line="25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93"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information for The Vanguard Group – 23-1945930 (“Vanguard”) is based on a Schedule 13G/A filed with the Securities and Exchange Commission on February 9, 2018. The address for Vanguard is 100 Vanguard Blvd., Malvern, PA 19355. Vanguard reported that it had sole voting power over 91,324 shares, shared voting power over 5,629 shares, sole dispositive power over 4,055,748 shares, and shared dispositive power over 93,279.</w:t>
      </w:r>
    </w:p>
    <w:p>
      <w:pPr>
        <w:spacing w:after="0" w:line="92"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information for FMR LLC (“FMR”) is based on a Schedule 13G/A filed with the Securities and Exchange Commission on February 13, 2018. The address for FMR is 245 Summer Street, Boston, MA 02210. FMR reported that it had sole voting power over 1,396,283 shares and sole dispositive power over all of its reported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information for BlackRock Inc. (“BlackRock”) is based on a Schedule 13G/A filed with the Securities and Exchange Commission on January 25, 2018. The address for BlackRock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10055. BlackRock reported that it had sole voting power over 3,230,497 shares and sole dispositive power over all of its reported shares.</w:t>
      </w:r>
    </w:p>
    <w:p>
      <w:pPr>
        <w:spacing w:after="0" w:line="86"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278,739 shares owned by Mr. Mueller and 250,000 shares issuable upon the exercise of stock options that are currently exercisable or exercisable within 60 days for by Mr. Mueller.</w:t>
      </w:r>
    </w:p>
    <w:p>
      <w:pPr>
        <w:spacing w:after="0" w:line="75"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97,261 shares owned by Dr. Meyer and 120,000 shares issuable upon the exercise of stock options that are currently exercisable or exercisable within 60 days for by Dr. Meyer.</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104,023 shares owned by Mr. Bachus and 120,000 shares issuable upon the exercise of stock options that are currently exercisable or exercisable within 60 days for by Mr. Bachus.</w:t>
      </w:r>
    </w:p>
    <w:p>
      <w:pPr>
        <w:spacing w:after="0" w:line="75"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87,752 shares owned by Mr. Mildenhall and 19,900 shares issuable upon the exercise of stock options that are currently exercisable or exercisable within 60 days for by Mr. Mildenhall.</w:t>
      </w:r>
    </w:p>
    <w:p>
      <w:pPr>
        <w:spacing w:after="0" w:line="3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60" w:firstLine="571"/>
        <w:spacing w:after="0" w:line="269" w:lineRule="auto"/>
        <w:rPr>
          <w:sz w:val="20"/>
          <w:szCs w:val="20"/>
          <w:color w:val="auto"/>
        </w:rPr>
      </w:pPr>
      <w:r>
        <w:rPr>
          <w:rFonts w:ascii="Arial" w:cs="Arial" w:eastAsia="Arial" w:hAnsi="Arial"/>
          <w:sz w:val="17"/>
          <w:szCs w:val="17"/>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right="500" w:firstLine="571"/>
        <w:spacing w:after="0" w:line="264" w:lineRule="auto"/>
        <w:rPr>
          <w:sz w:val="20"/>
          <w:szCs w:val="20"/>
          <w:color w:val="auto"/>
        </w:rPr>
      </w:pPr>
      <w:r>
        <w:rPr>
          <w:rFonts w:ascii="Arial" w:cs="Arial" w:eastAsia="Arial" w:hAnsi="Arial"/>
          <w:sz w:val="18"/>
          <w:szCs w:val="18"/>
          <w:color w:val="auto"/>
        </w:rPr>
        <w:t>There were no reportable transactions since January 1, 2017,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Section 16(a) of the Exchange Act requires that our Company’s directors and executive officers and beneficial owners of more than 10% of the Company’s common stock file initial reports of ownership and reports of changes in ownership with the SEC. Directors and executive officers are required to furnish the Company with copies of all Section 16(a) forms they file. Based solely on a review of the copies of such forms furnished to the Company and written representations from our Company’s directors and executive officers, all reports required by Section 16(a) were filed on a timely basis for the fiscal year ended December 31, 2017, except that each of Mr. Mueller, Dr. Meyer and Mr. Bachus filed a Form 4 one day late with respect to the exercise and sale of 30,000, 20,000 and 14,000 options, respectively, in February 2017. All three Form 4s were administratively one day late, but were filed prior to the next day’s market opening.</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 xml:space="preserve">Our 2017 annual report and our Annual Report on Form 10-K for fiscal year 2017, including financial statements, are available electronically along with our proxy statement to all stockholders of record as of April 19, 2018,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w:t>
      </w:r>
    </w:p>
    <w:p>
      <w:pPr>
        <w:ind w:right="20"/>
        <w:spacing w:after="0" w:line="261" w:lineRule="auto"/>
        <w:rPr>
          <w:sz w:val="20"/>
          <w:szCs w:val="20"/>
          <w:color w:val="auto"/>
        </w:rPr>
      </w:pPr>
      <w:r>
        <w:rPr>
          <w:rFonts w:ascii="Arial" w:cs="Arial" w:eastAsia="Arial" w:hAnsi="Arial"/>
          <w:sz w:val="18"/>
          <w:szCs w:val="18"/>
          <w:b w:val="1"/>
          <w:bCs w:val="1"/>
          <w:color w:val="auto"/>
        </w:rPr>
        <w:t>Form 10-K, for the fiscal year ended December 31, 2017, and our proxy statement may do so without charge by writing to Investor Relations, Grand Canyon Education, Inc., 3300 W. Camelback Road, Phoenix, Arizona 85017.</w:t>
      </w:r>
    </w:p>
    <w:p>
      <w:pPr>
        <w:spacing w:after="0" w:line="184" w:lineRule="exact"/>
        <w:rPr>
          <w:sz w:val="20"/>
          <w:szCs w:val="20"/>
          <w:color w:val="auto"/>
        </w:rPr>
      </w:pPr>
    </w:p>
    <w:p>
      <w:pPr>
        <w:ind w:firstLine="571"/>
        <w:spacing w:after="0" w:line="312"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205740</wp:posOffset>
            </wp:positionV>
            <wp:extent cx="848995" cy="660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89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40"/>
        <w:spacing w:after="0"/>
        <w:rPr>
          <w:sz w:val="20"/>
          <w:szCs w:val="20"/>
          <w:color w:val="auto"/>
        </w:rPr>
      </w:pPr>
      <w:r>
        <w:rPr>
          <w:rFonts w:ascii="Arial" w:cs="Arial" w:eastAsia="Arial" w:hAnsi="Arial"/>
          <w:sz w:val="13"/>
          <w:szCs w:val="13"/>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-90170</wp:posOffset>
            </wp:positionV>
            <wp:extent cx="22555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55520" cy="1371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660"/>
        <w:spacing w:after="0"/>
        <w:rPr>
          <w:sz w:val="20"/>
          <w:szCs w:val="20"/>
          <w:color w:val="auto"/>
        </w:rPr>
      </w:pPr>
      <w:r>
        <w:rPr>
          <w:rFonts w:ascii="Arial" w:cs="Arial" w:eastAsia="Arial" w:hAnsi="Arial"/>
          <w:sz w:val="22"/>
          <w:szCs w:val="22"/>
          <w:b w:val="1"/>
          <w:bCs w:val="1"/>
          <w:color w:val="auto"/>
        </w:rPr>
        <w:t>Electronic Voting Instructions</w:t>
      </w:r>
    </w:p>
    <w:p>
      <w:pPr>
        <w:spacing w:after="0" w:line="8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04"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Instead of mailing your proxy, you may choose one of the voting methods</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outlined below to vote your proxy.</w:t>
      </w:r>
    </w:p>
    <w:p>
      <w:pPr>
        <w:spacing w:after="0" w:line="82"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VALIDATION DETAILS ARE LOCATED BELOW IN THE TITLE BAR.</w:t>
      </w:r>
    </w:p>
    <w:p>
      <w:pPr>
        <w:spacing w:after="0" w:line="64"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Proxies submitted by the Internet or telephone must be received by</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11:00 p.m., Pacific Time, on Tuesday, June 12, 2018.</w:t>
      </w:r>
    </w:p>
    <w:p>
      <w:pPr>
        <w:spacing w:after="0" w:line="68"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Vote by Internet</w:t>
      </w:r>
    </w:p>
    <w:p>
      <w:pPr>
        <w:spacing w:after="0" w:line="46"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www.envisionreports.com/LOPE</w:t>
      </w:r>
    </w:p>
    <w:p>
      <w:pPr>
        <w:spacing w:after="0" w:line="60"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 Or scan the QR code with your smartphone</w:t>
      </w:r>
    </w:p>
    <w:p>
      <w:pPr>
        <w:spacing w:after="0" w:line="42"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 Follow the steps outlined on the secure website</w:t>
      </w:r>
    </w:p>
    <w:p>
      <w:pPr>
        <w:spacing w:after="0" w:line="230"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Vote by telephone</w:t>
      </w:r>
    </w:p>
    <w:p>
      <w:pPr>
        <w:spacing w:after="0" w:line="64"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 Call toll free 1-800-652-VOTE (8683) within the USA, US territories &amp;</w:t>
      </w:r>
    </w:p>
    <w:p>
      <w:pPr>
        <w:spacing w:after="0" w:line="1"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Canada on a touch tone telephone</w:t>
      </w:r>
    </w:p>
    <w:p>
      <w:pPr>
        <w:spacing w:after="0" w:line="42"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 Follow the instructions provided by the recorded message</w:t>
      </w:r>
    </w:p>
    <w:p>
      <w:pPr>
        <w:spacing w:after="0" w:line="199" w:lineRule="exact"/>
        <w:rPr>
          <w:sz w:val="20"/>
          <w:szCs w:val="20"/>
          <w:color w:val="auto"/>
        </w:rPr>
      </w:pPr>
    </w:p>
    <w:p>
      <w:pPr>
        <w:jc w:val="both"/>
        <w:ind w:right="7640"/>
        <w:spacing w:after="0" w:line="263" w:lineRule="auto"/>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-327025</wp:posOffset>
            </wp:positionV>
            <wp:extent cx="325755"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Meeting Proxy Card</w:t>
      </w:r>
    </w:p>
    <w:p>
      <w:pPr>
        <w:spacing w:after="0" w:line="189" w:lineRule="exact"/>
        <w:rPr>
          <w:sz w:val="20"/>
          <w:szCs w:val="20"/>
          <w:color w:val="auto"/>
        </w:rPr>
      </w:pPr>
    </w:p>
    <w:p>
      <w:pPr>
        <w:jc w:val="center"/>
        <w:ind w:left="260" w:right="380"/>
        <w:spacing w:after="0" w:line="285" w:lineRule="auto"/>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w:t>
      </w:r>
    </w:p>
    <w:p>
      <w:pPr>
        <w:spacing w:after="0" w:line="229" w:lineRule="exact"/>
        <w:rPr>
          <w:sz w:val="20"/>
          <w:szCs w:val="20"/>
          <w:color w:val="auto"/>
        </w:rPr>
      </w:pPr>
    </w:p>
    <w:p>
      <w:pPr>
        <w:ind w:left="360" w:hanging="295"/>
        <w:spacing w:after="0"/>
        <w:tabs>
          <w:tab w:leader="none" w:pos="360" w:val="left"/>
        </w:tabs>
        <w:numPr>
          <w:ilvl w:val="0"/>
          <w:numId w:val="49"/>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700" w:type="dxa"/>
            <w:vAlign w:val="bottom"/>
          </w:tcPr>
          <w:p>
            <w:pPr>
              <w:ind w:left="380"/>
              <w:spacing w:after="0"/>
              <w:rPr>
                <w:sz w:val="20"/>
                <w:szCs w:val="20"/>
                <w:color w:val="auto"/>
              </w:rPr>
            </w:pPr>
            <w:r>
              <w:rPr>
                <w:rFonts w:ascii="Arial" w:cs="Arial" w:eastAsia="Arial" w:hAnsi="Arial"/>
                <w:sz w:val="14"/>
                <w:szCs w:val="14"/>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ind w:left="220"/>
              <w:spacing w:after="0"/>
              <w:rPr>
                <w:sz w:val="20"/>
                <w:szCs w:val="20"/>
                <w:color w:val="auto"/>
              </w:rPr>
            </w:pPr>
            <w:r>
              <w:rPr>
                <w:rFonts w:ascii="Arial" w:cs="Arial" w:eastAsia="Arial" w:hAnsi="Arial"/>
                <w:sz w:val="14"/>
                <w:szCs w:val="14"/>
                <w:b w:val="1"/>
                <w:bCs w:val="1"/>
                <w:color w:val="auto"/>
              </w:rPr>
              <w:t>For  Against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1540" w:type="dxa"/>
            <w:vAlign w:val="bottom"/>
          </w:tcPr>
          <w:p>
            <w:pPr>
              <w:spacing w:after="0"/>
              <w:rPr>
                <w:sz w:val="16"/>
                <w:szCs w:val="16"/>
                <w:color w:val="auto"/>
              </w:rPr>
            </w:pPr>
          </w:p>
        </w:tc>
        <w:tc>
          <w:tcPr>
            <w:tcW w:w="1200" w:type="dxa"/>
            <w:vAlign w:val="bottom"/>
          </w:tcPr>
          <w:p>
            <w:pPr>
              <w:ind w:left="220"/>
              <w:spacing w:after="0"/>
              <w:rPr>
                <w:sz w:val="20"/>
                <w:szCs w:val="20"/>
                <w:color w:val="auto"/>
              </w:rPr>
            </w:pPr>
            <w:r>
              <w:rPr>
                <w:rFonts w:ascii="Arial" w:cs="Arial" w:eastAsia="Arial" w:hAnsi="Arial"/>
                <w:sz w:val="14"/>
                <w:szCs w:val="14"/>
                <w:b w:val="1"/>
                <w:bCs w:val="1"/>
                <w:color w:val="auto"/>
              </w:rPr>
              <w:t>For  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433"/>
        </w:trPr>
        <w:tc>
          <w:tcPr>
            <w:tcW w:w="1840" w:type="dxa"/>
            <w:vAlign w:val="bottom"/>
          </w:tcPr>
          <w:p>
            <w:pPr>
              <w:ind w:left="160"/>
              <w:spacing w:after="0"/>
              <w:rPr>
                <w:sz w:val="20"/>
                <w:szCs w:val="20"/>
                <w:color w:val="auto"/>
              </w:rPr>
            </w:pPr>
            <w:r>
              <w:rPr>
                <w:rFonts w:ascii="Arial" w:cs="Arial" w:eastAsia="Arial" w:hAnsi="Arial"/>
                <w:sz w:val="14"/>
                <w:szCs w:val="14"/>
                <w:color w:val="auto"/>
              </w:rPr>
              <w:t>01 - Brian E. Mueller</w:t>
            </w:r>
          </w:p>
        </w:tc>
        <w:tc>
          <w:tcPr>
            <w:tcW w:w="700" w:type="dxa"/>
            <w:vAlign w:val="bottom"/>
          </w:tcPr>
          <w:p>
            <w:pPr>
              <w:ind w:left="360"/>
              <w:spacing w:after="0" w:line="291" w:lineRule="exact"/>
              <w:rPr>
                <w:sz w:val="20"/>
                <w:szCs w:val="20"/>
                <w:color w:val="auto"/>
              </w:rPr>
            </w:pPr>
            <w:r>
              <w:rPr>
                <w:rFonts w:ascii="MS PGothic" w:cs="MS PGothic" w:eastAsia="MS PGothic" w:hAnsi="MS PGothic"/>
                <w:sz w:val="29"/>
                <w:szCs w:val="29"/>
                <w:color w:val="auto"/>
                <w:highlight w:val="black"/>
              </w:rPr>
              <w:t>☐</w:t>
            </w:r>
          </w:p>
        </w:tc>
        <w:tc>
          <w:tcPr>
            <w:tcW w:w="68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78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2"/>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02</w:t>
            </w:r>
          </w:p>
        </w:tc>
        <w:tc>
          <w:tcPr>
            <w:tcW w:w="1420" w:type="dxa"/>
            <w:vAlign w:val="bottom"/>
          </w:tcPr>
          <w:p>
            <w:pPr>
              <w:ind w:left="20"/>
              <w:spacing w:after="0"/>
              <w:rPr>
                <w:sz w:val="20"/>
                <w:szCs w:val="20"/>
                <w:color w:val="auto"/>
              </w:rPr>
            </w:pPr>
            <w:r>
              <w:rPr>
                <w:rFonts w:ascii="Arial" w:cs="Arial" w:eastAsia="Arial" w:hAnsi="Arial"/>
                <w:sz w:val="14"/>
                <w:szCs w:val="14"/>
                <w:color w:val="auto"/>
              </w:rPr>
              <w:t>- Sara R. Dial</w:t>
            </w:r>
          </w:p>
        </w:tc>
        <w:tc>
          <w:tcPr>
            <w:tcW w:w="1200" w:type="dxa"/>
            <w:vAlign w:val="bottom"/>
          </w:tcPr>
          <w:p>
            <w:pPr>
              <w:ind w:left="22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78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1540" w:type="dxa"/>
            <w:vAlign w:val="bottom"/>
          </w:tcPr>
          <w:p>
            <w:pPr>
              <w:ind w:left="160"/>
              <w:spacing w:after="0"/>
              <w:rPr>
                <w:sz w:val="20"/>
                <w:szCs w:val="20"/>
                <w:color w:val="auto"/>
              </w:rPr>
            </w:pPr>
            <w:r>
              <w:rPr>
                <w:rFonts w:ascii="Arial" w:cs="Arial" w:eastAsia="Arial" w:hAnsi="Arial"/>
                <w:sz w:val="14"/>
                <w:szCs w:val="14"/>
                <w:color w:val="auto"/>
              </w:rPr>
              <w:t>03 - Jack A. Henry</w:t>
            </w:r>
          </w:p>
        </w:tc>
        <w:tc>
          <w:tcPr>
            <w:tcW w:w="1200" w:type="dxa"/>
            <w:vAlign w:val="bottom"/>
          </w:tcPr>
          <w:p>
            <w:pPr>
              <w:ind w:left="20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60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r>
      <w:tr>
        <w:trPr>
          <w:trHeight w:val="453"/>
        </w:trPr>
        <w:tc>
          <w:tcPr>
            <w:tcW w:w="1840" w:type="dxa"/>
            <w:vAlign w:val="bottom"/>
          </w:tcPr>
          <w:p>
            <w:pPr>
              <w:ind w:left="160"/>
              <w:spacing w:after="0"/>
              <w:rPr>
                <w:sz w:val="20"/>
                <w:szCs w:val="20"/>
                <w:color w:val="auto"/>
              </w:rPr>
            </w:pPr>
            <w:r>
              <w:rPr>
                <w:rFonts w:ascii="Arial" w:cs="Arial" w:eastAsia="Arial" w:hAnsi="Arial"/>
                <w:sz w:val="14"/>
                <w:szCs w:val="14"/>
                <w:color w:val="auto"/>
              </w:rPr>
              <w:t>04 - Kevin F. Warren</w:t>
            </w:r>
          </w:p>
        </w:tc>
        <w:tc>
          <w:tcPr>
            <w:tcW w:w="700" w:type="dxa"/>
            <w:vAlign w:val="bottom"/>
          </w:tcPr>
          <w:p>
            <w:pPr>
              <w:ind w:left="360"/>
              <w:spacing w:after="0" w:line="291" w:lineRule="exact"/>
              <w:rPr>
                <w:sz w:val="20"/>
                <w:szCs w:val="20"/>
                <w:color w:val="auto"/>
              </w:rPr>
            </w:pPr>
            <w:r>
              <w:rPr>
                <w:rFonts w:ascii="MS PGothic" w:cs="MS PGothic" w:eastAsia="MS PGothic" w:hAnsi="MS PGothic"/>
                <w:sz w:val="29"/>
                <w:szCs w:val="29"/>
                <w:color w:val="auto"/>
                <w:highlight w:val="black"/>
              </w:rPr>
              <w:t>☐</w:t>
            </w:r>
          </w:p>
        </w:tc>
        <w:tc>
          <w:tcPr>
            <w:tcW w:w="68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78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2"/>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05</w:t>
            </w:r>
          </w:p>
        </w:tc>
        <w:tc>
          <w:tcPr>
            <w:tcW w:w="1420" w:type="dxa"/>
            <w:vAlign w:val="bottom"/>
          </w:tcPr>
          <w:p>
            <w:pPr>
              <w:ind w:left="20"/>
              <w:spacing w:after="0"/>
              <w:rPr>
                <w:sz w:val="20"/>
                <w:szCs w:val="20"/>
                <w:color w:val="auto"/>
              </w:rPr>
            </w:pPr>
            <w:r>
              <w:rPr>
                <w:rFonts w:ascii="Arial" w:cs="Arial" w:eastAsia="Arial" w:hAnsi="Arial"/>
                <w:sz w:val="14"/>
                <w:szCs w:val="14"/>
                <w:color w:val="auto"/>
              </w:rPr>
              <w:t>- David J. Johnson</w:t>
            </w:r>
          </w:p>
        </w:tc>
        <w:tc>
          <w:tcPr>
            <w:tcW w:w="1200" w:type="dxa"/>
            <w:vAlign w:val="bottom"/>
          </w:tcPr>
          <w:p>
            <w:pPr>
              <w:ind w:left="22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78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and 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For  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20"/>
                <w:szCs w:val="20"/>
                <w:color w:val="auto"/>
              </w:rPr>
            </w:pPr>
            <w:r>
              <w:rPr>
                <w:rFonts w:ascii="Arial" w:cs="Arial" w:eastAsia="Arial" w:hAnsi="Arial"/>
                <w:sz w:val="14"/>
                <w:szCs w:val="14"/>
                <w:color w:val="auto"/>
              </w:rPr>
              <w:t>2. To approve, on an advisory basis, the compensation of our</w:t>
            </w:r>
          </w:p>
        </w:tc>
        <w:tc>
          <w:tcPr>
            <w:tcW w:w="1080" w:type="dxa"/>
            <w:vAlign w:val="bottom"/>
            <w:vMerge w:val="restart"/>
          </w:tcPr>
          <w:p>
            <w:pPr>
              <w:ind w:left="8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0" w:type="dxa"/>
            <w:vAlign w:val="bottom"/>
          </w:tcPr>
          <w:p>
            <w:pPr>
              <w:spacing w:after="0"/>
              <w:rPr>
                <w:sz w:val="1"/>
                <w:szCs w:val="1"/>
                <w:color w:val="auto"/>
              </w:rPr>
            </w:pPr>
          </w:p>
        </w:tc>
      </w:tr>
      <w:tr>
        <w:trPr>
          <w:trHeight w:val="302"/>
        </w:trPr>
        <w:tc>
          <w:tcPr>
            <w:tcW w:w="4200" w:type="dxa"/>
            <w:vAlign w:val="bottom"/>
          </w:tcPr>
          <w:p>
            <w:pPr>
              <w:ind w:left="160"/>
              <w:spacing w:after="0"/>
              <w:rPr>
                <w:sz w:val="20"/>
                <w:szCs w:val="20"/>
                <w:color w:val="auto"/>
              </w:rPr>
            </w:pPr>
            <w:r>
              <w:rPr>
                <w:rFonts w:ascii="Arial" w:cs="Arial" w:eastAsia="Arial" w:hAnsi="Arial"/>
                <w:sz w:val="14"/>
                <w:szCs w:val="14"/>
                <w:color w:val="auto"/>
              </w:rPr>
              <w:t>named executive officers as disclosed in the Proxy Statement.</w:t>
            </w:r>
          </w:p>
        </w:tc>
        <w:tc>
          <w:tcPr>
            <w:tcW w:w="108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For  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314"/>
        </w:trPr>
        <w:tc>
          <w:tcPr>
            <w:tcW w:w="3380" w:type="dxa"/>
            <w:vAlign w:val="bottom"/>
          </w:tcPr>
          <w:p>
            <w:pPr>
              <w:spacing w:after="0"/>
              <w:rPr>
                <w:sz w:val="20"/>
                <w:szCs w:val="20"/>
                <w:color w:val="auto"/>
              </w:rPr>
            </w:pPr>
            <w:r>
              <w:rPr>
                <w:rFonts w:ascii="Arial" w:cs="Arial" w:eastAsia="Arial" w:hAnsi="Arial"/>
                <w:sz w:val="14"/>
                <w:szCs w:val="14"/>
                <w:color w:val="auto"/>
              </w:rPr>
              <w:t>3. To ratify the appointment of KPMG LLP as our</w:t>
            </w:r>
          </w:p>
        </w:tc>
        <w:tc>
          <w:tcPr>
            <w:tcW w:w="1100" w:type="dxa"/>
            <w:vAlign w:val="bottom"/>
            <w:vMerge w:val="restart"/>
          </w:tcPr>
          <w:p>
            <w:pPr>
              <w:ind w:left="120"/>
              <w:spacing w:after="0" w:line="291" w:lineRule="exact"/>
              <w:rPr>
                <w:sz w:val="20"/>
                <w:szCs w:val="20"/>
                <w:color w:val="auto"/>
              </w:rPr>
            </w:pPr>
            <w:r>
              <w:rPr>
                <w:rFonts w:ascii="MS PGothic" w:cs="MS PGothic" w:eastAsia="MS PGothic" w:hAnsi="MS PGothic"/>
                <w:sz w:val="29"/>
                <w:szCs w:val="29"/>
                <w:color w:val="auto"/>
                <w:highlight w:val="black"/>
              </w:rPr>
              <w:t>☐ ☐</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highlight w:val="black"/>
                <w:w w:val="89"/>
              </w:rPr>
              <w:t>☐</w:t>
            </w:r>
          </w:p>
        </w:tc>
        <w:tc>
          <w:tcPr>
            <w:tcW w:w="0" w:type="dxa"/>
            <w:vAlign w:val="bottom"/>
          </w:tcPr>
          <w:p>
            <w:pPr>
              <w:spacing w:after="0"/>
              <w:rPr>
                <w:sz w:val="1"/>
                <w:szCs w:val="1"/>
                <w:color w:val="auto"/>
              </w:rPr>
            </w:pPr>
          </w:p>
        </w:tc>
      </w:tr>
      <w:tr>
        <w:trPr>
          <w:trHeight w:val="162"/>
        </w:trPr>
        <w:tc>
          <w:tcPr>
            <w:tcW w:w="3380" w:type="dxa"/>
            <w:vAlign w:val="bottom"/>
          </w:tcPr>
          <w:p>
            <w:pPr>
              <w:ind w:left="140"/>
              <w:spacing w:after="0"/>
              <w:rPr>
                <w:sz w:val="20"/>
                <w:szCs w:val="20"/>
                <w:color w:val="auto"/>
              </w:rPr>
            </w:pPr>
            <w:r>
              <w:rPr>
                <w:rFonts w:ascii="Arial" w:cs="Arial" w:eastAsia="Arial" w:hAnsi="Arial"/>
                <w:sz w:val="14"/>
                <w:szCs w:val="14"/>
                <w:color w:val="auto"/>
              </w:rPr>
              <w:t>independent registered public accounting firm for</w:t>
            </w:r>
          </w:p>
        </w:tc>
        <w:tc>
          <w:tcPr>
            <w:tcW w:w="1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80" w:type="dxa"/>
            <w:vAlign w:val="bottom"/>
          </w:tcPr>
          <w:p>
            <w:pPr>
              <w:ind w:left="140"/>
              <w:spacing w:after="0"/>
              <w:rPr>
                <w:sz w:val="20"/>
                <w:szCs w:val="20"/>
                <w:color w:val="auto"/>
              </w:rPr>
            </w:pPr>
            <w:r>
              <w:rPr>
                <w:rFonts w:ascii="Arial" w:cs="Arial" w:eastAsia="Arial" w:hAnsi="Arial"/>
                <w:sz w:val="14"/>
                <w:szCs w:val="14"/>
                <w:color w:val="auto"/>
              </w:rPr>
              <w:t>the fiscal year ending December 31, 2018.</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20" w:space="200"/>
            <w:col w:w="508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295"/>
        <w:spacing w:after="0"/>
        <w:tabs>
          <w:tab w:leader="none" w:pos="360" w:val="left"/>
        </w:tabs>
        <w:numPr>
          <w:ilvl w:val="0"/>
          <w:numId w:val="50"/>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Please sign exactly as your name(s) appear on the proxy. If held in joint tenancy, all persons must sign. Trustee, administrators, etc., should include title and authority. Corporations should provide the full name of corporation and the title of the authorized officer signing the proxy.</w:t>
      </w:r>
    </w:p>
    <w:p>
      <w:pPr>
        <w:spacing w:after="0" w:line="59" w:lineRule="exact"/>
        <w:rPr>
          <w:sz w:val="20"/>
          <w:szCs w:val="20"/>
          <w:color w:val="auto"/>
        </w:rPr>
      </w:pPr>
    </w:p>
    <w:p>
      <w:pPr>
        <w:spacing w:after="0"/>
        <w:tabs>
          <w:tab w:leader="none" w:pos="4020" w:val="left"/>
          <w:tab w:leader="none" w:pos="79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3765" cy="3689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368935"/>
                    </a:xfrm>
                    <a:prstGeom prst="rect">
                      <a:avLst/>
                    </a:prstGeom>
                    <a:noFill/>
                  </pic:spPr>
                </pic:pic>
              </a:graphicData>
            </a:graphic>
          </wp:anchor>
        </w:drawing>
      </w:r>
    </w:p>
    <w:p>
      <w:pPr>
        <w:spacing w:after="0" w:line="131"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47"/>
          <w:szCs w:val="47"/>
          <w:color w:val="auto"/>
        </w:rPr>
        <w:t>/</w:t>
      </w:r>
      <w:r>
        <w:rPr>
          <w:sz w:val="20"/>
          <w:szCs w:val="20"/>
          <w:color w:val="auto"/>
        </w:rPr>
        <w:tab/>
      </w:r>
      <w:r>
        <w:rPr>
          <w:rFonts w:ascii="Arial" w:cs="Arial" w:eastAsia="Arial" w:hAnsi="Arial"/>
          <w:sz w:val="47"/>
          <w:szCs w:val="4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02SVCB</w:t>
      </w:r>
    </w:p>
    <w:p>
      <w:pPr>
        <w:sectPr>
          <w:pgSz w:w="11900" w:h="16838" w:orient="portrait"/>
          <w:cols w:equalWidth="0" w:num="1">
            <w:col w:w="11400"/>
          </w:cols>
          <w:pgMar w:left="240" w:top="459" w:right="2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Wednesday, June 13, 2018</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9:00 a.m. Arizona time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Grand Canyon University Antelope Reception Center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3300 W. Camelback Road</w:t>
      </w:r>
    </w:p>
    <w:p>
      <w:pPr>
        <w:jc w:val="center"/>
        <w:ind w:right="-19"/>
        <w:spacing w:after="0"/>
        <w:rPr>
          <w:sz w:val="20"/>
          <w:szCs w:val="20"/>
          <w:color w:val="auto"/>
        </w:rPr>
      </w:pPr>
      <w:r>
        <w:rPr>
          <w:rFonts w:ascii="Arial" w:cs="Arial" w:eastAsia="Arial" w:hAnsi="Arial"/>
          <w:sz w:val="22"/>
          <w:szCs w:val="22"/>
          <w:b w:val="1"/>
          <w:bCs w:val="1"/>
          <w:color w:val="auto"/>
        </w:rPr>
        <w:t>Phoenix, Arizona 85017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Important Notice Regarding the Availability of Proxy Materials for the Stockholder Meeting to Be Held on June 13, 2018. This proxy statement and our annual report for the year ended December 31, 2017, are available and may be viewed at www.edocumentview.com/LOPE.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line="285" w:lineRule="auto"/>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776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 Grand Canyon Education, Inc.</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Notice of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87768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Canyon University Antelope Reception Center</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3300 W. Camelback Road</w:t>
      </w:r>
    </w:p>
    <w:p>
      <w:pPr>
        <w:spacing w:after="0"/>
        <w:rPr>
          <w:sz w:val="20"/>
          <w:szCs w:val="20"/>
          <w:color w:val="auto"/>
        </w:rPr>
      </w:pPr>
      <w:r>
        <w:rPr>
          <w:rFonts w:ascii="Arial" w:cs="Arial" w:eastAsia="Arial" w:hAnsi="Arial"/>
          <w:sz w:val="22"/>
          <w:szCs w:val="22"/>
          <w:b w:val="1"/>
          <w:bCs w:val="1"/>
          <w:color w:val="auto"/>
        </w:rPr>
        <w:t>Phoenix, Arizona 85017</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Wednesday, June 13, 2018</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E. Mueller, Daniel E. Bachus, and Brian M. Roberts, or any of them, each with the power of substitution, are hereby authorized to represent and vote the shares of the undersigned, with all the powers which the undersigned would possess if personally present, at the Annual Meeting of Stockholders of Grand Canyon Education, Inc. to be held on Wednesday, June 13, 2018 or at any postponement or adjournment thereof.</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EACH OF THE NOMINEES LISTED ON THE REVERSE SIDE OF THIS PROXY CARD, AND “FOR” PROPOSALS 2 AND 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p>
      <w:pPr>
        <w:spacing w:after="0" w:line="217" w:lineRule="exact"/>
        <w:rPr>
          <w:sz w:val="20"/>
          <w:szCs w:val="20"/>
          <w:color w:val="auto"/>
        </w:rPr>
      </w:pPr>
    </w:p>
    <w:p>
      <w:pPr>
        <w:ind w:left="360" w:hanging="295"/>
        <w:spacing w:after="0"/>
        <w:tabs>
          <w:tab w:leader="none" w:pos="360" w:val="left"/>
        </w:tabs>
        <w:numPr>
          <w:ilvl w:val="0"/>
          <w:numId w:val="51"/>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63765" cy="3689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3689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2)"/>
      <w:numFmt w:val="decimal"/>
      <w:start w:val="1"/>
    </w:lvl>
  </w:abstractNum>
  <w:abstractNum w:abstractNumId="3">
    <w:nsid w:val="71F32454"/>
    <w:multiLevelType w:val="hybridMultilevel"/>
    <w:lvl w:ilvl="0">
      <w:lvlJc w:val="left"/>
      <w:lvlText w:val="2"/>
      <w:numFmt w:val="bullet"/>
      <w:start w:val="1"/>
    </w:lvl>
  </w:abstractNum>
  <w:abstractNum w:abstractNumId="4">
    <w:nsid w:val="2CA88611"/>
    <w:multiLevelType w:val="hybridMultilevel"/>
    <w:lvl w:ilvl="0">
      <w:lvlJc w:val="left"/>
      <w:lvlText w:val="3"/>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Ö"/>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Roman"/>
      <w:start w:val="2"/>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3"/>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lvl w:ilvl="1">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2"/>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4"/>
    </w:lvl>
  </w:abstractNum>
  <w:abstractNum w:abstractNumId="48">
    <w:nsid w:val="749ABB43"/>
    <w:multiLevelType w:val="hybridMultilevel"/>
    <w:lvl w:ilvl="0">
      <w:lvlJc w:val="left"/>
      <w:lvlText w:val="A"/>
      <w:numFmt w:val="bullet"/>
      <w:start w:val="1"/>
    </w:lvl>
  </w:abstractNum>
  <w:abstractNum w:abstractNumId="49">
    <w:nsid w:val="3DC240FB"/>
    <w:multiLevelType w:val="hybridMultilevel"/>
    <w:lvl w:ilvl="0">
      <w:lvlJc w:val="left"/>
      <w:lvlText w:val="B"/>
      <w:numFmt w:val="bullet"/>
      <w:start w:val="1"/>
    </w:lvl>
  </w:abstractNum>
  <w:abstractNum w:abstractNumId="50">
    <w:nsid w:val="1BA026FA"/>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2019-12-07T12:49:37Z</dcterms:created>
  <dcterms:modified xsi:type="dcterms:W3CDTF">2019-12-07T12:49:37Z</dcterms:modified>
</cp:coreProperties>
</file>