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22, 2012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2040" w:type="dxa"/>
            <w:vAlign w:val="bottom"/>
          </w:tcPr>
          <w:p>
            <w:pPr>
              <w:jc w:val="center"/>
              <w:ind w:right="186"/>
              <w:spacing w:after="0"/>
              <w:rPr>
                <w:sz w:val="20"/>
                <w:szCs w:val="20"/>
                <w:color w:val="auto"/>
              </w:rPr>
            </w:pPr>
            <w:r>
              <w:rPr>
                <w:rFonts w:ascii="Arial" w:cs="Arial" w:eastAsia="Arial" w:hAnsi="Arial"/>
                <w:sz w:val="18"/>
                <w:szCs w:val="18"/>
                <w:b w:val="1"/>
                <w:bCs w:val="1"/>
                <w:color w:val="auto"/>
                <w:w w:val="88"/>
              </w:rPr>
              <w:t>Delaware</w:t>
            </w:r>
          </w:p>
        </w:tc>
        <w:tc>
          <w:tcPr>
            <w:tcW w:w="5200" w:type="dxa"/>
            <w:vAlign w:val="bottom"/>
            <w:gridSpan w:val="3"/>
          </w:tcPr>
          <w:p>
            <w:pPr>
              <w:jc w:val="center"/>
              <w:ind w:left="4042"/>
              <w:spacing w:after="0"/>
              <w:rPr>
                <w:sz w:val="20"/>
                <w:szCs w:val="20"/>
                <w:color w:val="auto"/>
              </w:rPr>
            </w:pPr>
            <w:r>
              <w:rPr>
                <w:rFonts w:ascii="Arial" w:cs="Arial" w:eastAsia="Arial" w:hAnsi="Arial"/>
                <w:sz w:val="18"/>
                <w:szCs w:val="18"/>
                <w:b w:val="1"/>
                <w:bCs w:val="1"/>
                <w:color w:val="auto"/>
                <w:w w:val="87"/>
              </w:rPr>
              <w:t>20-3356009</w:t>
            </w:r>
          </w:p>
        </w:tc>
      </w:tr>
      <w:tr>
        <w:trPr>
          <w:trHeight w:val="149"/>
        </w:trPr>
        <w:tc>
          <w:tcPr>
            <w:tcW w:w="2040" w:type="dxa"/>
            <w:vAlign w:val="bottom"/>
          </w:tcPr>
          <w:p>
            <w:pPr>
              <w:jc w:val="center"/>
              <w:ind w:right="20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040" w:type="dxa"/>
            <w:vAlign w:val="bottom"/>
          </w:tcPr>
          <w:p>
            <w:pPr>
              <w:jc w:val="center"/>
              <w:ind w:right="206"/>
              <w:spacing w:after="0"/>
              <w:rPr>
                <w:sz w:val="20"/>
                <w:szCs w:val="20"/>
                <w:color w:val="auto"/>
              </w:rPr>
            </w:pPr>
            <w:r>
              <w:rPr>
                <w:rFonts w:ascii="Arial" w:cs="Arial" w:eastAsia="Arial" w:hAnsi="Arial"/>
                <w:sz w:val="14"/>
                <w:szCs w:val="14"/>
                <w:b w:val="1"/>
                <w:bCs w:val="1"/>
                <w:color w:val="auto"/>
                <w:w w:val="88"/>
              </w:rPr>
              <w:t>incorporation or organization)</w:t>
            </w:r>
          </w:p>
        </w:tc>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20" w:type="dxa"/>
            <w:vAlign w:val="bottom"/>
          </w:tcPr>
          <w:p>
            <w:pPr>
              <w:jc w:val="center"/>
              <w:ind w:left="1192"/>
              <w:spacing w:after="0"/>
              <w:rPr>
                <w:sz w:val="20"/>
                <w:szCs w:val="20"/>
                <w:color w:val="auto"/>
              </w:rPr>
            </w:pPr>
            <w:r>
              <w:rPr>
                <w:rFonts w:ascii="Arial" w:cs="Arial" w:eastAsia="Arial" w:hAnsi="Arial"/>
                <w:sz w:val="14"/>
                <w:szCs w:val="14"/>
                <w:b w:val="1"/>
                <w:bCs w:val="1"/>
                <w:color w:val="auto"/>
                <w:w w:val="89"/>
              </w:rPr>
              <w:t>Identification No.)</w:t>
            </w:r>
          </w:p>
        </w:tc>
      </w:tr>
      <w:tr>
        <w:trPr>
          <w:trHeight w:val="244"/>
        </w:trPr>
        <w:tc>
          <w:tcPr>
            <w:tcW w:w="2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2320" w:type="dxa"/>
            <w:vAlign w:val="bottom"/>
          </w:tcPr>
          <w:p>
            <w:pPr>
              <w:spacing w:after="0"/>
              <w:rPr>
                <w:sz w:val="21"/>
                <w:szCs w:val="21"/>
                <w:color w:val="auto"/>
              </w:rPr>
            </w:pPr>
          </w:p>
        </w:tc>
      </w:tr>
      <w:tr>
        <w:trPr>
          <w:trHeight w:val="330"/>
        </w:trPr>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9"/>
              </w:rPr>
              <w:t>3300 W. Camelback Road</w:t>
            </w:r>
          </w:p>
        </w:tc>
      </w:tr>
      <w:tr>
        <w:trPr>
          <w:trHeight w:val="218"/>
        </w:trPr>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8"/>
              </w:rPr>
              <w:t>Phoenix, Arizona 85017</w:t>
            </w:r>
          </w:p>
        </w:tc>
      </w:tr>
      <w:tr>
        <w:trPr>
          <w:trHeight w:val="174"/>
        </w:trPr>
        <w:tc>
          <w:tcPr>
            <w:tcW w:w="2040" w:type="dxa"/>
            <w:vAlign w:val="bottom"/>
          </w:tcPr>
          <w:p>
            <w:pPr>
              <w:spacing w:after="0"/>
              <w:rPr>
                <w:sz w:val="15"/>
                <w:szCs w:val="15"/>
                <w:color w:val="auto"/>
              </w:rPr>
            </w:pPr>
          </w:p>
        </w:tc>
        <w:tc>
          <w:tcPr>
            <w:tcW w:w="5200" w:type="dxa"/>
            <w:vAlign w:val="bottom"/>
            <w:gridSpan w:val="3"/>
          </w:tcPr>
          <w:p>
            <w:pPr>
              <w:jc w:val="center"/>
              <w:ind w:right="1752"/>
              <w:spacing w:after="0"/>
              <w:rPr>
                <w:sz w:val="20"/>
                <w:szCs w:val="20"/>
                <w:color w:val="auto"/>
              </w:rPr>
            </w:pPr>
            <w:r>
              <w:rPr>
                <w:rFonts w:ascii="Arial" w:cs="Arial" w:eastAsia="Arial" w:hAnsi="Arial"/>
                <w:sz w:val="14"/>
                <w:szCs w:val="14"/>
                <w:b w:val="1"/>
                <w:bCs w:val="1"/>
                <w:color w:val="auto"/>
                <w:w w:val="86"/>
              </w:rPr>
              <w:t>(Address of principal executive offices) (Zip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 2008 EQUITY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C. Richardson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 copy 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P. Lewis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DLA Piper LLP (US)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2525 East Camelback Road, Suite 1000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(480) 606-5100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153035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1"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60" w:type="dxa"/>
            <w:vAlign w:val="bottom"/>
            <w:gridSpan w:val="2"/>
          </w:tcPr>
          <w:p>
            <w:pPr>
              <w:spacing w:after="0"/>
              <w:rPr>
                <w:sz w:val="20"/>
                <w:szCs w:val="20"/>
                <w:color w:val="auto"/>
              </w:rPr>
            </w:pPr>
            <w:r>
              <w:rPr>
                <w:rFonts w:ascii="Arial" w:cs="Arial" w:eastAsia="Arial" w:hAnsi="Arial"/>
                <w:sz w:val="18"/>
                <w:szCs w:val="18"/>
                <w:color w:val="auto"/>
                <w:w w:val="92"/>
              </w:rPr>
              <w:t>Large accelerated filer</w:t>
            </w:r>
          </w:p>
        </w:tc>
        <w:tc>
          <w:tcPr>
            <w:tcW w:w="20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080" w:type="dxa"/>
            <w:vAlign w:val="bottom"/>
          </w:tcPr>
          <w:p>
            <w:pPr>
              <w:spacing w:after="0"/>
              <w:rPr>
                <w:sz w:val="23"/>
                <w:szCs w:val="23"/>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color w:val="auto"/>
                <w:w w:val="98"/>
              </w:rPr>
              <w:t>Non-accelerated filer</w:t>
            </w:r>
          </w:p>
        </w:tc>
        <w:tc>
          <w:tcPr>
            <w:tcW w:w="5240" w:type="dxa"/>
            <w:vAlign w:val="bottom"/>
            <w:gridSpan w:val="5"/>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2"/>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43"/>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0" w:type="dxa"/>
            <w:vAlign w:val="bottom"/>
            <w:gridSpan w:val="5"/>
          </w:tcPr>
          <w:p>
            <w:pPr>
              <w:ind w:left="3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5"/>
              <w:spacing w:after="0" w:line="117" w:lineRule="exact"/>
              <w:rPr>
                <w:sz w:val="20"/>
                <w:szCs w:val="20"/>
                <w:color w:val="auto"/>
              </w:rPr>
            </w:pPr>
            <w:r>
              <w:rPr>
                <w:rFonts w:ascii="Arial" w:cs="Arial" w:eastAsia="Arial" w:hAnsi="Arial"/>
                <w:sz w:val="12"/>
                <w:szCs w:val="12"/>
                <w:b w:val="1"/>
                <w:bCs w:val="1"/>
                <w:color w:val="auto"/>
                <w:w w:val="97"/>
              </w:rPr>
              <w:t>Proposed</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2"/>
              </w:rPr>
              <w:t>Maximum</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Title of Each Class of</w:t>
            </w:r>
          </w:p>
        </w:tc>
        <w:tc>
          <w:tcPr>
            <w:tcW w:w="8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6"/>
              </w:rPr>
              <w:t>Aggregate</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Securities to Be Registered</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5"/>
              </w:rPr>
              <w:t>Per Share</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0"/>
              </w:rPr>
              <w:t>Offering Price</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c>
          <w:tcPr>
            <w:tcW w:w="22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40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2,251,463</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7"/>
              </w:rPr>
              <w:t>$17.63</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7"/>
              </w:rPr>
              <w:t>$39,693,504</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$4,549</w:t>
            </w:r>
          </w:p>
        </w:tc>
        <w:tc>
          <w:tcPr>
            <w:tcW w:w="2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420" w:hanging="452"/>
        <w:spacing w:after="0" w:line="284"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shares of Common Stock set forth in the Calculation of Registration Fee table and which may be offered pursuant to this Registration Statement include, pursuant to Rule 416 under the Securities Act of 1933, as amended (the “Securities Act”), such additional number of shares of the registrant’s common stock as may be issuable as a result of any stock splits, stock dividends or similar events.</w:t>
      </w:r>
    </w:p>
    <w:p>
      <w:pPr>
        <w:spacing w:after="0" w:line="1" w:lineRule="exact"/>
        <w:rPr>
          <w:rFonts w:ascii="Arial" w:cs="Arial" w:eastAsia="Arial" w:hAnsi="Arial"/>
          <w:sz w:val="16"/>
          <w:szCs w:val="16"/>
          <w:color w:val="auto"/>
        </w:rPr>
      </w:pPr>
    </w:p>
    <w:p>
      <w:pPr>
        <w:ind w:left="460" w:right="1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Securities Act Rules 457(c) and 457(h). The proposed maximum offering price per share, proposed maximum aggregate offering price and the amount of the registration fee are based on the average of the high and low prices of the Registrant’s shares of Common Stock on February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148590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8" w:lineRule="exact"/>
        <w:rPr>
          <w:sz w:val="24"/>
          <w:szCs w:val="24"/>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This registration statement shall hereafter become effective in accordance with Rule 462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724"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5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purpose of this Registration Statement on Form S-8 is to register an additional 2,251,475 shares of common stock, par value $0.01 per share, for issuance pursuant to the Grand Canyon Education, Inc. 2008 Equity Incentive Plan. In accordance with General Instruction E to Form S-8, the contents of the Registrant’s registration statement on Form S-8 (Registration No. 333-155973) previously filed by the Registrant with the Commission on December 5, 2008 and the Registrant’s registration statement on Form S-8 (Registration No. 333-165019) previously filed by the Registrant with the Commission on February 22, 2010 are incorporated herein by reference, except as amended hereby.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5"/>
                <w:szCs w:val="15"/>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4.1</w:t>
            </w:r>
          </w:p>
        </w:tc>
        <w:tc>
          <w:tcPr>
            <w:tcW w:w="580" w:type="dxa"/>
            <w:vAlign w:val="bottom"/>
          </w:tcPr>
          <w:p>
            <w:pPr>
              <w:spacing w:after="0"/>
              <w:rPr>
                <w:sz w:val="16"/>
                <w:szCs w:val="16"/>
                <w:color w:val="auto"/>
              </w:rPr>
            </w:pPr>
          </w:p>
        </w:tc>
        <w:tc>
          <w:tcPr>
            <w:tcW w:w="10340" w:type="dxa"/>
            <w:vAlign w:val="bottom"/>
          </w:tcPr>
          <w:p>
            <w:pPr>
              <w:spacing w:after="0" w:line="195" w:lineRule="exact"/>
              <w:rPr>
                <w:sz w:val="20"/>
                <w:szCs w:val="20"/>
                <w:color w:val="auto"/>
              </w:rPr>
            </w:pPr>
            <w:r>
              <w:rPr>
                <w:rFonts w:ascii="Arial" w:cs="Arial" w:eastAsia="Arial" w:hAnsi="Arial"/>
                <w:sz w:val="18"/>
                <w:szCs w:val="18"/>
                <w:color w:val="auto"/>
                <w:w w:val="93"/>
              </w:rPr>
              <w:t>Specimen of Stock Certificate (incorporated herein by reference to Exhibit 4.1 to the Registrant’s Registration Statement on Form S-1 (File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333-150876))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DLA Piper LLP (US)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DLA Piper LLP (US) (included in Exhibit 5.1)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Powers of Attorney (included as part of the signature page to this Registration Statement)</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75"/>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50" w:lineRule="exact"/>
        <w:rPr>
          <w:sz w:val="20"/>
          <w:szCs w:val="20"/>
          <w:color w:val="auto"/>
        </w:rPr>
      </w:pPr>
    </w:p>
    <w:p>
      <w:pPr>
        <w:ind w:left="460" w:right="320" w:firstLine="43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Phoenix, State of Arizona, on February 22, 2012.</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GRAND CANYON EDUCATION, INC.</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5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Know all men by these presents, that the undersigned directors and officers of the registrant, a Delaware corporation, which is filing a registration statement on Form S-8 with the SEC, Washington, D.C. 20549 under the provisions of the Securities Act of 1933, as amended, hereby constitute and appoint Brian E. Mueller, Daniel E. Bachus, Brent D. Richardson, and Christopher C. Richardson, and each of them, the individual’s true and lawful attorney-in-fact and agents, with full power of substitution and resubstitution, for the person and in his or her name, place and stead, in any and all capacities, to sign such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462(b) under the Securities Act, and all other documents in connection therewith to be filed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as agents or any of them, or their substitute or substitutes, may lawfully do or cause to be done by virtue hereof.</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and the Power of Attorney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1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220" w:type="dxa"/>
            <w:vAlign w:val="bottom"/>
          </w:tcPr>
          <w:p>
            <w:pPr>
              <w:spacing w:after="0"/>
              <w:rPr>
                <w:sz w:val="24"/>
                <w:szCs w:val="24"/>
                <w:color w:val="auto"/>
              </w:rPr>
            </w:pPr>
          </w:p>
        </w:tc>
        <w:tc>
          <w:tcPr>
            <w:tcW w:w="52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Chief Executive Officer and 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22, 2012</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Brian E. Mueller</w:t>
            </w:r>
          </w:p>
        </w:tc>
        <w:tc>
          <w:tcPr>
            <w:tcW w:w="220" w:type="dxa"/>
            <w:vAlign w:val="bottom"/>
          </w:tcPr>
          <w:p>
            <w:pPr>
              <w:spacing w:after="0"/>
              <w:rPr>
                <w:sz w:val="18"/>
                <w:szCs w:val="18"/>
                <w:color w:val="auto"/>
              </w:rPr>
            </w:pPr>
          </w:p>
        </w:tc>
        <w:tc>
          <w:tcPr>
            <w:tcW w:w="52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1"/>
              </w:rPr>
              <w:t>(Principal Executive Officer)</w:t>
            </w: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220" w:type="dxa"/>
            <w:vAlign w:val="bottom"/>
          </w:tcPr>
          <w:p>
            <w:pPr>
              <w:spacing w:after="0"/>
              <w:rPr>
                <w:sz w:val="24"/>
                <w:szCs w:val="24"/>
                <w:color w:val="auto"/>
              </w:rPr>
            </w:pPr>
          </w:p>
        </w:tc>
        <w:tc>
          <w:tcPr>
            <w:tcW w:w="5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Financial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22, 2012</w:t>
            </w:r>
          </w:p>
        </w:tc>
      </w:tr>
      <w:tr>
        <w:trPr>
          <w:trHeight w:val="190"/>
        </w:trPr>
        <w:tc>
          <w:tcPr>
            <w:tcW w:w="4240" w:type="dxa"/>
            <w:vAlign w:val="bottom"/>
          </w:tcPr>
          <w:p>
            <w:pPr>
              <w:spacing w:after="0" w:line="190" w:lineRule="exact"/>
              <w:rPr>
                <w:sz w:val="20"/>
                <w:szCs w:val="20"/>
                <w:color w:val="auto"/>
              </w:rPr>
            </w:pPr>
            <w:r>
              <w:rPr>
                <w:rFonts w:ascii="Arial" w:cs="Arial" w:eastAsia="Arial" w:hAnsi="Arial"/>
                <w:sz w:val="18"/>
                <w:szCs w:val="18"/>
                <w:color w:val="auto"/>
              </w:rPr>
              <w:t>Daniel E. Bachus</w:t>
            </w:r>
          </w:p>
        </w:tc>
        <w:tc>
          <w:tcPr>
            <w:tcW w:w="220" w:type="dxa"/>
            <w:vAlign w:val="bottom"/>
          </w:tcPr>
          <w:p>
            <w:pPr>
              <w:spacing w:after="0"/>
              <w:rPr>
                <w:sz w:val="16"/>
                <w:szCs w:val="16"/>
                <w:color w:val="auto"/>
              </w:rPr>
            </w:pPr>
          </w:p>
        </w:tc>
        <w:tc>
          <w:tcPr>
            <w:tcW w:w="526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1"/>
              </w:rPr>
              <w:t>(Principal Financial Officer and Principal</w:t>
            </w:r>
          </w:p>
        </w:tc>
        <w:tc>
          <w:tcPr>
            <w:tcW w:w="1700" w:type="dxa"/>
            <w:vAlign w:val="bottom"/>
          </w:tcPr>
          <w:p>
            <w:pPr>
              <w:spacing w:after="0"/>
              <w:rPr>
                <w:sz w:val="16"/>
                <w:szCs w:val="16"/>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Accounting Officer)</w:t>
            </w:r>
          </w:p>
        </w:tc>
        <w:tc>
          <w:tcPr>
            <w:tcW w:w="1700" w:type="dxa"/>
            <w:vAlign w:val="bottom"/>
          </w:tcPr>
          <w:p>
            <w:pPr>
              <w:spacing w:after="0"/>
              <w:rPr>
                <w:sz w:val="19"/>
                <w:szCs w:val="19"/>
                <w:color w:val="auto"/>
              </w:rPr>
            </w:pPr>
          </w:p>
        </w:tc>
      </w:tr>
      <w:tr>
        <w:trPr>
          <w:trHeight w:val="44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c>
          <w:tcPr>
            <w:tcW w:w="220" w:type="dxa"/>
            <w:vAlign w:val="bottom"/>
          </w:tcPr>
          <w:p>
            <w:pPr>
              <w:spacing w:after="0"/>
              <w:rPr>
                <w:sz w:val="24"/>
                <w:szCs w:val="24"/>
                <w:color w:val="auto"/>
              </w:rPr>
            </w:pPr>
          </w:p>
        </w:tc>
        <w:tc>
          <w:tcPr>
            <w:tcW w:w="5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Executive Chairman</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22,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Brent D. Richardson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22,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Johnson</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22,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David J. Johnson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Henry</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22,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Jack A. Henry</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A. Casper</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22,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Bradley A. Casper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Mark Dorman</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22,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D. Mark Dorman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22,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Chad N. Heath</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5240" w:type="dxa"/>
            <w:vAlign w:val="bottom"/>
            <w:gridSpan w:val="2"/>
          </w:tcPr>
          <w:p>
            <w:pPr>
              <w:jc w:val="right"/>
              <w:ind w:right="3634"/>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301"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jc w:val="center"/>
              <w:ind w:right="975"/>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5"/>
                <w:szCs w:val="15"/>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4.1</w:t>
            </w:r>
          </w:p>
        </w:tc>
        <w:tc>
          <w:tcPr>
            <w:tcW w:w="580" w:type="dxa"/>
            <w:vAlign w:val="bottom"/>
          </w:tcPr>
          <w:p>
            <w:pPr>
              <w:spacing w:after="0"/>
              <w:rPr>
                <w:sz w:val="16"/>
                <w:szCs w:val="16"/>
                <w:color w:val="auto"/>
              </w:rPr>
            </w:pPr>
          </w:p>
        </w:tc>
        <w:tc>
          <w:tcPr>
            <w:tcW w:w="10340" w:type="dxa"/>
            <w:vAlign w:val="bottom"/>
          </w:tcPr>
          <w:p>
            <w:pPr>
              <w:spacing w:after="0" w:line="195" w:lineRule="exact"/>
              <w:rPr>
                <w:sz w:val="20"/>
                <w:szCs w:val="20"/>
                <w:color w:val="auto"/>
              </w:rPr>
            </w:pPr>
            <w:r>
              <w:rPr>
                <w:rFonts w:ascii="Arial" w:cs="Arial" w:eastAsia="Arial" w:hAnsi="Arial"/>
                <w:sz w:val="18"/>
                <w:szCs w:val="18"/>
                <w:color w:val="auto"/>
                <w:w w:val="93"/>
              </w:rPr>
              <w:t>Specimen of Stock Certificate (incorporated herein by reference to Exhibit 4.1 to the Registrant’s Registration Statement on Form S-1 (File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333-150876))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DLA Piper LLP (US)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DLA Piper LLP (US) (included in Exhibit 5.1)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Powers of Attorney (included as part of the signature page to this Registration Statement)</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75"/>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DLA Piper US (LLP)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2525 East Camelback Road, Suite 1000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Phoenix, AZ 85016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01219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219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Registration Statement on Form S-8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acted as legal counsel for Grand Canyon Education,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for the registration of up to 2,251,475 shares of the Common Stock, $0.01 par value,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that are reserved for issuance under the Grand Canyon Education, Inc. 2008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are admitted to practice only in the State of Arizona and we express no opinion concerning any law other than the law of the State of Arizona, the corporation laws of the State of Delaware and the federal law of the United States. 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Arizona.</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on such examination, we are of the opinion that the Shares, when issued and sold in the manner referred to in the Plan and pursuant to the agreements that accompany the Plan, will be validly issued, fully paid and nonassessable.</w:t>
      </w:r>
    </w:p>
    <w:p>
      <w:pPr>
        <w:spacing w:after="0" w:line="10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referred to above and the use of our name wherever it appears in said Registration Statement. In giving this consent, we do not admit that we are within the category of persons whose consent is required under Section 7 of the Securities Act, the rules and regulations of the Securities and Exchange Commission promulgated thereunder or Item 509 of Regulation S K.</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opinion letter is given to you solely for use in connection with the issuance of the Shares in accordance with the Registration Statement and is not to be relied on for any other purpose. Our opinion is expressly limited to the matters set forth above, and we render no opinion, whether by implication or otherwise, as to any other matters relating to the Company, the Shares or the Registration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 DLA Piper LLP (US)</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Grand Canyon Education, Inc. 2008 Equity Incentive Plan of our reports dated February 21, 2012, with respect to the consolidated financial statements of Grand Canyon Education, Inc., and the effectiveness of internal control over financial reporting of Grand Canyon Education, Inc., included in its Annual Report (Form 10-K) for the year ended December 31, 2011, filed with the Securities and Exchange Commission.</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2019-12-09T18:07:07Z</dcterms:created>
  <dcterms:modified xsi:type="dcterms:W3CDTF">2019-12-09T18:07:07Z</dcterms:modified>
</cp:coreProperties>
</file>