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Date of Report (Date of earliest event reported): August 9, 2010</w:t>
      </w:r>
    </w:p>
    <w:p>
      <w:pPr>
        <w:spacing w:after="0" w:line="200" w:lineRule="exact"/>
        <w:rPr>
          <w:sz w:val="24"/>
          <w:szCs w:val="24"/>
          <w:color w:val="auto"/>
        </w:rPr>
      </w:pPr>
    </w:p>
    <w:p>
      <w:pPr>
        <w:jc w:val="center"/>
        <w:ind w:right="551"/>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8"/>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4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3"/>
              </w:rPr>
              <w:t>Delaware</w:t>
            </w:r>
          </w:p>
        </w:tc>
        <w:tc>
          <w:tcPr>
            <w:tcW w:w="2680" w:type="dxa"/>
            <w:vAlign w:val="bottom"/>
            <w:gridSpan w:val="3"/>
          </w:tcPr>
          <w:p>
            <w:pPr>
              <w:jc w:val="right"/>
              <w:ind w:right="1100"/>
              <w:spacing w:after="0"/>
              <w:rPr>
                <w:sz w:val="20"/>
                <w:szCs w:val="20"/>
                <w:color w:val="auto"/>
              </w:rPr>
            </w:pPr>
            <w:r>
              <w:rPr>
                <w:rFonts w:ascii="Arial" w:cs="Arial" w:eastAsia="Arial" w:hAnsi="Arial"/>
                <w:sz w:val="18"/>
                <w:szCs w:val="18"/>
                <w:b w:val="1"/>
                <w:bCs w:val="1"/>
                <w:color w:val="auto"/>
              </w:rPr>
              <w:t>001-34211</w:t>
            </w:r>
          </w:p>
        </w:tc>
        <w:tc>
          <w:tcPr>
            <w:tcW w:w="3160" w:type="dxa"/>
            <w:vAlign w:val="bottom"/>
            <w:gridSpan w:val="2"/>
          </w:tcPr>
          <w:p>
            <w:pPr>
              <w:jc w:val="right"/>
              <w:ind w:right="970"/>
              <w:spacing w:after="0"/>
              <w:rPr>
                <w:sz w:val="20"/>
                <w:szCs w:val="20"/>
                <w:color w:val="auto"/>
              </w:rPr>
            </w:pPr>
            <w:r>
              <w:rPr>
                <w:rFonts w:ascii="Arial" w:cs="Arial" w:eastAsia="Arial" w:hAnsi="Arial"/>
                <w:sz w:val="18"/>
                <w:szCs w:val="18"/>
                <w:b w:val="1"/>
                <w:bCs w:val="1"/>
                <w:color w:val="auto"/>
              </w:rPr>
              <w:t>20-3356009</w:t>
            </w:r>
          </w:p>
        </w:tc>
      </w:tr>
      <w:tr>
        <w:trPr>
          <w:trHeight w:val="209"/>
        </w:trPr>
        <w:tc>
          <w:tcPr>
            <w:tcW w:w="3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500"/>
              <w:spacing w:after="0"/>
              <w:rPr>
                <w:sz w:val="20"/>
                <w:szCs w:val="20"/>
                <w:color w:val="auto"/>
              </w:rPr>
            </w:pPr>
            <w:r>
              <w:rPr>
                <w:rFonts w:ascii="Arial" w:cs="Arial" w:eastAsia="Arial" w:hAnsi="Arial"/>
                <w:sz w:val="18"/>
                <w:szCs w:val="18"/>
                <w:color w:val="auto"/>
                <w:w w:val="93"/>
              </w:rPr>
              <w:t>of incorporation)</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348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1"/>
              </w:rPr>
              <w:t>3300 W. Camelback Road</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0"/>
              </w:rPr>
              <w:t>Phoenix, Arizona</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2"/>
          </w:tcPr>
          <w:p>
            <w:pPr>
              <w:jc w:val="right"/>
              <w:ind w:right="1970"/>
              <w:spacing w:after="0"/>
              <w:rPr>
                <w:sz w:val="20"/>
                <w:szCs w:val="20"/>
                <w:color w:val="auto"/>
              </w:rPr>
            </w:pPr>
            <w:r>
              <w:rPr>
                <w:rFonts w:ascii="Arial" w:cs="Arial" w:eastAsia="Arial" w:hAnsi="Arial"/>
                <w:sz w:val="18"/>
                <w:szCs w:val="18"/>
                <w:b w:val="1"/>
                <w:bCs w:val="1"/>
                <w:color w:val="auto"/>
              </w:rPr>
              <w:t>85017</w:t>
            </w:r>
          </w:p>
        </w:tc>
      </w:tr>
      <w:tr>
        <w:trPr>
          <w:trHeight w:val="224"/>
        </w:trPr>
        <w:tc>
          <w:tcPr>
            <w:tcW w:w="456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tcPr>
          <w:p>
            <w:pPr>
              <w:jc w:val="center"/>
              <w:ind w:right="1510"/>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29"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-130175</wp:posOffset>
            </wp:positionV>
            <wp:extent cx="2838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97" w:lineRule="exact"/>
        <w:rPr>
          <w:sz w:val="24"/>
          <w:szCs w:val="24"/>
          <w:color w:val="auto"/>
        </w:rPr>
      </w:pPr>
    </w:p>
    <w:p>
      <w:pPr>
        <w:jc w:val="both"/>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9258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2.02. </w:t>
      </w:r>
      <w:r>
        <w:rPr>
          <w:rFonts w:ascii="Arial" w:cs="Arial" w:eastAsia="Arial" w:hAnsi="Arial"/>
          <w:sz w:val="18"/>
          <w:szCs w:val="18"/>
          <w:b w:val="1"/>
          <w:bCs w:val="1"/>
          <w:u w:val="single" w:color="auto"/>
          <w:color w:val="auto"/>
        </w:rPr>
        <w:t>Results of Operations and Financial Condition</w:t>
      </w:r>
      <w:r>
        <w:rPr>
          <w:rFonts w:ascii="Arial" w:cs="Arial" w:eastAsia="Arial" w:hAnsi="Arial"/>
          <w:sz w:val="18"/>
          <w:szCs w:val="18"/>
          <w:b w:val="1"/>
          <w:bCs w:val="1"/>
          <w:color w:val="auto"/>
        </w:rPr>
        <w:t>.</w:t>
      </w:r>
    </w:p>
    <w:p>
      <w:pPr>
        <w:spacing w:after="0" w:line="202"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On August 9, 2010, Grand Canyon Education, Inc. (the “Company”) reported its results for the second quarter of 2010. The press release dated August 9, 2010 is furnished as Exhibit 99.1 to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pacing w:after="0" w:line="18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1420"/>
        <w:spacing w:after="0"/>
        <w:rPr>
          <w:sz w:val="20"/>
          <w:szCs w:val="20"/>
          <w:color w:val="auto"/>
        </w:rPr>
      </w:pPr>
      <w:r>
        <w:rPr>
          <w:rFonts w:ascii="Arial" w:cs="Arial" w:eastAsia="Arial" w:hAnsi="Arial"/>
          <w:sz w:val="18"/>
          <w:szCs w:val="18"/>
          <w:color w:val="auto"/>
        </w:rPr>
        <w:t>SIGNATURES</w:t>
      </w:r>
    </w:p>
    <w:p>
      <w:pPr>
        <w:spacing w:after="0" w:line="185" w:lineRule="exact"/>
        <w:rPr>
          <w:sz w:val="20"/>
          <w:szCs w:val="20"/>
          <w:color w:val="auto"/>
        </w:rPr>
      </w:pPr>
    </w:p>
    <w:p>
      <w:pPr>
        <w:ind w:left="340" w:right="176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5460" w:type="dxa"/>
            <w:vAlign w:val="bottom"/>
            <w:gridSpan w:val="2"/>
          </w:tcPr>
          <w:p>
            <w:pPr>
              <w:ind w:left="1140"/>
              <w:spacing w:after="0"/>
              <w:rPr>
                <w:sz w:val="20"/>
                <w:szCs w:val="20"/>
                <w:color w:val="auto"/>
              </w:rPr>
            </w:pPr>
            <w:r>
              <w:rPr>
                <w:rFonts w:ascii="Arial" w:cs="Arial" w:eastAsia="Arial" w:hAnsi="Arial"/>
                <w:sz w:val="18"/>
                <w:szCs w:val="18"/>
                <w:color w:val="auto"/>
              </w:rPr>
              <w:t>GRAND CANYON EDUCATION, INC.</w:t>
            </w:r>
          </w:p>
        </w:tc>
        <w:tc>
          <w:tcPr>
            <w:tcW w:w="2940" w:type="dxa"/>
            <w:vAlign w:val="bottom"/>
          </w:tcPr>
          <w:p>
            <w:pPr>
              <w:spacing w:after="0"/>
              <w:rPr>
                <w:sz w:val="20"/>
                <w:szCs w:val="20"/>
                <w:color w:val="auto"/>
              </w:rPr>
            </w:pPr>
          </w:p>
        </w:tc>
      </w:tr>
      <w:tr>
        <w:trPr>
          <w:trHeight w:val="432"/>
        </w:trPr>
        <w:tc>
          <w:tcPr>
            <w:tcW w:w="3020" w:type="dxa"/>
            <w:vAlign w:val="bottom"/>
          </w:tcPr>
          <w:p>
            <w:pPr>
              <w:ind w:left="340"/>
              <w:spacing w:after="0"/>
              <w:rPr>
                <w:sz w:val="20"/>
                <w:szCs w:val="20"/>
                <w:color w:val="auto"/>
              </w:rPr>
            </w:pPr>
            <w:r>
              <w:rPr>
                <w:rFonts w:ascii="Arial" w:cs="Arial" w:eastAsia="Arial" w:hAnsi="Arial"/>
                <w:sz w:val="18"/>
                <w:szCs w:val="18"/>
                <w:color w:val="auto"/>
              </w:rPr>
              <w:t>Date: August 9, 2010</w:t>
            </w:r>
          </w:p>
        </w:tc>
        <w:tc>
          <w:tcPr>
            <w:tcW w:w="5460" w:type="dxa"/>
            <w:vAlign w:val="bottom"/>
            <w:gridSpan w:val="2"/>
          </w:tcPr>
          <w:p>
            <w:pPr>
              <w:ind w:left="1140"/>
              <w:spacing w:after="0"/>
              <w:rPr>
                <w:sz w:val="20"/>
                <w:szCs w:val="20"/>
                <w:color w:val="auto"/>
              </w:rPr>
            </w:pPr>
            <w:r>
              <w:rPr>
                <w:rFonts w:ascii="Arial" w:cs="Arial" w:eastAsia="Arial" w:hAnsi="Arial"/>
                <w:sz w:val="18"/>
                <w:szCs w:val="18"/>
                <w:color w:val="auto"/>
              </w:rPr>
              <w:t>By: /s/ Daniel E. Bachus</w:t>
            </w:r>
          </w:p>
        </w:tc>
        <w:tc>
          <w:tcPr>
            <w:tcW w:w="2940" w:type="dxa"/>
            <w:vAlign w:val="bottom"/>
          </w:tcPr>
          <w:p>
            <w:pPr>
              <w:spacing w:after="0"/>
              <w:rPr>
                <w:sz w:val="24"/>
                <w:szCs w:val="24"/>
                <w:color w:val="auto"/>
              </w:rPr>
            </w:pPr>
          </w:p>
        </w:tc>
      </w:tr>
      <w:tr>
        <w:trPr>
          <w:trHeight w:val="195"/>
        </w:trPr>
        <w:tc>
          <w:tcPr>
            <w:tcW w:w="3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c>
          <w:tcPr>
            <w:tcW w:w="2940" w:type="dxa"/>
            <w:vAlign w:val="bottom"/>
          </w:tcPr>
          <w:p>
            <w:pPr>
              <w:spacing w:after="0"/>
              <w:rPr>
                <w:sz w:val="16"/>
                <w:szCs w:val="16"/>
                <w:color w:val="auto"/>
              </w:rPr>
            </w:pPr>
          </w:p>
        </w:tc>
      </w:tr>
      <w:tr>
        <w:trPr>
          <w:trHeight w:val="216"/>
        </w:trPr>
        <w:tc>
          <w:tcPr>
            <w:tcW w:w="3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94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4"/>
              </w:rPr>
              <w:t>(Principal Financial and Principal Accounting Officer)</w:t>
            </w:r>
          </w:p>
        </w:tc>
        <w:tc>
          <w:tcPr>
            <w:tcW w:w="2940" w:type="dxa"/>
            <w:vAlign w:val="bottom"/>
          </w:tcPr>
          <w:p>
            <w:pPr>
              <w:spacing w:after="0"/>
              <w:rPr>
                <w:sz w:val="20"/>
                <w:szCs w:val="20"/>
                <w:color w:val="auto"/>
              </w:rPr>
            </w:pPr>
          </w:p>
        </w:tc>
      </w:tr>
      <w:tr>
        <w:trPr>
          <w:trHeight w:val="1023"/>
        </w:trPr>
        <w:tc>
          <w:tcPr>
            <w:tcW w:w="30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 w:name="page4"/>
    <w:bookmarkEnd w:id="3"/>
    <w:p>
      <w:pPr>
        <w:ind w:left="4000"/>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60"/>
        <w:spacing w:after="0"/>
        <w:tabs>
          <w:tab w:leader="none" w:pos="470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5925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27" w:lineRule="exact"/>
        <w:rPr>
          <w:sz w:val="20"/>
          <w:szCs w:val="20"/>
          <w:color w:val="auto"/>
        </w:rPr>
      </w:pPr>
    </w:p>
    <w:p>
      <w:pPr>
        <w:ind w:left="120"/>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9, 2010</w:t>
      </w:r>
    </w:p>
    <w:p>
      <w:pPr>
        <w:sectPr>
          <w:pgSz w:w="11900" w:h="16838" w:orient="portrait"/>
          <w:cols w:equalWidth="0" w:num="1">
            <w:col w:w="9879"/>
          </w:cols>
          <w:pgMar w:left="580" w:top="1341" w:right="1440" w:bottom="1440" w:gutter="0" w:footer="0" w:header="0"/>
        </w:sectPr>
      </w:pPr>
    </w:p>
    <w:bookmarkStart w:id="4" w:name="page5"/>
    <w:bookmarkEnd w:id="4"/>
    <w:p>
      <w:pPr>
        <w:jc w:val="right"/>
        <w:ind w:right="559"/>
        <w:spacing w:after="0"/>
        <w:rPr>
          <w:sz w:val="20"/>
          <w:szCs w:val="20"/>
          <w:color w:val="auto"/>
        </w:rPr>
      </w:pPr>
      <w:r>
        <w:rPr>
          <w:rFonts w:ascii="Arial" w:cs="Arial" w:eastAsia="Arial" w:hAnsi="Arial"/>
          <w:sz w:val="18"/>
          <w:szCs w:val="18"/>
          <w:b w:val="1"/>
          <w:bCs w:val="1"/>
          <w:color w:val="auto"/>
        </w:rPr>
        <w:t>Exhibit 99.1</w:t>
      </w:r>
    </w:p>
    <w:p>
      <w:pPr>
        <w:spacing w:after="0" w:line="185"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NEWS RELEASE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dbachus@gcu.edu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Bill Jenkins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bjenkins@gcu.edu</w:t>
      </w:r>
    </w:p>
    <w:p>
      <w:pPr>
        <w:spacing w:after="0" w:line="18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GRAND CANYON EDUCATION, INC. REPORTS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SECOND QUARTER 2010 RESULTS</w:t>
      </w:r>
    </w:p>
    <w:p>
      <w:pPr>
        <w:spacing w:after="0" w:line="166" w:lineRule="exact"/>
        <w:rPr>
          <w:sz w:val="20"/>
          <w:szCs w:val="20"/>
          <w:color w:val="auto"/>
        </w:rPr>
      </w:pPr>
    </w:p>
    <w:p>
      <w:pPr>
        <w:jc w:val="center"/>
        <w:ind w:right="559"/>
        <w:spacing w:after="0" w:line="282" w:lineRule="auto"/>
        <w:rPr>
          <w:sz w:val="20"/>
          <w:szCs w:val="20"/>
          <w:color w:val="auto"/>
        </w:rPr>
      </w:pPr>
      <w:r>
        <w:rPr>
          <w:rFonts w:ascii="Arial" w:cs="Arial" w:eastAsia="Arial" w:hAnsi="Arial"/>
          <w:sz w:val="18"/>
          <w:szCs w:val="18"/>
          <w:b w:val="1"/>
          <w:bCs w:val="1"/>
          <w:color w:val="auto"/>
        </w:rPr>
        <w:t>Grand Canyon Education’s Second Quarter Net Revenue up 55.0 Percent; Enrollment up 31.5 Percent; Operating Income up 57.7 Percent; Net Income up 62.2 Percent</w:t>
      </w:r>
    </w:p>
    <w:p>
      <w:pPr>
        <w:spacing w:after="0" w:line="121" w:lineRule="exact"/>
        <w:rPr>
          <w:sz w:val="20"/>
          <w:szCs w:val="20"/>
          <w:color w:val="auto"/>
        </w:rPr>
      </w:pPr>
    </w:p>
    <w:p>
      <w:pPr>
        <w:jc w:val="both"/>
        <w:ind w:right="559"/>
        <w:spacing w:after="0" w:line="347" w:lineRule="auto"/>
        <w:rPr>
          <w:sz w:val="20"/>
          <w:szCs w:val="20"/>
          <w:color w:val="auto"/>
        </w:rPr>
      </w:pPr>
      <w:r>
        <w:rPr>
          <w:rFonts w:ascii="Arial" w:cs="Arial" w:eastAsia="Arial" w:hAnsi="Arial"/>
          <w:sz w:val="16"/>
          <w:szCs w:val="16"/>
          <w:b w:val="1"/>
          <w:bCs w:val="1"/>
          <w:color w:val="auto"/>
        </w:rPr>
        <w:t>ARIZONA, August 9, 2010</w:t>
      </w:r>
      <w:r>
        <w:rPr>
          <w:rFonts w:ascii="Arial" w:cs="Arial" w:eastAsia="Arial" w:hAnsi="Arial"/>
          <w:sz w:val="16"/>
          <w:szCs w:val="16"/>
          <w:color w:val="auto"/>
        </w:rPr>
        <w:t>—</w:t>
      </w:r>
      <w:r>
        <w:rPr>
          <w:rFonts w:ascii="Arial" w:cs="Arial" w:eastAsia="Arial" w:hAnsi="Arial"/>
          <w:sz w:val="16"/>
          <w:szCs w:val="16"/>
          <w:b w:val="1"/>
          <w:bCs w:val="1"/>
          <w:u w:val="single" w:color="auto"/>
          <w:color w:val="auto"/>
        </w:rPr>
        <w:t>Grand Canyon Education,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LOPE), a regionally accredited provider of online</w:t>
      </w:r>
      <w:r>
        <w:rPr>
          <w:rFonts w:ascii="Arial" w:cs="Arial" w:eastAsia="Arial" w:hAnsi="Arial"/>
          <w:sz w:val="16"/>
          <w:szCs w:val="16"/>
          <w:b w:val="1"/>
          <w:bCs w:val="1"/>
          <w:color w:val="auto"/>
        </w:rPr>
        <w:t xml:space="preserve"> </w:t>
      </w:r>
      <w:r>
        <w:rPr>
          <w:rFonts w:ascii="Arial" w:cs="Arial" w:eastAsia="Arial" w:hAnsi="Arial"/>
          <w:sz w:val="16"/>
          <w:szCs w:val="16"/>
          <w:color w:val="auto"/>
        </w:rPr>
        <w:t>and campus-based post-secondary education services, today announced financial results for the quarter ended June 30, 2010.</w:t>
      </w:r>
    </w:p>
    <w:p>
      <w:pPr>
        <w:spacing w:after="0" w:line="93"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“We are pleased with the results of the quarter. We believe the results validate the educational and financial model of Grand Canyon University,” said Brian Mueller, Chief Executive Officer of Grand Canyon Education, Inc. “At a time when more Americans than ever need access to college and when state universities and community colleges face declining levels of state tax subsidies, Grand Canyon University is able to offer high quality education at affordable tuition rates for both traditional students living on campus and non-traditional students attending online.”</w:t>
      </w:r>
    </w:p>
    <w:p>
      <w:pPr>
        <w:spacing w:after="0" w:line="1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 w:name="page6"/>
    <w:bookmarkEnd w:id="5"/>
    <w:p>
      <w:pPr>
        <w:ind w:left="8"/>
        <w:spacing w:after="0"/>
        <w:rPr>
          <w:sz w:val="20"/>
          <w:szCs w:val="20"/>
          <w:color w:val="auto"/>
        </w:rPr>
      </w:pPr>
      <w:r>
        <w:rPr>
          <w:rFonts w:ascii="Arial" w:cs="Arial" w:eastAsia="Arial" w:hAnsi="Arial"/>
          <w:sz w:val="18"/>
          <w:szCs w:val="18"/>
          <w:b w:val="1"/>
          <w:bCs w:val="1"/>
          <w:color w:val="auto"/>
        </w:rPr>
        <w:t>Grand Canyon Education, Inc. Reports Second Quarter 2010 Results</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the three months ended June 30, 2010:</w:t>
      </w:r>
    </w:p>
    <w:p>
      <w:pPr>
        <w:spacing w:after="0" w:line="185" w:lineRule="exact"/>
        <w:rPr>
          <w:sz w:val="20"/>
          <w:szCs w:val="20"/>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revenues increased 55.0% to $97.5 million for the second quarter of 2010, compared to $62.9 million for the second quarter of 2009.</w:t>
      </w:r>
    </w:p>
    <w:p>
      <w:pPr>
        <w:spacing w:after="0" w:line="102"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At June 30, 2010 our enrollment was approximately 36,300, an increase of 31.5% from our enrollment of approximately 27,600 at June 30, 2009.</w:t>
      </w:r>
    </w:p>
    <w:p>
      <w:pPr>
        <w:spacing w:after="0" w:line="102" w:lineRule="exact"/>
        <w:rPr>
          <w:rFonts w:ascii="Arial" w:cs="Arial" w:eastAsia="Arial" w:hAnsi="Arial"/>
          <w:sz w:val="18"/>
          <w:szCs w:val="18"/>
          <w:b w:val="1"/>
          <w:bCs w:val="1"/>
          <w:color w:val="auto"/>
        </w:rPr>
      </w:pPr>
    </w:p>
    <w:p>
      <w:pPr>
        <w:jc w:val="both"/>
        <w:ind w:left="348" w:right="559" w:hanging="348"/>
        <w:spacing w:after="0" w:line="264"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income for the second quarter of 2010 was $20.5 million, an increase of 57.7% as compared to $13.0 million for the same period in 2009. The operating margin for the second quarter 2010 was 21.0%, compared to 20.7% for the same period in 2009.</w:t>
      </w:r>
    </w:p>
    <w:p>
      <w:pPr>
        <w:spacing w:after="0" w:line="113"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EBITDA increased 57.8% to $24.6 million for the second quarter of 2010, compared to $15.6 million for the same period in 2009.</w:t>
      </w:r>
    </w:p>
    <w:p>
      <w:pPr>
        <w:spacing w:after="0" w:line="102" w:lineRule="exact"/>
        <w:rPr>
          <w:rFonts w:ascii="Arial" w:cs="Arial" w:eastAsia="Arial" w:hAnsi="Arial"/>
          <w:sz w:val="18"/>
          <w:szCs w:val="18"/>
          <w:b w:val="1"/>
          <w:bCs w:val="1"/>
          <w:color w:val="auto"/>
        </w:rPr>
      </w:pPr>
    </w:p>
    <w:p>
      <w:pPr>
        <w:ind w:left="348" w:hanging="348"/>
        <w:spacing w:after="0"/>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tax rate in the second quarter of 2010 was 39.2% compared to 39.8% in the second quarter of 2009.</w:t>
      </w:r>
    </w:p>
    <w:p>
      <w:pPr>
        <w:spacing w:after="0" w:line="157"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increased 62.2% to $12.4 million for the second quarter of 2010, compared to $7.6 million for the same period in 2009.</w:t>
      </w:r>
    </w:p>
    <w:p>
      <w:pPr>
        <w:spacing w:after="0" w:line="102" w:lineRule="exact"/>
        <w:rPr>
          <w:rFonts w:ascii="Arial" w:cs="Arial" w:eastAsia="Arial" w:hAnsi="Arial"/>
          <w:sz w:val="18"/>
          <w:szCs w:val="18"/>
          <w:b w:val="1"/>
          <w:bCs w:val="1"/>
          <w:color w:val="auto"/>
        </w:rPr>
      </w:pPr>
    </w:p>
    <w:p>
      <w:pPr>
        <w:ind w:left="348" w:hanging="348"/>
        <w:spacing w:after="0"/>
        <w:tabs>
          <w:tab w:leader="none" w:pos="348"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Diluted net income per share was $0.27 for the second quarter of 2010, compared to $0.17 for the same period in 2009.</w:t>
      </w:r>
    </w:p>
    <w:p>
      <w:pPr>
        <w:spacing w:after="0" w:line="208"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the six months ended June 30, 2010:</w:t>
      </w:r>
    </w:p>
    <w:p>
      <w:pPr>
        <w:spacing w:after="0" w:line="198" w:lineRule="exact"/>
        <w:rPr>
          <w:sz w:val="20"/>
          <w:szCs w:val="20"/>
          <w:color w:val="auto"/>
        </w:rPr>
      </w:pPr>
    </w:p>
    <w:p>
      <w:pPr>
        <w:ind w:left="348" w:hanging="348"/>
        <w:spacing w:after="0"/>
        <w:tabs>
          <w:tab w:leader="none" w:pos="34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revenues increased 57.9% to $186.8 million, compared to $118.4 million for the same period in 2009.</w:t>
      </w:r>
    </w:p>
    <w:p>
      <w:pPr>
        <w:spacing w:after="0" w:line="157" w:lineRule="exact"/>
        <w:rPr>
          <w:rFonts w:ascii="Arial" w:cs="Arial" w:eastAsia="Arial" w:hAnsi="Arial"/>
          <w:sz w:val="18"/>
          <w:szCs w:val="18"/>
          <w:b w:val="1"/>
          <w:bCs w:val="1"/>
          <w:color w:val="auto"/>
        </w:rPr>
      </w:pPr>
    </w:p>
    <w:p>
      <w:pPr>
        <w:jc w:val="both"/>
        <w:ind w:left="348" w:right="559" w:hanging="348"/>
        <w:spacing w:after="0" w:line="264" w:lineRule="auto"/>
        <w:tabs>
          <w:tab w:leader="none" w:pos="34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Operating income for the six months ended June 30, 2010 was $40.1 million, an increase of 82.2% as compared to $22.0 million for the same period in 2009. The operating margin for the six months ended June 30, 2010 was 21.5%, compared to 18.6% for the same period in 2009.</w:t>
      </w:r>
    </w:p>
    <w:p>
      <w:pPr>
        <w:spacing w:after="0" w:line="113"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Adjusted EBITDA increased 77.8% to $48.0 million for the six months ended June 30, 2010, compared to $27.0 million for the same period in 2009.</w:t>
      </w:r>
    </w:p>
    <w:p>
      <w:pPr>
        <w:spacing w:after="0" w:line="102" w:lineRule="exact"/>
        <w:rPr>
          <w:rFonts w:ascii="Arial" w:cs="Arial" w:eastAsia="Arial" w:hAnsi="Arial"/>
          <w:sz w:val="18"/>
          <w:szCs w:val="18"/>
          <w:b w:val="1"/>
          <w:bCs w:val="1"/>
          <w:color w:val="auto"/>
        </w:rPr>
      </w:pPr>
    </w:p>
    <w:p>
      <w:pPr>
        <w:ind w:left="348" w:hanging="348"/>
        <w:spacing w:after="0"/>
        <w:tabs>
          <w:tab w:leader="none" w:pos="34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tax rate in 2010 was 39.9% compared to 39.9% for the same period in 2009.</w:t>
      </w:r>
    </w:p>
    <w:p>
      <w:pPr>
        <w:spacing w:after="0" w:line="157"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income increased 87.7% to $23.9 million for the six months ended June 30, 2010, compared to $12.7 million for the same period in 2009.</w:t>
      </w:r>
    </w:p>
    <w:p>
      <w:pPr>
        <w:spacing w:after="0" w:line="102"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Diluted net income per share was $0.51 for the six months ended June 30, 2010, compared to $0.28 for the same period in 2009.</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Balance Sheet and Cash Flow</w:t>
      </w:r>
    </w:p>
    <w:p>
      <w:pPr>
        <w:spacing w:after="0" w:line="189" w:lineRule="exact"/>
        <w:rPr>
          <w:sz w:val="20"/>
          <w:szCs w:val="20"/>
          <w:color w:val="auto"/>
        </w:rPr>
      </w:pPr>
    </w:p>
    <w:p>
      <w:pPr>
        <w:jc w:val="both"/>
        <w:ind w:left="8" w:right="559"/>
        <w:spacing w:after="0" w:line="291" w:lineRule="auto"/>
        <w:rPr>
          <w:sz w:val="20"/>
          <w:szCs w:val="20"/>
          <w:color w:val="auto"/>
        </w:rPr>
      </w:pPr>
      <w:r>
        <w:rPr>
          <w:rFonts w:ascii="Arial" w:cs="Arial" w:eastAsia="Arial" w:hAnsi="Arial"/>
          <w:sz w:val="16"/>
          <w:szCs w:val="16"/>
          <w:color w:val="auto"/>
        </w:rPr>
        <w:t>As of June 30, 2010, the Company had unrestricted cash, cash equivalents and marketable securities of $43.4 million compared to $63.1 million as of December 31, 2009 and restricted cash, cash equivalents and investments at June 30, 2010 and December 31, 2009 of $30.7 million and $3.2 million, respectively. The significant increase in the restricted cash amount between December 31, 2009 and June 30, 2010 is the result of the Company transitioning online and professional studies students into a borrower-based academic year (“BBAY”) system starting in April 2010. Financial aid for these students previously was processed on a semester basis in which disbursements for the semester were typically received in the first couple of weeks of the semester. The Company classifies all financial aid received for courses that have not yet started as restricted cash.</w:t>
      </w:r>
    </w:p>
    <w:p>
      <w:pPr>
        <w:spacing w:after="0" w:line="140" w:lineRule="exact"/>
        <w:rPr>
          <w:sz w:val="20"/>
          <w:szCs w:val="20"/>
          <w:color w:val="auto"/>
        </w:rPr>
      </w:pPr>
    </w:p>
    <w:p>
      <w:pPr>
        <w:jc w:val="both"/>
        <w:ind w:left="8" w:right="559"/>
        <w:spacing w:after="0" w:line="267" w:lineRule="auto"/>
        <w:rPr>
          <w:sz w:val="20"/>
          <w:szCs w:val="20"/>
          <w:color w:val="auto"/>
        </w:rPr>
      </w:pPr>
      <w:r>
        <w:rPr>
          <w:rFonts w:ascii="Arial" w:cs="Arial" w:eastAsia="Arial" w:hAnsi="Arial"/>
          <w:sz w:val="17"/>
          <w:szCs w:val="17"/>
          <w:color w:val="auto"/>
        </w:rPr>
        <w:t>The Company generated $30.1 million in cash from operating activities in the six months ended June 30, 2010 compared to $27.0 million in the same period of 2009. Cash used in investing activities was $49.3 million and $47.7 million for the six months ended June 30, 2010 and 2009, respectively. Cash used in investing activities in 2010 is primarily due to an increase in restricted cash during the second quarter of 2010 as a result of our transition from a term-based financial aid system to BBAY in April 2010. Other capital expenditures were $22.4 million and $11.1 million for the six months ended June 30, 2010 and 2009, respectively. In the first six months of 2010, capital expenditures primarily consisted of purchases of computer equipment, and software costs to complete our transition from Datatel to CampusVue and Great Plains, other internal use software projects, furniture and equipment to support our increasing employee base and headcount and ground campus building projects such as a new dorm and recreational center to support our increasing traditional ground student enrollment. In 2009, cash used in investing activities was primarily the result of our acquisition on April 28, 2009 of the land and buildings that comprise our ground campus for $35.5 million, in addition to the $11.1 million of capital expenditures which primarily consisted of purchases of computer equipment, leasehold improvements, and office furniture and fixtures to support our increasing employee headcounts. Cash used in financing activities was nil for the six months ended June 30, 2010 as compared to cash provided by financing activities of $10.3 million for the six months ended June 30, 2009. During the first six months of 2010 principal payments on notes payable and capital lease obligations were offset by proceeds from the exercise of stock options and the excess tax benefits from share-based compensation. During the first six months of 2009, the proceeds from the loan agreement were partially offset by the repurchase of our shares.</w:t>
      </w:r>
    </w:p>
    <w:p>
      <w:pPr>
        <w:spacing w:after="0" w:line="152" w:lineRule="exact"/>
        <w:rPr>
          <w:sz w:val="20"/>
          <w:szCs w:val="20"/>
          <w:color w:val="auto"/>
        </w:rPr>
      </w:pPr>
    </w:p>
    <w:p>
      <w:pPr>
        <w:ind w:left="4428"/>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655955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815"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Grand Canyon Education, Inc. Reports Second Quarter 2009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2010 Outlook</w:t>
      </w:r>
    </w:p>
    <w:p>
      <w:pPr>
        <w:spacing w:after="0" w:line="189"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For the third quarter ending September 30, 2010, enrollment is expected to grow by between 29% and 32%, to between 44,000 and 45,000 students at September 30, 2010 from 34,218 at September 30, 2009, and net revenues by between 53% and 56% to between $101 million and $103 million from $66.1 million in the third quarter of 2009. Diluted earnings per share is expected to be between $0.28 and $0.30 per share.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Annual Outlook</w:t>
      </w:r>
    </w:p>
    <w:p>
      <w:pPr>
        <w:spacing w:after="0" w:line="202" w:lineRule="exact"/>
        <w:rPr>
          <w:sz w:val="20"/>
          <w:szCs w:val="20"/>
          <w:color w:val="auto"/>
        </w:rPr>
      </w:pPr>
    </w:p>
    <w:p>
      <w:pPr>
        <w:jc w:val="both"/>
        <w:ind w:right="559"/>
        <w:spacing w:after="0" w:line="286" w:lineRule="auto"/>
        <w:rPr>
          <w:sz w:val="20"/>
          <w:szCs w:val="20"/>
          <w:color w:val="auto"/>
        </w:rPr>
      </w:pPr>
      <w:r>
        <w:rPr>
          <w:rFonts w:ascii="Arial" w:cs="Arial" w:eastAsia="Arial" w:hAnsi="Arial"/>
          <w:sz w:val="17"/>
          <w:szCs w:val="17"/>
          <w:color w:val="auto"/>
        </w:rPr>
        <w:t>For fiscal year 2010 we expect net revenues to be between $403 million and $408 million for the year ended December 31, 2010, and enrollment to be between 47,000 and 49,000 at December 31, 2010. The annual tax rate is anticipated to be approximately 40.6%. Diluted earnings per share is expected to be between $1.22 and $1.28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right="559"/>
        <w:spacing w:after="0" w:line="270" w:lineRule="auto"/>
        <w:rPr>
          <w:sz w:val="20"/>
          <w:szCs w:val="20"/>
          <w:color w:val="auto"/>
        </w:rPr>
      </w:pPr>
      <w:r>
        <w:rPr>
          <w:rFonts w:ascii="Arial" w:cs="Arial" w:eastAsia="Arial" w:hAnsi="Arial"/>
          <w:sz w:val="17"/>
          <w:szCs w:val="17"/>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55" w:lineRule="exact"/>
        <w:rPr>
          <w:sz w:val="20"/>
          <w:szCs w:val="20"/>
          <w:color w:val="auto"/>
        </w:rPr>
      </w:pPr>
    </w:p>
    <w:p>
      <w:pPr>
        <w:jc w:val="both"/>
        <w:ind w:right="559"/>
        <w:spacing w:after="0" w:line="284"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our failure to comply with the extensive regulatory framework applicable to our industry, including Title IV of the Higher Education Act and the regulations thereunder, state laws and regulatory requirements, and accrediting commission requirements; the results of the ongoing investigation by the Department of Educations’s Office of Inspector General and the pending qui tam action regarding the manner in which we have compensated our enrollment personnel, and possible remedial actions or other liability resulting therefrom; the results of the ongoing program review being conducted by the Department of Education of our compliance with Title IV program requirements, and possible fines or other administrative sanctions resulting therefrom; the ability of our students to obtain federal Title IV funds, state financial aid, and private financing; any damage to our reputation or other adverse effects we may experience as a result of negative publicity in the media, in industry or in connection with governmental reports or investigations, or otherwise, affecting us or other companies in the for-profit postsecondary education sector; risks associated with changes in applicable federal and state laws and regulations and accrediting commission standards; our ability to hire and train new, and develop and train existing, enrollment counselors; the pace of growth of our enrollment; our ability to convert prospective students to enrolled students and to retain active students; our success in updating and expanding the content of existing programs and developing new programs in a cost-effective manner or on a timely basis; industry competition, including competition for qualified executives and other personnel; risks associated with the competitive environment for marketing our programs; failure on our part to keep up with advances in technology that could enhance the online experience for our students; our ability to manage future growth effectively; general adverse economic conditions or other developments that affect job prospects in our core disciplines; and other factors discussed in reports on file with the Securities and Exchange Commission.</w:t>
      </w:r>
    </w:p>
    <w:p>
      <w:pPr>
        <w:spacing w:after="0" w:line="356"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 w:name="page8"/>
    <w:bookmarkEnd w:id="7"/>
    <w:p>
      <w:pPr>
        <w:ind w:left="8"/>
        <w:spacing w:after="0"/>
        <w:rPr>
          <w:sz w:val="20"/>
          <w:szCs w:val="20"/>
          <w:color w:val="auto"/>
        </w:rPr>
      </w:pPr>
      <w:r>
        <w:rPr>
          <w:rFonts w:ascii="Arial" w:cs="Arial" w:eastAsia="Arial" w:hAnsi="Arial"/>
          <w:sz w:val="18"/>
          <w:szCs w:val="18"/>
          <w:b w:val="1"/>
          <w:bCs w:val="1"/>
          <w:color w:val="auto"/>
        </w:rPr>
        <w:t>Grand Canyon Education, Inc. Reports Second Quarter 2010 Results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Conference Call</w:t>
      </w:r>
    </w:p>
    <w:p>
      <w:pPr>
        <w:spacing w:after="0" w:line="189" w:lineRule="exact"/>
        <w:rPr>
          <w:sz w:val="20"/>
          <w:szCs w:val="20"/>
          <w:color w:val="auto"/>
        </w:rPr>
      </w:pPr>
    </w:p>
    <w:p>
      <w:pPr>
        <w:jc w:val="both"/>
        <w:ind w:left="8" w:right="559"/>
        <w:spacing w:after="0" w:line="259" w:lineRule="auto"/>
        <w:rPr>
          <w:sz w:val="20"/>
          <w:szCs w:val="20"/>
          <w:color w:val="auto"/>
        </w:rPr>
      </w:pPr>
      <w:r>
        <w:rPr>
          <w:rFonts w:ascii="Arial" w:cs="Arial" w:eastAsia="Arial" w:hAnsi="Arial"/>
          <w:sz w:val="18"/>
          <w:szCs w:val="18"/>
          <w:color w:val="auto"/>
        </w:rPr>
        <w:t xml:space="preserve">Grand Canyon Education, Inc. will discuss its second quarter 2010 results and 2010 outlook during a conference call scheduled for today, August 9, 2010 at 5:00 p.m. Eastern time (ET). To participate in the live call, investors should dial 877-815-5362 (domestic and Canada) or 706-679-7806 (international), passcode 91210439 at 4:50 p.m. (ET). The Webcast will be available on the Grand Canyon Education, Inc. Web site at </w:t>
      </w:r>
      <w:r>
        <w:rPr>
          <w:rFonts w:ascii="Arial" w:cs="Arial" w:eastAsia="Arial" w:hAnsi="Arial"/>
          <w:sz w:val="18"/>
          <w:szCs w:val="18"/>
          <w:u w:val="single" w:color="auto"/>
          <w:color w:val="auto"/>
        </w:rPr>
        <w:t>www.gcu.edu</w:t>
      </w:r>
      <w:r>
        <w:rPr>
          <w:rFonts w:ascii="Arial" w:cs="Arial" w:eastAsia="Arial" w:hAnsi="Arial"/>
          <w:sz w:val="18"/>
          <w:szCs w:val="18"/>
          <w:color w:val="auto"/>
        </w:rPr>
        <w:t>.</w:t>
      </w:r>
    </w:p>
    <w:p>
      <w:pPr>
        <w:spacing w:after="0" w:line="146"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 xml:space="preserve">A replay of the call will be available approximately two hours following the conclusion of the call through August 8, 2011, at 800-642-1687 (domestic) or 706-645-9291 (international), passcode 91210439. It will also be archived at </w:t>
      </w:r>
      <w:r>
        <w:rPr>
          <w:rFonts w:ascii="Arial" w:cs="Arial" w:eastAsia="Arial" w:hAnsi="Arial"/>
          <w:sz w:val="18"/>
          <w:szCs w:val="18"/>
          <w:u w:val="single" w:color="auto"/>
          <w:color w:val="auto"/>
        </w:rPr>
        <w:t>www.gcu.edu</w:t>
      </w:r>
      <w:r>
        <w:rPr>
          <w:rFonts w:ascii="Arial" w:cs="Arial" w:eastAsia="Arial" w:hAnsi="Arial"/>
          <w:sz w:val="18"/>
          <w:szCs w:val="18"/>
          <w:color w:val="auto"/>
        </w:rPr>
        <w:t xml:space="preserve"> in the </w:t>
      </w:r>
      <w:r>
        <w:rPr>
          <w:rFonts w:ascii="Arial" w:cs="Arial" w:eastAsia="Arial" w:hAnsi="Arial"/>
          <w:sz w:val="18"/>
          <w:szCs w:val="18"/>
          <w:u w:val="single" w:color="auto"/>
          <w:color w:val="auto"/>
        </w:rPr>
        <w:t>investor relations</w:t>
      </w:r>
      <w:r>
        <w:rPr>
          <w:rFonts w:ascii="Arial" w:cs="Arial" w:eastAsia="Arial" w:hAnsi="Arial"/>
          <w:sz w:val="18"/>
          <w:szCs w:val="18"/>
          <w:color w:val="auto"/>
        </w:rPr>
        <w:t xml:space="preserve"> section for 60 days.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About Grand Canyon Education, Inc.</w:t>
      </w:r>
    </w:p>
    <w:p>
      <w:pPr>
        <w:spacing w:after="0" w:line="189" w:lineRule="exact"/>
        <w:rPr>
          <w:sz w:val="20"/>
          <w:szCs w:val="20"/>
          <w:color w:val="auto"/>
        </w:rPr>
      </w:pPr>
    </w:p>
    <w:p>
      <w:pPr>
        <w:jc w:val="both"/>
        <w:ind w:left="8" w:right="559"/>
        <w:spacing w:after="0" w:line="257" w:lineRule="auto"/>
        <w:rPr>
          <w:sz w:val="20"/>
          <w:szCs w:val="20"/>
          <w:color w:val="auto"/>
        </w:rPr>
      </w:pPr>
      <w:r>
        <w:rPr>
          <w:rFonts w:ascii="Arial" w:cs="Arial" w:eastAsia="Arial" w:hAnsi="Arial"/>
          <w:sz w:val="18"/>
          <w:szCs w:val="18"/>
          <w:color w:val="auto"/>
        </w:rPr>
        <w:t xml:space="preserve">Grand Canyon Education, Inc. is a regionally accredited provider of online postsecondary education services focused on offering graduate and undergraduate degree programs in its core disciplines of education, business, and healthcare. In addition to its online programs, it offers programs at its traditional campus in Phoenix, Arizona and onsite at the facilities of employers. Approximately 36,300 students were enrolled as of June 30, 2010. For more information about Grand Canyon Education, Inc., please visit </w:t>
      </w:r>
      <w:r>
        <w:rPr>
          <w:rFonts w:ascii="Arial" w:cs="Arial" w:eastAsia="Arial" w:hAnsi="Arial"/>
          <w:sz w:val="18"/>
          <w:szCs w:val="18"/>
          <w:u w:val="single" w:color="auto"/>
          <w:color w:val="auto"/>
        </w:rPr>
        <w:t>http://www.gcu.edu</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1063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9" w:lineRule="exact"/>
        <w:rPr>
          <w:sz w:val="20"/>
          <w:szCs w:val="20"/>
          <w:color w:val="auto"/>
        </w:rPr>
      </w:pPr>
    </w:p>
    <w:p>
      <w:pPr>
        <w:jc w:val="both"/>
        <w:ind w:left="348" w:right="559" w:hanging="348"/>
        <w:spacing w:after="0" w:line="264" w:lineRule="auto"/>
        <w:tabs>
          <w:tab w:leader="none" w:pos="348"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Grand Canyon Education, Inc. is regionally accredited by The Higher Learning Commission of the North Central Association of Colleges and Schools (NCA), http://www.ncahlc.org. Grand Canyon University, 3300 W. Camelback Road, Phoenix, AZ 85017, </w:t>
      </w:r>
      <w:r>
        <w:rPr>
          <w:rFonts w:ascii="Arial" w:cs="Arial" w:eastAsia="Arial" w:hAnsi="Arial"/>
          <w:sz w:val="18"/>
          <w:szCs w:val="18"/>
          <w:b w:val="1"/>
          <w:bCs w:val="1"/>
          <w:u w:val="single" w:color="auto"/>
          <w:color w:val="auto"/>
        </w:rPr>
        <w:t>www.gcu.edu</w:t>
      </w:r>
      <w:r>
        <w:rPr>
          <w:rFonts w:ascii="Arial" w:cs="Arial" w:eastAsia="Arial" w:hAnsi="Arial"/>
          <w:sz w:val="18"/>
          <w:szCs w:val="18"/>
          <w:color w:val="auto"/>
        </w:rPr>
        <w:t>.</w:t>
      </w:r>
    </w:p>
    <w:p>
      <w:pPr>
        <w:spacing w:after="0" w:line="154" w:lineRule="exact"/>
        <w:rPr>
          <w:sz w:val="20"/>
          <w:szCs w:val="20"/>
          <w:color w:val="auto"/>
        </w:rPr>
      </w:pPr>
    </w:p>
    <w:p>
      <w:pPr>
        <w:ind w:left="4528"/>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647700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740" w:type="dxa"/>
            <w:vAlign w:val="bottom"/>
            <w:gridSpan w:val="6"/>
          </w:tcPr>
          <w:p>
            <w:pPr>
              <w:spacing w:after="0"/>
              <w:rPr>
                <w:sz w:val="20"/>
                <w:szCs w:val="20"/>
                <w:color w:val="auto"/>
              </w:rPr>
            </w:pPr>
            <w:r>
              <w:rPr>
                <w:rFonts w:ascii="Arial" w:cs="Arial" w:eastAsia="Arial" w:hAnsi="Arial"/>
                <w:sz w:val="18"/>
                <w:szCs w:val="18"/>
                <w:b w:val="1"/>
                <w:bCs w:val="1"/>
                <w:color w:val="auto"/>
                <w:w w:val="97"/>
              </w:rPr>
              <w:t>Grand Canyon Education, Inc. Reports Second Quarter 2010 Results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40" w:type="dxa"/>
            <w:vAlign w:val="bottom"/>
          </w:tcPr>
          <w:p>
            <w:pPr>
              <w:spacing w:after="0"/>
              <w:rPr>
                <w:sz w:val="24"/>
                <w:szCs w:val="24"/>
                <w:color w:val="auto"/>
              </w:rPr>
            </w:pPr>
          </w:p>
        </w:tc>
        <w:tc>
          <w:tcPr>
            <w:tcW w:w="7020" w:type="dxa"/>
            <w:vAlign w:val="bottom"/>
            <w:gridSpan w:val="9"/>
          </w:tcPr>
          <w:p>
            <w:pPr>
              <w:jc w:val="center"/>
              <w:ind w:left="2210"/>
              <w:spacing w:after="0"/>
              <w:rPr>
                <w:sz w:val="20"/>
                <w:szCs w:val="20"/>
                <w:color w:val="auto"/>
              </w:rPr>
            </w:pPr>
            <w:r>
              <w:rPr>
                <w:rFonts w:ascii="Arial" w:cs="Arial" w:eastAsia="Arial" w:hAnsi="Arial"/>
                <w:sz w:val="18"/>
                <w:szCs w:val="18"/>
                <w:b w:val="1"/>
                <w:bCs w:val="1"/>
                <w:color w:val="auto"/>
              </w:rPr>
              <w:t>GRAND CANYON EDUCATION, INC.</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gridSpan w:val="6"/>
          </w:tcPr>
          <w:p>
            <w:pPr>
              <w:jc w:val="center"/>
              <w:ind w:left="3490"/>
              <w:spacing w:after="0"/>
              <w:rPr>
                <w:sz w:val="20"/>
                <w:szCs w:val="20"/>
                <w:color w:val="auto"/>
              </w:rPr>
            </w:pPr>
            <w:r>
              <w:rPr>
                <w:rFonts w:ascii="Arial" w:cs="Arial" w:eastAsia="Arial" w:hAnsi="Arial"/>
                <w:sz w:val="18"/>
                <w:szCs w:val="18"/>
                <w:b w:val="1"/>
                <w:bCs w:val="1"/>
                <w:color w:val="auto"/>
                <w:w w:val="89"/>
              </w:rPr>
              <w:t>Income Statements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62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7"/>
              </w:rPr>
              <w:t>Three Months Ended</w:t>
            </w:r>
          </w:p>
        </w:tc>
        <w:tc>
          <w:tcPr>
            <w:tcW w:w="200" w:type="dxa"/>
            <w:vAlign w:val="bottom"/>
          </w:tcPr>
          <w:p>
            <w:pPr>
              <w:spacing w:after="0"/>
              <w:rPr>
                <w:sz w:val="24"/>
                <w:szCs w:val="24"/>
                <w:color w:val="auto"/>
              </w:rPr>
            </w:pPr>
          </w:p>
        </w:tc>
        <w:tc>
          <w:tcPr>
            <w:tcW w:w="21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4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97,522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62,905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186,848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118,364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36,169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20,411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67,981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38,379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w w:val="96"/>
              </w:rPr>
              <w:t>Selling and promotional, including $2,628 and $1,875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w w:val="92"/>
              </w:rPr>
              <w:t>for the three months ended June 30, 2010 and 2009,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respectively, and $4,975 and $3,391 for the six</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w w:val="92"/>
              </w:rPr>
              <w:t>months ended June 30, 2010 and 2009, respectively,</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to related parties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28,976</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20,726</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55,852</w:t>
            </w: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40,301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8,688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22,553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17,521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Exit costs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Royalty to former owner</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49,899</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146,739</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96,349</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20,512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13,006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40,109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22,015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(506)</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(1,087)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20,387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12,706</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39,701</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21,157</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5,063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15,825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8,439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7,643</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23,876</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12,718</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Basic</w:t>
            </w:r>
          </w:p>
        </w:tc>
        <w:tc>
          <w:tcPr>
            <w:tcW w:w="4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3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0.52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4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w w:val="93"/>
              </w:rPr>
              <w:t>Shares used in computing net income per common</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 w:type="dxa"/>
            <w:vAlign w:val="bottom"/>
          </w:tcPr>
          <w:p>
            <w:pPr>
              <w:spacing w:after="0"/>
              <w:rPr>
                <w:sz w:val="16"/>
                <w:szCs w:val="16"/>
                <w:color w:val="auto"/>
              </w:rPr>
            </w:pPr>
          </w:p>
        </w:tc>
        <w:tc>
          <w:tcPr>
            <w:tcW w:w="4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share:</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Basic</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45,699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45,159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Diluted</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46,557</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45,051</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46,441</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45,437</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color w:val="auto"/>
        </w:rPr>
        <w:t>Grand Canyon Education, Inc. Reports Second Quarter 2010 Results</w:t>
      </w:r>
    </w:p>
    <w:p>
      <w:pPr>
        <w:spacing w:after="0" w:line="19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GRAND CANYON EDUCATION, INC.</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89" w:lineRule="exact"/>
        <w:rPr>
          <w:sz w:val="20"/>
          <w:szCs w:val="20"/>
          <w:color w:val="auto"/>
        </w:rPr>
      </w:pPr>
    </w:p>
    <w:p>
      <w:pPr>
        <w:jc w:val="both"/>
        <w:ind w:left="340" w:right="1760"/>
        <w:spacing w:after="0" w:line="268" w:lineRule="auto"/>
        <w:rPr>
          <w:sz w:val="20"/>
          <w:szCs w:val="20"/>
          <w:color w:val="auto"/>
        </w:rPr>
      </w:pPr>
      <w:r>
        <w:rPr>
          <w:rFonts w:ascii="Arial" w:cs="Arial" w:eastAsia="Arial" w:hAnsi="Arial"/>
          <w:sz w:val="17"/>
          <w:szCs w:val="17"/>
          <w:color w:val="auto"/>
        </w:rPr>
        <w:t>Adjusted EBITDA is defined as net income plus interest expense net of interest income, plus income tax expense, and plus depreciation and amortization (EBITDA), as adjusted for (i) the amortization of prepaid royalty payments recorded in conjunction with a settlement of a dispute with our former owner; (ii) contributions made to Arizona school tuition organizations in lieu of the payment of state income taxes, which we typically make in the fourth quarter of a fiscal year; (iii) estimated litigation losses, if any; (iv) exit costs; (v) and share-based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Although we believe that equity-plan related compensation will be a key element of our employee relations and long-term incentives, we intend to exclude it as an expense when evaluating our core operating performance in any particular period. Accordingly, we have included share-based compensation expenses, along with royalty expenses to our former owner, and any other expenses and income that we do not consider reflective of our core operating performance, as an adjustment when calculating Adjusted EBITDA.</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management uses Adjusted EBITDA:</w:t>
      </w:r>
    </w:p>
    <w:p>
      <w:pPr>
        <w:spacing w:after="0" w:line="185" w:lineRule="exact"/>
        <w:rPr>
          <w:sz w:val="20"/>
          <w:szCs w:val="20"/>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 developing our internal budgets and strategic plan;</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as a measurement of operating performance;</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as a factor in evaluating the performance of our management for compensation purposes: and</w:t>
      </w:r>
    </w:p>
    <w:p>
      <w:pPr>
        <w:spacing w:after="0" w:line="157" w:lineRule="exact"/>
        <w:rPr>
          <w:rFonts w:ascii="Arial" w:cs="Arial" w:eastAsia="Arial" w:hAnsi="Arial"/>
          <w:sz w:val="18"/>
          <w:szCs w:val="18"/>
          <w:b w:val="1"/>
          <w:bCs w:val="1"/>
          <w:color w:val="auto"/>
        </w:rPr>
      </w:pPr>
    </w:p>
    <w:p>
      <w:pPr>
        <w:jc w:val="both"/>
        <w:ind w:left="1040" w:right="1760" w:hanging="343"/>
        <w:spacing w:after="0" w:line="264" w:lineRule="auto"/>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141"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Adjusted EBITDA is not a recognized measurement under U.S. generally accepted accounting principles, or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w:t>
      </w:r>
    </w:p>
    <w:p>
      <w:pPr>
        <w:spacing w:after="0" w:line="160"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 following table provides a reconciliation of net income to Adjusted EBITDA, which is a non-GAAP measure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center"/>
              <w:ind w:right="45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jc w:val="center"/>
              <w:ind w:right="45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in</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4"/>
              </w:rPr>
              <w:t>(Unaudited,</w:t>
            </w:r>
          </w:p>
        </w:tc>
        <w:tc>
          <w:tcPr>
            <w:tcW w:w="340" w:type="dxa"/>
            <w:vAlign w:val="bottom"/>
            <w:vMerge w:val="continue"/>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94"/>
              </w:rPr>
              <w:t>thousands)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7,643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23,876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12,718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Plus: interest expense net of interest income</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408</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858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7,991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5,063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15,825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8,439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5,161</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3,238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45,270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25,253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Plus: royalty to former owner</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Plus: exit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Plus: share-based compensation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2,338</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1,577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47,961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26,978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Grand Canyon Education, Inc. Reports Second Quarter 2010 Results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40" w:type="dxa"/>
            <w:vAlign w:val="bottom"/>
          </w:tcPr>
          <w:p>
            <w:pPr>
              <w:spacing w:after="0"/>
              <w:rPr>
                <w:sz w:val="24"/>
                <w:szCs w:val="24"/>
                <w:color w:val="auto"/>
              </w:rPr>
            </w:pPr>
          </w:p>
        </w:tc>
        <w:tc>
          <w:tcPr>
            <w:tcW w:w="6480" w:type="dxa"/>
            <w:vAlign w:val="bottom"/>
          </w:tcPr>
          <w:p>
            <w:pPr>
              <w:ind w:left="3120"/>
              <w:spacing w:after="0"/>
              <w:rPr>
                <w:sz w:val="20"/>
                <w:szCs w:val="20"/>
                <w:color w:val="auto"/>
              </w:rPr>
            </w:pPr>
            <w:r>
              <w:rPr>
                <w:rFonts w:ascii="Arial" w:cs="Arial" w:eastAsia="Arial" w:hAnsi="Arial"/>
                <w:sz w:val="18"/>
                <w:szCs w:val="18"/>
                <w:b w:val="1"/>
                <w:bCs w:val="1"/>
                <w:color w:val="auto"/>
              </w:rPr>
              <w:t>GRAND CANYON EDUCATION, INC.</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480" w:type="dxa"/>
            <w:vAlign w:val="bottom"/>
          </w:tcPr>
          <w:p>
            <w:pPr>
              <w:ind w:left="4080"/>
              <w:spacing w:after="0"/>
              <w:rPr>
                <w:sz w:val="20"/>
                <w:szCs w:val="20"/>
                <w:color w:val="auto"/>
              </w:rPr>
            </w:pPr>
            <w:r>
              <w:rPr>
                <w:rFonts w:ascii="Arial" w:cs="Arial" w:eastAsia="Arial" w:hAnsi="Arial"/>
                <w:sz w:val="18"/>
                <w:szCs w:val="18"/>
                <w:b w:val="1"/>
                <w:bCs w:val="1"/>
                <w:color w:val="auto"/>
              </w:rPr>
              <w:t>Balance Sheets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December 31,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par value)</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43,420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62,571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480" w:type="dxa"/>
            <w:vAlign w:val="bottom"/>
          </w:tcPr>
          <w:p>
            <w:pPr>
              <w:ind w:left="200"/>
              <w:spacing w:after="0" w:line="201" w:lineRule="exact"/>
              <w:rPr>
                <w:sz w:val="20"/>
                <w:szCs w:val="20"/>
                <w:color w:val="auto"/>
              </w:rPr>
            </w:pPr>
            <w:r>
              <w:rPr>
                <w:rFonts w:ascii="Arial" w:cs="Arial" w:eastAsia="Arial" w:hAnsi="Arial"/>
                <w:sz w:val="18"/>
                <w:szCs w:val="18"/>
                <w:color w:val="auto"/>
                <w:w w:val="94"/>
              </w:rPr>
              <w:t>Restricted cash, cash equivalents and investments (of which $170 is unrestricted at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December 31, 2009)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30,658</w:t>
            </w:r>
          </w:p>
        </w:tc>
        <w:tc>
          <w:tcPr>
            <w:tcW w:w="2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3,403</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4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Accounts receivable, net of allowance for doubtful accounts of $11,182 and $7,553 at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June 30, 2010 and December 31, 2009, respectively</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42,636</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13,802</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11,355</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6,685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4,864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132,933</w:t>
            </w: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90,246</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85,012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67,370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360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6,945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7,311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2,941</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2,941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554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237,813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174,738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80" w:type="dxa"/>
            <w:vAlign w:val="bottom"/>
            <w:vMerge w:val="restart"/>
          </w:tcPr>
          <w:p>
            <w:pPr>
              <w:ind w:left="126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4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12,053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8,762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26,585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18,103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Accrued estimated litigation loss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5,200</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5,200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exit costs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4,815</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2,261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 and student deposits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45,083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23,204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Due to related parties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2,076</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1,174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Current portion of notes payable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2,105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62,392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502</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868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less current portion and other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25,031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25,450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124,506</w:t>
            </w: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88,710</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$0.01 par value, 10,000 shares authorized; 0 shares issued and</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at June 30, 2010 and December 31, 2009</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480" w:type="dxa"/>
            <w:vAlign w:val="bottom"/>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45,745 and 45,658 shares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w w:val="99"/>
              </w:rPr>
              <w:t>issued and outstanding at June 30, 2010 and December 31, 2009, respectively</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457</w:t>
            </w:r>
          </w:p>
        </w:tc>
        <w:tc>
          <w:tcPr>
            <w:tcW w:w="2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457</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73,880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(521)</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39,491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15,615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113,307</w:t>
            </w: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86,028</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237,813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174,738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6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Grand Canyon Education, Inc. Reports Second Quarter 2010 Results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40" w:type="dxa"/>
            <w:vAlign w:val="bottom"/>
          </w:tcPr>
          <w:p>
            <w:pPr>
              <w:spacing w:after="0"/>
              <w:rPr>
                <w:sz w:val="24"/>
                <w:szCs w:val="24"/>
                <w:color w:val="auto"/>
              </w:rPr>
            </w:pPr>
          </w:p>
        </w:tc>
        <w:tc>
          <w:tcPr>
            <w:tcW w:w="6860" w:type="dxa"/>
            <w:vAlign w:val="bottom"/>
            <w:gridSpan w:val="2"/>
          </w:tcPr>
          <w:p>
            <w:pPr>
              <w:jc w:val="center"/>
              <w:ind w:left="2370"/>
              <w:spacing w:after="0"/>
              <w:rPr>
                <w:sz w:val="20"/>
                <w:szCs w:val="20"/>
                <w:color w:val="auto"/>
              </w:rPr>
            </w:pPr>
            <w:r>
              <w:rPr>
                <w:rFonts w:ascii="Arial" w:cs="Arial" w:eastAsia="Arial" w:hAnsi="Arial"/>
                <w:sz w:val="18"/>
                <w:szCs w:val="18"/>
                <w:b w:val="1"/>
                <w:bCs w:val="1"/>
                <w:color w:val="auto"/>
              </w:rPr>
              <w:t>GRAND CANYON EDUCATION, INC.</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jc w:val="center"/>
              <w:ind w:left="2370"/>
              <w:spacing w:after="0"/>
              <w:rPr>
                <w:sz w:val="20"/>
                <w:szCs w:val="20"/>
                <w:color w:val="auto"/>
              </w:rPr>
            </w:pPr>
            <w:r>
              <w:rPr>
                <w:rFonts w:ascii="Arial" w:cs="Arial" w:eastAsia="Arial" w:hAnsi="Arial"/>
                <w:sz w:val="18"/>
                <w:szCs w:val="18"/>
                <w:b w:val="1"/>
                <w:bCs w:val="1"/>
                <w:color w:val="auto"/>
                <w:w w:val="87"/>
              </w:rPr>
              <w:t>Statements of Cash Flows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860" w:type="dxa"/>
            <w:vAlign w:val="bottom"/>
            <w:gridSpan w:val="2"/>
          </w:tcPr>
          <w:p>
            <w:pPr>
              <w:jc w:val="center"/>
              <w:ind w:left="237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4"/>
                <w:szCs w:val="24"/>
                <w:color w:val="auto"/>
              </w:rPr>
            </w:pPr>
          </w:p>
        </w:tc>
        <w:tc>
          <w:tcPr>
            <w:tcW w:w="23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Six Months Ended June 30,</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23,876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12,718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2,338</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1,577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Provision for bad debts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10,273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5,309</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3,386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Non-capitalizable system conversion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4,013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Exit costs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(481)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(5,974)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(43,120)</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(7,757)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Due to/from related parties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902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469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3,062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8,482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1,729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Deferred revenue and student deposits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21,879</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5,921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30,127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26,982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(22,355)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Purchase of campus land and buildings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(35,505)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(27,386)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(49,254)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(47,724)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Proceeds from debt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25,547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common shares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(14,495)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(19,151)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62,571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35,152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43,420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24,742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19,061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9,402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Purchase of equipment through capital lease obligations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2,116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Settlement of capital lease obligation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30,020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 benefit of Spirit warrant intangible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6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ind w:left="8"/>
        <w:spacing w:after="0"/>
        <w:rPr>
          <w:sz w:val="20"/>
          <w:szCs w:val="20"/>
          <w:color w:val="auto"/>
        </w:rPr>
      </w:pPr>
      <w:r>
        <w:rPr>
          <w:rFonts w:ascii="Arial" w:cs="Arial" w:eastAsia="Arial" w:hAnsi="Arial"/>
          <w:sz w:val="18"/>
          <w:szCs w:val="18"/>
          <w:b w:val="1"/>
          <w:bCs w:val="1"/>
          <w:color w:val="auto"/>
        </w:rPr>
        <w:t>Grand Canyon Education, Inc. Reports Second Quarter 2010 Results</w:t>
      </w:r>
    </w:p>
    <w:p>
      <w:pPr>
        <w:spacing w:after="0" w:line="202" w:lineRule="exact"/>
        <w:rPr>
          <w:sz w:val="20"/>
          <w:szCs w:val="20"/>
          <w:color w:val="auto"/>
        </w:rPr>
      </w:pPr>
    </w:p>
    <w:p>
      <w:pPr>
        <w:ind w:left="8" w:right="559" w:firstLine="373"/>
        <w:spacing w:after="0" w:line="277" w:lineRule="auto"/>
        <w:rPr>
          <w:sz w:val="20"/>
          <w:szCs w:val="20"/>
          <w:color w:val="auto"/>
        </w:rPr>
      </w:pPr>
      <w:r>
        <w:rPr>
          <w:rFonts w:ascii="Arial" w:cs="Arial" w:eastAsia="Arial" w:hAnsi="Arial"/>
          <w:sz w:val="18"/>
          <w:szCs w:val="18"/>
          <w:color w:val="auto"/>
        </w:rPr>
        <w:t>The following is a summary of our student enrollment at June 30, 2010 and 2009 (which included less than 200 students pursuing non-degree certificates) by degree type and by instructional delivery method:</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70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June 30, 2010</w:t>
            </w:r>
            <w:r>
              <w:rPr>
                <w:rFonts w:ascii="Arial" w:cs="Arial" w:eastAsia="Arial" w:hAnsi="Arial"/>
                <w:sz w:val="15"/>
                <w:szCs w:val="15"/>
                <w:color w:val="auto"/>
              </w:rPr>
              <w:t>(1)</w:t>
            </w:r>
          </w:p>
        </w:tc>
        <w:tc>
          <w:tcPr>
            <w:tcW w:w="242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June 30, 2009</w:t>
            </w:r>
          </w:p>
        </w:tc>
      </w:tr>
      <w:tr>
        <w:trPr>
          <w:trHeight w:val="210"/>
        </w:trPr>
        <w:tc>
          <w:tcPr>
            <w:tcW w:w="4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Graduate degrees </w:t>
            </w:r>
            <w:r>
              <w:rPr>
                <w:rFonts w:ascii="Arial" w:cs="Arial" w:eastAsia="Arial" w:hAnsi="Arial"/>
                <w:sz w:val="15"/>
                <w:szCs w:val="15"/>
                <w:color w:val="auto"/>
              </w:rPr>
              <w:t>(2)</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15,916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13,841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Undergraduate degree</w:t>
            </w:r>
          </w:p>
        </w:tc>
        <w:tc>
          <w:tcPr>
            <w:tcW w:w="1000" w:type="dxa"/>
            <w:vAlign w:val="bottom"/>
          </w:tcPr>
          <w:p>
            <w:pPr>
              <w:jc w:val="right"/>
              <w:spacing w:after="0"/>
              <w:rPr>
                <w:sz w:val="20"/>
                <w:szCs w:val="20"/>
                <w:color w:val="auto"/>
              </w:rPr>
            </w:pPr>
            <w:r>
              <w:rPr>
                <w:rFonts w:ascii="Arial" w:cs="Arial" w:eastAsia="Arial" w:hAnsi="Arial"/>
                <w:sz w:val="18"/>
                <w:szCs w:val="18"/>
                <w:color w:val="auto"/>
              </w:rPr>
              <w:t>20,385</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56.2%</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13,781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49.9%</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36,301</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4200" w:type="dxa"/>
            <w:vAlign w:val="bottom"/>
          </w:tcPr>
          <w:p>
            <w:pPr>
              <w:spacing w:after="0"/>
              <w:rPr>
                <w:sz w:val="24"/>
                <w:szCs w:val="24"/>
                <w:color w:val="auto"/>
              </w:rPr>
            </w:pPr>
          </w:p>
        </w:tc>
        <w:tc>
          <w:tcPr>
            <w:tcW w:w="270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June 30, 2010</w:t>
            </w:r>
            <w:r>
              <w:rPr>
                <w:rFonts w:ascii="Arial" w:cs="Arial" w:eastAsia="Arial" w:hAnsi="Arial"/>
                <w:sz w:val="15"/>
                <w:szCs w:val="15"/>
                <w:color w:val="auto"/>
              </w:rPr>
              <w:t>(1)</w:t>
            </w:r>
          </w:p>
        </w:tc>
        <w:tc>
          <w:tcPr>
            <w:tcW w:w="242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June 30, 2009</w:t>
            </w:r>
          </w:p>
        </w:tc>
      </w:tr>
      <w:tr>
        <w:trPr>
          <w:trHeight w:val="210"/>
        </w:trPr>
        <w:tc>
          <w:tcPr>
            <w:tcW w:w="4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35,145</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96.8%</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26,234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1,156</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1,388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36,301</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10636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36" w:lineRule="exact"/>
        <w:rPr>
          <w:sz w:val="20"/>
          <w:szCs w:val="20"/>
          <w:color w:val="auto"/>
        </w:rPr>
      </w:pPr>
    </w:p>
    <w:p>
      <w:pPr>
        <w:jc w:val="both"/>
        <w:ind w:left="348" w:right="559" w:hanging="348"/>
        <w:spacing w:after="0" w:line="264" w:lineRule="auto"/>
        <w:tabs>
          <w:tab w:leader="none" w:pos="348" w:val="left"/>
        </w:tabs>
        <w:numPr>
          <w:ilvl w:val="0"/>
          <w:numId w:val="6"/>
        </w:numPr>
        <w:rPr>
          <w:rFonts w:ascii="Arial" w:cs="Arial" w:eastAsia="Arial" w:hAnsi="Arial"/>
          <w:sz w:val="18"/>
          <w:szCs w:val="18"/>
          <w:color w:val="auto"/>
        </w:rPr>
      </w:pPr>
      <w:r>
        <w:rPr>
          <w:rFonts w:ascii="Arial" w:cs="Arial" w:eastAsia="Arial" w:hAnsi="Arial"/>
          <w:sz w:val="18"/>
          <w:szCs w:val="18"/>
          <w:color w:val="auto"/>
        </w:rPr>
        <w:t>Enrollment at June 30, 2010 represents individual students who attended a course during the last two months of the calendar quarter. Prior to our transition to BBAY, enrollment had been defined as individual students that attended a course in a term that was in session as of the end of the quarter.</w:t>
      </w:r>
    </w:p>
    <w:p>
      <w:pPr>
        <w:spacing w:after="0" w:line="32" w:lineRule="exact"/>
        <w:rPr>
          <w:rFonts w:ascii="Arial" w:cs="Arial" w:eastAsia="Arial" w:hAnsi="Arial"/>
          <w:sz w:val="18"/>
          <w:szCs w:val="18"/>
          <w:color w:val="auto"/>
        </w:rPr>
      </w:pPr>
    </w:p>
    <w:p>
      <w:pPr>
        <w:ind w:left="348" w:hanging="348"/>
        <w:spacing w:after="0"/>
        <w:tabs>
          <w:tab w:leader="none" w:pos="34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870 and 228 students pursuing doctoral degrees at June 30, 2010 and 2009, respectively.</w:t>
      </w:r>
    </w:p>
    <w:p>
      <w:pPr>
        <w:spacing w:after="0" w:line="76" w:lineRule="exact"/>
        <w:rPr>
          <w:rFonts w:ascii="Arial" w:cs="Arial" w:eastAsia="Arial" w:hAnsi="Arial"/>
          <w:sz w:val="18"/>
          <w:szCs w:val="18"/>
          <w:color w:val="auto"/>
        </w:rPr>
      </w:pPr>
    </w:p>
    <w:p>
      <w:pPr>
        <w:ind w:left="348" w:hanging="348"/>
        <w:spacing w:after="0"/>
        <w:tabs>
          <w:tab w:leader="none" w:pos="348"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June 30, 2010 and 2009, 44.1% and 50.8%, respectively, of our Online students are pursuing graduate degrees.</w:t>
      </w:r>
    </w:p>
    <w:p>
      <w:pPr>
        <w:spacing w:after="0" w:line="88" w:lineRule="exact"/>
        <w:rPr>
          <w:rFonts w:ascii="Arial" w:cs="Arial" w:eastAsia="Arial" w:hAnsi="Arial"/>
          <w:sz w:val="17"/>
          <w:szCs w:val="17"/>
          <w:color w:val="auto"/>
        </w:rPr>
      </w:pPr>
    </w:p>
    <w:p>
      <w:pPr>
        <w:ind w:left="348" w:hanging="348"/>
        <w:spacing w:after="0"/>
        <w:tabs>
          <w:tab w:leader="none" w:pos="34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both our traditional on-campus ground students, as well as our professional studies students.</w:t>
      </w:r>
    </w:p>
    <w:sectPr>
      <w:pgSz w:w="11900" w:h="16838" w:orient="portrait"/>
      <w:cols w:equalWidth="0" w:num="1">
        <w:col w:w="9887"/>
      </w:cols>
      <w:pgMar w:left="572"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2019-12-11T05:37:27Z</dcterms:created>
  <dcterms:modified xsi:type="dcterms:W3CDTF">2019-12-11T05:37:27Z</dcterms:modified>
</cp:coreProperties>
</file>