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5">
            <w:col w:w="2580" w:space="580"/>
            <w:col w:w="120" w:space="560"/>
            <w:col w:w="2000" w:space="680"/>
            <w:col w:w="140" w:space="38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2"/>
        </w:trPr>
        <w:tc>
          <w:tcPr>
            <w:tcW w:w="352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111125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10, 2026, Grand Canyon Education, Inc. (the “Company”) held its 2026 Annual Meeting of Stockholders (the “Annual Meeting”). The total number of shares of the Company’s common stock, par value of $0.01 per share, that voted in person or by proxy at the Annual Meeting was 24,212,405, representing approximately 91.03% of the 26,596,943 shares that were outstanding and entitled to vote as of April 16, 2026, the record date for the Annual Meeting. The following matters, which were described in the Company’s definitive Proxy Statement filed with the Securities and Exchange Commission on April 23, 2026, were voted upon at the Annual Meeting, and the number of votes cast for and against, as well as abstentions and broker non-votes, if applicable, with respect to each such matter is set forth below.</w:t>
      </w:r>
    </w:p>
    <w:p>
      <w:pPr>
        <w:spacing w:after="0" w:line="189" w:lineRule="exact"/>
        <w:rPr>
          <w:sz w:val="20"/>
          <w:szCs w:val="20"/>
          <w:color w:val="auto"/>
        </w:rPr>
      </w:pPr>
    </w:p>
    <w:p>
      <w:pPr>
        <w:jc w:val="both"/>
        <w:ind w:left="68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nominees listed below as directors of the Company, each to serve until the Company’s 2027 annual meeting of stockholders or until his or her respective successor is elected and qualified or until his or her earlier resignation or removal.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For</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Broker Non Votes</w:t>
            </w:r>
          </w:p>
        </w:tc>
      </w:tr>
      <w:tr>
        <w:trPr>
          <w:trHeight w:val="210"/>
        </w:trPr>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22,792,914</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553,176</w:t>
            </w: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860,011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Sara Ward</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22,220,488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1,125,608</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860,011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22,101,546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1,244,558</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860,011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Lisa Graham Keegan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21,930,571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1,415,522</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860,011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Chevy Humphrey</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22,641,354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701,731</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860,011</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Kevin F. Warren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22,824,734</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518,371</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860,011</w:t>
            </w:r>
          </w:p>
        </w:tc>
      </w:tr>
    </w:tbl>
    <w:p>
      <w:pPr>
        <w:spacing w:after="0" w:line="179"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The stockholders approved the adoption of the 2026 Equity Incentive Plan.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For</w:t>
            </w:r>
          </w:p>
        </w:tc>
        <w:tc>
          <w:tcPr>
            <w:tcW w:w="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10"/>
        </w:trPr>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22,777,063</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563,227</w:t>
            </w:r>
          </w:p>
        </w:tc>
        <w:tc>
          <w:tcPr>
            <w:tcW w:w="3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860,011</w:t>
            </w:r>
          </w:p>
        </w:tc>
      </w:tr>
    </w:tbl>
    <w:p>
      <w:pPr>
        <w:spacing w:after="0" w:line="198"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stockholders approved, on an advisory basis, the compensation of the Company’s named executive officers.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For</w:t>
            </w:r>
          </w:p>
        </w:tc>
        <w:tc>
          <w:tcPr>
            <w:tcW w:w="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09"/>
        </w:trPr>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22,695,415</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638,918</w:t>
            </w:r>
          </w:p>
        </w:tc>
        <w:tc>
          <w:tcPr>
            <w:tcW w:w="3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860,011</w:t>
            </w:r>
          </w:p>
        </w:tc>
      </w:tr>
    </w:tbl>
    <w:p>
      <w:pPr>
        <w:spacing w:after="0" w:line="198"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December 31,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For</w:t>
            </w:r>
          </w:p>
        </w:tc>
        <w:tc>
          <w:tcPr>
            <w:tcW w:w="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23,931,354</w:t>
            </w: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275,595</w:t>
            </w:r>
          </w:p>
        </w:tc>
        <w:tc>
          <w:tcPr>
            <w:tcW w:w="300" w:type="dxa"/>
            <w:vAlign w:val="bottom"/>
            <w:shd w:val="clear" w:color="auto" w:fill="CCEEFF"/>
          </w:tcPr>
          <w:p>
            <w:pPr>
              <w:spacing w:after="0"/>
              <w:rPr>
                <w:sz w:val="18"/>
                <w:szCs w:val="18"/>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bl>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r>
        <w:rPr>
          <w:rFonts w:ascii="Times New Roman" w:cs="Times New Roman" w:eastAsia="Times New Roman" w:hAnsi="Times New Roman"/>
          <w:sz w:val="17"/>
          <w:szCs w:val="17"/>
          <w:b w:val="1"/>
          <w:bCs w:val="1"/>
          <w:color w:val="auto"/>
        </w:rPr>
        <w:t>.</w:t>
      </w:r>
    </w:p>
    <w:p>
      <w:pPr>
        <w:spacing w:after="0" w:line="2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2026 Equity Incentive Plan</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Restricted Stock Agreement for 2026 Equity Incentive Plan</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897255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178"/>
        </w:trPr>
        <w:tc>
          <w:tcPr>
            <w:tcW w:w="3440" w:type="dxa"/>
            <w:vAlign w:val="bottom"/>
          </w:tcPr>
          <w:p>
            <w:pPr>
              <w:spacing w:after="0"/>
              <w:rPr>
                <w:sz w:val="15"/>
                <w:szCs w:val="15"/>
                <w:color w:val="auto"/>
              </w:rPr>
            </w:pPr>
          </w:p>
        </w:tc>
        <w:tc>
          <w:tcPr>
            <w:tcW w:w="2260" w:type="dxa"/>
            <w:vAlign w:val="bottom"/>
          </w:tcPr>
          <w:p>
            <w:pPr>
              <w:ind w:left="1800"/>
              <w:spacing w:after="0" w:line="177" w:lineRule="exact"/>
              <w:rPr>
                <w:sz w:val="20"/>
                <w:szCs w:val="20"/>
                <w:color w:val="auto"/>
              </w:rPr>
            </w:pPr>
            <w:r>
              <w:rPr>
                <w:rFonts w:ascii="Times New Roman" w:cs="Times New Roman" w:eastAsia="Times New Roman" w:hAnsi="Times New Roman"/>
                <w:sz w:val="18"/>
                <w:szCs w:val="18"/>
                <w:color w:val="auto"/>
                <w:w w:val="91"/>
              </w:rPr>
              <w:t>Daniel</w:t>
            </w:r>
          </w:p>
        </w:tc>
        <w:tc>
          <w:tcPr>
            <w:tcW w:w="422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 Bachus</w:t>
            </w:r>
          </w:p>
        </w:tc>
      </w:tr>
      <w:tr>
        <w:trPr>
          <w:trHeight w:val="216"/>
        </w:trPr>
        <w:tc>
          <w:tcPr>
            <w:tcW w:w="3440" w:type="dxa"/>
            <w:vAlign w:val="bottom"/>
          </w:tcPr>
          <w:p>
            <w:pPr>
              <w:spacing w:after="0"/>
              <w:rPr>
                <w:sz w:val="18"/>
                <w:szCs w:val="18"/>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06"/>
        </w:trPr>
        <w:tc>
          <w:tcPr>
            <w:tcW w:w="3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32"/>
          <w:szCs w:val="32"/>
          <w:b w:val="1"/>
          <w:bCs w:val="1"/>
          <w:color w:val="auto"/>
        </w:rPr>
        <w:t>GRAND CANYON EDUCATION, INC.</w:t>
      </w:r>
    </w:p>
    <w:p>
      <w:pPr>
        <w:spacing w:after="0" w:line="2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32"/>
          <w:szCs w:val="32"/>
          <w:b w:val="1"/>
          <w:bCs w:val="1"/>
          <w:color w:val="auto"/>
        </w:rPr>
        <w:t>2026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919480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70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70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(continued)</w:t>
            </w:r>
          </w:p>
        </w:tc>
        <w:tc>
          <w:tcPr>
            <w:tcW w:w="2240" w:type="dxa"/>
            <w:vAlign w:val="bottom"/>
          </w:tcPr>
          <w:p>
            <w:pPr>
              <w:spacing w:after="0"/>
              <w:rPr>
                <w:sz w:val="20"/>
                <w:szCs w:val="20"/>
                <w:color w:val="auto"/>
              </w:rPr>
            </w:pPr>
          </w:p>
        </w:tc>
      </w:tr>
      <w:tr>
        <w:trPr>
          <w:trHeight w:val="445"/>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40"/>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Establishment, Purpose and Term of Plan.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Establishment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Purpose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of Plan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Definitions and Construction.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3.</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Administration by the Committee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of Officers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Administration with Respect to Insiders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Powers of the Committee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 or SAR Repricing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 Rights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4.</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Subject to Plan.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Maximum Number of Shares Issuable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 for Unissued or Forfeited Predecessor Plan Shares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Counting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for Changes in Capital Structure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Assumption or Substitution of Awards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5.</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Eligibility, Participation and Award Limitations.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Persons Eligible for Awards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Participation in the Plan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Incentive Stock Option Limitations.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5.4</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Nonemployee Director Award Limit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Minimum Vesting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6.</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Price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6.2</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Exercisability and Term of Options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6.3</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Exercise Price.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6.4</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6.5</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Transferability of Options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7.</w:t>
            </w:r>
          </w:p>
        </w:tc>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Types of SARs Authorized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Price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7.3</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Exercisability and Term of SARs.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SARs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Deemed Exercise of SARs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7.6</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3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7.7</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Transferability of SARs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Types of Restricted Stock Awards Authorized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Price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and Restrictions on Transfer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8.6</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Rights; Dividends and Distributions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Nontransferability of Restricted Stock Award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of Restricted Stock Unit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Price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9.6</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Restricted Stock Unit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Nontransferability of Restricted Stock Unit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Types of Performance Awards Authorized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Value of Performance Shares and Performance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Establishment of Performance Period, Performance Goals and Performance Award Formula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Measurement of Performance Goals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Performance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Nontransferability of Performance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Cash-Based Awards and Other Stock-Based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of Cash-Based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of Other Stock-Based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of Cash-Based and Other Stock-Based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or Settlement of Cash-Based Awards and Other Stock-Based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11.6</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11.7</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Nontransferability of Cash-Based Awards and Other Stock-Based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Standard Forms of Award Agreement.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 to Vary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Control.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Change in Control on Nonemployee Director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Change in Control on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38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Excise Tax Under Section 4999 of the Code.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Compliance with Securities Law.</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15.</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Compliance with Section 409A.</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15.1</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Subject to Section 409A</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15.2</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Deferral and/or Distribution Elections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15.3</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Subsequent Elections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15.4</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Section 409A Deferred Compensation</w:t>
            </w:r>
            <w:r>
              <w:rPr>
                <w:rFonts w:ascii="Times New Roman" w:cs="Times New Roman" w:eastAsia="Times New Roman" w:hAnsi="Times New Roman"/>
                <w:sz w:val="18"/>
                <w:szCs w:val="18"/>
                <w:i w:val="1"/>
                <w:iCs w:val="1"/>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16.</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Withholding.</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16.1</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Withholding in General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16.2</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 in or Directed Sale of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17.</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Amendment, Suspension or Termination of Plan.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18.</w:t>
            </w: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18.1</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18.2</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Forfeiture Events.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18.3</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of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18.4</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as Employee, Consultant or Director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18.5</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as a Stockholder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18.6</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of Title to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18.7</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Fractional Shares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18.8</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Retirement and Welfare Plans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18.9</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Beneficiary Designation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18.10</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18.11</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Constraint on Corporate Action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18.12</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Unfunded Obligation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38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18.13</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Choice of Law</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9"/>
          <w:szCs w:val="29"/>
          <w:b w:val="1"/>
          <w:bCs w:val="1"/>
          <w:color w:val="auto"/>
        </w:rPr>
        <w:t>Grand Canyon Education,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Equity Incentive Plan</w:t>
      </w:r>
    </w:p>
    <w:p>
      <w:pPr>
        <w:spacing w:after="0" w:line="200" w:lineRule="exact"/>
        <w:rPr>
          <w:sz w:val="20"/>
          <w:szCs w:val="20"/>
          <w:color w:val="auto"/>
        </w:rPr>
      </w:pPr>
    </w:p>
    <w:p>
      <w:pPr>
        <w:spacing w:after="0" w:line="21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ESTABLISHMENT, PURPOSE AND TERM OF PLAN.</w:t>
      </w:r>
    </w:p>
    <w:p>
      <w:pPr>
        <w:spacing w:after="0" w:line="225" w:lineRule="exact"/>
        <w:rPr>
          <w:sz w:val="20"/>
          <w:szCs w:val="20"/>
          <w:color w:val="auto"/>
        </w:rPr>
      </w:pPr>
    </w:p>
    <w:p>
      <w:pPr>
        <w:ind w:right="5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Establishment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Grand Canyon Education, Inc. 2026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hereby established effective as of June 10, 2026, the date of its approval by the stockholders of the Company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8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79" w:lineRule="exact"/>
        <w:rPr>
          <w:sz w:val="20"/>
          <w:szCs w:val="20"/>
          <w:color w:val="auto"/>
        </w:rPr>
      </w:pPr>
    </w:p>
    <w:p>
      <w:pPr>
        <w:ind w:right="2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xml:space="preserve"> The Plan shall continue in effect until its termination by the Committee; provided, however, that all Awards shall be granted, if at all, within ten (10) years from the Effective Date.</w:t>
      </w:r>
    </w:p>
    <w:p>
      <w:pPr>
        <w:spacing w:after="0" w:line="155" w:lineRule="exact"/>
        <w:rPr>
          <w:sz w:val="20"/>
          <w:szCs w:val="20"/>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AND CONSTRUCTION.</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Whenever used herein, the following terms shall have their respective meanings set forth below:</w:t>
      </w:r>
    </w:p>
    <w:p>
      <w:pPr>
        <w:spacing w:after="0" w:line="225" w:lineRule="exact"/>
        <w:rPr>
          <w:rFonts w:ascii="Times New Roman" w:cs="Times New Roman" w:eastAsia="Times New Roman" w:hAnsi="Times New Roman"/>
          <w:sz w:val="18"/>
          <w:szCs w:val="18"/>
          <w:color w:val="auto"/>
        </w:rPr>
      </w:pPr>
    </w:p>
    <w:p>
      <w:pPr>
        <w:ind w:right="140" w:firstLine="1952"/>
        <w:spacing w:after="0" w:line="259" w:lineRule="auto"/>
        <w:tabs>
          <w:tab w:leader="none" w:pos="259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 parent entity, other than a Parent Corporation, that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such terms for the purposes of registration of securities on Form S-8 under the Securities Act.</w:t>
      </w:r>
    </w:p>
    <w:p>
      <w:pPr>
        <w:spacing w:after="0" w:line="179" w:lineRule="exact"/>
        <w:rPr>
          <w:rFonts w:ascii="Times New Roman" w:cs="Times New Roman" w:eastAsia="Times New Roman" w:hAnsi="Times New Roman"/>
          <w:sz w:val="18"/>
          <w:szCs w:val="18"/>
          <w:color w:val="auto"/>
        </w:rPr>
      </w:pPr>
    </w:p>
    <w:p>
      <w:pPr>
        <w:ind w:right="120" w:firstLine="1952"/>
        <w:spacing w:after="0" w:line="268" w:lineRule="auto"/>
        <w:tabs>
          <w:tab w:leader="none" w:pos="259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Option, Stock Appreciation Right, Restricted Stock Purchase Right,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Bonus, Restricted Stock Unit, Performance Share, Performance Unit, Cash-Based Award or Other Stock-Based Award granted under the Plan.</w:t>
      </w:r>
    </w:p>
    <w:p>
      <w:pPr>
        <w:spacing w:after="0" w:line="170" w:lineRule="exact"/>
        <w:rPr>
          <w:rFonts w:ascii="Times New Roman" w:cs="Times New Roman" w:eastAsia="Times New Roman" w:hAnsi="Times New Roman"/>
          <w:sz w:val="18"/>
          <w:szCs w:val="18"/>
          <w:color w:val="auto"/>
        </w:rPr>
      </w:pPr>
    </w:p>
    <w:p>
      <w:pPr>
        <w:ind w:right="780" w:firstLine="1952"/>
        <w:spacing w:after="0" w:line="286" w:lineRule="auto"/>
        <w:tabs>
          <w:tab w:leader="none" w:pos="259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setting forth the terms, conditions and restrictions applicable to an Award.</w:t>
      </w:r>
    </w:p>
    <w:p>
      <w:pPr>
        <w:spacing w:after="0" w:line="15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denominated in cash and granted pursuant to Section 11.</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Cashless Exercise as defined in Section 6.3(b)(i).</w:t>
      </w:r>
    </w:p>
    <w:p>
      <w:pPr>
        <w:spacing w:after="0" w:line="225" w:lineRule="exact"/>
        <w:rPr>
          <w:rFonts w:ascii="Times New Roman" w:cs="Times New Roman" w:eastAsia="Times New Roman" w:hAnsi="Times New Roman"/>
          <w:sz w:val="18"/>
          <w:szCs w:val="18"/>
          <w:i w:val="1"/>
          <w:iCs w:val="1"/>
          <w:color w:val="auto"/>
        </w:rPr>
      </w:pPr>
    </w:p>
    <w:p>
      <w:pPr>
        <w:ind w:firstLine="1952"/>
        <w:spacing w:after="0" w:line="278" w:lineRule="auto"/>
        <w:tabs>
          <w:tab w:leader="none" w:pos="2592"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unless such term or an equivalent term is otherwise defined by the applicable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other written agreement between a Participant and a Participating Company applicable to an Award, any of the following:</w:t>
      </w:r>
    </w:p>
    <w:p>
      <w:pPr>
        <w:spacing w:after="0" w:line="1" w:lineRule="exact"/>
        <w:rPr>
          <w:rFonts w:ascii="Times New Roman" w:cs="Times New Roman" w:eastAsia="Times New Roman" w:hAnsi="Times New Roman"/>
          <w:sz w:val="17"/>
          <w:szCs w:val="17"/>
          <w:color w:val="auto"/>
        </w:rPr>
      </w:pPr>
    </w:p>
    <w:p>
      <w:pPr>
        <w:ind w:firstLine="8"/>
        <w:spacing w:after="0" w:line="253"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57" w:right="999" w:bottom="1440" w:gutter="0" w:footer="0" w:header="0"/>
        </w:sectPr>
      </w:pPr>
    </w:p>
    <w:bookmarkStart w:id="8" w:name="page9"/>
    <w:bookmarkEnd w:id="8"/>
    <w:p>
      <w:pPr>
        <w:ind w:right="100"/>
        <w:spacing w:after="0" w:line="273" w:lineRule="auto"/>
        <w:rPr>
          <w:sz w:val="20"/>
          <w:szCs w:val="20"/>
          <w:color w:val="auto"/>
        </w:rPr>
      </w:pPr>
      <w:r>
        <w:rPr>
          <w:rFonts w:ascii="Times New Roman" w:cs="Times New Roman" w:eastAsia="Times New Roman" w:hAnsi="Times New Roman"/>
          <w:sz w:val="17"/>
          <w:szCs w:val="17"/>
          <w:color w:val="auto"/>
        </w:rPr>
        <w:t xml:space="preserve">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of any criminal act involving fraud, dishonesty, misappropriation or moral turpitude, or which impairs the Participant’s ability to perform his or her duties with a Participating Company.</w:t>
      </w:r>
    </w:p>
    <w:p>
      <w:pPr>
        <w:spacing w:after="0" w:line="167" w:lineRule="exact"/>
        <w:rPr>
          <w:sz w:val="20"/>
          <w:szCs w:val="20"/>
          <w:color w:val="auto"/>
        </w:rPr>
      </w:pPr>
    </w:p>
    <w:p>
      <w:pPr>
        <w:ind w:left="2600" w:hanging="648"/>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occurrence of any one or a combination of the following:</w:t>
      </w:r>
    </w:p>
    <w:p>
      <w:pPr>
        <w:spacing w:after="0" w:line="229" w:lineRule="exact"/>
        <w:rPr>
          <w:rFonts w:ascii="Times New Roman" w:cs="Times New Roman" w:eastAsia="Times New Roman" w:hAnsi="Times New Roman"/>
          <w:sz w:val="18"/>
          <w:szCs w:val="18"/>
          <w:color w:val="auto"/>
        </w:rPr>
      </w:pPr>
    </w:p>
    <w:p>
      <w:pPr>
        <w:ind w:firstLine="2600"/>
        <w:spacing w:after="0" w:line="253" w:lineRule="auto"/>
        <w:tabs>
          <w:tab w:leader="none" w:pos="3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94" w:lineRule="exact"/>
        <w:rPr>
          <w:rFonts w:ascii="Times New Roman" w:cs="Times New Roman" w:eastAsia="Times New Roman" w:hAnsi="Times New Roman"/>
          <w:sz w:val="18"/>
          <w:szCs w:val="18"/>
          <w:color w:val="auto"/>
        </w:rPr>
      </w:pPr>
    </w:p>
    <w:p>
      <w:pPr>
        <w:ind w:right="160" w:firstLine="2600"/>
        <w:spacing w:after="0" w:line="258" w:lineRule="auto"/>
        <w:tabs>
          <w:tab w:leader="none" w:pos="3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Ownership Change Event or series of related Ownership Change Events (collectively,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in which the stockholders of the Company immediately before the Transaction do not retain immediately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the case may be; or</w:t>
      </w:r>
    </w:p>
    <w:p>
      <w:pPr>
        <w:spacing w:after="0" w:line="183" w:lineRule="exact"/>
        <w:rPr>
          <w:rFonts w:ascii="Times New Roman" w:cs="Times New Roman" w:eastAsia="Times New Roman" w:hAnsi="Times New Roman"/>
          <w:sz w:val="18"/>
          <w:szCs w:val="18"/>
          <w:color w:val="auto"/>
        </w:rPr>
      </w:pPr>
    </w:p>
    <w:p>
      <w:pPr>
        <w:ind w:right="480" w:firstLine="2600"/>
        <w:spacing w:after="0" w:line="282" w:lineRule="auto"/>
        <w:tabs>
          <w:tab w:leader="none" w:pos="3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date specified by the Committee following approval by the stockholders of a plan of complete liquidation or dissolution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179" w:lineRule="exact"/>
        <w:rPr>
          <w:sz w:val="20"/>
          <w:szCs w:val="20"/>
          <w:color w:val="auto"/>
        </w:rPr>
      </w:pPr>
    </w:p>
    <w:p>
      <w:pPr>
        <w:ind w:right="140" w:firstLine="1952"/>
        <w:spacing w:after="0" w:line="286" w:lineRule="auto"/>
        <w:tabs>
          <w:tab w:leader="none" w:pos="25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guidelines promulgated thereunder.</w:t>
      </w:r>
    </w:p>
    <w:p>
      <w:pPr>
        <w:spacing w:after="0" w:line="154" w:lineRule="exact"/>
        <w:rPr>
          <w:rFonts w:ascii="Times New Roman" w:cs="Times New Roman" w:eastAsia="Times New Roman" w:hAnsi="Times New Roman"/>
          <w:sz w:val="18"/>
          <w:szCs w:val="18"/>
          <w:color w:val="auto"/>
        </w:rPr>
      </w:pPr>
    </w:p>
    <w:p>
      <w:pPr>
        <w:ind w:firstLine="1952"/>
        <w:spacing w:after="0" w:line="262" w:lineRule="auto"/>
        <w:tabs>
          <w:tab w:leader="none" w:pos="25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Compensation Committee and such other committee or subcommittee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7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Grand Canyon Education, Inc., a Delaware corporation, and any successor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 w:name="page10"/>
    <w:bookmarkEnd w:id="9"/>
    <w:p>
      <w:pPr>
        <w:ind w:left="-20" w:right="40" w:firstLine="1952"/>
        <w:spacing w:after="0" w:line="262" w:lineRule="auto"/>
        <w:tabs>
          <w:tab w:leader="none" w:pos="2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engaged to provide consulting or advisory services (other than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76" w:lineRule="exact"/>
        <w:rPr>
          <w:rFonts w:ascii="Times New Roman" w:cs="Times New Roman" w:eastAsia="Times New Roman" w:hAnsi="Times New Roman"/>
          <w:sz w:val="18"/>
          <w:szCs w:val="18"/>
          <w:color w:val="auto"/>
        </w:rPr>
      </w:pPr>
    </w:p>
    <w:p>
      <w:pPr>
        <w:ind w:left="2580" w:hanging="648"/>
        <w:spacing w:after="0"/>
        <w:tabs>
          <w:tab w:leader="none" w:pos="2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w:t>
      </w:r>
    </w:p>
    <w:p>
      <w:pPr>
        <w:spacing w:after="0" w:line="225" w:lineRule="exact"/>
        <w:rPr>
          <w:rFonts w:ascii="Times New Roman" w:cs="Times New Roman" w:eastAsia="Times New Roman" w:hAnsi="Times New Roman"/>
          <w:sz w:val="18"/>
          <w:szCs w:val="18"/>
          <w:color w:val="auto"/>
        </w:rPr>
      </w:pPr>
    </w:p>
    <w:p>
      <w:pPr>
        <w:ind w:left="-20" w:right="240" w:firstLine="1952"/>
        <w:spacing w:after="0" w:line="268" w:lineRule="auto"/>
        <w:tabs>
          <w:tab w:leader="none" w:pos="2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unless such term or an equivalent term is otherwise defined by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or other written agreement between the Participant and a Participating Company applicable to an Award, the permanent and total disability of the Participant, within the meaning of Section 22(e)(3) of the Code.</w:t>
      </w:r>
    </w:p>
    <w:p>
      <w:pPr>
        <w:spacing w:after="0" w:line="170" w:lineRule="exact"/>
        <w:rPr>
          <w:rFonts w:ascii="Times New Roman" w:cs="Times New Roman" w:eastAsia="Times New Roman" w:hAnsi="Times New Roman"/>
          <w:sz w:val="18"/>
          <w:szCs w:val="18"/>
          <w:color w:val="auto"/>
        </w:rPr>
      </w:pPr>
    </w:p>
    <w:p>
      <w:pPr>
        <w:ind w:left="-20" w:right="300" w:firstLine="1952"/>
        <w:spacing w:after="0" w:line="268" w:lineRule="auto"/>
        <w:tabs>
          <w:tab w:leader="none" w:pos="2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right of a Participant, granted at the discretion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170" w:lineRule="exact"/>
        <w:rPr>
          <w:rFonts w:ascii="Times New Roman" w:cs="Times New Roman" w:eastAsia="Times New Roman" w:hAnsi="Times New Roman"/>
          <w:sz w:val="18"/>
          <w:szCs w:val="18"/>
          <w:color w:val="auto"/>
        </w:rPr>
      </w:pPr>
    </w:p>
    <w:p>
      <w:pPr>
        <w:ind w:left="-20" w:right="40" w:firstLine="1952"/>
        <w:spacing w:after="0" w:line="254" w:lineRule="auto"/>
        <w:tabs>
          <w:tab w:leader="none" w:pos="2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treated as an employee (including an Officer or a Director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88" w:lineRule="exact"/>
        <w:rPr>
          <w:rFonts w:ascii="Times New Roman" w:cs="Times New Roman" w:eastAsia="Times New Roman" w:hAnsi="Times New Roman"/>
          <w:sz w:val="18"/>
          <w:szCs w:val="18"/>
          <w:color w:val="auto"/>
        </w:rPr>
      </w:pPr>
    </w:p>
    <w:p>
      <w:pPr>
        <w:ind w:left="2580" w:hanging="648"/>
        <w:spacing w:after="0"/>
        <w:tabs>
          <w:tab w:leader="none" w:pos="2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20" w:right="240" w:firstLine="1952"/>
        <w:spacing w:after="0" w:line="268" w:lineRule="auto"/>
        <w:tabs>
          <w:tab w:leader="none" w:pos="2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as of any date, the value of a share of Stock or other property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Committee, in its discretion, or by the Company, in its discretion, if such determination is expressly allocated to the Company herein, subject to the following:</w:t>
      </w:r>
    </w:p>
    <w:p>
      <w:pPr>
        <w:spacing w:after="0" w:line="174" w:lineRule="exact"/>
        <w:rPr>
          <w:rFonts w:ascii="Times New Roman" w:cs="Times New Roman" w:eastAsia="Times New Roman" w:hAnsi="Times New Roman"/>
          <w:sz w:val="18"/>
          <w:szCs w:val="18"/>
          <w:color w:val="auto"/>
        </w:rPr>
      </w:pPr>
    </w:p>
    <w:p>
      <w:pPr>
        <w:ind w:left="-20" w:right="140" w:firstLine="2600"/>
        <w:spacing w:after="0" w:line="255" w:lineRule="auto"/>
        <w:tabs>
          <w:tab w:leader="none" w:pos="3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88" w:lineRule="exact"/>
        <w:rPr>
          <w:rFonts w:ascii="Times New Roman" w:cs="Times New Roman" w:eastAsia="Times New Roman" w:hAnsi="Times New Roman"/>
          <w:sz w:val="18"/>
          <w:szCs w:val="18"/>
          <w:color w:val="auto"/>
        </w:rPr>
      </w:pPr>
    </w:p>
    <w:p>
      <w:pPr>
        <w:ind w:left="-20" w:firstLine="2600"/>
        <w:spacing w:after="0" w:line="254" w:lineRule="auto"/>
        <w:tabs>
          <w:tab w:leader="none" w:pos="3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00" w:top="87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provided in this Section for different purposes under the Plan to the extent consistent with the requirements of Section 409A.</w:t>
      </w:r>
    </w:p>
    <w:p>
      <w:pPr>
        <w:spacing w:after="0" w:line="225" w:lineRule="exact"/>
        <w:rPr>
          <w:sz w:val="20"/>
          <w:szCs w:val="20"/>
          <w:color w:val="auto"/>
        </w:rPr>
      </w:pPr>
    </w:p>
    <w:p>
      <w:pPr>
        <w:ind w:right="60" w:firstLine="2600"/>
        <w:spacing w:after="0" w:line="261" w:lineRule="auto"/>
        <w:tabs>
          <w:tab w:leader="none" w:pos="3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175" w:lineRule="exact"/>
        <w:rPr>
          <w:rFonts w:ascii="Times New Roman" w:cs="Times New Roman" w:eastAsia="Times New Roman" w:hAnsi="Times New Roman"/>
          <w:sz w:val="18"/>
          <w:szCs w:val="18"/>
          <w:color w:val="auto"/>
        </w:rPr>
      </w:pPr>
    </w:p>
    <w:p>
      <w:pPr>
        <w:ind w:right="260" w:firstLine="1952"/>
        <w:spacing w:after="0" w:line="291" w:lineRule="auto"/>
        <w:tabs>
          <w:tab w:leader="none" w:pos="259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Full Value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any Award settled in Stock, other than (i) an Option, (ii) a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52" w:lineRule="exact"/>
        <w:rPr>
          <w:rFonts w:ascii="Times New Roman" w:cs="Times New Roman" w:eastAsia="Times New Roman" w:hAnsi="Times New Roman"/>
          <w:sz w:val="17"/>
          <w:szCs w:val="17"/>
          <w:color w:val="auto"/>
        </w:rPr>
      </w:pPr>
    </w:p>
    <w:p>
      <w:pPr>
        <w:ind w:firstLine="1952"/>
        <w:spacing w:after="0" w:line="253" w:lineRule="auto"/>
        <w:tabs>
          <w:tab w:leader="none" w:pos="25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unless such term or an equivalent term is otherwise defined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Agreement or other written agreement between a Participant and a Participating Company applicable to an Award, any of the following with respect to a particular Participant without the Participant’s informed written consent: (i) a material diminution of the Participant’s authority, duties or responsibilities causing the Participant’s authority, duties or responsibilities to be of materially lesser rank within the Company or an equivalent business unit of its parent, as measured against the Participant’s authority, duties and responsibilities immediately prior to such diminution (provided, however, that any such reduction will not constitute “Good Reason” in the context of a Change in Control if the Participant is asked to assume substantially similar duties and responsibilities in a larger entity after such Change in Control and such reduction will not be deemed to have occurred solely because of a change in title); (ii) a material reduction by the Company of the Participant’s base salary or annual bonus opportunity, other than any such material reduction that occurs in connection with a reduction that is imposed on all Participants at the time of such reduction; (iii) the relocation of the Participant’s work place for the Company to a location that increases the Participant’s regular one-way commute distance between the Participant’s residence and work place by more than thirty-five (35) miles. The existence of Good Reason shall not be affected by the Participant’s temporary incapacity due to physical or mental illness not constituting a Disability. The Participant’s continued employment for a period not exceeding six (6) months following the initial occurrence of any condition constituting Good Reason shall not constitute consent to, or a waiver of rights with respect to, such condition.</w:t>
      </w:r>
    </w:p>
    <w:p>
      <w:pPr>
        <w:spacing w:after="0" w:line="183" w:lineRule="exact"/>
        <w:rPr>
          <w:rFonts w:ascii="Times New Roman" w:cs="Times New Roman" w:eastAsia="Times New Roman" w:hAnsi="Times New Roman"/>
          <w:sz w:val="18"/>
          <w:szCs w:val="18"/>
          <w:color w:val="auto"/>
        </w:rPr>
      </w:pPr>
    </w:p>
    <w:p>
      <w:pPr>
        <w:ind w:right="20" w:firstLine="1952"/>
        <w:spacing w:after="0" w:line="286" w:lineRule="auto"/>
        <w:tabs>
          <w:tab w:leader="none" w:pos="25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Award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qualifies as an incentive stock option within the meaning of Section 422(b) of the Code.</w:t>
      </w:r>
    </w:p>
    <w:p>
      <w:pPr>
        <w:spacing w:after="0" w:line="154" w:lineRule="exact"/>
        <w:rPr>
          <w:rFonts w:ascii="Times New Roman" w:cs="Times New Roman" w:eastAsia="Times New Roman" w:hAnsi="Times New Roman"/>
          <w:sz w:val="18"/>
          <w:szCs w:val="18"/>
          <w:color w:val="auto"/>
        </w:rPr>
      </w:pPr>
    </w:p>
    <w:p>
      <w:pPr>
        <w:ind w:right="100" w:firstLine="1952"/>
        <w:spacing w:after="0" w:line="262" w:lineRule="auto"/>
        <w:tabs>
          <w:tab w:leader="none" w:pos="25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Incumbent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director who either (i) is a member of the Board as of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7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a Director or other person whose transactions in Stock are subject to</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 the Exchange Act.</w:t>
      </w:r>
    </w:p>
    <w:p>
      <w:pPr>
        <w:spacing w:after="0" w:line="202" w:lineRule="exact"/>
        <w:rPr>
          <w:rFonts w:ascii="Times New Roman" w:cs="Times New Roman" w:eastAsia="Times New Roman" w:hAnsi="Times New Roman"/>
          <w:sz w:val="18"/>
          <w:szCs w:val="18"/>
          <w:color w:val="auto"/>
        </w:rPr>
      </w:pPr>
    </w:p>
    <w:p>
      <w:pPr>
        <w:ind w:right="100" w:firstLine="1952"/>
        <w:spacing w:after="0" w:line="268" w:lineRule="auto"/>
        <w:tabs>
          <w:tab w:leader="none" w:pos="25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Involuntary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as to a particular Participant, the occurrence of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upon or within a period of time established by the Committee (not exceeding twenty-four (24) months) following a Change in Control: (i) the Participant’s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Service is terminated without Cause or (ii) the Participant terminates his or her Service for Good Reason; provided the Participant has given the Company written notice of the existence of a condition constituting Good Reason within sixty (60) days following the initial occurrence of such condition, the Company fails to remedy such condition within thirty (30) days following such written notice, and the Participant’s resignation from Service is effective no later than six (6) months following the initial occurrence of such condition. Involuntary Termination shall not include any termination of the Participant’s Service which is (i) for Cause, (ii) a result of the Participant’s death or Disability, or (iii) a result of the Participant’s voluntary termination of Service other than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 w:name="page12"/>
    <w:bookmarkEnd w:id="11"/>
    <w:p>
      <w:pPr>
        <w:ind w:left="2600" w:hanging="648"/>
        <w:spacing w:after="0"/>
        <w:tabs>
          <w:tab w:leader="none" w:pos="2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Net Exercise as defined in Section 6.3(b)(iii).</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Director who is not an Employee.</w:t>
      </w:r>
    </w:p>
    <w:p>
      <w:pPr>
        <w:spacing w:after="0" w:line="225" w:lineRule="exact"/>
        <w:rPr>
          <w:sz w:val="20"/>
          <w:szCs w:val="20"/>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Award granted to a Nonemployee Director.</w:t>
      </w:r>
    </w:p>
    <w:p>
      <w:pPr>
        <w:spacing w:after="0" w:line="225" w:lineRule="exact"/>
        <w:rPr>
          <w:rFonts w:ascii="Times New Roman" w:cs="Times New Roman" w:eastAsia="Times New Roman" w:hAnsi="Times New Roman"/>
          <w:sz w:val="18"/>
          <w:szCs w:val="18"/>
          <w:color w:val="auto"/>
        </w:rPr>
      </w:pPr>
    </w:p>
    <w:p>
      <w:pPr>
        <w:ind w:right="660" w:firstLine="1952"/>
        <w:spacing w:after="0" w:line="286" w:lineRule="auto"/>
        <w:tabs>
          <w:tab w:leader="none" w:pos="25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which does not qualify as an incentive stock option within the meaning of Section 422(b) of the Code.</w:t>
      </w:r>
    </w:p>
    <w:p>
      <w:pPr>
        <w:spacing w:after="0" w:line="15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designated by the Board as an officer of the Company.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Incentive Stock Option or a Nonstatutory Stock Option granted pursuant to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denominated in shares of Stock and granted pursuant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Section 11.</w:t>
      </w:r>
    </w:p>
    <w:p>
      <w:pPr>
        <w:spacing w:after="0" w:line="202" w:lineRule="exact"/>
        <w:rPr>
          <w:rFonts w:ascii="Times New Roman" w:cs="Times New Roman" w:eastAsia="Times New Roman" w:hAnsi="Times New Roman"/>
          <w:sz w:val="18"/>
          <w:szCs w:val="18"/>
          <w:color w:val="auto"/>
        </w:rPr>
      </w:pPr>
    </w:p>
    <w:p>
      <w:pPr>
        <w:ind w:firstLine="1952"/>
        <w:spacing w:after="0" w:line="257" w:lineRule="auto"/>
        <w:tabs>
          <w:tab w:leader="none" w:pos="25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occurrence of any of the following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8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present or future “parent corporation” of the Company, as defined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424(e) of the Code.</w:t>
      </w:r>
    </w:p>
    <w:p>
      <w:pPr>
        <w:spacing w:after="0" w:line="20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eligible person who has been granted one or more Awards.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Company or any Parent Corporation, Subsidiary Corporation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Affiliate.</w:t>
      </w:r>
    </w:p>
    <w:p>
      <w:pPr>
        <w:spacing w:after="0" w:line="202" w:lineRule="exact"/>
        <w:rPr>
          <w:rFonts w:ascii="Times New Roman" w:cs="Times New Roman" w:eastAsia="Times New Roman" w:hAnsi="Times New Roman"/>
          <w:sz w:val="18"/>
          <w:szCs w:val="18"/>
          <w:color w:val="auto"/>
        </w:rPr>
      </w:pPr>
    </w:p>
    <w:p>
      <w:pPr>
        <w:ind w:right="300" w:firstLine="1952"/>
        <w:spacing w:after="0" w:line="286" w:lineRule="auto"/>
        <w:tabs>
          <w:tab w:leader="none" w:pos="25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at any point in time, the Company and all other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which are then Participating Companies.</w:t>
      </w:r>
    </w:p>
    <w:p>
      <w:pPr>
        <w:spacing w:after="0" w:line="15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Performance Shares or Performance Units.</w:t>
      </w:r>
    </w:p>
    <w:p>
      <w:pPr>
        <w:spacing w:after="0" w:line="225" w:lineRule="exact"/>
        <w:rPr>
          <w:rFonts w:ascii="Times New Roman" w:cs="Times New Roman" w:eastAsia="Times New Roman" w:hAnsi="Times New Roman"/>
          <w:sz w:val="18"/>
          <w:szCs w:val="18"/>
          <w:color w:val="auto"/>
        </w:rPr>
      </w:pPr>
    </w:p>
    <w:p>
      <w:pPr>
        <w:ind w:right="100" w:firstLine="1952"/>
        <w:spacing w:after="0" w:line="268" w:lineRule="auto"/>
        <w:tabs>
          <w:tab w:leader="none" w:pos="25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Award Formula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for any Performance Award, a formula or table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70"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Goal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performance goal established by the Committee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10.3.</w:t>
      </w:r>
    </w:p>
    <w:p>
      <w:pPr>
        <w:spacing w:after="0" w:line="203" w:lineRule="exact"/>
        <w:rPr>
          <w:sz w:val="20"/>
          <w:szCs w:val="20"/>
          <w:color w:val="auto"/>
        </w:rPr>
      </w:pPr>
    </w:p>
    <w:p>
      <w:pPr>
        <w:ind w:right="40" w:firstLine="1952"/>
        <w:spacing w:after="0" w:line="286" w:lineRule="auto"/>
        <w:tabs>
          <w:tab w:leader="none" w:pos="25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period established by the Committee pursuant to Section 10.3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which one or more Performance Goals are to be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2" w:name="page13"/>
    <w:bookmarkEnd w:id="12"/>
    <w:p>
      <w:pPr>
        <w:ind w:right="160" w:firstLine="1952"/>
        <w:spacing w:after="0" w:line="268" w:lineRule="auto"/>
        <w:tabs>
          <w:tab w:leader="none" w:pos="2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to a Participant pursuant to Section 10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equal to the value of a Performance Share, as determined by the Committee, based upon attainment of applicable Performance Goal(s).</w:t>
      </w:r>
    </w:p>
    <w:p>
      <w:pPr>
        <w:spacing w:after="0" w:line="170" w:lineRule="exact"/>
        <w:rPr>
          <w:rFonts w:ascii="Times New Roman" w:cs="Times New Roman" w:eastAsia="Times New Roman" w:hAnsi="Times New Roman"/>
          <w:sz w:val="18"/>
          <w:szCs w:val="18"/>
          <w:color w:val="auto"/>
        </w:rPr>
      </w:pPr>
    </w:p>
    <w:p>
      <w:pPr>
        <w:ind w:right="240" w:firstLine="1952"/>
        <w:spacing w:after="0" w:line="268" w:lineRule="auto"/>
        <w:tabs>
          <w:tab w:leader="none" w:pos="2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to a Participant pursuant to Section 10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equal to the value of a Performance Unit, as determined by the Committee, based upon attainment of applicable Performance Goal(s).</w:t>
      </w:r>
    </w:p>
    <w:p>
      <w:pPr>
        <w:spacing w:after="0" w:line="170" w:lineRule="exact"/>
        <w:rPr>
          <w:rFonts w:ascii="Times New Roman" w:cs="Times New Roman" w:eastAsia="Times New Roman" w:hAnsi="Times New Roman"/>
          <w:sz w:val="18"/>
          <w:szCs w:val="18"/>
          <w:color w:val="auto"/>
        </w:rPr>
      </w:pPr>
    </w:p>
    <w:p>
      <w:pPr>
        <w:ind w:right="220" w:firstLine="1952"/>
        <w:spacing w:after="0" w:line="262" w:lineRule="auto"/>
        <w:tabs>
          <w:tab w:leader="none" w:pos="2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Performance-Vesting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granted to a Participant, the vesting or earning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conditioned in whole or in part upon the achievement of one or more performance goals (including, without limitation, Performance Goals established pursuant to Section 10.3), notwithstanding that the vesting or earning of such Award may also be conditioned upon the continued Service of the Participant.</w:t>
      </w:r>
    </w:p>
    <w:p>
      <w:pPr>
        <w:spacing w:after="0" w:line="17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Predecessor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Company’s 2017 Equity Incentive Plan.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a Restricted Stock Bonus or a Restricted Stock</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w:t>
      </w:r>
    </w:p>
    <w:p>
      <w:pPr>
        <w:spacing w:after="0" w:line="20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Stock granted to a Participant pursuant to Section 8.</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Restricted Stock Purchase Right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right to purchase Stock granted to a Participant pursuant</w:t>
      </w:r>
    </w:p>
    <w:p>
      <w:pPr>
        <w:spacing w:after="0" w:line="4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Section 8.</w:t>
      </w:r>
    </w:p>
    <w:p>
      <w:pPr>
        <w:spacing w:after="0" w:line="202" w:lineRule="exact"/>
        <w:rPr>
          <w:rFonts w:ascii="Times New Roman" w:cs="Times New Roman" w:eastAsia="Times New Roman" w:hAnsi="Times New Roman"/>
          <w:sz w:val="17"/>
          <w:szCs w:val="17"/>
          <w:color w:val="auto"/>
        </w:rPr>
      </w:pPr>
    </w:p>
    <w:p>
      <w:pPr>
        <w:ind w:right="140" w:firstLine="1952"/>
        <w:spacing w:after="0" w:line="286" w:lineRule="auto"/>
        <w:tabs>
          <w:tab w:leader="none" w:pos="2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to a Participant pursuant to Section 9 to receive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date or occurrence of a future event a share of Stock or cash in lieu thereof, as determined by the Committee.</w:t>
      </w:r>
    </w:p>
    <w:p>
      <w:pPr>
        <w:spacing w:after="0" w:line="15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Rule 16b-3 under the Exchange Act, as amended from time to time, or any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rule or regulation.</w:t>
      </w:r>
    </w:p>
    <w:p>
      <w:pPr>
        <w:spacing w:after="0" w:line="202" w:lineRule="exact"/>
        <w:rPr>
          <w:rFonts w:ascii="Times New Roman" w:cs="Times New Roman" w:eastAsia="Times New Roman" w:hAnsi="Times New Roman"/>
          <w:sz w:val="18"/>
          <w:szCs w:val="18"/>
          <w:color w:val="auto"/>
        </w:rPr>
      </w:pPr>
    </w:p>
    <w:p>
      <w:pPr>
        <w:ind w:right="60" w:firstLine="1952"/>
        <w:spacing w:after="0" w:line="268" w:lineRule="auto"/>
        <w:tabs>
          <w:tab w:leader="none" w:pos="2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to a Participant pursuant to Section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payment, for each share of Stock subject to such Award, of an amount equal to the excess, if any, of the Fair Market Value of a share of Stock on the date of exercise of the Award over the exercise price thereof.</w:t>
      </w:r>
    </w:p>
    <w:p>
      <w:pPr>
        <w:spacing w:after="0" w:line="170"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Section 409A of the Code.</w:t>
      </w:r>
    </w:p>
    <w:p>
      <w:pPr>
        <w:spacing w:after="0" w:line="225" w:lineRule="exact"/>
        <w:rPr>
          <w:rFonts w:ascii="Times New Roman" w:cs="Times New Roman" w:eastAsia="Times New Roman" w:hAnsi="Times New Roman"/>
          <w:sz w:val="18"/>
          <w:szCs w:val="18"/>
          <w:color w:val="auto"/>
        </w:rPr>
      </w:pPr>
    </w:p>
    <w:p>
      <w:pPr>
        <w:ind w:right="180" w:firstLine="1952"/>
        <w:spacing w:after="0" w:line="286" w:lineRule="auto"/>
        <w:tabs>
          <w:tab w:leader="none" w:pos="25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Section 409A Deferred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compensation provided pursuant to an Award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constitutes nonqualified deferred compensation within the meaning of Section 409A.</w:t>
      </w:r>
    </w:p>
    <w:p>
      <w:pPr>
        <w:spacing w:after="0" w:line="155" w:lineRule="exact"/>
        <w:rPr>
          <w:sz w:val="20"/>
          <w:szCs w:val="20"/>
          <w:color w:val="auto"/>
        </w:rPr>
      </w:pPr>
    </w:p>
    <w:p>
      <w:pPr>
        <w:ind w:left="2600" w:hanging="648"/>
        <w:spacing w:after="0"/>
        <w:tabs>
          <w:tab w:leader="none" w:pos="2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225" w:lineRule="exact"/>
        <w:rPr>
          <w:rFonts w:ascii="Times New Roman" w:cs="Times New Roman" w:eastAsia="Times New Roman" w:hAnsi="Times New Roman"/>
          <w:sz w:val="18"/>
          <w:szCs w:val="18"/>
          <w:color w:val="auto"/>
        </w:rPr>
      </w:pPr>
    </w:p>
    <w:p>
      <w:pPr>
        <w:ind w:right="60" w:firstLine="1952"/>
        <w:spacing w:after="0" w:line="254" w:lineRule="auto"/>
        <w:tabs>
          <w:tab w:leader="none" w:pos="25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Participant’s employment or service with the Participating Company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3" w:name="page14"/>
    <w:bookmarkEnd w:id="13"/>
    <w:p>
      <w:pPr>
        <w:ind w:right="40"/>
        <w:spacing w:after="0" w:line="261" w:lineRule="auto"/>
        <w:rPr>
          <w:sz w:val="20"/>
          <w:szCs w:val="20"/>
          <w:color w:val="auto"/>
        </w:rPr>
      </w:pPr>
      <w:r>
        <w:rPr>
          <w:rFonts w:ascii="Times New Roman" w:cs="Times New Roman" w:eastAsia="Times New Roman" w:hAnsi="Times New Roman"/>
          <w:sz w:val="18"/>
          <w:szCs w:val="18"/>
          <w:color w:val="auto"/>
        </w:rPr>
        <w:t>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76" w:lineRule="exact"/>
        <w:rPr>
          <w:sz w:val="20"/>
          <w:szCs w:val="20"/>
          <w:color w:val="auto"/>
        </w:rPr>
      </w:pPr>
    </w:p>
    <w:p>
      <w:pPr>
        <w:ind w:left="2600" w:hanging="648"/>
        <w:spacing w:after="0"/>
        <w:tabs>
          <w:tab w:leader="none" w:pos="2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common stock of the Company, as adjusted from time to time in accordance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4.4.</w:t>
      </w:r>
    </w:p>
    <w:p>
      <w:pPr>
        <w:spacing w:after="0" w:line="203" w:lineRule="exact"/>
        <w:rPr>
          <w:sz w:val="20"/>
          <w:szCs w:val="20"/>
          <w:color w:val="auto"/>
        </w:rPr>
      </w:pPr>
    </w:p>
    <w:p>
      <w:pPr>
        <w:ind w:left="2600" w:hanging="648"/>
        <w:spacing w:after="0"/>
        <w:tabs>
          <w:tab w:leader="none" w:pos="2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Tender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Stock Tender Exercise as defined in Section 6.3(b)(ii).</w:t>
      </w:r>
    </w:p>
    <w:p>
      <w:pPr>
        <w:spacing w:after="0" w:line="225" w:lineRule="exact"/>
        <w:rPr>
          <w:rFonts w:ascii="Times New Roman" w:cs="Times New Roman" w:eastAsia="Times New Roman" w:hAnsi="Times New Roman"/>
          <w:sz w:val="18"/>
          <w:szCs w:val="18"/>
          <w:color w:val="auto"/>
        </w:rPr>
      </w:pPr>
    </w:p>
    <w:p>
      <w:pPr>
        <w:ind w:right="60" w:firstLine="1952"/>
        <w:spacing w:after="0" w:line="286" w:lineRule="auto"/>
        <w:tabs>
          <w:tab w:leader="none" w:pos="2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Subsidiary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present or future “subsidiary corporation” of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Section 424(f) of the Code.</w:t>
      </w:r>
    </w:p>
    <w:p>
      <w:pPr>
        <w:spacing w:after="0" w:line="154" w:lineRule="exact"/>
        <w:rPr>
          <w:rFonts w:ascii="Times New Roman" w:cs="Times New Roman" w:eastAsia="Times New Roman" w:hAnsi="Times New Roman"/>
          <w:sz w:val="18"/>
          <w:szCs w:val="18"/>
          <w:color w:val="auto"/>
        </w:rPr>
      </w:pPr>
    </w:p>
    <w:p>
      <w:pPr>
        <w:ind w:right="180" w:firstLine="1952"/>
        <w:spacing w:after="0" w:line="268" w:lineRule="auto"/>
        <w:tabs>
          <w:tab w:leader="none" w:pos="25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 who, at the time an Option is granted to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stock possessing more than ten percent (10%) of the total combined voting power of all classes of stock of a Participating Company (other than an Affiliate) within the meaning of Section 422(b)(6) of the Code.</w:t>
      </w:r>
    </w:p>
    <w:p>
      <w:pPr>
        <w:spacing w:after="0" w:line="170" w:lineRule="exact"/>
        <w:rPr>
          <w:rFonts w:ascii="Times New Roman" w:cs="Times New Roman" w:eastAsia="Times New Roman" w:hAnsi="Times New Roman"/>
          <w:sz w:val="18"/>
          <w:szCs w:val="18"/>
          <w:color w:val="auto"/>
        </w:rPr>
      </w:pPr>
    </w:p>
    <w:p>
      <w:pPr>
        <w:ind w:right="60" w:firstLine="1952"/>
        <w:spacing w:after="0" w:line="286" w:lineRule="auto"/>
        <w:tabs>
          <w:tab w:leader="none" w:pos="2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Time-Vesting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Award granted to a Participant, the vesting or earning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solely upon the continued Service of the Participant over a specified period of time.</w:t>
      </w:r>
    </w:p>
    <w:p>
      <w:pPr>
        <w:spacing w:after="0" w:line="154" w:lineRule="exact"/>
        <w:rPr>
          <w:rFonts w:ascii="Times New Roman" w:cs="Times New Roman" w:eastAsia="Times New Roman" w:hAnsi="Times New Roman"/>
          <w:sz w:val="18"/>
          <w:szCs w:val="18"/>
          <w:color w:val="auto"/>
        </w:rPr>
      </w:pPr>
    </w:p>
    <w:p>
      <w:pPr>
        <w:ind w:right="100" w:firstLine="1952"/>
        <w:spacing w:after="0" w:line="268" w:lineRule="auto"/>
        <w:tabs>
          <w:tab w:leader="none" w:pos="2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Trading Compliance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written policy of the Company pertaining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transfer or other disposition of the Company’s equity securities by Directors, Officers, Employees or other service providers who may possess material, nonpublic information regarding the Company or its securities.</w:t>
      </w:r>
    </w:p>
    <w:p>
      <w:pPr>
        <w:spacing w:after="0" w:line="170" w:lineRule="exact"/>
        <w:rPr>
          <w:rFonts w:ascii="Times New Roman" w:cs="Times New Roman" w:eastAsia="Times New Roman" w:hAnsi="Times New Roman"/>
          <w:sz w:val="18"/>
          <w:szCs w:val="18"/>
          <w:color w:val="auto"/>
        </w:rPr>
      </w:pPr>
    </w:p>
    <w:p>
      <w:pPr>
        <w:ind w:right="20" w:firstLine="1952"/>
        <w:spacing w:after="0" w:line="262" w:lineRule="auto"/>
        <w:tabs>
          <w:tab w:leader="none" w:pos="2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Vesting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 those conditions established in accordance with the Plan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76"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1"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Administration by the Committee.</w:t>
      </w:r>
      <w:r>
        <w:rPr>
          <w:rFonts w:ascii="Times New Roman" w:cs="Times New Roman" w:eastAsia="Times New Roman" w:hAnsi="Times New Roman"/>
          <w:sz w:val="18"/>
          <w:szCs w:val="18"/>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85" w:lineRule="exact"/>
        <w:rPr>
          <w:sz w:val="20"/>
          <w:szCs w:val="20"/>
          <w:color w:val="auto"/>
        </w:rPr>
      </w:pPr>
    </w:p>
    <w:p>
      <w:pPr>
        <w:ind w:right="12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Authority of Officers.</w:t>
      </w:r>
      <w:r>
        <w:rPr>
          <w:rFonts w:ascii="Times New Roman" w:cs="Times New Roman" w:eastAsia="Times New Roman" w:hAnsi="Times New Roman"/>
          <w:sz w:val="18"/>
          <w:szCs w:val="18"/>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 w:name="page15"/>
    <w:bookmarkEnd w:id="14"/>
    <w:p>
      <w:pPr>
        <w:jc w:val="both"/>
        <w:ind w:right="8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Administration with Respect to Insiders.</w:t>
      </w:r>
      <w:r>
        <w:rPr>
          <w:rFonts w:ascii="Times New Roman" w:cs="Times New Roman" w:eastAsia="Times New Roman" w:hAnsi="Times New Roman"/>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71" w:lineRule="exact"/>
        <w:rPr>
          <w:sz w:val="20"/>
          <w:szCs w:val="20"/>
          <w:color w:val="auto"/>
        </w:rPr>
      </w:pPr>
    </w:p>
    <w:p>
      <w:pPr>
        <w:jc w:val="both"/>
        <w:ind w:right="8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Powers of the Committee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to any other powers set forth in the Plan and subject to the provisions of the Plan, the Committee shall have the full and final power and authority, in its discretion:</w:t>
      </w:r>
    </w:p>
    <w:p>
      <w:pPr>
        <w:spacing w:after="0" w:line="159" w:lineRule="exact"/>
        <w:rPr>
          <w:sz w:val="20"/>
          <w:szCs w:val="20"/>
          <w:color w:val="auto"/>
        </w:rPr>
      </w:pPr>
    </w:p>
    <w:p>
      <w:pPr>
        <w:ind w:right="220" w:firstLine="1952"/>
        <w:spacing w:after="0" w:line="282" w:lineRule="auto"/>
        <w:tabs>
          <w:tab w:leader="none" w:pos="2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the number of shares of Stock, units or monetary value to be subject to each Award;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granted;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225" w:lineRule="exact"/>
        <w:rPr>
          <w:rFonts w:ascii="Times New Roman" w:cs="Times New Roman" w:eastAsia="Times New Roman" w:hAnsi="Times New Roman"/>
          <w:sz w:val="18"/>
          <w:szCs w:val="18"/>
          <w:color w:val="auto"/>
        </w:rPr>
      </w:pPr>
    </w:p>
    <w:p>
      <w:pPr>
        <w:ind w:firstLine="1952"/>
        <w:spacing w:after="0" w:line="254" w:lineRule="auto"/>
        <w:tabs>
          <w:tab w:leader="none" w:pos="2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8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 Award will be settled in shares of Stock, cash, other property or in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thereof;</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w:t>
      </w:r>
    </w:p>
    <w:p>
      <w:pPr>
        <w:spacing w:after="0" w:line="225" w:lineRule="exact"/>
        <w:rPr>
          <w:rFonts w:ascii="Times New Roman" w:cs="Times New Roman" w:eastAsia="Times New Roman" w:hAnsi="Times New Roman"/>
          <w:sz w:val="18"/>
          <w:szCs w:val="18"/>
          <w:color w:val="auto"/>
        </w:rPr>
      </w:pPr>
    </w:p>
    <w:p>
      <w:pPr>
        <w:ind w:right="60" w:firstLine="1952"/>
        <w:spacing w:after="0" w:line="261" w:lineRule="auto"/>
        <w:tabs>
          <w:tab w:leader="none" w:pos="2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modify, extend, cancel or renew any Award or to waive any restrictions or conditions applicable to any Award or any shares acquired pursuant thereto, provided that no such amendment or waiver shall accelerate the vesting of any Award unless the power of the Committee to accelerate the vesting of such Award is expressly provided by another provision of the Plan;</w:t>
      </w:r>
    </w:p>
    <w:p>
      <w:pPr>
        <w:spacing w:after="0" w:line="179" w:lineRule="exact"/>
        <w:rPr>
          <w:rFonts w:ascii="Times New Roman" w:cs="Times New Roman" w:eastAsia="Times New Roman" w:hAnsi="Times New Roman"/>
          <w:sz w:val="18"/>
          <w:szCs w:val="18"/>
          <w:color w:val="auto"/>
        </w:rPr>
      </w:pPr>
    </w:p>
    <w:p>
      <w:pPr>
        <w:ind w:right="480" w:firstLine="1952"/>
        <w:spacing w:after="0" w:line="282" w:lineRule="auto"/>
        <w:tabs>
          <w:tab w:leader="none" w:pos="2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161" w:lineRule="exact"/>
        <w:rPr>
          <w:rFonts w:ascii="Times New Roman" w:cs="Times New Roman" w:eastAsia="Times New Roman" w:hAnsi="Times New Roman"/>
          <w:sz w:val="18"/>
          <w:szCs w:val="18"/>
          <w:color w:val="auto"/>
        </w:rPr>
      </w:pPr>
    </w:p>
    <w:p>
      <w:pPr>
        <w:ind w:firstLine="1952"/>
        <w:spacing w:after="0" w:line="261" w:lineRule="auto"/>
        <w:tabs>
          <w:tab w:leader="none" w:pos="2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spacing w:after="0" w:line="179" w:lineRule="exact"/>
        <w:rPr>
          <w:rFonts w:ascii="Times New Roman" w:cs="Times New Roman" w:eastAsia="Times New Roman" w:hAnsi="Times New Roman"/>
          <w:sz w:val="18"/>
          <w:szCs w:val="18"/>
          <w:color w:val="auto"/>
        </w:rPr>
      </w:pPr>
    </w:p>
    <w:p>
      <w:pPr>
        <w:ind w:right="40" w:firstLine="1952"/>
        <w:spacing w:after="0" w:line="266" w:lineRule="auto"/>
        <w:tabs>
          <w:tab w:leader="none" w:pos="25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72"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Option or SAR Repricing.</w:t>
      </w:r>
      <w:r>
        <w:rPr>
          <w:rFonts w:ascii="Times New Roman" w:cs="Times New Roman" w:eastAsia="Times New Roman" w:hAnsi="Times New Roman"/>
          <w:sz w:val="18"/>
          <w:szCs w:val="18"/>
          <w:color w:val="auto"/>
        </w:rPr>
        <w:t xml:space="preserve">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Times New Roman" w:cs="Times New Roman" w:eastAsia="Times New Roman" w:hAnsi="Times New Roman"/>
          <w:sz w:val="18"/>
          <w:szCs w:val="18"/>
          <w:b w:val="1"/>
          <w:bCs w:val="1"/>
          <w:i w:val="1"/>
          <w:iCs w:val="1"/>
          <w:color w:val="auto"/>
        </w:rPr>
        <w:t>Underwater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color w:val="auto"/>
        </w:rPr>
        <w:t>”) and the grant in substitution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5" w:name="page16"/>
    <w:bookmarkEnd w:id="15"/>
    <w:p>
      <w:pPr>
        <w:ind w:right="500"/>
        <w:spacing w:after="0" w:line="257" w:lineRule="auto"/>
        <w:rPr>
          <w:sz w:val="20"/>
          <w:szCs w:val="20"/>
          <w:color w:val="auto"/>
        </w:rPr>
      </w:pPr>
      <w:r>
        <w:rPr>
          <w:rFonts w:ascii="Times New Roman" w:cs="Times New Roman" w:eastAsia="Times New Roman" w:hAnsi="Times New Roman"/>
          <w:sz w:val="18"/>
          <w:szCs w:val="18"/>
          <w:color w:val="auto"/>
        </w:rPr>
        <w:t>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w:t>
      </w:r>
    </w:p>
    <w:p>
      <w:pPr>
        <w:spacing w:after="0" w:line="1"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pursuant to the assumption of or substitution for an Option or SAR in a manner that would comply with Section 409A, or</w:t>
      </w:r>
    </w:p>
    <w:p>
      <w:pPr>
        <w:spacing w:after="0" w:line="20"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pursuant to Section 4.4.</w:t>
      </w:r>
    </w:p>
    <w:p>
      <w:pPr>
        <w:spacing w:after="0" w:line="20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90"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Dividends and Dividend Equivalent Rights.</w:t>
      </w:r>
      <w:r>
        <w:rPr>
          <w:rFonts w:ascii="Times New Roman" w:cs="Times New Roman" w:eastAsia="Times New Roman" w:hAnsi="Times New Roman"/>
          <w:sz w:val="18"/>
          <w:szCs w:val="18"/>
          <w:color w:val="auto"/>
        </w:rPr>
        <w:t xml:space="preserve"> Dividends or Dividend Equivalent Rights may be paid or credited, as applicable, with respect to any shares of Common Stock subject to an Award, as determined by the Committee and contained in the applicable Award Agreement; provided, however, that (i) no dividends or Dividend Equivalent Rights may be paid with respect to any such shares before the date such shares have vested under the terms of such Award Agreement, (ii) any dividends or Dividend Equivalent Rights that are credited with respect to any such shares will be subject to all of the terms and conditions applicable to such shares under the terms of such Award Agreement (including, but not limited to, any vesting conditions), (iii) any dividends or Dividend Equivalent Rights that are credited with respect to any such shares will be forfeited to the Company on the date, if any, such shares are forfeited to or repurchased by the Company due to a failure to meet any vesting conditions under the terms of such Award Agreement and (iv) no Dividends or Dividend Equivalent Rights shall be credited or paid with respect to Options or SARs.</w:t>
      </w:r>
    </w:p>
    <w:p>
      <w:pPr>
        <w:spacing w:after="0" w:line="188"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SUBJECT TO PLAN.</w:t>
      </w:r>
    </w:p>
    <w:p>
      <w:pPr>
        <w:spacing w:after="0" w:line="225" w:lineRule="exact"/>
        <w:rPr>
          <w:sz w:val="20"/>
          <w:szCs w:val="20"/>
          <w:color w:val="auto"/>
        </w:rPr>
      </w:pPr>
    </w:p>
    <w:p>
      <w:pPr>
        <w:ind w:right="60" w:firstLine="1296"/>
        <w:spacing w:after="0" w:line="26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Maximum Number of Shares Issuable.</w:t>
      </w:r>
      <w:r>
        <w:rPr>
          <w:rFonts w:ascii="Times New Roman" w:cs="Times New Roman" w:eastAsia="Times New Roman" w:hAnsi="Times New Roman"/>
          <w:sz w:val="18"/>
          <w:szCs w:val="18"/>
          <w:color w:val="auto"/>
        </w:rPr>
        <w:t xml:space="preserve"> Subject to adjustment as provided in Sections 4.2, 4.3 and 4.4, the maximum aggregate number of shares of Stock that may be issued under the Plan shall be equal to 1,498,282 shares, which is the sum of</w:t>
      </w:r>
    </w:p>
    <w:p>
      <w:pPr>
        <w:spacing w:after="0" w:line="1" w:lineRule="exact"/>
        <w:rPr>
          <w:sz w:val="20"/>
          <w:szCs w:val="20"/>
          <w:color w:val="auto"/>
        </w:rPr>
      </w:pPr>
    </w:p>
    <w:p>
      <w:pPr>
        <w:ind w:right="240" w:firstLine="8"/>
        <w:spacing w:after="0" w:line="260"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788,282 shares remaining available for grant under the Predecessor Plan as of the Effective Date, plus (ii) 710,000 shares, and such shares shall consist of authorized but unissued or reacquired shares of Stock or any combination thereof.</w:t>
      </w:r>
    </w:p>
    <w:p>
      <w:pPr>
        <w:spacing w:after="0" w:line="177" w:lineRule="exact"/>
        <w:rPr>
          <w:sz w:val="20"/>
          <w:szCs w:val="20"/>
          <w:color w:val="auto"/>
        </w:rPr>
      </w:pPr>
    </w:p>
    <w:p>
      <w:pPr>
        <w:ind w:right="4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Adjustment for Unissued or Forfeited Predecessor Plan Shares.</w:t>
      </w:r>
      <w:r>
        <w:rPr>
          <w:rFonts w:ascii="Times New Roman" w:cs="Times New Roman" w:eastAsia="Times New Roman" w:hAnsi="Times New Roman"/>
          <w:sz w:val="18"/>
          <w:szCs w:val="18"/>
          <w:color w:val="auto"/>
        </w:rPr>
        <w:t xml:space="preserve"> The maximum aggregate number of shares of Stock that may be issued under the Plan as set forth in Section 4.1 shall be cumulatively increased from time to time by:</w:t>
      </w:r>
    </w:p>
    <w:p>
      <w:pPr>
        <w:spacing w:after="0" w:line="159" w:lineRule="exact"/>
        <w:rPr>
          <w:sz w:val="20"/>
          <w:szCs w:val="20"/>
          <w:color w:val="auto"/>
        </w:rPr>
      </w:pPr>
    </w:p>
    <w:p>
      <w:pPr>
        <w:ind w:right="260" w:firstLine="1952"/>
        <w:spacing w:after="0" w:line="266" w:lineRule="auto"/>
        <w:tabs>
          <w:tab w:leader="none" w:pos="25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Stock subject to that portion of any option or other award outstanding pursuant to the Predecessor Plan as of the Effective Date which, on or after the Effective Date, expires or is terminated or canceled for any reason without having been exercised or settled in full; and</w:t>
      </w:r>
    </w:p>
    <w:p>
      <w:pPr>
        <w:spacing w:after="0" w:line="175" w:lineRule="exact"/>
        <w:rPr>
          <w:rFonts w:ascii="Times New Roman" w:cs="Times New Roman" w:eastAsia="Times New Roman" w:hAnsi="Times New Roman"/>
          <w:sz w:val="18"/>
          <w:szCs w:val="18"/>
          <w:color w:val="auto"/>
        </w:rPr>
      </w:pPr>
    </w:p>
    <w:p>
      <w:pPr>
        <w:ind w:right="280" w:firstLine="1952"/>
        <w:spacing w:after="0" w:line="266" w:lineRule="auto"/>
        <w:tabs>
          <w:tab w:leader="none" w:pos="25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Stock acquired pursuant to the Predecessor Plan subject to forfeiture or repurchase by the Company for an amount not greater than the Participant’s purchase price which, on or after the Effective Date, is so forfeited or repurchased;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however, that the aggregate number of shares of Stock authorized for issuance under the Predecessor Plan that may become authorized for issuance under the Plan pursuant to this Section 4.2 shall not exceed 294,239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6" w:name="page17"/>
    <w:bookmarkEnd w:id="16"/>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Share Counting.</w:t>
      </w:r>
      <w:r>
        <w:rPr>
          <w:rFonts w:ascii="Times New Roman" w:cs="Times New Roman" w:eastAsia="Times New Roman" w:hAnsi="Times New Roman"/>
          <w:sz w:val="18"/>
          <w:szCs w:val="18"/>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by the gross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shall not again be available for issuance under the Plan. Shares withheld or reacquired by the Company in satisfaction of tax withholding obligations pursuant to the vesting or settlement of Full Value Awards pursuant to Section 16.2 shall not again be available for issuance under the Plan.</w:t>
      </w:r>
    </w:p>
    <w:p>
      <w:pPr>
        <w:spacing w:after="0" w:line="185"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Award limits set forth in Section 5.3 and Section 5.4,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88" w:lineRule="exact"/>
        <w:rPr>
          <w:sz w:val="20"/>
          <w:szCs w:val="20"/>
          <w:color w:val="auto"/>
        </w:rPr>
      </w:pPr>
    </w:p>
    <w:p>
      <w:pPr>
        <w:ind w:right="18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Assumption or Substitution of Awards.</w:t>
      </w:r>
      <w:r>
        <w:rPr>
          <w:rFonts w:ascii="Times New Roman" w:cs="Times New Roman" w:eastAsia="Times New Roman" w:hAnsi="Times New Roman"/>
          <w:sz w:val="18"/>
          <w:szCs w:val="18"/>
          <w:color w:val="auto"/>
        </w:rPr>
        <w:t xml:space="preserve"> 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76"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ELIGIBILITY, PARTICIPATION AND AWARD LIMITATIONS.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b w:val="1"/>
          <w:bCs w:val="1"/>
          <w:color w:val="auto"/>
        </w:rPr>
        <w:t xml:space="preserve">Persons Eligible for Awards. </w:t>
      </w:r>
      <w:r>
        <w:rPr>
          <w:rFonts w:ascii="Times New Roman" w:cs="Times New Roman" w:eastAsia="Times New Roman" w:hAnsi="Times New Roman"/>
          <w:sz w:val="18"/>
          <w:szCs w:val="18"/>
          <w:color w:val="auto"/>
        </w:rPr>
        <w:t>Awards may be granted only to Employees, Consultants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17" w:name="page18"/>
    <w:bookmarkEnd w:id="17"/>
    <w:p>
      <w:pPr>
        <w:ind w:right="14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Participation in the Plan.</w:t>
      </w:r>
      <w:r>
        <w:rPr>
          <w:rFonts w:ascii="Times New Roman" w:cs="Times New Roman" w:eastAsia="Times New Roman" w:hAnsi="Times New Roman"/>
          <w:sz w:val="18"/>
          <w:szCs w:val="18"/>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7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Incentive Stock Option Limitations.</w:t>
      </w:r>
    </w:p>
    <w:p>
      <w:pPr>
        <w:spacing w:after="0" w:line="225" w:lineRule="exact"/>
        <w:rPr>
          <w:sz w:val="20"/>
          <w:szCs w:val="20"/>
          <w:color w:val="auto"/>
        </w:rPr>
      </w:pPr>
    </w:p>
    <w:p>
      <w:pPr>
        <w:ind w:right="40" w:firstLine="1952"/>
        <w:spacing w:after="0" w:line="259" w:lineRule="auto"/>
        <w:tabs>
          <w:tab w:leader="none" w:pos="25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Maximum Number of Shares Issuable Pursuant to Incentive Stock Options. </w:t>
      </w:r>
      <w:r>
        <w:rPr>
          <w:rFonts w:ascii="Times New Roman" w:cs="Times New Roman" w:eastAsia="Times New Roman" w:hAnsi="Times New Roman"/>
          <w:sz w:val="18"/>
          <w:szCs w:val="18"/>
          <w:color w:val="auto"/>
        </w:rPr>
        <w:t>Subject to adjustment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provided in Section 4.4, the maximum aggregate number of shares of Stock that may be issued under the Plan pursuant to the exercise of Incentive Stock Options shall not exceed three million (3,000,000) shares.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179" w:lineRule="exact"/>
        <w:rPr>
          <w:rFonts w:ascii="Times New Roman" w:cs="Times New Roman" w:eastAsia="Times New Roman" w:hAnsi="Times New Roman"/>
          <w:sz w:val="18"/>
          <w:szCs w:val="18"/>
          <w:color w:val="auto"/>
        </w:rPr>
      </w:pPr>
    </w:p>
    <w:p>
      <w:pPr>
        <w:ind w:right="60" w:firstLine="1952"/>
        <w:spacing w:after="0" w:line="262" w:lineRule="auto"/>
        <w:tabs>
          <w:tab w:leader="none" w:pos="25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Persons Eligible. </w:t>
      </w:r>
      <w:r>
        <w:rPr>
          <w:rFonts w:ascii="Times New Roman" w:cs="Times New Roman" w:eastAsia="Times New Roman" w:hAnsi="Times New Roman"/>
          <w:sz w:val="18"/>
          <w:szCs w:val="18"/>
          <w:color w:val="auto"/>
        </w:rPr>
        <w:t>An Incentive Stock Option may be granted only to a person who, on the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date of grant, is an Employee of the Company, a Parent Corporation or a Subsidiary Corporation (each being an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ISO-Qualifying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Any person who is not an Employee of an ISO-Qualifying Corporation on the effective date of the grant of an Option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person may be granted only a Nonstatutory Stock Option.</w:t>
      </w:r>
    </w:p>
    <w:p>
      <w:pPr>
        <w:spacing w:after="0" w:line="176" w:lineRule="exact"/>
        <w:rPr>
          <w:rFonts w:ascii="Times New Roman" w:cs="Times New Roman" w:eastAsia="Times New Roman" w:hAnsi="Times New Roman"/>
          <w:sz w:val="18"/>
          <w:szCs w:val="18"/>
          <w:color w:val="auto"/>
        </w:rPr>
      </w:pPr>
    </w:p>
    <w:p>
      <w:pPr>
        <w:ind w:right="60" w:firstLine="1952"/>
        <w:spacing w:after="0" w:line="253" w:lineRule="auto"/>
        <w:tabs>
          <w:tab w:leader="none" w:pos="25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Market Value Limitation. </w:t>
      </w:r>
      <w:r>
        <w:rPr>
          <w:rFonts w:ascii="Times New Roman" w:cs="Times New Roman" w:eastAsia="Times New Roman" w:hAnsi="Times New Roman"/>
          <w:sz w:val="18"/>
          <w:szCs w:val="18"/>
          <w:color w:val="auto"/>
        </w:rPr>
        <w:t>To the extent that options designated as Incentive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9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Nonemployee Director Award Limit.</w:t>
      </w:r>
      <w:r>
        <w:rPr>
          <w:rFonts w:ascii="Times New Roman" w:cs="Times New Roman" w:eastAsia="Times New Roman" w:hAnsi="Times New Roman"/>
          <w:sz w:val="18"/>
          <w:szCs w:val="18"/>
          <w:color w:val="auto"/>
        </w:rPr>
        <w:t xml:space="preserve"> The Committee may establish compensation for Nonemployee Directors from time to time, subject to the limitations in the Plan. The Committee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and the grant date fair value of Awards (as determined in accordance with Financial Accounting Standards Board Accounting Standards Codification Topic 718, or any successor thereto) granted under the Plan to a Nonemployee Director as compensation for services as a Nonemployee Director during any calendar year of the Company may not exceed $750,000 annually, provided however, in a Non-Employee Director’s first year of service compensation for services may not exceed $1,000,000 (such limits, the “</w:t>
      </w:r>
      <w:r>
        <w:rPr>
          <w:rFonts w:ascii="Times New Roman" w:cs="Times New Roman" w:eastAsia="Times New Roman" w:hAnsi="Times New Roman"/>
          <w:sz w:val="18"/>
          <w:szCs w:val="18"/>
          <w:b w:val="1"/>
          <w:bCs w:val="1"/>
          <w:i w:val="1"/>
          <w:iCs w:val="1"/>
          <w:color w:val="auto"/>
        </w:rPr>
        <w:t>Director Limits</w:t>
      </w:r>
      <w:r>
        <w:rPr>
          <w:rFonts w:ascii="Times New Roman" w:cs="Times New Roman" w:eastAsia="Times New Roman" w:hAnsi="Times New Roman"/>
          <w:sz w:val="18"/>
          <w:szCs w:val="18"/>
          <w:color w:val="auto"/>
        </w:rPr>
        <w:t>”). The Committee may make exceptions to this limit for individual Nonemployee Directors in extraordinary circumstances, as the Committee may determine in its discretion, provided that the Nonemployee Director receiving such additional compensation may not participate in the decision to award such compensation or in other compensation decisions involving such Nonemployee Director.</w:t>
      </w:r>
    </w:p>
    <w:p>
      <w:pPr>
        <w:spacing w:after="0" w:line="190"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Minimum Vesting.</w:t>
      </w:r>
      <w:r>
        <w:rPr>
          <w:rFonts w:ascii="Times New Roman" w:cs="Times New Roman" w:eastAsia="Times New Roman" w:hAnsi="Times New Roman"/>
          <w:sz w:val="18"/>
          <w:szCs w:val="18"/>
          <w:color w:val="auto"/>
        </w:rPr>
        <w:t xml:space="preserve"> Except with respect to five percent (5%) of the maximum aggregate number of shares of Stock that may be issued under the Plan, as provided in Section 4, no Award which vests on the basis of the Participant’s continued Service shall vest earlier than one year following the date of grant of such Award and no Award which vests on the basis of attainment of performance goals shall provide for a performance period of less than one year; provided, however, that such limitations shall not preclude the acceleration of vesting of such Award upon the death, disability, or in connection with a Change in Control,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089" w:right="1019" w:bottom="1440" w:gutter="0" w:footer="0" w:header="0"/>
        </w:sectPr>
      </w:pPr>
    </w:p>
    <w:bookmarkStart w:id="18" w:name="page19"/>
    <w:bookmarkEnd w:id="18"/>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OPTIONS.</w:t>
      </w:r>
    </w:p>
    <w:p>
      <w:pPr>
        <w:spacing w:after="0" w:line="229"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8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Exercisability and Term of Options.</w:t>
      </w:r>
      <w:r>
        <w:rPr>
          <w:rFonts w:ascii="Times New Roman" w:cs="Times New Roman" w:eastAsia="Times New Roman" w:hAnsi="Times New Roman"/>
          <w:sz w:val="17"/>
          <w:szCs w:val="17"/>
          <w:color w:val="auto"/>
        </w:rPr>
        <w:t xml:space="preserve"> Subject to the minimum vesting provisions of Section 5.5,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b w:val="1"/>
          <w:bCs w:val="1"/>
          <w:color w:val="auto"/>
        </w:rPr>
        <w:t>Payment of Exercise Price.</w:t>
      </w:r>
    </w:p>
    <w:p>
      <w:pPr>
        <w:spacing w:after="0" w:line="225" w:lineRule="exact"/>
        <w:rPr>
          <w:sz w:val="20"/>
          <w:szCs w:val="20"/>
          <w:color w:val="auto"/>
        </w:rPr>
      </w:pPr>
    </w:p>
    <w:p>
      <w:pPr>
        <w:ind w:right="60" w:firstLine="1952"/>
        <w:spacing w:after="0" w:line="263" w:lineRule="auto"/>
        <w:tabs>
          <w:tab w:leader="none" w:pos="25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of Consideration Authorized. </w:t>
      </w:r>
      <w:r>
        <w:rPr>
          <w:rFonts w:ascii="Times New Roman" w:cs="Times New Roman" w:eastAsia="Times New Roman" w:hAnsi="Times New Roman"/>
          <w:sz w:val="18"/>
          <w:szCs w:val="18"/>
          <w:color w:val="auto"/>
        </w:rPr>
        <w:t>Except as otherwise provided below, payment of the exercise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for the number of shares of Stock being purchased pursuant to any Option shall be made (i) in cash, by check or in cash equivalent;</w:t>
      </w:r>
    </w:p>
    <w:p>
      <w:pPr>
        <w:ind w:right="60" w:firstLine="8"/>
        <w:spacing w:after="0" w:line="253"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by any combination thereof. The Committee may at any time or from time-to-time grant Options which do not permit all of the foregoing forms of consideration to be used in payment of the exercise price or which otherwise restrict one or more forms of consideration.</w:t>
      </w:r>
    </w:p>
    <w:p>
      <w:pPr>
        <w:spacing w:after="0" w:line="18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Limitations on Forms of Consideration.</w:t>
      </w:r>
    </w:p>
    <w:p>
      <w:pPr>
        <w:spacing w:after="0" w:line="225" w:lineRule="exact"/>
        <w:rPr>
          <w:rFonts w:ascii="Times New Roman" w:cs="Times New Roman" w:eastAsia="Times New Roman" w:hAnsi="Times New Roman"/>
          <w:sz w:val="18"/>
          <w:szCs w:val="18"/>
          <w:color w:val="auto"/>
        </w:rPr>
      </w:pPr>
    </w:p>
    <w:p>
      <w:pPr>
        <w:ind w:right="180" w:firstLine="2600"/>
        <w:spacing w:after="0" w:line="255" w:lineRule="auto"/>
        <w:tabs>
          <w:tab w:leader="none" w:pos="32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delivery of a properly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84" w:lineRule="exact"/>
        <w:rPr>
          <w:rFonts w:ascii="Times New Roman" w:cs="Times New Roman" w:eastAsia="Times New Roman" w:hAnsi="Times New Roman"/>
          <w:sz w:val="18"/>
          <w:szCs w:val="18"/>
          <w:color w:val="auto"/>
        </w:rPr>
      </w:pPr>
    </w:p>
    <w:p>
      <w:pPr>
        <w:ind w:right="180" w:firstLine="2600"/>
        <w:spacing w:after="0" w:line="268" w:lineRule="auto"/>
        <w:tabs>
          <w:tab w:leader="none" w:pos="32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Tender Exercise.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Tender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delivery of a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exercise notice accompanied by a Participant’s tender to the Company, or attestation to the ownership, in a form acceptable to the Company of whole shares of Stock owned by the Participant having a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19" w:name="page20"/>
    <w:bookmarkEnd w:id="19"/>
    <w:p>
      <w:pPr>
        <w:ind w:right="20"/>
        <w:spacing w:after="0" w:line="256" w:lineRule="auto"/>
        <w:rPr>
          <w:sz w:val="20"/>
          <w:szCs w:val="20"/>
          <w:color w:val="auto"/>
        </w:rPr>
      </w:pPr>
      <w:r>
        <w:rPr>
          <w:rFonts w:ascii="Times New Roman" w:cs="Times New Roman" w:eastAsia="Times New Roman" w:hAnsi="Times New Roman"/>
          <w:sz w:val="18"/>
          <w:szCs w:val="18"/>
          <w:color w:val="auto"/>
        </w:rPr>
        <w:t>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83" w:lineRule="exact"/>
        <w:rPr>
          <w:sz w:val="20"/>
          <w:szCs w:val="20"/>
          <w:color w:val="auto"/>
        </w:rPr>
      </w:pPr>
    </w:p>
    <w:p>
      <w:pPr>
        <w:ind w:right="80" w:firstLine="2600"/>
        <w:spacing w:after="0" w:line="259" w:lineRule="auto"/>
        <w:tabs>
          <w:tab w:leader="none" w:pos="3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Exercise.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delivery of a properly executed exercise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b w:val="1"/>
          <w:bCs w:val="1"/>
          <w:color w:val="auto"/>
        </w:rPr>
        <w:t>Effect of Termination of Service.</w:t>
      </w:r>
    </w:p>
    <w:p>
      <w:pPr>
        <w:spacing w:after="0" w:line="225" w:lineRule="exact"/>
        <w:rPr>
          <w:sz w:val="20"/>
          <w:szCs w:val="20"/>
          <w:color w:val="auto"/>
        </w:rPr>
      </w:pPr>
    </w:p>
    <w:p>
      <w:pPr>
        <w:ind w:right="180" w:firstLine="1952"/>
        <w:spacing w:after="0" w:line="262" w:lineRule="auto"/>
        <w:tabs>
          <w:tab w:leader="none" w:pos="25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 Exercisability. </w:t>
      </w:r>
      <w:r>
        <w:rPr>
          <w:rFonts w:ascii="Times New Roman" w:cs="Times New Roman" w:eastAsia="Times New Roman" w:hAnsi="Times New Roman"/>
          <w:sz w:val="18"/>
          <w:szCs w:val="18"/>
          <w:color w:val="auto"/>
        </w:rPr>
        <w:t>Subject to earlier termination of the Option as otherwise provided by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and unless otherwise provided by the Committee,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176" w:lineRule="exact"/>
        <w:rPr>
          <w:rFonts w:ascii="Times New Roman" w:cs="Times New Roman" w:eastAsia="Times New Roman" w:hAnsi="Times New Roman"/>
          <w:sz w:val="18"/>
          <w:szCs w:val="18"/>
          <w:color w:val="auto"/>
        </w:rPr>
      </w:pPr>
    </w:p>
    <w:p>
      <w:pPr>
        <w:ind w:right="180" w:firstLine="2600"/>
        <w:spacing w:after="0" w:line="257" w:lineRule="auto"/>
        <w:tabs>
          <w:tab w:leader="none" w:pos="3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If the Participant’s Service terminates because of the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provided by the Award Agreement) after the date on which the Participant’s Service terminated, but in any event no later than the date of expiration of the Option’s term as set forth in the Award Agreement evidencing such Option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right="140" w:firstLine="2600"/>
        <w:spacing w:after="0" w:line="256" w:lineRule="auto"/>
        <w:tabs>
          <w:tab w:leader="none" w:pos="3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terminates because of the death of the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 (3) months (or such longer or shorter period provided by the Award Agreement) after the Participant’s termination of Service.</w:t>
      </w:r>
    </w:p>
    <w:p>
      <w:pPr>
        <w:spacing w:after="0" w:line="182" w:lineRule="exact"/>
        <w:rPr>
          <w:rFonts w:ascii="Times New Roman" w:cs="Times New Roman" w:eastAsia="Times New Roman" w:hAnsi="Times New Roman"/>
          <w:sz w:val="18"/>
          <w:szCs w:val="18"/>
          <w:color w:val="auto"/>
        </w:rPr>
      </w:pPr>
    </w:p>
    <w:p>
      <w:pPr>
        <w:ind w:firstLine="2600"/>
        <w:spacing w:after="0" w:line="262" w:lineRule="auto"/>
        <w:tabs>
          <w:tab w:leader="none" w:pos="3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Notwithstanding any other provision of the Plan to the contrary,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76" w:lineRule="exact"/>
        <w:rPr>
          <w:rFonts w:ascii="Times New Roman" w:cs="Times New Roman" w:eastAsia="Times New Roman" w:hAnsi="Times New Roman"/>
          <w:sz w:val="18"/>
          <w:szCs w:val="18"/>
          <w:color w:val="auto"/>
        </w:rPr>
      </w:pPr>
    </w:p>
    <w:p>
      <w:pPr>
        <w:ind w:right="60" w:firstLine="2600"/>
        <w:spacing w:after="0" w:line="259" w:lineRule="auto"/>
        <w:tabs>
          <w:tab w:leader="none" w:pos="3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Termination of Service. </w:t>
      </w:r>
      <w:r>
        <w:rPr>
          <w:rFonts w:ascii="Times New Roman" w:cs="Times New Roman" w:eastAsia="Times New Roman" w:hAnsi="Times New Roman"/>
          <w:sz w:val="18"/>
          <w:szCs w:val="18"/>
          <w:color w:val="auto"/>
        </w:rPr>
        <w:t>If the Participant’s Service terminates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Disability, death or Cause, the 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p>
    <w:p>
      <w:pPr>
        <w:spacing w:after="0" w:line="179" w:lineRule="exact"/>
        <w:rPr>
          <w:rFonts w:ascii="Times New Roman" w:cs="Times New Roman" w:eastAsia="Times New Roman" w:hAnsi="Times New Roman"/>
          <w:sz w:val="18"/>
          <w:szCs w:val="18"/>
          <w:color w:val="auto"/>
        </w:rPr>
      </w:pPr>
    </w:p>
    <w:p>
      <w:pPr>
        <w:ind w:firstLine="1952"/>
        <w:spacing w:after="0" w:line="268" w:lineRule="auto"/>
        <w:tabs>
          <w:tab w:leader="none" w:pos="25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Extension if Exercise Prevented by Law. </w:t>
      </w:r>
      <w:r>
        <w:rPr>
          <w:rFonts w:ascii="Times New Roman" w:cs="Times New Roman" w:eastAsia="Times New Roman" w:hAnsi="Times New Roman"/>
          <w:sz w:val="18"/>
          <w:szCs w:val="18"/>
          <w:color w:val="auto"/>
        </w:rPr>
        <w:t>Notwithstanding the foregoing, other than 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for Cause, if the exercise of an Option within the applicable time periods set forth in Section 6.4(a) is prevented by the provisions of Section 14 below, the Option shall remain exercisable until the later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0" w:name="page21"/>
    <w:bookmarkEnd w:id="20"/>
    <w:p>
      <w:pPr>
        <w:ind w:right="20" w:firstLine="8"/>
        <w:spacing w:after="0" w:line="282" w:lineRule="auto"/>
        <w:tabs>
          <w:tab w:leader="none" w:pos="2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(30) days after the date such exercise first would no longer be prevented by such provisions or (ii) the end of the applicable time period under Section 6.4(a), but in any event no later than the Option Expiration Date.</w:t>
      </w:r>
    </w:p>
    <w:p>
      <w:pPr>
        <w:spacing w:after="0" w:line="158"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Transferability of Options.</w:t>
      </w:r>
      <w:r>
        <w:rPr>
          <w:rFonts w:ascii="Times New Roman" w:cs="Times New Roman" w:eastAsia="Times New Roman" w:hAnsi="Times New Roman"/>
          <w:sz w:val="18"/>
          <w:szCs w:val="18"/>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85"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229"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right="22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Types of SARs Authorized.</w:t>
      </w:r>
      <w:r>
        <w:rPr>
          <w:rFonts w:ascii="Times New Roman" w:cs="Times New Roman" w:eastAsia="Times New Roman" w:hAnsi="Times New Roman"/>
          <w:sz w:val="18"/>
          <w:szCs w:val="18"/>
          <w:color w:val="auto"/>
        </w:rPr>
        <w:t xml:space="preserve"> SARs may be granted in tandem with all or any portion of a related Option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Tandem SAR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may be granted independently of any Option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Freestanding SAR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Tandem SAR may only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concurrently with the grant of the related Option.</w:t>
      </w:r>
    </w:p>
    <w:p>
      <w:pPr>
        <w:spacing w:after="0" w:line="171"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of the Code.</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Exercisability and Term of SARs.</w:t>
      </w:r>
    </w:p>
    <w:p>
      <w:pPr>
        <w:spacing w:after="0" w:line="225" w:lineRule="exact"/>
        <w:rPr>
          <w:sz w:val="20"/>
          <w:szCs w:val="20"/>
          <w:color w:val="auto"/>
        </w:rPr>
      </w:pPr>
    </w:p>
    <w:p>
      <w:pPr>
        <w:ind w:right="40" w:firstLine="1952"/>
        <w:spacing w:after="0" w:line="254" w:lineRule="auto"/>
        <w:tabs>
          <w:tab w:leader="none" w:pos="25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Tandem SARs. </w:t>
      </w:r>
      <w:r>
        <w:rPr>
          <w:rFonts w:ascii="Times New Roman" w:cs="Times New Roman" w:eastAsia="Times New Roman" w:hAnsi="Times New Roman"/>
          <w:sz w:val="18"/>
          <w:szCs w:val="18"/>
          <w:color w:val="auto"/>
        </w:rPr>
        <w:t>Tandem SARs shall be exercisable only at the time and to the extent, and only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85" w:lineRule="exact"/>
        <w:rPr>
          <w:rFonts w:ascii="Times New Roman" w:cs="Times New Roman" w:eastAsia="Times New Roman" w:hAnsi="Times New Roman"/>
          <w:sz w:val="18"/>
          <w:szCs w:val="18"/>
          <w:color w:val="auto"/>
        </w:rPr>
      </w:pPr>
    </w:p>
    <w:p>
      <w:pPr>
        <w:ind w:right="140" w:firstLine="1952"/>
        <w:spacing w:after="0" w:line="256" w:lineRule="auto"/>
        <w:tabs>
          <w:tab w:leader="none" w:pos="25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Freestanding SARs. </w:t>
      </w:r>
      <w:r>
        <w:rPr>
          <w:rFonts w:ascii="Times New Roman" w:cs="Times New Roman" w:eastAsia="Times New Roman" w:hAnsi="Times New Roman"/>
          <w:sz w:val="18"/>
          <w:szCs w:val="18"/>
          <w:color w:val="auto"/>
        </w:rPr>
        <w:t>Subject to the minimum vesting provisions of Section 5.5, freestanding SARs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w:t>
      </w:r>
    </w:p>
    <w:p>
      <w:pPr>
        <w:spacing w:after="0" w:line="3" w:lineRule="exact"/>
        <w:rPr>
          <w:rFonts w:ascii="Times New Roman" w:cs="Times New Roman" w:eastAsia="Times New Roman" w:hAnsi="Times New Roman"/>
          <w:sz w:val="18"/>
          <w:szCs w:val="18"/>
          <w:color w:val="auto"/>
        </w:rPr>
      </w:pPr>
    </w:p>
    <w:p>
      <w:pPr>
        <w:ind w:right="120" w:firstLine="8"/>
        <w:spacing w:after="0" w:line="290" w:lineRule="auto"/>
        <w:tabs>
          <w:tab w:leader="none" w:pos="26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Freestanding SAR granted to an Employee who is a non-exempt employee for purposes of the Fair Labor Standards Act of 1938, as amended, shall be first exercisable until at least six (6) months following the date of grant of such SAR (except in the event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93" w:right="101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7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Exercise of SARs.</w:t>
      </w:r>
      <w:r>
        <w:rPr>
          <w:rFonts w:ascii="Times New Roman" w:cs="Times New Roman" w:eastAsia="Times New Roman" w:hAnsi="Times New Roman"/>
          <w:sz w:val="18"/>
          <w:szCs w:val="18"/>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85"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Deemed Exercise of SARs.</w:t>
      </w:r>
      <w:r>
        <w:rPr>
          <w:rFonts w:ascii="Times New Roman" w:cs="Times New Roman" w:eastAsia="Times New Roman" w:hAnsi="Times New Roman"/>
          <w:sz w:val="18"/>
          <w:szCs w:val="18"/>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176" w:lineRule="exact"/>
        <w:rPr>
          <w:sz w:val="20"/>
          <w:szCs w:val="20"/>
          <w:color w:val="auto"/>
        </w:rPr>
      </w:pPr>
    </w:p>
    <w:p>
      <w:pPr>
        <w:jc w:val="both"/>
        <w:ind w:right="28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76"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Transferability of SARs.</w:t>
      </w:r>
      <w:r>
        <w:rPr>
          <w:rFonts w:ascii="Times New Roman" w:cs="Times New Roman" w:eastAsia="Times New Roman" w:hAnsi="Times New Roman"/>
          <w:sz w:val="18"/>
          <w:szCs w:val="18"/>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83"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AWARDS.</w:t>
      </w:r>
    </w:p>
    <w:p>
      <w:pPr>
        <w:spacing w:after="0" w:line="22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76"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Types of Restricted Stock Awards Authorized.</w:t>
      </w:r>
      <w:r>
        <w:rPr>
          <w:rFonts w:ascii="Times New Roman" w:cs="Times New Roman" w:eastAsia="Times New Roman" w:hAnsi="Times New Roman"/>
          <w:sz w:val="18"/>
          <w:szCs w:val="18"/>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82"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093" w:right="1019" w:bottom="1440" w:gutter="0" w:footer="0" w:header="0"/>
        </w:sectPr>
      </w:pPr>
    </w:p>
    <w:bookmarkStart w:id="22" w:name="page23"/>
    <w:bookmarkEnd w:id="22"/>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72"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155" w:lineRule="exact"/>
        <w:rPr>
          <w:sz w:val="20"/>
          <w:szCs w:val="20"/>
          <w:color w:val="auto"/>
        </w:rPr>
      </w:pPr>
    </w:p>
    <w:p>
      <w:pPr>
        <w:ind w:right="34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Payment of Purchase Price.</w:t>
      </w:r>
      <w:r>
        <w:rPr>
          <w:rFonts w:ascii="Times New Roman" w:cs="Times New Roman" w:eastAsia="Times New Roman" w:hAnsi="Times New Roman"/>
          <w:sz w:val="18"/>
          <w:szCs w:val="18"/>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76"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Vesting and Restrictions on Transfer.</w:t>
      </w:r>
      <w:r>
        <w:rPr>
          <w:rFonts w:ascii="Times New Roman" w:cs="Times New Roman" w:eastAsia="Times New Roman" w:hAnsi="Times New Roman"/>
          <w:sz w:val="18"/>
          <w:szCs w:val="18"/>
          <w:color w:val="auto"/>
        </w:rPr>
        <w:t xml:space="preserve"> Subject to the minimum vesting provisions of Section 5.5,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87"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 Dividends and Distributions.</w:t>
      </w:r>
      <w:r>
        <w:rPr>
          <w:rFonts w:ascii="Times New Roman" w:cs="Times New Roman" w:eastAsia="Times New Roman" w:hAnsi="Times New Roman"/>
          <w:sz w:val="18"/>
          <w:szCs w:val="18"/>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subject to Section 3.7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4.4,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8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85" w:lineRule="exact"/>
        <w:rPr>
          <w:sz w:val="20"/>
          <w:szCs w:val="20"/>
          <w:color w:val="auto"/>
        </w:rPr>
      </w:pPr>
    </w:p>
    <w:p>
      <w:pPr>
        <w:ind w:right="44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Nontransferability of Restricted Stock Award Rights.</w:t>
      </w:r>
      <w:r>
        <w:rPr>
          <w:rFonts w:ascii="Times New Roman" w:cs="Times New Roman" w:eastAsia="Times New Roman" w:hAnsi="Times New Roman"/>
          <w:sz w:val="18"/>
          <w:szCs w:val="18"/>
          <w:color w:val="auto"/>
        </w:rPr>
        <w:t xml:space="preserve"> Rights to acquire shares of Stock pursuant to a Restricted Stock Award shall not be subject in any manner to anticipation, alienation, sale,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3" w:name="page24"/>
    <w:bookmarkEnd w:id="23"/>
    <w:p>
      <w:pPr>
        <w:ind w:right="140"/>
        <w:spacing w:after="0" w:line="266" w:lineRule="auto"/>
        <w:rPr>
          <w:sz w:val="20"/>
          <w:szCs w:val="20"/>
          <w:color w:val="auto"/>
        </w:rPr>
      </w:pPr>
      <w:r>
        <w:rPr>
          <w:rFonts w:ascii="Times New Roman" w:cs="Times New Roman" w:eastAsia="Times New Roman" w:hAnsi="Times New Roman"/>
          <w:sz w:val="18"/>
          <w:szCs w:val="18"/>
          <w:color w:val="auto"/>
        </w:rPr>
        <w:t>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7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29" w:lineRule="exact"/>
        <w:rPr>
          <w:sz w:val="20"/>
          <w:szCs w:val="20"/>
          <w:color w:val="auto"/>
        </w:rPr>
      </w:pPr>
    </w:p>
    <w:p>
      <w:pPr>
        <w:jc w:val="both"/>
        <w:ind w:right="300" w:firstLine="1296"/>
        <w:spacing w:after="0" w:line="266" w:lineRule="auto"/>
        <w:rPr>
          <w:sz w:val="20"/>
          <w:szCs w:val="20"/>
          <w:color w:val="auto"/>
        </w:rPr>
      </w:pPr>
      <w:r>
        <w:rPr>
          <w:rFonts w:ascii="Times New Roman" w:cs="Times New Roman" w:eastAsia="Times New Roman" w:hAnsi="Times New Roman"/>
          <w:sz w:val="18"/>
          <w:szCs w:val="18"/>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 of Restricted Stock Unit Awards.</w:t>
      </w:r>
      <w:r>
        <w:rPr>
          <w:rFonts w:ascii="Times New Roman" w:cs="Times New Roman" w:eastAsia="Times New Roman" w:hAnsi="Times New Roman"/>
          <w:sz w:val="18"/>
          <w:szCs w:val="18"/>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79" w:lineRule="exact"/>
        <w:rPr>
          <w:sz w:val="20"/>
          <w:szCs w:val="20"/>
          <w:color w:val="auto"/>
        </w:rPr>
      </w:pPr>
    </w:p>
    <w:p>
      <w:pPr>
        <w:ind w:right="16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79" w:lineRule="exact"/>
        <w:rPr>
          <w:sz w:val="20"/>
          <w:szCs w:val="20"/>
          <w:color w:val="auto"/>
        </w:rPr>
      </w:pPr>
    </w:p>
    <w:p>
      <w:pPr>
        <w:ind w:right="20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xml:space="preserve"> Subject to the minimum vesting provisions of Section 5.5,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7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Subject to Section 3.7,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4" w:name="page25"/>
    <w:bookmarkEnd w:id="24"/>
    <w:p>
      <w:pPr>
        <w:ind w:right="16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76"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Settlement of Restricted Stock Unit Awards.</w:t>
      </w:r>
      <w:r>
        <w:rPr>
          <w:rFonts w:ascii="Times New Roman" w:cs="Times New Roman" w:eastAsia="Times New Roman" w:hAnsi="Times New Roman"/>
          <w:sz w:val="18"/>
          <w:szCs w:val="18"/>
          <w:color w:val="auto"/>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93"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Nontransferability of Restricted Stock Unit Awards.</w:t>
      </w:r>
      <w:r>
        <w:rPr>
          <w:rFonts w:ascii="Times New Roman" w:cs="Times New Roman" w:eastAsia="Times New Roman" w:hAnsi="Times New Roman"/>
          <w:sz w:val="18"/>
          <w:szCs w:val="18"/>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79"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AWARDS.</w:t>
      </w:r>
    </w:p>
    <w:p>
      <w:pPr>
        <w:spacing w:after="0" w:line="229"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right="20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Types of Performance Awards Authorized.</w:t>
      </w:r>
      <w:r>
        <w:rPr>
          <w:rFonts w:ascii="Times New Roman" w:cs="Times New Roman" w:eastAsia="Times New Roman" w:hAnsi="Times New Roman"/>
          <w:sz w:val="18"/>
          <w:szCs w:val="18"/>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76"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Initial Value of Performance Shares and Performance Units.</w:t>
      </w:r>
      <w:r>
        <w:rPr>
          <w:rFonts w:ascii="Times New Roman" w:cs="Times New Roman" w:eastAsia="Times New Roman" w:hAnsi="Times New Roman"/>
          <w:sz w:val="18"/>
          <w:szCs w:val="18"/>
          <w:color w:val="auto"/>
        </w:rPr>
        <w:t xml:space="preserve">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83" w:lineRule="exact"/>
        <w:rPr>
          <w:sz w:val="20"/>
          <w:szCs w:val="20"/>
          <w:color w:val="auto"/>
        </w:rPr>
      </w:pPr>
    </w:p>
    <w:p>
      <w:pPr>
        <w:ind w:right="56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Establishment of Performance Period, Performance Goals and Performance Award Formula.</w:t>
      </w:r>
      <w:r>
        <w:rPr>
          <w:rFonts w:ascii="Times New Roman" w:cs="Times New Roman" w:eastAsia="Times New Roman" w:hAnsi="Times New Roman"/>
          <w:sz w:val="18"/>
          <w:szCs w:val="18"/>
          <w:color w:val="auto"/>
        </w:rPr>
        <w:t xml:space="preserve"> In granting each Performance Award, the Committee shall establish in writing the applicable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25" w:name="page26"/>
    <w:bookmarkEnd w:id="25"/>
    <w:p>
      <w:pPr>
        <w:ind w:right="140"/>
        <w:spacing w:after="0" w:line="256" w:lineRule="auto"/>
        <w:rPr>
          <w:sz w:val="20"/>
          <w:szCs w:val="20"/>
          <w:color w:val="auto"/>
        </w:rPr>
      </w:pPr>
      <w:r>
        <w:rPr>
          <w:rFonts w:ascii="Times New Roman" w:cs="Times New Roman" w:eastAsia="Times New Roman" w:hAnsi="Times New Roman"/>
          <w:sz w:val="18"/>
          <w:szCs w:val="18"/>
          <w:color w:val="auto"/>
        </w:rPr>
        <w:t>Period (subject to the minimum vesting provisions of Section 5.5), Performance Award Formula and one or more Performance Goals which, when measured at the end of the Performance Period, shall determine on the basis of the Performance Award Formula the final value of the Performance Award to be paid to the Participant. The Committee shall establish the Performance Goal(s) and Performance Award Formula applicable to each Performance Award at a time when the outcome of the Performance Goals remains substantially uncertain. The Company shall notify each Participant granted a Performance Award of the terms of such Award, including the Performance Period, Performance Goal(s) and Performance Award Formula.</w:t>
      </w:r>
    </w:p>
    <w:p>
      <w:pPr>
        <w:spacing w:after="0" w:line="183"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Measurement of Performance Goals.</w:t>
      </w:r>
      <w:r>
        <w:rPr>
          <w:rFonts w:ascii="Times New Roman" w:cs="Times New Roman" w:eastAsia="Times New Roman" w:hAnsi="Times New Roman"/>
          <w:sz w:val="18"/>
          <w:szCs w:val="18"/>
          <w:color w:val="auto"/>
        </w:rPr>
        <w:t xml:space="preserve"> Performance Goals shall be established by the Committee on the basis of targets to be attained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Targets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respect to one or more measures of business or financial performance (each,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subject to the following:</w:t>
      </w:r>
    </w:p>
    <w:p>
      <w:pPr>
        <w:spacing w:after="0" w:line="171" w:lineRule="exact"/>
        <w:rPr>
          <w:sz w:val="20"/>
          <w:szCs w:val="20"/>
          <w:color w:val="auto"/>
        </w:rPr>
      </w:pPr>
    </w:p>
    <w:p>
      <w:pPr>
        <w:ind w:right="20" w:firstLine="1952"/>
        <w:spacing w:after="0" w:line="253" w:lineRule="auto"/>
        <w:tabs>
          <w:tab w:leader="none" w:pos="25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Measures. </w:t>
      </w:r>
      <w:r>
        <w:rPr>
          <w:rFonts w:ascii="Times New Roman" w:cs="Times New Roman" w:eastAsia="Times New Roman" w:hAnsi="Times New Roman"/>
          <w:sz w:val="18"/>
          <w:szCs w:val="18"/>
          <w:color w:val="auto"/>
        </w:rPr>
        <w:t>Performance Measures shall be calculated in accordance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based upon any metrics determined by the Committee.</w:t>
      </w:r>
    </w:p>
    <w:p>
      <w:pPr>
        <w:spacing w:after="0" w:line="185" w:lineRule="exact"/>
        <w:rPr>
          <w:rFonts w:ascii="Times New Roman" w:cs="Times New Roman" w:eastAsia="Times New Roman" w:hAnsi="Times New Roman"/>
          <w:sz w:val="18"/>
          <w:szCs w:val="18"/>
          <w:color w:val="auto"/>
        </w:rPr>
      </w:pPr>
    </w:p>
    <w:p>
      <w:pPr>
        <w:jc w:val="both"/>
        <w:ind w:right="100" w:firstLine="1952"/>
        <w:spacing w:after="0" w:line="259" w:lineRule="auto"/>
        <w:tabs>
          <w:tab w:leader="none" w:pos="25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Targets. </w:t>
      </w:r>
      <w:r>
        <w:rPr>
          <w:rFonts w:ascii="Times New Roman" w:cs="Times New Roman" w:eastAsia="Times New Roman" w:hAnsi="Times New Roman"/>
          <w:sz w:val="18"/>
          <w:szCs w:val="18"/>
          <w:color w:val="auto"/>
        </w:rPr>
        <w:t>Performance Targets may include a minimum, maximum, target level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b w:val="1"/>
          <w:bCs w:val="1"/>
          <w:color w:val="auto"/>
        </w:rPr>
        <w:t>Settlement of Performance Awards.</w:t>
      </w:r>
    </w:p>
    <w:p>
      <w:pPr>
        <w:spacing w:after="0" w:line="225" w:lineRule="exact"/>
        <w:rPr>
          <w:sz w:val="20"/>
          <w:szCs w:val="20"/>
          <w:color w:val="auto"/>
        </w:rPr>
      </w:pPr>
    </w:p>
    <w:p>
      <w:pPr>
        <w:ind w:right="60" w:firstLine="1952"/>
        <w:spacing w:after="0" w:line="262" w:lineRule="auto"/>
        <w:tabs>
          <w:tab w:leader="none" w:pos="25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of Final Value. </w:t>
      </w:r>
      <w:r>
        <w:rPr>
          <w:rFonts w:ascii="Times New Roman" w:cs="Times New Roman" w:eastAsia="Times New Roman" w:hAnsi="Times New Roman"/>
          <w:sz w:val="18"/>
          <w:szCs w:val="18"/>
          <w:color w:val="auto"/>
        </w:rPr>
        <w:t>As soon as practicable following the completion of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applicable to a 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176" w:lineRule="exact"/>
        <w:rPr>
          <w:rFonts w:ascii="Times New Roman" w:cs="Times New Roman" w:eastAsia="Times New Roman" w:hAnsi="Times New Roman"/>
          <w:sz w:val="18"/>
          <w:szCs w:val="18"/>
          <w:color w:val="auto"/>
        </w:rPr>
      </w:pPr>
    </w:p>
    <w:p>
      <w:pPr>
        <w:ind w:firstLine="1952"/>
        <w:spacing w:after="0" w:line="255" w:lineRule="auto"/>
        <w:tabs>
          <w:tab w:leader="none" w:pos="25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Discretionary Adjustment of Award Formula. </w:t>
      </w:r>
      <w:r>
        <w:rPr>
          <w:rFonts w:ascii="Times New Roman" w:cs="Times New Roman" w:eastAsia="Times New Roman" w:hAnsi="Times New Roman"/>
          <w:sz w:val="18"/>
          <w:szCs w:val="18"/>
          <w:color w:val="auto"/>
        </w:rPr>
        <w:t>In its discretion, the Committee may, either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it grants a Performance Award 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w:t>
      </w:r>
    </w:p>
    <w:p>
      <w:pPr>
        <w:spacing w:after="0" w:line="184" w:lineRule="exact"/>
        <w:rPr>
          <w:rFonts w:ascii="Times New Roman" w:cs="Times New Roman" w:eastAsia="Times New Roman" w:hAnsi="Times New Roman"/>
          <w:sz w:val="18"/>
          <w:szCs w:val="18"/>
          <w:color w:val="auto"/>
        </w:rPr>
      </w:pPr>
    </w:p>
    <w:p>
      <w:pPr>
        <w:ind w:right="40" w:firstLine="1952"/>
        <w:spacing w:after="0" w:line="268" w:lineRule="auto"/>
        <w:tabs>
          <w:tab w:leader="none" w:pos="25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 of Leaves of Absence. </w:t>
      </w:r>
      <w:r>
        <w:rPr>
          <w:rFonts w:ascii="Times New Roman" w:cs="Times New Roman" w:eastAsia="Times New Roman" w:hAnsi="Times New Roman"/>
          <w:sz w:val="18"/>
          <w:szCs w:val="18"/>
          <w:color w:val="auto"/>
        </w:rPr>
        <w:t>Unless otherwise required by law or a Participant’s Award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the final value, if any, of a Performance Award held by a Participant who has taken in excess of thirty (30) days in unpaid leaves of absence during a Performance Period shall be prorated on the basis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93" w:right="1019" w:bottom="1440" w:gutter="0" w:footer="0" w:header="0"/>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number of days of the Participant’s Service during the Performance Period during which the Participant was not on an unpaid leave of absence.</w:t>
      </w:r>
    </w:p>
    <w:p>
      <w:pPr>
        <w:spacing w:after="0" w:line="158" w:lineRule="exact"/>
        <w:rPr>
          <w:sz w:val="20"/>
          <w:szCs w:val="20"/>
          <w:color w:val="auto"/>
        </w:rPr>
      </w:pPr>
    </w:p>
    <w:p>
      <w:pPr>
        <w:ind w:right="620" w:firstLine="1952"/>
        <w:spacing w:after="0" w:line="268" w:lineRule="auto"/>
        <w:tabs>
          <w:tab w:leader="none" w:pos="25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 to Participants. </w:t>
      </w:r>
      <w:r>
        <w:rPr>
          <w:rFonts w:ascii="Times New Roman" w:cs="Times New Roman" w:eastAsia="Times New Roman" w:hAnsi="Times New Roman"/>
          <w:sz w:val="18"/>
          <w:szCs w:val="18"/>
          <w:color w:val="auto"/>
        </w:rPr>
        <w:t>As soon as practicable following the Committee’s determination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certification in accordance with Sections 10.5(a) and (b), the Company shall notify each Participant of the determination of the Committee.</w:t>
      </w:r>
    </w:p>
    <w:p>
      <w:pPr>
        <w:spacing w:after="0" w:line="170" w:lineRule="exact"/>
        <w:rPr>
          <w:rFonts w:ascii="Times New Roman" w:cs="Times New Roman" w:eastAsia="Times New Roman" w:hAnsi="Times New Roman"/>
          <w:sz w:val="18"/>
          <w:szCs w:val="18"/>
          <w:color w:val="auto"/>
        </w:rPr>
      </w:pPr>
    </w:p>
    <w:p>
      <w:pPr>
        <w:ind w:firstLine="1952"/>
        <w:spacing w:after="0" w:line="254" w:lineRule="auto"/>
        <w:tabs>
          <w:tab w:leader="none" w:pos="25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in Settlement of Performance Awards. </w:t>
      </w:r>
      <w:r>
        <w:rPr>
          <w:rFonts w:ascii="Times New Roman" w:cs="Times New Roman" w:eastAsia="Times New Roman" w:hAnsi="Times New Roman"/>
          <w:sz w:val="18"/>
          <w:szCs w:val="18"/>
          <w:color w:val="auto"/>
        </w:rPr>
        <w:t>As soon as practicable following the Committee’s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and certification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182" w:lineRule="exact"/>
        <w:rPr>
          <w:rFonts w:ascii="Times New Roman" w:cs="Times New Roman" w:eastAsia="Times New Roman" w:hAnsi="Times New Roman"/>
          <w:sz w:val="18"/>
          <w:szCs w:val="18"/>
          <w:color w:val="auto"/>
        </w:rPr>
      </w:pPr>
    </w:p>
    <w:p>
      <w:pPr>
        <w:ind w:right="100" w:firstLine="1952"/>
        <w:spacing w:after="0" w:line="257" w:lineRule="auto"/>
        <w:tabs>
          <w:tab w:leader="none" w:pos="25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Provisions Applicable to Payment in Shares. </w:t>
      </w:r>
      <w:r>
        <w:rPr>
          <w:rFonts w:ascii="Times New Roman" w:cs="Times New Roman" w:eastAsia="Times New Roman" w:hAnsi="Times New Roman"/>
          <w:sz w:val="18"/>
          <w:szCs w:val="18"/>
          <w:color w:val="auto"/>
        </w:rPr>
        <w:t>If payment is to be made in shares of Stock,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8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subject to Section 3.7 and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93" w:right="1019" w:bottom="1440" w:gutter="0" w:footer="0" w:header="0"/>
        </w:sectPr>
      </w:pPr>
    </w:p>
    <w:bookmarkStart w:id="27" w:name="page28"/>
    <w:bookmarkEnd w:id="27"/>
    <w:p>
      <w:pPr>
        <w:jc w:val="both"/>
        <w:ind w:right="14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171" w:lineRule="exact"/>
        <w:rPr>
          <w:sz w:val="20"/>
          <w:szCs w:val="20"/>
          <w:color w:val="auto"/>
        </w:rPr>
      </w:pPr>
    </w:p>
    <w:p>
      <w:pPr>
        <w:ind w:right="60" w:firstLine="1952"/>
        <w:spacing w:after="0" w:line="259" w:lineRule="auto"/>
        <w:tabs>
          <w:tab w:leader="none" w:pos="25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Death or Disability. </w:t>
      </w:r>
      <w:r>
        <w:rPr>
          <w:rFonts w:ascii="Times New Roman" w:cs="Times New Roman" w:eastAsia="Times New Roman" w:hAnsi="Times New Roman"/>
          <w:sz w:val="18"/>
          <w:szCs w:val="18"/>
          <w:color w:val="auto"/>
        </w:rPr>
        <w:t>If the Participant’s Service terminates because of the death or Disability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79" w:lineRule="exact"/>
        <w:rPr>
          <w:rFonts w:ascii="Times New Roman" w:cs="Times New Roman" w:eastAsia="Times New Roman" w:hAnsi="Times New Roman"/>
          <w:sz w:val="18"/>
          <w:szCs w:val="18"/>
          <w:color w:val="auto"/>
        </w:rPr>
      </w:pPr>
    </w:p>
    <w:p>
      <w:pPr>
        <w:ind w:right="20" w:firstLine="1952"/>
        <w:spacing w:after="0" w:line="257" w:lineRule="auto"/>
        <w:tabs>
          <w:tab w:leader="none" w:pos="25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Termination of Service. </w:t>
      </w:r>
      <w:r>
        <w:rPr>
          <w:rFonts w:ascii="Times New Roman" w:cs="Times New Roman" w:eastAsia="Times New Roman" w:hAnsi="Times New Roman"/>
          <w:sz w:val="18"/>
          <w:szCs w:val="18"/>
          <w:color w:val="auto"/>
        </w:rPr>
        <w:t>If the Participant’s Service terminates for any reason except death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82" w:lineRule="exact"/>
        <w:rPr>
          <w:sz w:val="20"/>
          <w:szCs w:val="20"/>
          <w:color w:val="auto"/>
        </w:rPr>
      </w:pPr>
    </w:p>
    <w:p>
      <w:pPr>
        <w:ind w:right="14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Nontransferability of Performance Awards.</w:t>
      </w:r>
      <w:r>
        <w:rPr>
          <w:rFonts w:ascii="Times New Roman" w:cs="Times New Roman" w:eastAsia="Times New Roman" w:hAnsi="Times New Roman"/>
          <w:sz w:val="18"/>
          <w:szCs w:val="18"/>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79"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CASH-BASED AWARDS AND OTHER STOCK-BASED AWARDS.</w:t>
      </w:r>
    </w:p>
    <w:p>
      <w:pPr>
        <w:spacing w:after="0" w:line="229"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Grant of Cash-Based Awards</w:t>
      </w:r>
      <w:r>
        <w:rPr>
          <w:rFonts w:ascii="Times New Roman" w:cs="Times New Roman" w:eastAsia="Times New Roman" w:hAnsi="Times New Roman"/>
          <w:sz w:val="18"/>
          <w:szCs w:val="18"/>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71" w:lineRule="exact"/>
        <w:rPr>
          <w:sz w:val="20"/>
          <w:szCs w:val="20"/>
          <w:color w:val="auto"/>
        </w:rPr>
      </w:pPr>
    </w:p>
    <w:p>
      <w:pPr>
        <w:ind w:right="1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Grant of Other Stock-Based Awards</w:t>
      </w:r>
      <w:r>
        <w:rPr>
          <w:rFonts w:ascii="Times New Roman" w:cs="Times New Roman" w:eastAsia="Times New Roman" w:hAnsi="Times New Roman"/>
          <w:sz w:val="18"/>
          <w:szCs w:val="18"/>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8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Value of Cash-Based and Other Stock-Based Awards</w:t>
      </w:r>
      <w:r>
        <w:rPr>
          <w:rFonts w:ascii="Times New Roman" w:cs="Times New Roman" w:eastAsia="Times New Roman" w:hAnsi="Times New Roman"/>
          <w:sz w:val="18"/>
          <w:szCs w:val="18"/>
          <w:color w:val="auto"/>
        </w:rPr>
        <w:t>. Each Cash-Based Award shall specify a monetary payment amount or payment range as determined by the Committee. Each Other Stock-Based Award shall be expressed in terms of shares of Stock or units based on such shares of Stock, as determined by the Committee. Subject to the minimum vesting provisions of Section 5.5,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089" w:right="1079" w:bottom="1440" w:gutter="0" w:footer="0" w:header="0"/>
        </w:sectPr>
      </w:pPr>
    </w:p>
    <w:bookmarkStart w:id="28" w:name="page29"/>
    <w:bookmarkEnd w:id="28"/>
    <w:p>
      <w:pPr>
        <w:ind w:right="20"/>
        <w:spacing w:after="0" w:line="282" w:lineRule="auto"/>
        <w:rPr>
          <w:sz w:val="20"/>
          <w:szCs w:val="20"/>
          <w:color w:val="auto"/>
        </w:rPr>
      </w:pPr>
      <w:r>
        <w:rPr>
          <w:rFonts w:ascii="Times New Roman" w:cs="Times New Roman" w:eastAsia="Times New Roman" w:hAnsi="Times New Roman"/>
          <w:sz w:val="18"/>
          <w:szCs w:val="18"/>
          <w:color w:val="auto"/>
        </w:rPr>
        <w:t>Cash-Based Awards or Other Stock-Based Awards that will be paid to the Participant will depend on the extent to which the performance criteria are met.</w:t>
      </w:r>
    </w:p>
    <w:p>
      <w:pPr>
        <w:spacing w:after="0" w:line="158"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Payment or Settlement of Cash-Based Awards and Other Stock-Based Awards</w:t>
      </w:r>
      <w:r>
        <w:rPr>
          <w:rFonts w:ascii="Times New Roman" w:cs="Times New Roman" w:eastAsia="Times New Roman" w:hAnsi="Times New Roman"/>
          <w:sz w:val="18"/>
          <w:szCs w:val="18"/>
          <w:color w:val="auto"/>
        </w:rPr>
        <w:t>. Payment or settlement, if any, with respect to a Cash-Based Award or an Other Stock-Based Award shall be made in accordance with the terms of the Award, in cash, shares of Stock or other securities or any combination thereof as the Committee determines. To the extent applicable, payment or settlement with respect to each Cash-Based Award and Other Stock-Based Award shall be made in compliance with the requirements of Section 409A.</w:t>
      </w:r>
    </w:p>
    <w:p>
      <w:pPr>
        <w:spacing w:after="0" w:line="17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3.7 and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4.4,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85"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79"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Nontransferability of Cash-Based Awards and Other Stock-Based Awards.</w:t>
      </w:r>
      <w:r>
        <w:rPr>
          <w:rFonts w:ascii="Times New Roman" w:cs="Times New Roman" w:eastAsia="Times New Roman" w:hAnsi="Times New Roman"/>
          <w:sz w:val="18"/>
          <w:szCs w:val="18"/>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85"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STANDARD FORMS OF AWARD AGREEMENT.</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Award Agreements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which execution may be evidenced by electronic means.</w:t>
      </w:r>
    </w:p>
    <w:p>
      <w:pPr>
        <w:spacing w:after="0" w:line="176"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Authority to Vary Terms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093" w:right="1019" w:bottom="1440" w:gutter="0" w:footer="0" w:header="0"/>
        </w:sectPr>
      </w:pPr>
    </w:p>
    <w:bookmarkStart w:id="29" w:name="page30"/>
    <w:bookmarkEnd w:id="29"/>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p>
    <w:p>
      <w:pPr>
        <w:spacing w:after="0" w:line="225"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Effect of Change in Control on Nonemployee Director Awards.</w:t>
      </w:r>
      <w:r>
        <w:rPr>
          <w:rFonts w:ascii="Times New Roman" w:cs="Times New Roman" w:eastAsia="Times New Roman" w:hAnsi="Times New Roman"/>
          <w:sz w:val="18"/>
          <w:szCs w:val="18"/>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13.2(a), shall be settled effective immediately prior to the time of consummation of the Change in Control.</w:t>
      </w:r>
    </w:p>
    <w:p>
      <w:pPr>
        <w:spacing w:after="0" w:line="179" w:lineRule="exact"/>
        <w:rPr>
          <w:sz w:val="20"/>
          <w:szCs w:val="20"/>
          <w:color w:val="auto"/>
        </w:rPr>
      </w:pPr>
    </w:p>
    <w:p>
      <w:pPr>
        <w:ind w:right="16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Effect of Change in Control on Awards.</w:t>
      </w:r>
      <w:r>
        <w:rPr>
          <w:rFonts w:ascii="Times New Roman" w:cs="Times New Roman" w:eastAsia="Times New Roman" w:hAnsi="Times New Roman"/>
          <w:sz w:val="18"/>
          <w:szCs w:val="18"/>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Committee may provide pursuant to such agreement for any one or more of the following:</w:t>
      </w:r>
    </w:p>
    <w:p>
      <w:pPr>
        <w:spacing w:after="0" w:line="176" w:lineRule="exact"/>
        <w:rPr>
          <w:sz w:val="20"/>
          <w:szCs w:val="20"/>
          <w:color w:val="auto"/>
        </w:rPr>
      </w:pPr>
    </w:p>
    <w:p>
      <w:pPr>
        <w:ind w:right="40" w:firstLine="1952"/>
        <w:spacing w:after="0" w:line="252" w:lineRule="auto"/>
        <w:tabs>
          <w:tab w:leader="none" w:pos="25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Assumption, Continuation or Substitution. </w:t>
      </w:r>
      <w:r>
        <w:rPr>
          <w:rFonts w:ascii="Times New Roman" w:cs="Times New Roman" w:eastAsia="Times New Roman" w:hAnsi="Times New Roman"/>
          <w:sz w:val="18"/>
          <w:szCs w:val="18"/>
          <w:color w:val="auto"/>
        </w:rPr>
        <w:t>In the event of a Change in Control, the surviving,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continuing, successor, or purchasing corporation or other business entity or parent thereof, as the case may be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94" w:lineRule="exact"/>
        <w:rPr>
          <w:rFonts w:ascii="Times New Roman" w:cs="Times New Roman" w:eastAsia="Times New Roman" w:hAnsi="Times New Roman"/>
          <w:sz w:val="18"/>
          <w:szCs w:val="18"/>
          <w:color w:val="auto"/>
        </w:rPr>
      </w:pPr>
    </w:p>
    <w:p>
      <w:pPr>
        <w:ind w:right="40" w:firstLine="1952"/>
        <w:spacing w:after="0" w:line="253" w:lineRule="auto"/>
        <w:tabs>
          <w:tab w:leader="none" w:pos="25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Cash-Out of Outstanding Stock-Based Awards. </w:t>
      </w:r>
      <w:r>
        <w:rPr>
          <w:rFonts w:ascii="Times New Roman" w:cs="Times New Roman" w:eastAsia="Times New Roman" w:hAnsi="Times New Roman"/>
          <w:sz w:val="18"/>
          <w:szCs w:val="18"/>
          <w:color w:val="auto"/>
        </w:rPr>
        <w:t>The Committee may, in its discretion and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8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Accelerated Vesting of Time-Vesting Awards. </w:t>
      </w:r>
      <w:r>
        <w:rPr>
          <w:rFonts w:ascii="Times New Roman" w:cs="Times New Roman" w:eastAsia="Times New Roman" w:hAnsi="Times New Roman"/>
          <w:sz w:val="18"/>
          <w:szCs w:val="18"/>
          <w:color w:val="auto"/>
        </w:rPr>
        <w:t>The Committee may, in its discretion, provide that if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06" w:lineRule="exact"/>
        <w:rPr>
          <w:rFonts w:ascii="Times New Roman" w:cs="Times New Roman" w:eastAsia="Times New Roman" w:hAnsi="Times New Roman"/>
          <w:sz w:val="18"/>
          <w:szCs w:val="18"/>
          <w:color w:val="auto"/>
        </w:rPr>
      </w:pPr>
    </w:p>
    <w:p>
      <w:pPr>
        <w:ind w:right="160" w:firstLine="2600"/>
        <w:spacing w:after="0" w:line="266" w:lineRule="auto"/>
        <w:tabs>
          <w:tab w:leader="none" w:pos="3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will not assume or continue the Time-Vesting Award or substitute a substantially equivalent award pursuant to Section 13.2(a), in each case for equity securities of the Acquiror which are or promptly will be registered under the Securities Act and tradable on an established United States securities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0" w:name="page31"/>
    <w:bookmarkEnd w:id="30"/>
    <w:p>
      <w:pPr>
        <w:ind w:right="140" w:firstLine="2600"/>
        <w:spacing w:after="0" w:line="266" w:lineRule="auto"/>
        <w:tabs>
          <w:tab w:leader="none" w:pos="3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so assumed, continued or substituted for the Time-Vesting Award, but the Participant’s Service terminates as a result of Involuntary Termination, then the exercisability, vesting and/or settlement of the Time-Vesting Award and shares acquired pursuant thereto will accelerate in full or in part to such extent as the Committee determines.</w:t>
      </w:r>
    </w:p>
    <w:p>
      <w:pPr>
        <w:spacing w:after="0" w:line="17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Accelerated or Pro Rata Settlement of Performance-Vesting Awards. </w:t>
      </w:r>
      <w:r>
        <w:rPr>
          <w:rFonts w:ascii="Times New Roman" w:cs="Times New Roman" w:eastAsia="Times New Roman" w:hAnsi="Times New Roman"/>
          <w:sz w:val="18"/>
          <w:szCs w:val="18"/>
          <w:color w:val="auto"/>
        </w:rPr>
        <w:t>The Committee may, in its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provide that if either:</w:t>
      </w:r>
    </w:p>
    <w:p>
      <w:pPr>
        <w:spacing w:after="0" w:line="206" w:lineRule="exact"/>
        <w:rPr>
          <w:rFonts w:ascii="Times New Roman" w:cs="Times New Roman" w:eastAsia="Times New Roman" w:hAnsi="Times New Roman"/>
          <w:sz w:val="18"/>
          <w:szCs w:val="18"/>
          <w:color w:val="auto"/>
        </w:rPr>
      </w:pPr>
    </w:p>
    <w:p>
      <w:pPr>
        <w:ind w:right="160" w:firstLine="2600"/>
        <w:spacing w:after="0" w:line="266" w:lineRule="auto"/>
        <w:tabs>
          <w:tab w:leader="none" w:pos="3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will not assume or continue the Performance-Vesting Award or substitute a substantially equivalent award pursuant to Section 13.2(a), in each case for equity securities of the Acquiror which are or promptly will be registered under the Securities Act and tradable on an established United States securities exchange, or</w:t>
      </w:r>
    </w:p>
    <w:p>
      <w:pPr>
        <w:spacing w:after="0" w:line="176" w:lineRule="exact"/>
        <w:rPr>
          <w:sz w:val="20"/>
          <w:szCs w:val="20"/>
          <w:color w:val="auto"/>
        </w:rPr>
      </w:pPr>
    </w:p>
    <w:p>
      <w:pPr>
        <w:ind w:right="40" w:firstLine="2600"/>
        <w:spacing w:after="0" w:line="255" w:lineRule="auto"/>
        <w:tabs>
          <w:tab w:leader="none" w:pos="3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so assumed, continued or substituted for the Performance-Vesting Award, but the Participant’s Service terminates as a result of Involuntary Termination, then the exercisability, vesting and/or settlement of the Performance-Vesting Award and shares acquired pursuant thereto will be determined, as specified by the Committee, either (A) based upon the actual achievement of the applicable performance goals(s) under the terms of the Performance-Based Award through the date of the Change in Control or the Involuntary Termination, as applicable or (B) to such extent as would occur under the terms of the Performance-Vesting Award had 100% of the target level of the applicable performance goals(s) been achieved but with the result prorated based on the period of the Participant’s actual Service during the applicable full performance period.</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Federal Excise Tax Under Section 4999 of the Code.</w:t>
      </w:r>
    </w:p>
    <w:p>
      <w:pPr>
        <w:spacing w:after="0" w:line="225" w:lineRule="exact"/>
        <w:rPr>
          <w:sz w:val="20"/>
          <w:szCs w:val="20"/>
          <w:color w:val="auto"/>
        </w:rPr>
      </w:pPr>
    </w:p>
    <w:p>
      <w:pPr>
        <w:ind w:right="60" w:firstLine="1952"/>
        <w:spacing w:after="0" w:line="259" w:lineRule="auto"/>
        <w:tabs>
          <w:tab w:leader="none" w:pos="25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Parachute Payment. </w:t>
      </w:r>
      <w:r>
        <w:rPr>
          <w:rFonts w:ascii="Times New Roman" w:cs="Times New Roman" w:eastAsia="Times New Roman" w:hAnsi="Times New Roman"/>
          <w:sz w:val="18"/>
          <w:szCs w:val="18"/>
          <w:color w:val="auto"/>
        </w:rPr>
        <w:t>If any acceleration of vesting pursuant to an Award and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by Tax Firm. </w:t>
      </w:r>
      <w:r>
        <w:rPr>
          <w:rFonts w:ascii="Times New Roman" w:cs="Times New Roman" w:eastAsia="Times New Roman" w:hAnsi="Times New Roman"/>
          <w:sz w:val="18"/>
          <w:szCs w:val="18"/>
          <w:color w:val="auto"/>
        </w:rPr>
        <w:t>To aid the Participant in making any election called for under</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Times New Roman" w:cs="Times New Roman" w:eastAsia="Times New Roman" w:hAnsi="Times New Roman"/>
          <w:sz w:val="18"/>
          <w:szCs w:val="18"/>
          <w:b w:val="1"/>
          <w:bCs w:val="1"/>
          <w:i w:val="1"/>
          <w:iCs w:val="1"/>
          <w:color w:val="auto"/>
        </w:rPr>
        <w:t>Tax Firm</w:t>
      </w:r>
      <w:r>
        <w:rPr>
          <w:rFonts w:ascii="Times New Roman" w:cs="Times New Roman" w:eastAsia="Times New Roman" w:hAnsi="Times New Roman"/>
          <w:sz w:val="18"/>
          <w:szCs w:val="18"/>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89"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SECURITIES LAW.</w:t>
      </w:r>
    </w:p>
    <w:p>
      <w:pPr>
        <w:spacing w:after="0" w:line="229" w:lineRule="exact"/>
        <w:rPr>
          <w:sz w:val="20"/>
          <w:szCs w:val="20"/>
          <w:color w:val="auto"/>
        </w:rPr>
      </w:pPr>
    </w:p>
    <w:p>
      <w:pPr>
        <w:ind w:right="100" w:firstLine="1296"/>
        <w:spacing w:after="0" w:line="273" w:lineRule="auto"/>
        <w:rPr>
          <w:sz w:val="20"/>
          <w:szCs w:val="20"/>
          <w:color w:val="auto"/>
        </w:rPr>
      </w:pPr>
      <w:r>
        <w:rPr>
          <w:rFonts w:ascii="Times New Roman" w:cs="Times New Roman" w:eastAsia="Times New Roman" w:hAnsi="Times New Roman"/>
          <w:sz w:val="17"/>
          <w:szCs w:val="17"/>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1" w:name="page32"/>
    <w:bookmarkEnd w:id="31"/>
    <w:p>
      <w:pPr>
        <w:ind w:right="120"/>
        <w:spacing w:after="0" w:line="258" w:lineRule="auto"/>
        <w:rPr>
          <w:sz w:val="20"/>
          <w:szCs w:val="20"/>
          <w:color w:val="auto"/>
        </w:rPr>
      </w:pPr>
      <w:r>
        <w:rPr>
          <w:rFonts w:ascii="Times New Roman" w:cs="Times New Roman" w:eastAsia="Times New Roman" w:hAnsi="Times New Roman"/>
          <w:sz w:val="18"/>
          <w:szCs w:val="18"/>
          <w:color w:val="auto"/>
        </w:rPr>
        <w:t>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9"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SECTION 409A.</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Awards Subject to Section 409A.</w:t>
      </w:r>
      <w:r>
        <w:rPr>
          <w:rFonts w:ascii="Times New Roman" w:cs="Times New Roman" w:eastAsia="Times New Roman" w:hAnsi="Times New Roman"/>
          <w:sz w:val="18"/>
          <w:szCs w:val="18"/>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180" w:lineRule="exact"/>
        <w:rPr>
          <w:sz w:val="20"/>
          <w:szCs w:val="20"/>
          <w:color w:val="auto"/>
        </w:rPr>
      </w:pPr>
    </w:p>
    <w:p>
      <w:pPr>
        <w:ind w:right="20" w:firstLine="1952"/>
        <w:spacing w:after="0" w:line="266" w:lineRule="auto"/>
        <w:tabs>
          <w:tab w:leader="none" w:pos="25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75" w:lineRule="exact"/>
        <w:rPr>
          <w:rFonts w:ascii="Times New Roman" w:cs="Times New Roman" w:eastAsia="Times New Roman" w:hAnsi="Times New Roman"/>
          <w:sz w:val="18"/>
          <w:szCs w:val="18"/>
          <w:color w:val="auto"/>
        </w:rPr>
      </w:pPr>
    </w:p>
    <w:p>
      <w:pPr>
        <w:jc w:val="both"/>
        <w:ind w:right="280" w:firstLine="1952"/>
        <w:spacing w:after="0" w:line="261" w:lineRule="auto"/>
        <w:tabs>
          <w:tab w:leader="none" w:pos="25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7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Subject to the provisions of Section 409A, the term “</w:t>
      </w:r>
      <w:r>
        <w:rPr>
          <w:rFonts w:ascii="Times New Roman" w:cs="Times New Roman" w:eastAsia="Times New Roman" w:hAnsi="Times New Roman"/>
          <w:sz w:val="18"/>
          <w:szCs w:val="18"/>
          <w:b w:val="1"/>
          <w:bCs w:val="1"/>
          <w:i w:val="1"/>
          <w:iCs w:val="1"/>
          <w:color w:val="auto"/>
        </w:rPr>
        <w:t>Short-Term Deferral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2½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79" w:lineRule="exact"/>
        <w:rPr>
          <w:sz w:val="20"/>
          <w:szCs w:val="20"/>
          <w:color w:val="auto"/>
        </w:rPr>
      </w:pPr>
    </w:p>
    <w:p>
      <w:pPr>
        <w:ind w:right="32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Deferral and/or Distribution Elections.</w:t>
      </w:r>
      <w:r>
        <w:rPr>
          <w:rFonts w:ascii="Times New Roman" w:cs="Times New Roman" w:eastAsia="Times New Roman" w:hAnsi="Times New Roman"/>
          <w:sz w:val="18"/>
          <w:szCs w:val="18"/>
          <w:color w:val="auto"/>
        </w:rPr>
        <w:t xml:space="preserve"> Except as otherwise permitted or required by Section 409A, the following rules shall apply to any compensation deferral and/or payment elections (each, an “</w:t>
      </w:r>
      <w:r>
        <w:rPr>
          <w:rFonts w:ascii="Times New Roman" w:cs="Times New Roman" w:eastAsia="Times New Roman" w:hAnsi="Times New Roman"/>
          <w:sz w:val="18"/>
          <w:szCs w:val="18"/>
          <w:b w:val="1"/>
          <w:bCs w:val="1"/>
          <w:i w:val="1"/>
          <w:iCs w:val="1"/>
          <w:color w:val="auto"/>
        </w:rPr>
        <w:t>Election</w:t>
      </w:r>
      <w:r>
        <w:rPr>
          <w:rFonts w:ascii="Times New Roman" w:cs="Times New Roman" w:eastAsia="Times New Roman" w:hAnsi="Times New Roman"/>
          <w:sz w:val="18"/>
          <w:szCs w:val="18"/>
          <w:color w:val="auto"/>
        </w:rPr>
        <w:t>”) that may be permitted or required by the Committee pursuant to an Award providing Section 409A Deferred Compensation:</w:t>
      </w:r>
    </w:p>
    <w:p>
      <w:pPr>
        <w:spacing w:after="0" w:line="175" w:lineRule="exact"/>
        <w:rPr>
          <w:sz w:val="20"/>
          <w:szCs w:val="20"/>
          <w:color w:val="auto"/>
        </w:rPr>
      </w:pPr>
    </w:p>
    <w:p>
      <w:pPr>
        <w:ind w:right="100" w:firstLine="1952"/>
        <w:spacing w:after="0" w:line="282" w:lineRule="auto"/>
        <w:tabs>
          <w:tab w:leader="none" w:pos="25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must be in writing and specify the amount of the payment in settlement of an Award being deferred, as well as the time and form of payment as permitted by this Plan.</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shall be made by the end of the Participant’s taxable year prior to the year in which services commence for which an Award may be granted to the Participant.</w:t>
      </w:r>
    </w:p>
    <w:p>
      <w:pPr>
        <w:spacing w:after="0" w:line="161" w:lineRule="exact"/>
        <w:rPr>
          <w:rFonts w:ascii="Times New Roman" w:cs="Times New Roman" w:eastAsia="Times New Roman" w:hAnsi="Times New Roman"/>
          <w:sz w:val="18"/>
          <w:szCs w:val="18"/>
          <w:color w:val="auto"/>
        </w:rPr>
      </w:pPr>
    </w:p>
    <w:p>
      <w:pPr>
        <w:jc w:val="both"/>
        <w:ind w:right="220" w:firstLine="1952"/>
        <w:spacing w:after="0" w:line="266" w:lineRule="auto"/>
        <w:tabs>
          <w:tab w:leader="none" w:pos="25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72" w:lineRule="exact"/>
        <w:rPr>
          <w:sz w:val="20"/>
          <w:szCs w:val="20"/>
          <w:color w:val="auto"/>
        </w:rPr>
      </w:pPr>
    </w:p>
    <w:p>
      <w:pPr>
        <w:ind w:right="32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Subsequent Elections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75" w:lineRule="exact"/>
        <w:rPr>
          <w:sz w:val="20"/>
          <w:szCs w:val="20"/>
          <w:color w:val="auto"/>
        </w:rPr>
      </w:pPr>
    </w:p>
    <w:p>
      <w:pPr>
        <w:ind w:left="2600" w:hanging="648"/>
        <w:spacing w:after="0"/>
        <w:tabs>
          <w:tab w:leader="none" w:pos="2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Election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2" w:name="page33"/>
    <w:bookmarkEnd w:id="32"/>
    <w:p>
      <w:pPr>
        <w:ind w:right="240" w:firstLine="1952"/>
        <w:spacing w:after="0" w:line="266" w:lineRule="auto"/>
        <w:tabs>
          <w:tab w:leader="none" w:pos="25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175" w:lineRule="exact"/>
        <w:rPr>
          <w:rFonts w:ascii="Times New Roman" w:cs="Times New Roman" w:eastAsia="Times New Roman" w:hAnsi="Times New Roman"/>
          <w:sz w:val="18"/>
          <w:szCs w:val="18"/>
          <w:color w:val="auto"/>
        </w:rPr>
      </w:pPr>
    </w:p>
    <w:p>
      <w:pPr>
        <w:ind w:right="80" w:firstLine="1952"/>
        <w:spacing w:after="0" w:line="282" w:lineRule="auto"/>
        <w:tabs>
          <w:tab w:leader="none" w:pos="25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related to a payment pursuant to Section 15.4(a)(iv) shall be made less than twelve (12) months before the date on which such payment would otherwise have been made.</w:t>
      </w:r>
    </w:p>
    <w:p>
      <w:pPr>
        <w:spacing w:after="0" w:line="161" w:lineRule="exact"/>
        <w:rPr>
          <w:rFonts w:ascii="Times New Roman" w:cs="Times New Roman" w:eastAsia="Times New Roman" w:hAnsi="Times New Roman"/>
          <w:sz w:val="18"/>
          <w:szCs w:val="18"/>
          <w:color w:val="auto"/>
        </w:rPr>
      </w:pPr>
    </w:p>
    <w:p>
      <w:pPr>
        <w:ind w:right="120" w:firstLine="1952"/>
        <w:spacing w:after="0" w:line="261" w:lineRule="auto"/>
        <w:tabs>
          <w:tab w:leader="none" w:pos="25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b w:val="1"/>
          <w:bCs w:val="1"/>
          <w:color w:val="auto"/>
        </w:rPr>
        <w:t>Payment of Section 409A Deferred Compensation</w:t>
      </w:r>
      <w:r>
        <w:rPr>
          <w:rFonts w:ascii="Times New Roman" w:cs="Times New Roman" w:eastAsia="Times New Roman" w:hAnsi="Times New Roman"/>
          <w:sz w:val="17"/>
          <w:szCs w:val="17"/>
          <w:b w:val="1"/>
          <w:bCs w:val="1"/>
          <w:i w:val="1"/>
          <w:iCs w:val="1"/>
          <w:color w:val="auto"/>
        </w:rPr>
        <w:t>.</w:t>
      </w:r>
    </w:p>
    <w:p>
      <w:pPr>
        <w:spacing w:after="0" w:line="225" w:lineRule="exact"/>
        <w:rPr>
          <w:sz w:val="20"/>
          <w:szCs w:val="20"/>
          <w:color w:val="auto"/>
        </w:rPr>
      </w:pPr>
    </w:p>
    <w:p>
      <w:pPr>
        <w:ind w:right="360" w:firstLine="1952"/>
        <w:spacing w:after="0" w:line="268" w:lineRule="auto"/>
        <w:tabs>
          <w:tab w:leader="none" w:pos="25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Permissible Payments. </w:t>
      </w:r>
      <w:r>
        <w:rPr>
          <w:rFonts w:ascii="Times New Roman" w:cs="Times New Roman" w:eastAsia="Times New Roman" w:hAnsi="Times New Roman"/>
          <w:sz w:val="18"/>
          <w:szCs w:val="18"/>
          <w:color w:val="auto"/>
        </w:rPr>
        <w:t>Except as otherwise permitted or required by Section 409A,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Section 409A Deferred Compensation must provide for payment in settlement of the Award only upon one or more of the following:</w:t>
      </w:r>
    </w:p>
    <w:p>
      <w:pPr>
        <w:spacing w:after="0" w:line="17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“separation from service” (as defined by Section 409A);</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becoming “disabled” (as defined by Section 409A);</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225" w:lineRule="exact"/>
        <w:rPr>
          <w:rFonts w:ascii="Times New Roman" w:cs="Times New Roman" w:eastAsia="Times New Roman" w:hAnsi="Times New Roman"/>
          <w:sz w:val="18"/>
          <w:szCs w:val="18"/>
          <w:color w:val="auto"/>
        </w:rPr>
      </w:pPr>
    </w:p>
    <w:p>
      <w:pPr>
        <w:jc w:val="both"/>
        <w:ind w:right="160" w:firstLine="2600"/>
        <w:spacing w:after="0" w:line="266" w:lineRule="auto"/>
        <w:tabs>
          <w:tab w:leader="none" w:pos="3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7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or effective control or the Company or in the ownership of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portion of the assets of the Company determined in accordance with Section 409A; or</w:t>
      </w:r>
    </w:p>
    <w:p>
      <w:pPr>
        <w:spacing w:after="0" w:line="206"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“unforeseeable emergency” (as defined by Section 409A).</w:t>
      </w:r>
    </w:p>
    <w:p>
      <w:pPr>
        <w:spacing w:after="0" w:line="221" w:lineRule="exact"/>
        <w:rPr>
          <w:rFonts w:ascii="Times New Roman" w:cs="Times New Roman" w:eastAsia="Times New Roman" w:hAnsi="Times New Roman"/>
          <w:sz w:val="18"/>
          <w:szCs w:val="18"/>
          <w:color w:val="auto"/>
        </w:rPr>
      </w:pPr>
    </w:p>
    <w:p>
      <w:pPr>
        <w:ind w:right="260" w:firstLine="1952"/>
        <w:spacing w:after="0" w:line="268" w:lineRule="auto"/>
        <w:tabs>
          <w:tab w:leader="none" w:pos="25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Installment Payments</w:t>
      </w:r>
      <w:r>
        <w:rPr>
          <w:rFonts w:ascii="Times New Roman" w:cs="Times New Roman" w:eastAsia="Times New Roman" w:hAnsi="Times New Roman"/>
          <w:sz w:val="18"/>
          <w:szCs w:val="18"/>
          <w:color w:val="auto"/>
        </w:rPr>
        <w:t>. It is the intent of this Plan that any right of a Participant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installment payments (within the meaning of Section 409A) shall, for all purposes of Section 409A, be treated as a right to a series of separate payments.</w:t>
      </w:r>
    </w:p>
    <w:p>
      <w:pPr>
        <w:spacing w:after="0" w:line="170" w:lineRule="exact"/>
        <w:rPr>
          <w:rFonts w:ascii="Times New Roman" w:cs="Times New Roman" w:eastAsia="Times New Roman" w:hAnsi="Times New Roman"/>
          <w:sz w:val="18"/>
          <w:szCs w:val="18"/>
          <w:color w:val="auto"/>
        </w:rPr>
      </w:pPr>
    </w:p>
    <w:p>
      <w:pPr>
        <w:ind w:right="40" w:firstLine="1952"/>
        <w:spacing w:after="0" w:line="256" w:lineRule="auto"/>
        <w:tabs>
          <w:tab w:leader="none" w:pos="25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Required Delay in Payment to Specified Employee Pursuant to Separation from Service. </w:t>
      </w:r>
      <w:r>
        <w:rPr>
          <w:rFonts w:ascii="Times New Roman" w:cs="Times New Roman" w:eastAsia="Times New Roman" w:hAnsi="Times New Roman"/>
          <w:sz w:val="18"/>
          <w:szCs w:val="18"/>
          <w:color w:val="auto"/>
        </w:rPr>
        <w:t xml:space="preserve">Notwithstanding any provision of the Plan 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82" w:lineRule="exact"/>
        <w:rPr>
          <w:rFonts w:ascii="Times New Roman" w:cs="Times New Roman" w:eastAsia="Times New Roman" w:hAnsi="Times New Roman"/>
          <w:sz w:val="18"/>
          <w:szCs w:val="18"/>
          <w:color w:val="auto"/>
        </w:rPr>
      </w:pPr>
    </w:p>
    <w:p>
      <w:pPr>
        <w:ind w:firstLine="1952"/>
        <w:spacing w:after="0" w:line="259" w:lineRule="auto"/>
        <w:tabs>
          <w:tab w:leader="none" w:pos="25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Upon Disability. </w:t>
      </w:r>
      <w:r>
        <w:rPr>
          <w:rFonts w:ascii="Times New Roman" w:cs="Times New Roman" w:eastAsia="Times New Roman" w:hAnsi="Times New Roman"/>
          <w:sz w:val="18"/>
          <w:szCs w:val="18"/>
          <w:color w:val="auto"/>
        </w:rPr>
        <w:t>All distributions of Section 409A Deferred Compensation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upon the determination that the Participant has become disabled.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093" w:right="1059" w:bottom="1440" w:gutter="0" w:footer="0" w:header="0"/>
        </w:sectPr>
      </w:pPr>
    </w:p>
    <w:bookmarkStart w:id="33" w:name="page34"/>
    <w:bookmarkEnd w:id="33"/>
    <w:p>
      <w:pPr>
        <w:ind w:right="240" w:firstLine="1952"/>
        <w:spacing w:after="0" w:line="257" w:lineRule="auto"/>
        <w:tabs>
          <w:tab w:leader="none" w:pos="259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Payment Upon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Participant dies before complete distribution of amounts payable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82" w:lineRule="exact"/>
        <w:rPr>
          <w:rFonts w:ascii="Times New Roman" w:cs="Times New Roman" w:eastAsia="Times New Roman" w:hAnsi="Times New Roman"/>
          <w:sz w:val="18"/>
          <w:szCs w:val="18"/>
          <w:color w:val="auto"/>
        </w:rPr>
      </w:pPr>
    </w:p>
    <w:p>
      <w:pPr>
        <w:ind w:right="80" w:firstLine="1952"/>
        <w:spacing w:after="0" w:line="254" w:lineRule="auto"/>
        <w:tabs>
          <w:tab w:leader="none" w:pos="259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Upon Change in Control. </w:t>
      </w:r>
      <w:r>
        <w:rPr>
          <w:rFonts w:ascii="Times New Roman" w:cs="Times New Roman" w:eastAsia="Times New Roman" w:hAnsi="Times New Roman"/>
          <w:sz w:val="18"/>
          <w:szCs w:val="18"/>
          <w:color w:val="auto"/>
        </w:rPr>
        <w:t>Notwithstanding any provision of the Plan or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13.2(a)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185" w:lineRule="exact"/>
        <w:rPr>
          <w:rFonts w:ascii="Times New Roman" w:cs="Times New Roman" w:eastAsia="Times New Roman" w:hAnsi="Times New Roman"/>
          <w:sz w:val="18"/>
          <w:szCs w:val="18"/>
          <w:color w:val="auto"/>
        </w:rPr>
      </w:pPr>
    </w:p>
    <w:p>
      <w:pPr>
        <w:ind w:firstLine="1952"/>
        <w:spacing w:after="0" w:line="263" w:lineRule="auto"/>
        <w:tabs>
          <w:tab w:leader="none" w:pos="259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Upon Unforeseeable Emergency. </w:t>
      </w:r>
      <w:r>
        <w:rPr>
          <w:rFonts w:ascii="Times New Roman" w:cs="Times New Roman" w:eastAsia="Times New Roman" w:hAnsi="Times New Roman"/>
          <w:sz w:val="18"/>
          <w:szCs w:val="18"/>
          <w:color w:val="auto"/>
        </w:rPr>
        <w:t>The Committee shall have the authority to provide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Agreement evidencing any Award providing for Section 409A Deferred Compensation for payment pursuant to Section 15.4(a)</w:t>
      </w:r>
    </w:p>
    <w:p>
      <w:pPr>
        <w:ind w:right="20" w:firstLine="8"/>
        <w:spacing w:after="0" w:line="251" w:lineRule="auto"/>
        <w:tabs>
          <w:tab w:leader="none" w:pos="3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88" w:lineRule="exact"/>
        <w:rPr>
          <w:rFonts w:ascii="Times New Roman" w:cs="Times New Roman" w:eastAsia="Times New Roman" w:hAnsi="Times New Roman"/>
          <w:sz w:val="18"/>
          <w:szCs w:val="18"/>
          <w:color w:val="auto"/>
        </w:rPr>
      </w:pPr>
    </w:p>
    <w:p>
      <w:pPr>
        <w:jc w:val="both"/>
        <w:ind w:right="180" w:firstLine="1952"/>
        <w:spacing w:after="0" w:line="268" w:lineRule="auto"/>
        <w:tabs>
          <w:tab w:leader="none" w:pos="259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Prohibition of Acceleration of Payments. </w:t>
      </w:r>
      <w:r>
        <w:rPr>
          <w:rFonts w:ascii="Times New Roman" w:cs="Times New Roman" w:eastAsia="Times New Roman" w:hAnsi="Times New Roman"/>
          <w:sz w:val="18"/>
          <w:szCs w:val="18"/>
          <w:color w:val="auto"/>
        </w:rPr>
        <w:t>Notwithstanding any provision of the Plan or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to the contrary, this Plan does not permit the acceleration of the time or schedule of any payment under an Award providing Section 409A Deferred Compensation, except as permitted by Section 409A.</w:t>
      </w:r>
    </w:p>
    <w:p>
      <w:pPr>
        <w:spacing w:after="0" w:line="170" w:lineRule="exact"/>
        <w:rPr>
          <w:rFonts w:ascii="Times New Roman" w:cs="Times New Roman" w:eastAsia="Times New Roman" w:hAnsi="Times New Roman"/>
          <w:sz w:val="18"/>
          <w:szCs w:val="18"/>
          <w:color w:val="auto"/>
        </w:rPr>
      </w:pPr>
    </w:p>
    <w:p>
      <w:pPr>
        <w:ind w:right="180" w:firstLine="1952"/>
        <w:spacing w:after="0" w:line="268" w:lineRule="auto"/>
        <w:tabs>
          <w:tab w:leader="none" w:pos="259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Representation Regarding Section 409A Compliance</w:t>
      </w:r>
      <w:r>
        <w:rPr>
          <w:rFonts w:ascii="Times New Roman" w:cs="Times New Roman" w:eastAsia="Times New Roman" w:hAnsi="Times New Roman"/>
          <w:sz w:val="18"/>
          <w:szCs w:val="18"/>
          <w:color w:val="auto"/>
        </w:rPr>
        <w:t>. Notwithstanding any other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the Company makes no representation that Awards shall be exempt from or comply with Section 409A. No Participating Company shall be liable for any tax, penalty or interest imposed on a Participant by Section 409A.</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p>
    <w:p>
      <w:pPr>
        <w:spacing w:after="0" w:line="225"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Tax Withholding in General.</w:t>
      </w:r>
      <w:r>
        <w:rPr>
          <w:rFonts w:ascii="Times New Roman" w:cs="Times New Roman" w:eastAsia="Times New Roman" w:hAnsi="Times New Roman"/>
          <w:sz w:val="18"/>
          <w:szCs w:val="18"/>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4" w:name="page35"/>
    <w:bookmarkEnd w:id="34"/>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in or Directed Sale of Shares.</w:t>
      </w:r>
      <w:r>
        <w:rPr>
          <w:rFonts w:ascii="Times New Roman" w:cs="Times New Roman" w:eastAsia="Times New Roman" w:hAnsi="Times New Roman"/>
          <w:sz w:val="18"/>
          <w:szCs w:val="18"/>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8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SUSPENSION OR TERMINATION OF PLAN.</w:t>
      </w:r>
    </w:p>
    <w:p>
      <w:pPr>
        <w:spacing w:after="0" w:line="22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4.3 and 4.4),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86"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Repurchase Rights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b w:val="1"/>
          <w:bCs w:val="1"/>
          <w:color w:val="auto"/>
        </w:rPr>
        <w:t>Forfeiture Events.</w:t>
      </w:r>
    </w:p>
    <w:p>
      <w:pPr>
        <w:spacing w:after="0" w:line="229" w:lineRule="exact"/>
        <w:rPr>
          <w:sz w:val="20"/>
          <w:szCs w:val="20"/>
          <w:color w:val="auto"/>
        </w:rPr>
      </w:pPr>
    </w:p>
    <w:p>
      <w:pPr>
        <w:ind w:firstLine="1952"/>
        <w:spacing w:after="0" w:line="255" w:lineRule="auto"/>
        <w:tabs>
          <w:tab w:leader="none" w:pos="25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188" w:lineRule="exact"/>
        <w:rPr>
          <w:rFonts w:ascii="Times New Roman" w:cs="Times New Roman" w:eastAsia="Times New Roman" w:hAnsi="Times New Roman"/>
          <w:sz w:val="18"/>
          <w:szCs w:val="18"/>
          <w:color w:val="auto"/>
        </w:rPr>
      </w:pPr>
    </w:p>
    <w:p>
      <w:pPr>
        <w:ind w:right="160" w:firstLine="1952"/>
        <w:spacing w:after="0" w:line="261" w:lineRule="auto"/>
        <w:tabs>
          <w:tab w:leader="none" w:pos="25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5" w:name="page36"/>
    <w:bookmarkEnd w:id="35"/>
    <w:p>
      <w:pPr>
        <w:ind w:right="40"/>
        <w:spacing w:after="0" w:line="258" w:lineRule="auto"/>
        <w:rPr>
          <w:sz w:val="20"/>
          <w:szCs w:val="20"/>
          <w:color w:val="auto"/>
        </w:rPr>
      </w:pPr>
      <w:r>
        <w:rPr>
          <w:rFonts w:ascii="Times New Roman" w:cs="Times New Roman" w:eastAsia="Times New Roman" w:hAnsi="Times New Roman"/>
          <w:sz w:val="18"/>
          <w:szCs w:val="18"/>
          <w:color w:val="auto"/>
        </w:rPr>
        <w:t>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w:t>
      </w:r>
    </w:p>
    <w:p>
      <w:pPr>
        <w:spacing w:after="0" w:line="179" w:lineRule="exact"/>
        <w:rPr>
          <w:sz w:val="20"/>
          <w:szCs w:val="20"/>
          <w:color w:val="auto"/>
        </w:rPr>
      </w:pPr>
    </w:p>
    <w:p>
      <w:pPr>
        <w:ind w:right="26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Provision of Information.</w:t>
      </w:r>
      <w:r>
        <w:rPr>
          <w:rFonts w:ascii="Times New Roman" w:cs="Times New Roman" w:eastAsia="Times New Roman" w:hAnsi="Times New Roman"/>
          <w:sz w:val="18"/>
          <w:szCs w:val="18"/>
          <w:color w:val="auto"/>
        </w:rPr>
        <w:t xml:space="preserve"> Each Participant shall be given access to information concerning the Company equivalent to that information generally made available to the Company’s common stockholders.</w:t>
      </w:r>
    </w:p>
    <w:p>
      <w:pPr>
        <w:spacing w:after="0" w:line="155"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b w:val="1"/>
          <w:bCs w:val="1"/>
          <w:color w:val="auto"/>
        </w:rPr>
        <w:t>Rights as Employee, Consultant or Director.</w:t>
      </w:r>
      <w:r>
        <w:rPr>
          <w:rFonts w:ascii="Times New Roman" w:cs="Times New Roman" w:eastAsia="Times New Roman" w:hAnsi="Times New Roman"/>
          <w:sz w:val="18"/>
          <w:szCs w:val="18"/>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83"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176"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b w:val="1"/>
          <w:bCs w:val="1"/>
          <w:color w:val="auto"/>
        </w:rPr>
        <w:t>Delivery of Title to Shares.</w:t>
      </w:r>
      <w:r>
        <w:rPr>
          <w:rFonts w:ascii="Times New Roman" w:cs="Times New Roman" w:eastAsia="Times New Roman" w:hAnsi="Times New Roman"/>
          <w:sz w:val="18"/>
          <w:szCs w:val="18"/>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79" w:lineRule="exact"/>
        <w:rPr>
          <w:sz w:val="20"/>
          <w:szCs w:val="20"/>
          <w:color w:val="auto"/>
        </w:rPr>
      </w:pPr>
    </w:p>
    <w:p>
      <w:pPr>
        <w:ind w:right="6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xml:space="preserve"> The Company shall not be required to issue fractional shares upon the exercise or settlement of any Award.</w:t>
      </w:r>
    </w:p>
    <w:p>
      <w:pPr>
        <w:spacing w:after="0" w:line="155"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b w:val="1"/>
          <w:bCs w:val="1"/>
          <w:color w:val="auto"/>
        </w:rPr>
        <w:t>Retirement and Welfare Plans</w:t>
      </w:r>
      <w:r>
        <w:rPr>
          <w:rFonts w:ascii="Times New Roman" w:cs="Times New Roman" w:eastAsia="Times New Roman" w:hAnsi="Times New Roman"/>
          <w:sz w:val="18"/>
          <w:szCs w:val="18"/>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176"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85" w:lineRule="exact"/>
        <w:rPr>
          <w:sz w:val="20"/>
          <w:szCs w:val="20"/>
          <w:color w:val="auto"/>
        </w:rPr>
      </w:pPr>
    </w:p>
    <w:p>
      <w:pPr>
        <w:ind w:right="28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6" w:name="page37"/>
    <w:bookmarkEnd w:id="36"/>
    <w:p>
      <w:pPr>
        <w:ind w:right="2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b w:val="1"/>
          <w:bCs w:val="1"/>
          <w:color w:val="auto"/>
        </w:rPr>
        <w:t>No Constraint on Corporate Action.</w:t>
      </w:r>
      <w:r>
        <w:rPr>
          <w:rFonts w:ascii="Times New Roman" w:cs="Times New Roman" w:eastAsia="Times New Roman" w:hAnsi="Times New Roman"/>
          <w:sz w:val="18"/>
          <w:szCs w:val="18"/>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7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b w:val="1"/>
          <w:bCs w:val="1"/>
          <w:color w:val="auto"/>
        </w:rPr>
        <w:t>Unfunded Obligation.</w:t>
      </w:r>
      <w:r>
        <w:rPr>
          <w:rFonts w:ascii="Times New Roman" w:cs="Times New Roman" w:eastAsia="Times New Roman" w:hAnsi="Times New Roman"/>
          <w:sz w:val="18"/>
          <w:szCs w:val="18"/>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85" w:lineRule="exact"/>
        <w:rPr>
          <w:sz w:val="20"/>
          <w:szCs w:val="20"/>
          <w:color w:val="auto"/>
        </w:rPr>
      </w:pPr>
    </w:p>
    <w:p>
      <w:pPr>
        <w:ind w:right="40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xml:space="preserve"> Except to the extent governed by applicable federal law, the validity, interpretation, construction and performance of the Plan and each Award Agreement shall be governed by the laws of the State of Arizona, without regard to its conflict of law rules.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37" w:name="page38"/>
    <w:bookmarkEnd w:id="37"/>
    <w:p>
      <w:pPr>
        <w:ind w:left="900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9"/>
          <w:szCs w:val="29"/>
          <w:b w:val="1"/>
          <w:bCs w:val="1"/>
          <w:color w:val="auto"/>
        </w:rPr>
        <w:t>GRAND CANYON EDUCATION, INC.</w:t>
      </w:r>
    </w:p>
    <w:p>
      <w:pPr>
        <w:spacing w:after="0" w:line="4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RESTRICTED STOCK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Grand Canyon Education, Inc.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granted to the Participant named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which this Restricted Stock Agreement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attached an Award consisting of Shares subject to the terms and conditions set forth in the Grant Notice and this Agreement. The Award has been granted pursuant to and shall in all respects be subject to the terms and conditions of the Grand Canyon Education, Inc. 2026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85"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2"/>
          <w:szCs w:val="12"/>
          <w:b w:val="1"/>
          <w:bCs w:val="1"/>
          <w:u w:val="single" w:color="auto"/>
          <w:color w:val="auto"/>
        </w:rPr>
        <w:t>efinitions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onstruction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defined herein, capitalized terms shall have the meanings assigned to such terms in the Grant Notice or the Plan.</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2"/>
          <w:szCs w:val="12"/>
          <w:b w:val="1"/>
          <w:bCs w:val="1"/>
          <w:u w:val="single" w:color="auto"/>
          <w:color w:val="auto"/>
        </w:rPr>
        <w:t>dministration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2"/>
          <w:szCs w:val="12"/>
          <w:b w:val="1"/>
          <w:bCs w:val="1"/>
          <w:u w:val="single" w:color="auto"/>
          <w:color w:val="auto"/>
        </w:rPr>
        <w: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2"/>
          <w:szCs w:val="12"/>
          <w:b w:val="1"/>
          <w:bCs w:val="1"/>
          <w:u w:val="single" w:color="auto"/>
          <w:color w:val="auto"/>
        </w:rPr>
        <w:t>ward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Grant and Issuance of Shares.</w:t>
      </w:r>
      <w:r>
        <w:rPr>
          <w:rFonts w:ascii="Times New Roman" w:cs="Times New Roman" w:eastAsia="Times New Roman" w:hAnsi="Times New Roman"/>
          <w:sz w:val="18"/>
          <w:szCs w:val="18"/>
          <w:color w:val="auto"/>
        </w:rPr>
        <w:t xml:space="preserve"> On the Date of Grant, the Participant shall acquire and the Company shall issue, subject to the provisions of this Agreement, a number of Shares equal to the Total Number of Shares, subject to adjustment as provided in Section 9. As a condition to the issuance of the Shares, the Participant shall execute and deliver the Grant Notice to the Company, and, if required by the Company, an Assignment Separate from Certificate duly endorsed (with date and number of shares blank) in the form provided by the Company.</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No Monetary Payment Required.</w:t>
      </w:r>
      <w:r>
        <w:rPr>
          <w:rFonts w:ascii="Times New Roman" w:cs="Times New Roman" w:eastAsia="Times New Roman" w:hAnsi="Times New Roman"/>
          <w:sz w:val="18"/>
          <w:szCs w:val="18"/>
          <w:color w:val="auto"/>
        </w:rPr>
        <w:t xml:space="preserve"> The Participant is not required to make any monetary payment (other than to satisfy applicable tax withholding, if any, with respect to the issuance or vesting of the Shares) as a condition to receiving the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issued pursuant to the Award.</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Beneficial Ownership of Shares; Certificate Registration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 of which the Company has notice any or all Shares which are no longer subject to such Escrow. Except as provided by the foregoing, a certificate for the Shares shall be registered in the name of the Participant, or, if applicable, in the names of the heirs of the Participant.</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Issuance of Shares in Compliance with Law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8"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w:t>
      </w:r>
      <w:r>
        <w:rPr>
          <w:rFonts w:ascii="Times New Roman" w:cs="Times New Roman" w:eastAsia="Times New Roman" w:hAnsi="Times New Roman"/>
          <w:sz w:val="12"/>
          <w:szCs w:val="12"/>
          <w:b w:val="1"/>
          <w:bCs w:val="1"/>
          <w:u w:val="single" w:color="auto"/>
          <w:color w:val="auto"/>
        </w:rPr>
        <w:t>esting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Shares acquired pursuant to this Agreement shall become Vested Shares as provided in the Grant Notice. For purposes of determining the number of Vested Shares following an Ownership Change Event, credited Service shall include all Service with any corporation which is a Participating Company at the time the Service is rendered, whether or not such corporation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 Participating Company both before and after the Ownership Change Event.</w:t>
      </w:r>
    </w:p>
    <w:p>
      <w:pPr>
        <w:spacing w:after="0" w:line="221"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ight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Grant of Company Reacquisition Right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Except to the extent otherwise provided by the Superseding Agreement, if any, 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Shares which are not Vested Shares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Participant shall forfeit and the Company shall automatically reacquire the Unvested Shares, and the Participant shall not be entitled to any payment therefor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Reacquisition Right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Ownership Change Event, Non-Cash Dividends, Distributions and Adjustments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to 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dividend, distribution or adjustment, as the case may be. For purposes of determining the number of Vested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18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Forfeiture of Cash Dividends and Distributions.</w:t>
      </w:r>
      <w:r>
        <w:rPr>
          <w:rFonts w:ascii="Times New Roman" w:cs="Times New Roman" w:eastAsia="Times New Roman" w:hAnsi="Times New Roman"/>
          <w:sz w:val="18"/>
          <w:szCs w:val="18"/>
          <w:color w:val="auto"/>
        </w:rPr>
        <w:t xml:space="preserve"> All dividends and other distributions payable in cash with respect to Unvested Shares shall be subject to the same Vesting Conditions set forth in the Grant Notice as the Shares with respect to which such dividends or distributions are payable. Until such Unvested Shares become Vested Shares, any such related cash dividends and distributions shall be included in the term “Unvested Shares” and shall be subject to the Escrow described in Section 6 and the Company Reacquisition Right upon the Participant’s termination of Service to the same extent as the related Unvested Shares.</w:t>
      </w:r>
    </w:p>
    <w:p>
      <w:pPr>
        <w:spacing w:after="0" w:line="179"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2"/>
          <w:szCs w:val="12"/>
          <w:b w:val="1"/>
          <w:bCs w:val="1"/>
          <w:u w:val="single" w:color="auto"/>
          <w:color w:val="auto"/>
        </w:rPr>
        <w:t>scrow</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Appointment of Agent.</w:t>
      </w:r>
      <w:r>
        <w:rPr>
          <w:rFonts w:ascii="Times New Roman" w:cs="Times New Roman" w:eastAsia="Times New Roman" w:hAnsi="Times New Roman"/>
          <w:sz w:val="18"/>
          <w:szCs w:val="18"/>
          <w:color w:val="auto"/>
        </w:rPr>
        <w:t xml:space="preserve"> To ensure that Shares (including and any cash dividends or distributions as provided by Section 5.3) subject to the Company Reacquisition Right will be available for reacquisition, the Participant and the Company hereby appoint the Secretary of the Company, or any other person designated by the Company, as their agent and as attorney-in-fact for the Participant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to 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Establishment of Escrow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Participant authorizes the Company to deposit the Unvested Shares with the Company’s transfer agent to be held in book entry form, as provided in Section 3.3, and the Participant agrees to deliver to and deposit with the Agent each certificate, if any, evidencing the Shares and, if required by the Company, an Assignment Separate from Certificate with respect to such book entry shares and each such certificate duly endorsed (with date and number of Shares blank) in the form attached to this Agreement, to be held by the Agent under the terms and conditions of this Section 6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Escrow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to which the Participant is entitled by reason of his or her ownership of the Shares that remain, following such Ownership Change Event, dividend, distribution or change described in Section 9, subject to the Company Reacquisition Right shall be immediately subject to the Escrow to the same extent as the Shares immediately before such event. The Company shall bear the expenses of the Escrow.</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Delivery of Shares to Participant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Escrow shall continue with respect to any Shares for so long as such Shares remain subject to the Company Reacquisition Right. Upon termination of the Company Reacquisition Right with respect to Shares, the Company shall so notify the Agent and direct the Agent to deliver such number of Shares (and any related cash dividends or distributions payable with respect to such Shares) to the Participant. As soon as practicable after receipt of such notice, the Agent shall cause the Shares (and any related cash dividends or distributions payable with respect to such Shares) specified by such notice to be delivered to the Participant, and the Escrow shall terminate with respect to such Shares.</w:t>
      </w:r>
    </w:p>
    <w:p>
      <w:pPr>
        <w:spacing w:after="0" w:line="182"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2"/>
          <w:szCs w:val="12"/>
          <w:b w:val="1"/>
          <w:bCs w:val="1"/>
          <w:u w:val="single" w:color="auto"/>
          <w:color w:val="auto"/>
        </w:rPr>
        <w: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2"/>
          <w:szCs w:val="12"/>
          <w:b w:val="1"/>
          <w:bCs w:val="1"/>
          <w:u w:val="single" w:color="auto"/>
          <w:color w:val="auto"/>
        </w:rPr>
        <w:t>atters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Tax Withholding.</w:t>
      </w:r>
    </w:p>
    <w:p>
      <w:pPr>
        <w:spacing w:after="0" w:line="225" w:lineRule="exact"/>
        <w:rPr>
          <w:sz w:val="20"/>
          <w:szCs w:val="20"/>
          <w:color w:val="auto"/>
        </w:rPr>
      </w:pPr>
    </w:p>
    <w:p>
      <w:pPr>
        <w:jc w:val="both"/>
        <w:ind w:firstLine="1952"/>
        <w:spacing w:after="0" w:line="255" w:lineRule="auto"/>
        <w:tabs>
          <w:tab w:leader="none" w:pos="25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 General. </w:t>
      </w:r>
      <w:r>
        <w:rPr>
          <w:rFonts w:ascii="Times New Roman" w:cs="Times New Roman" w:eastAsia="Times New Roman" w:hAnsi="Times New Roman"/>
          <w:sz w:val="18"/>
          <w:szCs w:val="18"/>
          <w:color w:val="auto"/>
        </w:rPr>
        <w:t>At the time the Grant Notice is executed, or at any time thereafter as requested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including, without limitation, obligations arising upon (a) the transfer of Shares to the Participant, (b) the lapsing of any restriction with respect to any Shares, (c) the filing of an election to recognize tax liability, or (d) the transfer by the Participant of any Shares. The Company shall have no obligation to deliver the Shares or to release any Shares from the Escrow established pursuant to Section 6 until the tax withholding obligations of the Participating Company have been satisfied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both"/>
        <w:ind w:firstLine="1952"/>
        <w:spacing w:after="0" w:line="257" w:lineRule="auto"/>
        <w:tabs>
          <w:tab w:leader="none" w:pos="25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Assignment of Sale Proceeds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compliance with applicable law and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becoming Vested Shares on a Vesting Date as provided in the Grant Notice.</w:t>
      </w:r>
    </w:p>
    <w:p>
      <w:pPr>
        <w:spacing w:after="0" w:line="182"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Withholding in Shares. </w:t>
      </w:r>
      <w:r>
        <w:rPr>
          <w:rFonts w:ascii="Times New Roman" w:cs="Times New Roman" w:eastAsia="Times New Roman" w:hAnsi="Times New Roman"/>
          <w:sz w:val="18"/>
          <w:szCs w:val="18"/>
          <w:color w:val="auto"/>
        </w:rPr>
        <w:t>The Company shall have the right, but not the obligation, to require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to satisfy all or any portion of a Participating Company’s tax withholding obligations by withholding a number of whole, Vested Shares otherwise deliverable to the Participant or by the Participant’s tender to the Company of a number of whole, Vested Shares or vested shares acquired otherwise than pursuant to the Award having, in any such case,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Election Under Section 83(b) of the Code.</w:t>
      </w:r>
    </w:p>
    <w:p>
      <w:pPr>
        <w:spacing w:after="0" w:line="229" w:lineRule="exact"/>
        <w:rPr>
          <w:sz w:val="20"/>
          <w:szCs w:val="20"/>
          <w:color w:val="auto"/>
        </w:rPr>
      </w:pPr>
    </w:p>
    <w:p>
      <w:pPr>
        <w:jc w:val="both"/>
        <w:ind w:firstLine="1952"/>
        <w:spacing w:after="0" w:line="252" w:lineRule="auto"/>
        <w:tabs>
          <w:tab w:leader="none" w:pos="25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understands that Section 83 of the Code taxes as ordinary income the difference between the amount paid for the Shares, if anything, and the fair market value of the Shares as of the date on which the Shares are “substantially vested,” within the meaning of Section 83. In this context, “substantially vested” means that the right of the Company to reacquire the Shares pursuant to the Company Reacquisition Right has lapsed. The Participant understands that he or she may elect to have his or her taxable income determined at the time he or she acquires the Shares rather than when and as the Company Reacquisition Right lapses by filing an election under Section 83(b) of the Code with the Internal Revenue Service no later than thirty (30) days after the date of acquisition of the Shares. The Participant understands that failure to make a timely filing under Section 83(b) will result in his or her recognition of ordinary income, as the Company Reacquisition Right lapses, on the difference between the purchase price, if anything, and the fair market value of the Shares at the time such restrictions lapse. The Participant further understands, however, that if Shares with respect to which an election under Section 83(b) has been made are forfeited to the Company pursuant to its Company Reacquisition Right, such forfeiture will be treated as a sale on which there is realized a loss equal to the excess (if any) of the amount paid (if any) by the Participant for the forfeited Shares over the amount realized (if any) upon their forfeiture. If the Participant has paid nothing for the forfeited Shares and has received no payment upon their forfeiture, the Participant understands that he or she will be unable to recognize any loss on the forfeiture of the Shares even though the Participant incurred a tax liability by making an election under Section 83(b).</w:t>
      </w:r>
    </w:p>
    <w:p>
      <w:pPr>
        <w:spacing w:after="0" w:line="19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understands that he or she should consult with his or her tax advisor regarding the advisability of filing with the Internal Revenue Service an election under Section 83(b) of the Code, which must be filed no later than thirty (30) days after the date of the acquisition of the Shares pursuant to this Agreement. Failure to file an election under Section 83(b), if appropriate, may result in adverse tax consequences to the Participant.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Participant acknowledges that he or she has been advised to consult with a tax advisor regarding the tax consequences to the Participant of the acquisition of Shares hereunder. ANY ELECTION UNDER SECTION 83(b) THE PARTICIPANT WISHES TO MAKE MUST BE FILED NO LATER THAN 30 DAYS AFTER THE DATE ON WHICH THE PARTICIPANT ACQUIRES THE SHARES. THIS TIME PERIOD CANNOT BE EXTENDED. THE PARTICIPANT ACKNOWLEDGES THAT TIMELY FILING OF A SECTION 83(b) ELECTION IS THE PARTICIPANT’S SOLE RESPONSIBILITY, EVEN IF THE PARTICIPANT REQUESTS THE COMPANY OR ITS REPRESENTATIVE TO FILE SUCH ELECTION ON HIS OR HER BEHALF.</w:t>
      </w:r>
    </w:p>
    <w:p>
      <w:pPr>
        <w:spacing w:after="0" w:line="187" w:lineRule="exact"/>
        <w:rPr>
          <w:sz w:val="20"/>
          <w:szCs w:val="20"/>
          <w:color w:val="auto"/>
        </w:rPr>
      </w:pPr>
    </w:p>
    <w:p>
      <w:pPr>
        <w:jc w:val="both"/>
        <w:ind w:firstLine="1952"/>
        <w:spacing w:after="0" w:line="266" w:lineRule="auto"/>
        <w:tabs>
          <w:tab w:leader="none" w:pos="25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will notify the Company in writing if the Participant files an election pursuant to Section 83(b) of the Code. The Company intends, in the event it does not receive from the Participant evidence of such filing, to claim a tax deduction for any amount which would otherwise be taxable to the Participant in the absence of such an election.</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2"/>
          <w:szCs w:val="12"/>
          <w:b w:val="1"/>
          <w:bCs w:val="1"/>
          <w:u w:val="single" w:color="auto"/>
          <w:color w:val="auto"/>
        </w:rPr>
        <w:t>ffect of</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hange in</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ontrol</w:t>
      </w:r>
      <w:r>
        <w:rPr>
          <w:rFonts w:ascii="Times New Roman" w:cs="Times New Roman" w:eastAsia="Times New Roman" w:hAnsi="Times New Roman"/>
          <w:sz w:val="18"/>
          <w:szCs w:val="18"/>
          <w:b w:val="1"/>
          <w:bCs w:val="1"/>
          <w:u w:val="single" w:color="auto"/>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In the event of a Change in Control, the Award shall be subject to the definitive agreement entered into by the Company in connection with the Change in Control. Except to the extent that the Committee determines to cash out the Award in accordance with Section 13.2(b) of the Plan, the surviving, continuing, successor, or purchasing corporation or other business entity or parent thereof, as the case may be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the foregoing, Shares acquired pursuant to the Award prior to the Change in Control and any consideration received pursuant to the Change in Control with respect to such shares shall continue to be subject to all applicable provisions of this Agreement except as otherwise provided herein.</w:t>
      </w:r>
    </w:p>
    <w:p>
      <w:pPr>
        <w:spacing w:after="0" w:line="188"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2"/>
          <w:szCs w:val="12"/>
          <w:b w:val="1"/>
          <w:bCs w:val="1"/>
          <w:u w:val="single" w:color="auto"/>
          <w:color w:val="auto"/>
        </w:rPr>
        <w:t>djustments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tructure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and kind of shares of stock or other property subject to the Award, in order to prevent dilution or enlargement of the Participant’s rights under the Award. For purposes of the foregoing, conversion of any convertible securities of the Company shall not be treated as “effected without receipt of consideration by the Company.”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and all new, substituted or additional securities or other property (other than regular, periodic cash dividends paid on Stock pursuant to the Company’s dividend policy, subject to Section </w:t>
      </w:r>
      <w:r>
        <w:rPr>
          <w:rFonts w:ascii="Times New Roman" w:cs="Times New Roman" w:eastAsia="Times New Roman" w:hAnsi="Times New Roman"/>
          <w:sz w:val="18"/>
          <w:szCs w:val="18"/>
          <w:b w:val="1"/>
          <w:bCs w:val="1"/>
          <w:color w:val="auto"/>
        </w:rPr>
        <w:t>Error! Reference source not found.</w:t>
      </w:r>
      <w:r>
        <w:rPr>
          <w:rFonts w:ascii="Times New Roman" w:cs="Times New Roman" w:eastAsia="Times New Roman" w:hAnsi="Times New Roman"/>
          <w:sz w:val="18"/>
          <w:szCs w:val="18"/>
          <w:color w:val="auto"/>
        </w:rPr>
        <w:t>) to which Participant is entitled by reason of ownership of shares acquired pursuant to this Award will be immediately subject to the provisions of this Award on the same basis as all shares originally acquired hereunder. Any fractional share resulting from an adjustment pursuant to this Section shall be rounded down to the nearest whole number. Such adjustments shall be determined by the Committee, and its determination shall be final, binding and conclusive.</w:t>
      </w:r>
    </w:p>
    <w:p>
      <w:pPr>
        <w:spacing w:after="0" w:line="183"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ights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tockholder</w:t>
      </w:r>
      <w:r>
        <w:rPr>
          <w:rFonts w:ascii="Times New Roman" w:cs="Times New Roman" w:eastAsia="Times New Roman" w:hAnsi="Times New Roman"/>
          <w:sz w:val="18"/>
          <w:szCs w:val="18"/>
          <w:b w:val="1"/>
          <w:bCs w:val="1"/>
          <w:u w:val="single" w:color="auto"/>
          <w:color w:val="auto"/>
        </w:rPr>
        <w:t>, D</w:t>
      </w:r>
      <w:r>
        <w:rPr>
          <w:rFonts w:ascii="Times New Roman" w:cs="Times New Roman" w:eastAsia="Times New Roman" w:hAnsi="Times New Roman"/>
          <w:sz w:val="12"/>
          <w:szCs w:val="12"/>
          <w:b w:val="1"/>
          <w:bCs w:val="1"/>
          <w:u w:val="single" w:color="auto"/>
          <w:color w:val="auto"/>
        </w:rPr>
        <w:t>irector</w:t>
      </w:r>
      <w:r>
        <w:rPr>
          <w:rFonts w:ascii="Times New Roman" w:cs="Times New Roman" w:eastAsia="Times New Roman" w:hAnsi="Times New Roman"/>
          <w:sz w:val="18"/>
          <w:szCs w:val="18"/>
          <w:b w:val="1"/>
          <w:bCs w:val="1"/>
          <w:u w:val="single" w:color="auto"/>
          <w:color w:val="auto"/>
        </w:rPr>
        <w:t>, E</w:t>
      </w:r>
      <w:r>
        <w:rPr>
          <w:rFonts w:ascii="Times New Roman" w:cs="Times New Roman" w:eastAsia="Times New Roman" w:hAnsi="Times New Roman"/>
          <w:sz w:val="12"/>
          <w:szCs w:val="12"/>
          <w:b w:val="1"/>
          <w:bCs w:val="1"/>
          <w:u w:val="single" w:color="auto"/>
          <w:color w:val="auto"/>
        </w:rPr>
        <w:t>mployee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onsultant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any Shares subject to the Award until the date of the issuance of the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Subject to the provisions of this Agreement, the Participant shall exercise all rights and privileges of a stockholder of the Company with respect to Shares deposited in the Escrow pursuant to Section 6, including the right to vote such Shares and to receive all dividends and other distributions paid with respect to such Shares, subject to Section 5.3.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90"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2"/>
          <w:szCs w:val="12"/>
          <w:b w:val="1"/>
          <w:bCs w:val="1"/>
          <w:u w:val="single" w:color="auto"/>
          <w:color w:val="auto"/>
        </w:rPr>
        <w:t>egends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may at any time place legends referencing the Company Reacquisition Right and any applicable federal, state or foreign securities law restrictions on all certificates representing the Shares. The Participant shall, at the request of the Company, promptly present to the Company any and all certificates representing the Shares in the possession of the Participant in order to carry out the provisions of this Section. Unless otherwise specified by the Company, legends placed on such certificates may include, but shall not be limited to, the following:</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RESTRICTIONS SET FORTH IN AN AGREEMENT BETWEEN THIS CORPORATION AND THE REGISTERED HOLDER, OR HIS PREDECESSOR IN INTEREST, A COPY OF WHICH IS ON FILE AT THE PRINCIPAL OFFICE OF THIS CORPORATION.”</w:t>
      </w:r>
    </w:p>
    <w:p>
      <w:pPr>
        <w:spacing w:after="0" w:line="172"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2"/>
          <w:szCs w:val="12"/>
          <w:b w:val="1"/>
          <w:bCs w:val="1"/>
          <w:u w:val="single" w:color="auto"/>
          <w:color w:val="auto"/>
        </w:rPr>
        <w:t>ransfers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w:t>
      </w:r>
      <w:r>
        <w:rPr>
          <w:rFonts w:ascii="Times New Roman" w:cs="Times New Roman" w:eastAsia="Times New Roman" w:hAnsi="Times New Roman"/>
          <w:sz w:val="12"/>
          <w:szCs w:val="12"/>
          <w:b w:val="1"/>
          <w:bCs w:val="1"/>
          <w:u w:val="single" w:color="auto"/>
          <w:color w:val="auto"/>
        </w:rPr>
        <w:t>iolation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2"/>
          <w:szCs w:val="12"/>
          <w:b w:val="1"/>
          <w:bCs w:val="1"/>
          <w:u w:val="single" w:color="auto"/>
          <w:color w:val="auto"/>
        </w:rPr>
        <w:t>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w:t>
      </w:r>
    </w:p>
    <w:p>
      <w:pPr>
        <w:spacing w:after="0" w:line="176"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2"/>
          <w:szCs w:val="12"/>
          <w:b w:val="1"/>
          <w:bCs w:val="1"/>
          <w:u w:val="single" w:color="auto"/>
          <w:color w:val="auto"/>
        </w:rPr>
        <w:t>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rovisions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Termination or Amendment.</w:t>
      </w:r>
      <w:r>
        <w:rPr>
          <w:rFonts w:ascii="Times New Roman" w:cs="Times New Roman" w:eastAsia="Times New Roman" w:hAnsi="Times New Roman"/>
          <w:sz w:val="18"/>
          <w:szCs w:val="18"/>
          <w:color w:val="auto"/>
        </w:rPr>
        <w:t xml:space="preserve"> The Committee may terminate or amend the Plan or this Agreement at any time; provided, however, that no such termination or amendment may have a materially adverse effect on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Nontransferability of the Award.</w:t>
      </w:r>
      <w:r>
        <w:rPr>
          <w:rFonts w:ascii="Times New Roman" w:cs="Times New Roman" w:eastAsia="Times New Roman" w:hAnsi="Times New Roman"/>
          <w:sz w:val="18"/>
          <w:szCs w:val="18"/>
          <w:color w:val="auto"/>
        </w:rPr>
        <w:t xml:space="preserve"> 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39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Further Instruments.</w:t>
      </w:r>
      <w:r>
        <w:rPr>
          <w:rFonts w:ascii="Times New Roman" w:cs="Times New Roman" w:eastAsia="Times New Roman" w:hAnsi="Times New Roman"/>
          <w:sz w:val="18"/>
          <w:szCs w:val="18"/>
          <w:color w:val="auto"/>
        </w:rPr>
        <w:t xml:space="preserve"> The parties hereto agree to execute such further instruments and to take such further action as may reasonably be necessary to carry out the intent of this Agreement.</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b w:val="1"/>
          <w:bCs w:val="1"/>
          <w:color w:val="auto"/>
        </w:rPr>
        <w:t>Delivery of Documents and Notices.</w:t>
      </w:r>
      <w:r>
        <w:rPr>
          <w:rFonts w:ascii="Times New Roman" w:cs="Times New Roman" w:eastAsia="Times New Roman" w:hAnsi="Times New Roman"/>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83" w:lineRule="exact"/>
        <w:rPr>
          <w:sz w:val="20"/>
          <w:szCs w:val="20"/>
          <w:color w:val="auto"/>
        </w:rPr>
      </w:pPr>
    </w:p>
    <w:p>
      <w:pPr>
        <w:ind w:left="2600" w:hanging="648"/>
        <w:spacing w:after="0"/>
        <w:tabs>
          <w:tab w:leader="none" w:pos="2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Description of Electronic Delivery and Signature. </w:t>
      </w:r>
      <w:r>
        <w:rPr>
          <w:rFonts w:ascii="Times New Roman" w:cs="Times New Roman" w:eastAsia="Times New Roman" w:hAnsi="Times New Roman"/>
          <w:sz w:val="18"/>
          <w:szCs w:val="18"/>
          <w:color w:val="auto"/>
        </w:rPr>
        <w:t>The Plan documents, which may include but do</w:t>
      </w:r>
    </w:p>
    <w:p>
      <w:pPr>
        <w:spacing w:after="0" w:line="3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necessarily include: the Plan, the Grant Notice, this Agreement, the Plan Prospectus, and any reports of the Company provided generally to the Company’s stockholders, may be delivered to the Participant electronically. In addition, if permitted by the Company, the parties may deliver electronically any notices called for in connection with the Escrow and the Participant may deliver electronically the Grant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76" w:lineRule="exact"/>
        <w:rPr>
          <w:sz w:val="20"/>
          <w:szCs w:val="20"/>
          <w:color w:val="auto"/>
        </w:rPr>
      </w:pPr>
    </w:p>
    <w:p>
      <w:pPr>
        <w:jc w:val="both"/>
        <w:ind w:firstLine="1952"/>
        <w:spacing w:after="0" w:line="253" w:lineRule="auto"/>
        <w:tabs>
          <w:tab w:leader="none" w:pos="259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Electronic Delivery and Signature. </w:t>
      </w:r>
      <w:r>
        <w:rPr>
          <w:rFonts w:ascii="Times New Roman" w:cs="Times New Roman" w:eastAsia="Times New Roman" w:hAnsi="Times New Roman"/>
          <w:sz w:val="18"/>
          <w:szCs w:val="18"/>
          <w:color w:val="auto"/>
        </w:rPr>
        <w:t>The Participant acknowledges that the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read Section 13.5(a) of this Agreement and consents to the electronic delivery of the Plan documents and, if permitted by the Company, the delivery of the Grant Notice and notices in connection with the Escrow,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b w:val="1"/>
          <w:bCs w:val="1"/>
          <w:color w:val="auto"/>
        </w:rPr>
        <w:t>Integrated Agreement.</w:t>
      </w:r>
      <w:r>
        <w:rPr>
          <w:rFonts w:ascii="Times New Roman" w:cs="Times New Roman" w:eastAsia="Times New Roman" w:hAnsi="Times New Roman"/>
          <w:sz w:val="18"/>
          <w:szCs w:val="18"/>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xml:space="preserve"> This Agreement shall be governed by the laws of the State of Arizona as such laws are applied to agreements between State of Arizona residents entered into and to be performed entirely within the State of State of Arizona.</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The Grant Notice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ASSIGNMENT SEPARATE FROM CERTIFICATE</w:t>
      </w:r>
    </w:p>
    <w:p>
      <w:pPr>
        <w:spacing w:after="0" w:line="225" w:lineRule="exact"/>
        <w:rPr>
          <w:sz w:val="20"/>
          <w:szCs w:val="20"/>
          <w:color w:val="auto"/>
        </w:rPr>
      </w:pPr>
    </w:p>
    <w:p>
      <w:pPr>
        <w:ind w:left="660"/>
        <w:spacing w:after="0"/>
        <w:tabs>
          <w:tab w:leader="none" w:pos="1320" w:val="left"/>
          <w:tab w:leader="none" w:pos="2240" w:val="left"/>
          <w:tab w:leader="none" w:pos="3460" w:val="left"/>
          <w:tab w:leader="none" w:pos="4000" w:val="left"/>
          <w:tab w:leader="none" w:pos="5220" w:val="left"/>
          <w:tab w:leader="none" w:pos="5880" w:val="left"/>
          <w:tab w:leader="none" w:pos="6700" w:val="left"/>
          <w:tab w:leader="none" w:pos="7320" w:val="left"/>
          <w:tab w:leader="none" w:pos="8100" w:val="left"/>
          <w:tab w:leader="none" w:pos="8700" w:val="left"/>
          <w:tab w:leader="none" w:pos="95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VALUE</w:t>
      </w:r>
      <w:r>
        <w:rPr>
          <w:sz w:val="20"/>
          <w:szCs w:val="20"/>
          <w:color w:val="auto"/>
        </w:rPr>
        <w:tab/>
      </w:r>
      <w:r>
        <w:rPr>
          <w:rFonts w:ascii="Times New Roman" w:cs="Times New Roman" w:eastAsia="Times New Roman" w:hAnsi="Times New Roman"/>
          <w:sz w:val="18"/>
          <w:szCs w:val="18"/>
          <w:color w:val="auto"/>
        </w:rPr>
        <w:t>RECEIVED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undersigned</w:t>
      </w:r>
      <w:r>
        <w:rPr>
          <w:sz w:val="20"/>
          <w:szCs w:val="20"/>
          <w:color w:val="auto"/>
        </w:rPr>
        <w:tab/>
      </w:r>
      <w:r>
        <w:rPr>
          <w:rFonts w:ascii="Times New Roman" w:cs="Times New Roman" w:eastAsia="Times New Roman" w:hAnsi="Times New Roman"/>
          <w:sz w:val="18"/>
          <w:szCs w:val="18"/>
          <w:color w:val="auto"/>
        </w:rPr>
        <w:t>does</w:t>
      </w:r>
      <w:r>
        <w:rPr>
          <w:sz w:val="20"/>
          <w:szCs w:val="20"/>
          <w:color w:val="auto"/>
        </w:rPr>
        <w:tab/>
      </w:r>
      <w:r>
        <w:rPr>
          <w:rFonts w:ascii="Times New Roman" w:cs="Times New Roman" w:eastAsia="Times New Roman" w:hAnsi="Times New Roman"/>
          <w:sz w:val="18"/>
          <w:szCs w:val="18"/>
          <w:color w:val="auto"/>
        </w:rPr>
        <w:t>hereby</w:t>
      </w:r>
      <w:r>
        <w:rPr>
          <w:sz w:val="20"/>
          <w:szCs w:val="20"/>
          <w:color w:val="auto"/>
        </w:rPr>
        <w:tab/>
      </w:r>
      <w:r>
        <w:rPr>
          <w:rFonts w:ascii="Times New Roman" w:cs="Times New Roman" w:eastAsia="Times New Roman" w:hAnsi="Times New Roman"/>
          <w:sz w:val="18"/>
          <w:szCs w:val="18"/>
          <w:color w:val="auto"/>
        </w:rPr>
        <w:t>sell,</w:t>
      </w:r>
      <w:r>
        <w:rPr>
          <w:sz w:val="20"/>
          <w:szCs w:val="20"/>
          <w:color w:val="auto"/>
        </w:rPr>
        <w:tab/>
      </w:r>
      <w:r>
        <w:rPr>
          <w:rFonts w:ascii="Times New Roman" w:cs="Times New Roman" w:eastAsia="Times New Roman" w:hAnsi="Times New Roman"/>
          <w:sz w:val="18"/>
          <w:szCs w:val="18"/>
          <w:color w:val="auto"/>
        </w:rPr>
        <w:t>assign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transfer</w:t>
      </w:r>
      <w:r>
        <w:rPr>
          <w:sz w:val="20"/>
          <w:szCs w:val="20"/>
          <w:color w:val="auto"/>
        </w:rPr>
        <w:tab/>
      </w:r>
      <w:r>
        <w:rPr>
          <w:rFonts w:ascii="Times New Roman" w:cs="Times New Roman" w:eastAsia="Times New Roman" w:hAnsi="Times New Roman"/>
          <w:sz w:val="17"/>
          <w:szCs w:val="17"/>
          <w:color w:val="auto"/>
        </w:rPr>
        <w:t>unto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 (_________________) shares of the Capital Stock of Grand Canyon</w:t>
      </w:r>
    </w:p>
    <w:p>
      <w:pPr>
        <w:spacing w:after="0" w:line="9" w:lineRule="exact"/>
        <w:rPr>
          <w:sz w:val="20"/>
          <w:szCs w:val="20"/>
          <w:color w:val="auto"/>
        </w:rPr>
      </w:pPr>
    </w:p>
    <w:p>
      <w:pPr>
        <w:spacing w:after="0"/>
        <w:tabs>
          <w:tab w:leader="none" w:pos="920" w:val="left"/>
          <w:tab w:leader="none" w:pos="1340" w:val="left"/>
          <w:tab w:leader="none" w:pos="2100" w:val="left"/>
          <w:tab w:leader="none" w:pos="2380" w:val="left"/>
          <w:tab w:leader="none" w:pos="2740" w:val="left"/>
          <w:tab w:leader="none" w:pos="3900" w:val="left"/>
          <w:tab w:leader="none" w:pos="4440" w:val="left"/>
          <w:tab w:leader="none" w:pos="4760" w:val="left"/>
          <w:tab w:leader="none" w:pos="5120" w:val="left"/>
          <w:tab w:leader="none" w:pos="5700" w:val="left"/>
          <w:tab w:leader="none" w:pos="6000" w:val="left"/>
          <w:tab w:leader="none" w:pos="6440" w:val="left"/>
          <w:tab w:leader="none" w:pos="7420" w:val="left"/>
          <w:tab w:leader="none" w:pos="8400" w:val="left"/>
          <w:tab w:leader="none" w:pos="8720" w:val="left"/>
          <w:tab w:leader="none" w:pos="9620" w:val="left"/>
        </w:tabs>
        <w:rPr>
          <w:sz w:val="20"/>
          <w:szCs w:val="20"/>
          <w:color w:val="auto"/>
        </w:rPr>
      </w:pPr>
      <w:r>
        <w:rPr>
          <w:rFonts w:ascii="Times New Roman" w:cs="Times New Roman" w:eastAsia="Times New Roman" w:hAnsi="Times New Roman"/>
          <w:sz w:val="18"/>
          <w:szCs w:val="18"/>
          <w:color w:val="auto"/>
        </w:rPr>
        <w:t>Education,</w:t>
        <w:tab/>
        <w:t>Inc.</w:t>
        <w:tab/>
        <w:t>standing</w:t>
        <w:tab/>
        <w:t>in</w:t>
        <w:tab/>
        <w:t>the</w:t>
        <w:tab/>
        <w:t>undersigned’s</w:t>
        <w:tab/>
        <w:t>name</w:t>
        <w:tab/>
        <w:t>on</w:t>
        <w:tab/>
        <w:t>the</w:t>
        <w:tab/>
        <w:t>books</w:t>
        <w:tab/>
        <w:t>of</w:t>
        <w:tab/>
        <w:t>said</w:t>
        <w:tab/>
        <w:t>corporation</w:t>
        <w:tab/>
        <w:t>represented</w:t>
        <w:tab/>
        <w:t>by</w:t>
        <w:tab/>
        <w:t>Certificate</w:t>
        <w:tab/>
        <w:t>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herewith and does hereby irrevocably constitute and appoint ________________________________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stock on the books of said corporation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-7620</wp:posOffset>
            </wp:positionV>
            <wp:extent cx="15138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-127635</wp:posOffset>
            </wp:positionV>
            <wp:extent cx="30175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-127635</wp:posOffset>
            </wp:positionV>
            <wp:extent cx="30175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Please do not fill in any blanks other than the signature line. The purpose of this assignment is to enable the Company to exercise its Company Reacquisition Right set forth in the Restricted Stock Agreement without requiring additional signatures on the part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9"/>
          <w:szCs w:val="29"/>
          <w:b w:val="1"/>
          <w:bCs w:val="1"/>
          <w:color w:val="auto"/>
        </w:rPr>
        <w:t>SAMPLE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570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709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1570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 Service Center where Form 1040 is Filed]</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Section 83(b) Election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is submitted pursuant to section 1.83-2 of the Treasury Regulations in connection with this election by the undersigned under section 83(b) of the Internal Revenue Code of 1986, as amended (the “Code”).</w:t>
      </w:r>
    </w:p>
    <w:p>
      <w:pPr>
        <w:spacing w:after="0" w:line="162" w:lineRule="exact"/>
        <w:rPr>
          <w:sz w:val="20"/>
          <w:szCs w:val="20"/>
          <w:color w:val="auto"/>
        </w:rPr>
      </w:pPr>
    </w:p>
    <w:p>
      <w:pPr>
        <w:ind w:left="1300" w:right="3920" w:hanging="1292"/>
        <w:spacing w:after="0" w:line="500" w:lineRule="auto"/>
        <w:tabs>
          <w:tab w:leader="none" w:pos="6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taxpayer are: Name:</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Security Number: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description of each item of property with respect to which the election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-830580</wp:posOffset>
            </wp:positionV>
            <wp:extent cx="1570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70990"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-556260</wp:posOffset>
            </wp:positionV>
            <wp:extent cx="1570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7099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-281940</wp:posOffset>
            </wp:positionV>
            <wp:extent cx="1599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 shares of common stock of Grand Canyon Education, Inc. (the “Shares”), acquired from Grand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Canyon Education, Inc. (the “Company”) pursuant to a restricted stock grant.</w:t>
      </w:r>
    </w:p>
    <w:p>
      <w:pPr>
        <w:spacing w:after="0" w:line="207"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was transferred to the undersigned 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Restricted stock grant date: 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taxable year for which the election is made is: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Calendar Year ___________</w:t>
      </w:r>
    </w:p>
    <w:p>
      <w:pPr>
        <w:spacing w:after="0" w:line="225"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restriction to which the property is subject: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Shares are subject to automatic forfeiture to the Company upon the occurrence of certain events. This forfeiture provision lapses with regard to a portion of the Shares based upon the continued performance of services by the taxpayer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2" w:right="999" w:bottom="1440" w:gutter="0" w:footer="0" w:header="0"/>
        </w:sectPr>
      </w:pPr>
    </w:p>
    <w:bookmarkStart w:id="48" w:name="page49"/>
    <w:bookmarkEnd w:id="48"/>
    <w:p>
      <w:pPr>
        <w:ind w:left="660" w:right="2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the fair market value at the time of transfer (determined without regard to any restriction other than a restriction which by its terms will never lapse) of the property with respect to which the election is made:</w:t>
      </w:r>
    </w:p>
    <w:p>
      <w:pPr>
        <w:spacing w:after="0" w:line="162" w:lineRule="exact"/>
        <w:rPr>
          <w:sz w:val="20"/>
          <w:szCs w:val="20"/>
          <w:color w:val="auto"/>
        </w:rPr>
      </w:pPr>
    </w:p>
    <w:p>
      <w:pPr>
        <w:ind w:left="1300"/>
        <w:spacing w:after="0"/>
        <w:tabs>
          <w:tab w:leader="none" w:pos="2820" w:val="left"/>
          <w:tab w:leader="none" w:pos="4320" w:val="left"/>
          <w:tab w:leader="none" w:pos="6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Shares at $</w:t>
      </w:r>
      <w:r>
        <w:rPr>
          <w:sz w:val="20"/>
          <w:szCs w:val="20"/>
          <w:color w:val="auto"/>
        </w:rPr>
        <w:tab/>
      </w:r>
      <w:r>
        <w:rPr>
          <w:rFonts w:ascii="Times New Roman" w:cs="Times New Roman" w:eastAsia="Times New Roman" w:hAnsi="Times New Roman"/>
          <w:sz w:val="17"/>
          <w:szCs w:val="17"/>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-7620</wp:posOffset>
            </wp:positionV>
            <wp:extent cx="31095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property was transferred to the taxpayer pursuant to the grant of an award of restricted stock.</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the amount paid for the property: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monetary consideration was provided in exchange for the Shares.</w:t>
      </w:r>
    </w:p>
    <w:p>
      <w:pPr>
        <w:spacing w:after="0" w:line="225" w:lineRule="exact"/>
        <w:rPr>
          <w:sz w:val="20"/>
          <w:szCs w:val="20"/>
          <w:color w:val="auto"/>
        </w:rPr>
      </w:pPr>
    </w:p>
    <w:p>
      <w:pPr>
        <w:ind w:left="660" w:hanging="652"/>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election has been furnished to the Company, the corporation for which the services were performed by the undersigned.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acknowledge receipt of this election by date or received-stamping the enclosed copy of this letter and returning it to the undersigned. A self-addressed stamped envelope is provided for your convenience.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257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-7620</wp:posOffset>
            </wp:positionV>
            <wp:extent cx="13138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Grand Canyon Education,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
    </w:lvl>
  </w:abstractNum>
  <w:abstractNum w:abstractNumId="2">
    <w:nsid w:val="57E4CCAF"/>
    <w:multiLevelType w:val="hybridMultilevel"/>
    <w:lvl w:ilvl="0">
      <w:lvlJc w:val="left"/>
      <w:lvlText w:val="%1)"/>
      <w:numFmt w:val="decimal"/>
      <w:start w:val="4"/>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
    <w:nsid w:val="542289E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
    <w:nsid w:val="6DE91B18"/>
    <w:multiLevelType w:val="hybridMultilevel"/>
    <w:lvl w:ilvl="0">
      <w:lvlJc w:val="left"/>
      <w:lvlText w:val="(%1)"/>
      <w:numFmt w:val="lowerLetter"/>
      <w:start w:val="8"/>
    </w:lvl>
    <w:lvl w:ilvl="1">
      <w:lvlJc w:val="left"/>
      <w:lvlText w:val="(%2)"/>
      <w:numFmt w:val="lowerRoman"/>
      <w:start w:val="1"/>
    </w:lvl>
  </w:abstractNum>
  <w:abstractNum w:abstractNumId="7">
    <w:nsid w:val="38437FDB"/>
    <w:multiLevelType w:val="hybridMultilevel"/>
    <w:lvl w:ilvl="0">
      <w:lvlJc w:val="left"/>
      <w:lvlText w:val="(%1)"/>
      <w:numFmt w:val="lowerLetter"/>
      <w:start w:val="9"/>
    </w:lvl>
  </w:abstractNum>
  <w:abstractNum w:abstractNumId="8">
    <w:nsid w:val="7644A45C"/>
    <w:multiLevelType w:val="hybridMultilevel"/>
    <w:lvl w:ilvl="0">
      <w:lvlJc w:val="left"/>
      <w:lvlText w:val="(%1)"/>
      <w:numFmt w:val="lowerLetter"/>
      <w:start w:val="12"/>
    </w:lvl>
    <w:lvl w:ilvl="1">
      <w:lvlJc w:val="left"/>
      <w:lvlText w:val="(%2)"/>
      <w:numFmt w:val="lowerRoman"/>
      <w:start w:val="1"/>
    </w:lvl>
  </w:abstractNum>
  <w:abstractNum w:abstractNumId="9">
    <w:nsid w:val="32FFF902"/>
    <w:multiLevelType w:val="hybridMultilevel"/>
    <w:lvl w:ilvl="0">
      <w:lvlJc w:val="left"/>
      <w:lvlText w:val="%1"/>
      <w:numFmt w:val="lowerLetter"/>
      <w:start w:val="1"/>
    </w:lvl>
    <w:lvl w:ilvl="1">
      <w:lvlJc w:val="left"/>
      <w:lvlText w:val="(%2)"/>
      <w:numFmt w:val="lowerLetter"/>
      <w:start w:val="61"/>
    </w:lvl>
  </w:abstractNum>
  <w:abstractNum w:abstractNumId="10">
    <w:nsid w:val="684A481A"/>
    <w:multiLevelType w:val="hybridMultilevel"/>
    <w:lvl w:ilvl="0">
      <w:lvlJc w:val="left"/>
      <w:lvlText w:val="(%1)"/>
      <w:numFmt w:val="lowerLetter"/>
      <w:start w:val="19"/>
    </w:lvl>
    <w:lvl w:ilvl="1">
      <w:lvlJc w:val="left"/>
      <w:lvlText w:val="%2"/>
      <w:numFmt w:val="lowerLetter"/>
      <w:start w:val="1"/>
    </w:lvl>
  </w:abstractNum>
  <w:abstractNum w:abstractNumId="11">
    <w:nsid w:val="579478FE"/>
    <w:multiLevelType w:val="hybridMultilevel"/>
    <w:lvl w:ilvl="0">
      <w:lvlJc w:val="left"/>
      <w:lvlText w:val="(%1)"/>
      <w:numFmt w:val="lowerLetter"/>
      <w:start w:val="25"/>
    </w:lvl>
  </w:abstractNum>
  <w:abstractNum w:abstractNumId="12">
    <w:nsid w:val="749ABB43"/>
    <w:multiLevelType w:val="hybridMultilevel"/>
    <w:lvl w:ilvl="0">
      <w:lvlJc w:val="left"/>
      <w:lvlText w:val="(%1)"/>
      <w:numFmt w:val="lowerLetter"/>
      <w:start w:val="27"/>
    </w:lvl>
  </w:abstractNum>
  <w:abstractNum w:abstractNumId="13">
    <w:nsid w:val="3DC240FB"/>
    <w:multiLevelType w:val="hybridMultilevel"/>
    <w:lvl w:ilvl="0">
      <w:lvlJc w:val="left"/>
      <w:lvlText w:val="(%1)"/>
      <w:numFmt w:val="lowerLetter"/>
      <w:start w:val="40"/>
    </w:lvl>
  </w:abstractNum>
  <w:abstractNum w:abstractNumId="14">
    <w:nsid w:val="1BA026FA"/>
    <w:multiLevelType w:val="hybridMultilevel"/>
    <w:lvl w:ilvl="0">
      <w:lvlJc w:val="left"/>
      <w:lvlText w:val="(%1)"/>
      <w:numFmt w:val="lowerLetter"/>
      <w:start w:val="41"/>
    </w:lvl>
  </w:abstractNum>
  <w:abstractNum w:abstractNumId="15">
    <w:nsid w:val="79A1DEAA"/>
    <w:multiLevelType w:val="hybridMultilevel"/>
    <w:lvl w:ilvl="0">
      <w:lvlJc w:val="left"/>
      <w:lvlText w:val="(%1)"/>
      <w:numFmt w:val="lowerLetter"/>
      <w:start w:val="53"/>
    </w:lvl>
  </w:abstractNum>
  <w:abstractNum w:abstractNumId="16">
    <w:nsid w:val="75C6C33A"/>
    <w:multiLevelType w:val="hybridMultilevel"/>
    <w:lvl w:ilvl="0">
      <w:lvlJc w:val="left"/>
      <w:lvlText w:val="(%1)"/>
      <w:numFmt w:val="lowerLetter"/>
      <w:start w:val="55"/>
    </w:lvl>
  </w:abstractNum>
  <w:abstractNum w:abstractNumId="17">
    <w:nsid w:val="12E685FB"/>
    <w:multiLevelType w:val="hybridMultilevel"/>
    <w:lvl w:ilvl="0">
      <w:lvlJc w:val="left"/>
      <w:lvlText w:val="(%1)"/>
      <w:numFmt w:val="lowerLetter"/>
      <w:start w:val="56"/>
    </w:lvl>
  </w:abstractNum>
  <w:abstractNum w:abstractNumId="18">
    <w:nsid w:val="70C6A529"/>
    <w:multiLevelType w:val="hybridMultilevel"/>
    <w:lvl w:ilvl="0">
      <w:lvlJc w:val="left"/>
      <w:lvlText w:val="%1."/>
      <w:numFmt w:val="decimal"/>
      <w:start w:val="3"/>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lowerRoman"/>
      <w:start w:val="2"/>
    </w:lvl>
  </w:abstractNum>
  <w:abstractNum w:abstractNumId="21">
    <w:nsid w:val="4F4EF005"/>
    <w:multiLevelType w:val="hybridMultilevel"/>
    <w:lvl w:ilvl="0">
      <w:lvlJc w:val="left"/>
      <w:lvlText w:val="%1."/>
      <w:numFmt w:val="decimal"/>
      <w:start w:val="4"/>
    </w:lvl>
  </w:abstractNum>
  <w:abstractNum w:abstractNumId="22">
    <w:nsid w:val="23F9C13C"/>
    <w:multiLevelType w:val="hybridMultilevel"/>
    <w:lvl w:ilvl="0">
      <w:lvlJc w:val="left"/>
      <w:lvlText w:val="(%1)"/>
      <w:numFmt w:val="lowerRoman"/>
      <w:start w:val="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decimal"/>
      <w:start w:val="5"/>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decimal"/>
      <w:start w:val="6"/>
    </w:lvl>
  </w:abstractNum>
  <w:abstractNum w:abstractNumId="27">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
    <w:nsid w:val="235BA861"/>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9">
    <w:nsid w:val="47398C89"/>
    <w:multiLevelType w:val="hybridMultilevel"/>
    <w:lvl w:ilvl="0">
      <w:lvlJc w:val="left"/>
      <w:lvlText w:val="(%1)"/>
      <w:numFmt w:val="lowerRoman"/>
      <w:start w:val="3"/>
    </w:lvl>
  </w:abstractNum>
  <w:abstractNum w:abstractNumId="30">
    <w:nsid w:val="354FE9F9"/>
    <w:multiLevelType w:val="hybridMultilevel"/>
    <w:lvl w:ilvl="0">
      <w:lvlJc w:val="left"/>
      <w:lvlText w:val="(%1)"/>
      <w:numFmt w:val="lowerLetter"/>
      <w:start w:val="1"/>
    </w:lvl>
    <w:lvl w:ilvl="1">
      <w:lvlJc w:val="left"/>
      <w:lvlText w:val="(%2)"/>
      <w:numFmt w:val="lowerRoman"/>
      <w:start w:val="1"/>
    </w:lvl>
  </w:abstractNum>
  <w:abstractNum w:abstractNumId="31">
    <w:nsid w:val="15B5AF5C"/>
    <w:multiLevelType w:val="hybridMultilevel"/>
    <w:lvl w:ilvl="0">
      <w:lvlJc w:val="left"/>
      <w:lvlText w:val="(%1)"/>
      <w:numFmt w:val="lowerRoman"/>
      <w:start w:val="1"/>
    </w:lvl>
  </w:abstractNum>
  <w:abstractNum w:abstractNumId="32">
    <w:nsid w:val="741226BB"/>
    <w:multiLevelType w:val="hybridMultilevel"/>
    <w:lvl w:ilvl="0">
      <w:lvlJc w:val="left"/>
      <w:lvlText w:val="%1."/>
      <w:numFmt w:val="decimal"/>
      <w:start w:val="7"/>
    </w:lvl>
  </w:abstractNum>
  <w:abstractNum w:abstractNumId="33">
    <w:nsid w:val="D34B6A8"/>
    <w:multiLevelType w:val="hybridMultilevel"/>
    <w:lvl w:ilvl="0">
      <w:lvlJc w:val="left"/>
      <w:lvlText w:val="%1"/>
      <w:numFmt w:val="lowerLetter"/>
      <w:start w:val="1"/>
    </w:lvl>
    <w:lvl w:ilvl="1">
      <w:lvlJc w:val="left"/>
      <w:lvlText w:val="(%2)"/>
      <w:numFmt w:val="lowerLetter"/>
      <w:start w:val="1"/>
    </w:lvl>
  </w:abstractNum>
  <w:abstractNum w:abstractNumId="34">
    <w:nsid w:val="10233C99"/>
    <w:multiLevelType w:val="hybridMultilevel"/>
    <w:lvl w:ilvl="0">
      <w:lvlJc w:val="left"/>
      <w:lvlText w:val="(%1)"/>
      <w:numFmt w:val="lowerLetter"/>
      <w:start w:val="35"/>
    </w:lvl>
    <w:lvl w:ilvl="1">
      <w:lvlJc w:val="left"/>
      <w:lvlText w:val="%2"/>
      <w:numFmt w:val="lowerLetter"/>
      <w:start w:val="1"/>
    </w:lvl>
  </w:abstractNum>
  <w:abstractNum w:abstractNumId="35">
    <w:nsid w:val="3F6AB60F"/>
    <w:multiLevelType w:val="hybridMultilevel"/>
    <w:lvl w:ilvl="0">
      <w:lvlJc w:val="left"/>
      <w:lvlText w:val="%1."/>
      <w:numFmt w:val="decimal"/>
      <w:start w:val="8"/>
    </w:lvl>
  </w:abstractNum>
  <w:abstractNum w:abstractNumId="36">
    <w:nsid w:val="61574095"/>
    <w:multiLevelType w:val="hybridMultilevel"/>
    <w:lvl w:ilvl="0">
      <w:lvlJc w:val="left"/>
      <w:lvlText w:val="%1."/>
      <w:numFmt w:val="decimal"/>
      <w:start w:val="9"/>
    </w:lvl>
  </w:abstractNum>
  <w:abstractNum w:abstractNumId="37">
    <w:nsid w:val="7E0C57B1"/>
    <w:multiLevelType w:val="hybridMultilevel"/>
    <w:lvl w:ilvl="0">
      <w:lvlJc w:val="left"/>
      <w:lvlText w:val="%1."/>
      <w:numFmt w:val="decimal"/>
      <w:start w:val="10"/>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1"/>
    </w:lvl>
  </w:abstractNum>
  <w:abstractNum w:abstractNumId="40">
    <w:nsid w:val="310C50B3"/>
    <w:multiLevelType w:val="hybridMultilevel"/>
    <w:lvl w:ilvl="0">
      <w:lvlJc w:val="left"/>
      <w:lvlText w:val="(%1)"/>
      <w:numFmt w:val="lowerLetter"/>
      <w:start w:val="4"/>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decimal"/>
      <w:start w:val="11"/>
    </w:lvl>
  </w:abstractNum>
  <w:abstractNum w:abstractNumId="43">
    <w:nsid w:val="25A70BF7"/>
    <w:multiLevelType w:val="hybridMultilevel"/>
    <w:lvl w:ilvl="0">
      <w:lvlJc w:val="left"/>
      <w:lvlText w:val="%1."/>
      <w:numFmt w:val="decimal"/>
      <w:start w:val="12"/>
    </w:lvl>
  </w:abstractNum>
  <w:abstractNum w:abstractNumId="44">
    <w:nsid w:val="1DBABF00"/>
    <w:multiLevelType w:val="hybridMultilevel"/>
    <w:lvl w:ilvl="0">
      <w:lvlJc w:val="left"/>
      <w:lvlText w:val="%1."/>
      <w:numFmt w:val="decimal"/>
      <w:start w:val="13"/>
    </w:lvl>
  </w:abstractNum>
  <w:abstractNum w:abstractNumId="45">
    <w:nsid w:val="4AD084E9"/>
    <w:multiLevelType w:val="hybridMultilevel"/>
    <w:lvl w:ilvl="0">
      <w:lvlJc w:val="left"/>
      <w:lvlText w:val="(%1)"/>
      <w:numFmt w:val="lowerLetter"/>
      <w:start w:val="1"/>
    </w:lvl>
    <w:lvl w:ilvl="1">
      <w:lvlJc w:val="left"/>
      <w:lvlText w:val="(%2)"/>
      <w:numFmt w:val="lowerLetter"/>
      <w:start w:val="9"/>
    </w:lvl>
  </w:abstractNum>
  <w:abstractNum w:abstractNumId="46">
    <w:nsid w:val="1F48EAA1"/>
    <w:multiLevelType w:val="hybridMultilevel"/>
    <w:lvl w:ilvl="0">
      <w:lvlJc w:val="left"/>
      <w:lvlText w:val="%1"/>
      <w:numFmt w:val="lowerLetter"/>
      <w:start w:val="1"/>
    </w:lvl>
    <w:lvl w:ilvl="1">
      <w:lvlJc w:val="left"/>
      <w:lvlText w:val="(%2)"/>
      <w:numFmt w:val="lowerLetter"/>
      <w:start w:val="35"/>
    </w:lvl>
  </w:abstractNum>
  <w:abstractNum w:abstractNumId="47">
    <w:nsid w:val="1381823A"/>
    <w:multiLevelType w:val="hybridMultilevel"/>
    <w:lvl w:ilvl="0">
      <w:lvlJc w:val="left"/>
      <w:lvlText w:val="(%1)"/>
      <w:numFmt w:val="lowerLetter"/>
      <w:start w:val="4"/>
    </w:lvl>
    <w:lvl w:ilvl="1">
      <w:lvlJc w:val="left"/>
      <w:lvlText w:val="(%2)"/>
      <w:numFmt w:val="lowerLetter"/>
      <w:start w:val="9"/>
    </w:lvl>
  </w:abstractNum>
  <w:abstractNum w:abstractNumId="48">
    <w:nsid w:val="5DB70AE5"/>
    <w:multiLevelType w:val="hybridMultilevel"/>
    <w:lvl w:ilvl="0">
      <w:lvlJc w:val="left"/>
      <w:lvlText w:val="(%1)"/>
      <w:numFmt w:val="lowerRoman"/>
      <w:start w:val="2"/>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decimal"/>
      <w:start w:val="14"/>
    </w:lvl>
  </w:abstractNum>
  <w:abstractNum w:abstractNumId="51">
    <w:nsid w:val="15014ACB"/>
    <w:multiLevelType w:val="hybridMultilevel"/>
    <w:lvl w:ilvl="0">
      <w:lvlJc w:val="left"/>
      <w:lvlText w:val="%1."/>
      <w:numFmt w:val="decimal"/>
      <w:start w:val="15"/>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2"/>
    </w:lvl>
  </w:abstractNum>
  <w:abstractNum w:abstractNumId="56">
    <w:nsid w:val="42C296BD"/>
    <w:multiLevelType w:val="hybridMultilevel"/>
    <w:lvl w:ilvl="0">
      <w:lvlJc w:val="left"/>
      <w:lvlText w:val="(%1)"/>
      <w:numFmt w:val="lowerLetter"/>
      <w:start w:val="1"/>
    </w:lvl>
    <w:lvl w:ilvl="1">
      <w:lvlJc w:val="left"/>
      <w:lvlText w:val="(%2)"/>
      <w:numFmt w:val="lowerRoman"/>
      <w:start w:val="1"/>
    </w:lvl>
  </w:abstractNum>
  <w:abstractNum w:abstractNumId="57">
    <w:nsid w:val="168E121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58">
    <w:nsid w:val="1EBA5D23"/>
    <w:multiLevelType w:val="hybridMultilevel"/>
    <w:lvl w:ilvl="0">
      <w:lvlJc w:val="left"/>
      <w:lvlText w:val="(%1)"/>
      <w:numFmt w:val="lowerRoman"/>
      <w:start w:val="6"/>
    </w:lvl>
    <w:lvl w:ilvl="1">
      <w:lvlJc w:val="left"/>
      <w:lvlText w:val="%2."/>
      <w:numFmt w:val="decimal"/>
      <w:start w:val="15"/>
    </w:lvl>
    <w:lvl w:ilvl="2">
      <w:lvlJc w:val="left"/>
      <w:lvlText w:val="(%3)"/>
      <w:numFmt w:val="lowerLetter"/>
      <w:start w:val="8"/>
    </w:lvl>
  </w:abstractNum>
  <w:abstractNum w:abstractNumId="59">
    <w:nsid w:val="661E3F1E"/>
    <w:multiLevelType w:val="hybridMultilevel"/>
    <w:lvl w:ilvl="0">
      <w:lvlJc w:val="left"/>
      <w:lvlText w:val="%1."/>
      <w:numFmt w:val="decimal"/>
      <w:start w:val="17"/>
    </w:lvl>
  </w:abstractNum>
  <w:abstractNum w:abstractNumId="60">
    <w:nsid w:val="5DC79EA8"/>
    <w:multiLevelType w:val="hybridMultilevel"/>
    <w:lvl w:ilvl="0">
      <w:lvlJc w:val="left"/>
      <w:lvlText w:val="%1."/>
      <w:numFmt w:val="decimal"/>
      <w:start w:val="18"/>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2"/>
    </w:lvl>
  </w:abstractNum>
  <w:abstractNum w:abstractNumId="64">
    <w:nsid w:val="613EFDC5"/>
    <w:multiLevelType w:val="hybridMultilevel"/>
    <w:lvl w:ilvl="0">
      <w:lvlJc w:val="left"/>
      <w:lvlText w:val="%1."/>
      <w:numFmt w:val="decimal"/>
      <w:start w:val="3"/>
    </w:lvl>
  </w:abstractNum>
  <w:abstractNum w:abstractNumId="65">
    <w:nsid w:val="BF72B14"/>
    <w:multiLevelType w:val="hybridMultilevel"/>
    <w:lvl w:ilvl="0">
      <w:lvlJc w:val="left"/>
      <w:lvlText w:val="%1."/>
      <w:numFmt w:val="decimal"/>
      <w:start w:val="4"/>
    </w:lvl>
  </w:abstractNum>
  <w:abstractNum w:abstractNumId="66">
    <w:nsid w:val="11447B73"/>
    <w:multiLevelType w:val="hybridMultilevel"/>
    <w:lvl w:ilvl="0">
      <w:lvlJc w:val="left"/>
      <w:lvlText w:val="%1."/>
      <w:numFmt w:val="decimal"/>
      <w:start w:val="5"/>
    </w:lvl>
  </w:abstractNum>
  <w:abstractNum w:abstractNumId="67">
    <w:nsid w:val="42963E5A"/>
    <w:multiLevelType w:val="hybridMultilevel"/>
    <w:lvl w:ilvl="0">
      <w:lvlJc w:val="left"/>
      <w:lvlText w:val="%1."/>
      <w:numFmt w:val="decimal"/>
      <w:start w:val="6"/>
    </w:lvl>
  </w:abstractNum>
  <w:abstractNum w:abstractNumId="68">
    <w:nsid w:val="A0382C5"/>
    <w:multiLevelType w:val="hybridMultilevel"/>
    <w:lvl w:ilvl="0">
      <w:lvlJc w:val="left"/>
      <w:lvlText w:val="%1."/>
      <w:numFmt w:val="decimal"/>
      <w:start w:val="7"/>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2"/>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decimal"/>
      <w:start w:val="1"/>
    </w:lvl>
    <w:lvl w:ilvl="1">
      <w:lvlJc w:val="left"/>
      <w:lvlText w:val="(%2)"/>
      <w:numFmt w:val="lowerLetter"/>
      <w:start w:val="3"/>
    </w:lvl>
  </w:abstractNum>
  <w:abstractNum w:abstractNumId="73">
    <w:nsid w:val="4962813B"/>
    <w:multiLevelType w:val="hybridMultilevel"/>
    <w:lvl w:ilvl="0">
      <w:lvlJc w:val="left"/>
      <w:lvlText w:val="%1."/>
      <w:numFmt w:val="decimal"/>
      <w:start w:val="8"/>
    </w:lvl>
    <w:lvl w:ilvl="1">
      <w:lvlJc w:val="left"/>
      <w:lvlText w:val="%2"/>
      <w:numFmt w:val="lowerLetter"/>
      <w:start w:val="1"/>
    </w:lvl>
  </w:abstractNum>
  <w:abstractNum w:abstractNumId="74">
    <w:nsid w:val="60B6DF70"/>
    <w:multiLevelType w:val="hybridMultilevel"/>
    <w:lvl w:ilvl="0">
      <w:lvlJc w:val="left"/>
      <w:lvlText w:val="%1."/>
      <w:numFmt w:val="decimal"/>
      <w:start w:val="9"/>
    </w:lvl>
  </w:abstractNum>
  <w:abstractNum w:abstractNumId="75">
    <w:nsid w:val="6A5EE64"/>
    <w:multiLevelType w:val="hybridMultilevel"/>
    <w:lvl w:ilvl="0">
      <w:lvlJc w:val="left"/>
      <w:lvlText w:val="%1."/>
      <w:numFmt w:val="decimal"/>
      <w:start w:val="10"/>
    </w:lvl>
  </w:abstractNum>
  <w:abstractNum w:abstractNumId="76">
    <w:nsid w:val="14330624"/>
    <w:multiLevelType w:val="hybridMultilevel"/>
    <w:lvl w:ilvl="0">
      <w:lvlJc w:val="left"/>
      <w:lvlText w:val="%1."/>
      <w:numFmt w:val="decimal"/>
      <w:start w:val="11"/>
    </w:lvl>
  </w:abstractNum>
  <w:abstractNum w:abstractNumId="77">
    <w:nsid w:val="7FFFCA11"/>
    <w:multiLevelType w:val="hybridMultilevel"/>
    <w:lvl w:ilvl="0">
      <w:lvlJc w:val="left"/>
      <w:lvlText w:val="%1."/>
      <w:numFmt w:val="decimal"/>
      <w:start w:val="12"/>
    </w:lvl>
  </w:abstractNum>
  <w:abstractNum w:abstractNumId="78">
    <w:nsid w:val="1A27709E"/>
    <w:multiLevelType w:val="hybridMultilevel"/>
    <w:lvl w:ilvl="0">
      <w:lvlJc w:val="left"/>
      <w:lvlText w:val="%1."/>
      <w:numFmt w:val="decimal"/>
      <w:start w:val="13"/>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2"/>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decimal"/>
      <w:start w:val="3"/>
    </w:lvl>
  </w:abstractNum>
  <w:abstractNum w:abstractNumId="83">
    <w:nsid w:val="6F6DD9AC"/>
    <w:multiLevelType w:val="hybridMultilevel"/>
    <w:lvl w:ilvl="0">
      <w:lvlJc w:val="left"/>
      <w:lvlText w:val="%1."/>
      <w:numFmt w:val="decimal"/>
      <w:start w:val="4"/>
    </w:lvl>
  </w:abstractNum>
  <w:abstractNum w:abstractNumId="84">
    <w:nsid w:val="94211F2"/>
    <w:multiLevelType w:val="hybridMultilevel"/>
    <w:lvl w:ilvl="0">
      <w:lvlJc w:val="left"/>
      <w:lvlText w:val="%1."/>
      <w:numFmt w:val="decimal"/>
      <w:start w:val="5"/>
    </w:lvl>
  </w:abstractNum>
  <w:abstractNum w:abstractNumId="85">
    <w:nsid w:val="885E1B"/>
    <w:multiLevelType w:val="hybridMultilevel"/>
    <w:lvl w:ilvl="0">
      <w:lvlJc w:val="left"/>
      <w:lvlText w:val="%1."/>
      <w:numFmt w:val="decimal"/>
      <w:start w:val="6"/>
    </w:lvl>
  </w:abstractNum>
  <w:abstractNum w:abstractNumId="86">
    <w:nsid w:val="76272110"/>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2026-06-10T15:11:03Z</dcterms:created>
  <dcterms:modified xsi:type="dcterms:W3CDTF">2026-06-10T15:11:03Z</dcterms:modified>
</cp:coreProperties>
</file>