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8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460" w:right="859" w:hanging="890"/>
        <w:spacing w:after="0" w:line="243"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4580" w:val="left"/>
          <w:tab w:leader="none" w:pos="5660" w:val="left"/>
        </w:tabs>
        <w:rPr>
          <w:sz w:val="20"/>
          <w:szCs w:val="20"/>
          <w:color w:val="auto"/>
        </w:rPr>
      </w:pPr>
      <w:r>
        <w:rPr>
          <w:rFonts w:ascii="Arial" w:cs="Arial" w:eastAsia="Arial" w:hAnsi="Arial"/>
          <w:sz w:val="18"/>
          <w:szCs w:val="18"/>
          <w:b w:val="1"/>
          <w:bCs w:val="1"/>
          <w:color w:val="auto"/>
        </w:rPr>
        <w:t>For the transition period from [</w:t>
      </w:r>
      <w:r>
        <w:rPr>
          <w:sz w:val="20"/>
          <w:szCs w:val="20"/>
          <w:color w:val="auto"/>
        </w:rPr>
        <w:tab/>
      </w:r>
      <w:r>
        <w:rPr>
          <w:rFonts w:ascii="Arial" w:cs="Arial" w:eastAsia="Arial" w:hAnsi="Arial"/>
          <w:sz w:val="18"/>
          <w:szCs w:val="18"/>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-7620</wp:posOffset>
            </wp:positionV>
            <wp:extent cx="1143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001-34211</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220"/>
        </w:trPr>
        <w:tc>
          <w:tcPr>
            <w:tcW w:w="37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8"/>
              </w:rPr>
              <w:t>DELAWARE</w:t>
            </w:r>
          </w:p>
        </w:tc>
        <w:tc>
          <w:tcPr>
            <w:tcW w:w="288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780" w:type="dxa"/>
            <w:vAlign w:val="bottom"/>
          </w:tcPr>
          <w:p>
            <w:pPr>
              <w:jc w:val="center"/>
              <w:ind w:right="1470"/>
              <w:spacing w:after="0"/>
              <w:rPr>
                <w:sz w:val="20"/>
                <w:szCs w:val="20"/>
                <w:color w:val="auto"/>
              </w:rPr>
            </w:pPr>
            <w:r>
              <w:rPr>
                <w:rFonts w:ascii="Arial" w:cs="Arial" w:eastAsia="Arial" w:hAnsi="Arial"/>
                <w:sz w:val="18"/>
                <w:szCs w:val="18"/>
                <w:i w:val="1"/>
                <w:iCs w:val="1"/>
                <w:color w:val="auto"/>
                <w:w w:val="93"/>
              </w:rPr>
              <w:t>(State or other jurisdiction of</w:t>
            </w:r>
          </w:p>
        </w:tc>
        <w:tc>
          <w:tcPr>
            <w:tcW w:w="2880" w:type="dxa"/>
            <w:vAlign w:val="bottom"/>
          </w:tcPr>
          <w:p>
            <w:pPr>
              <w:jc w:val="center"/>
              <w:ind w:left="14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780" w:type="dxa"/>
            <w:vAlign w:val="bottom"/>
          </w:tcPr>
          <w:p>
            <w:pPr>
              <w:jc w:val="center"/>
              <w:ind w:right="1470"/>
              <w:spacing w:after="0"/>
              <w:rPr>
                <w:sz w:val="20"/>
                <w:szCs w:val="20"/>
                <w:color w:val="auto"/>
              </w:rPr>
            </w:pPr>
            <w:r>
              <w:rPr>
                <w:rFonts w:ascii="Arial" w:cs="Arial" w:eastAsia="Arial" w:hAnsi="Arial"/>
                <w:sz w:val="18"/>
                <w:szCs w:val="18"/>
                <w:i w:val="1"/>
                <w:iCs w:val="1"/>
                <w:color w:val="auto"/>
                <w:w w:val="94"/>
              </w:rPr>
              <w:t>incorporation or organization)</w:t>
            </w:r>
          </w:p>
        </w:tc>
        <w:tc>
          <w:tcPr>
            <w:tcW w:w="2880" w:type="dxa"/>
            <w:vAlign w:val="bottom"/>
          </w:tcPr>
          <w:p>
            <w:pPr>
              <w:jc w:val="center"/>
              <w:ind w:left="147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(602) 639-7500</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5"/>
        </w:trPr>
        <w:tc>
          <w:tcPr>
            <w:tcW w:w="44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2"/>
              </w:rPr>
              <w:t>Grand Canyon Education, Inc.</w:t>
            </w:r>
          </w:p>
        </w:tc>
        <w:tc>
          <w:tcPr>
            <w:tcW w:w="460" w:type="dxa"/>
            <w:vAlign w:val="bottom"/>
          </w:tcPr>
          <w:p>
            <w:pPr>
              <w:spacing w:after="0"/>
              <w:rPr>
                <w:sz w:val="17"/>
                <w:szCs w:val="17"/>
                <w:color w:val="auto"/>
              </w:rPr>
            </w:pPr>
          </w:p>
        </w:tc>
        <w:tc>
          <w:tcPr>
            <w:tcW w:w="44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6"/>
              </w:rPr>
              <w:t>The NASDAQ Global Market</w:t>
            </w:r>
          </w:p>
        </w:tc>
      </w:tr>
      <w:tr>
        <w:trPr>
          <w:trHeight w:val="234"/>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460" w:type="dxa"/>
            <w:vAlign w:val="bottom"/>
          </w:tcPr>
          <w:p>
            <w:pPr>
              <w:spacing w:after="0"/>
              <w:rPr>
                <w:sz w:val="20"/>
                <w:szCs w:val="20"/>
                <w:color w:val="auto"/>
              </w:rPr>
            </w:pPr>
          </w:p>
        </w:tc>
        <w:tc>
          <w:tcPr>
            <w:tcW w:w="4440" w:type="dxa"/>
            <w:vAlign w:val="bottom"/>
          </w:tcPr>
          <w:p>
            <w:pPr>
              <w:spacing w:after="0"/>
              <w:rPr>
                <w:sz w:val="20"/>
                <w:szCs w:val="20"/>
                <w:color w:val="auto"/>
              </w:rPr>
            </w:pP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(Title of class)</w:t>
      </w:r>
    </w:p>
    <w:p>
      <w:pPr>
        <w:spacing w:after="0" w:line="170" w:lineRule="exact"/>
        <w:rPr>
          <w:sz w:val="20"/>
          <w:szCs w:val="20"/>
          <w:color w:val="auto"/>
        </w:rPr>
      </w:pPr>
    </w:p>
    <w:p>
      <w:pPr>
        <w:ind w:left="340" w:right="105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56" w:lineRule="exact"/>
        <w:rPr>
          <w:sz w:val="20"/>
          <w:szCs w:val="20"/>
          <w:color w:val="auto"/>
        </w:rPr>
      </w:pPr>
    </w:p>
    <w:p>
      <w:pPr>
        <w:ind w:left="340" w:right="89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340" w:right="79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859" w:firstLine="373"/>
        <w:spacing w:after="0" w:line="286"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39" w:lineRule="exact"/>
        <w:rPr>
          <w:sz w:val="20"/>
          <w:szCs w:val="20"/>
          <w:color w:val="auto"/>
        </w:rPr>
      </w:pPr>
    </w:p>
    <w:p>
      <w:pPr>
        <w:jc w:val="both"/>
        <w:ind w:left="340" w:right="71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28" w:orient="portrait"/>
          <w:cols w:equalWidth="0" w:num="1">
            <w:col w:w="10219"/>
          </w:cols>
          <w:pgMar w:left="240" w:top="122" w:right="1440" w:bottom="0" w:gutter="0" w:footer="0" w:header="0"/>
        </w:sectPr>
      </w:pP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4" w:lineRule="exact"/>
        <w:rPr>
          <w:sz w:val="20"/>
          <w:szCs w:val="20"/>
          <w:color w:val="auto"/>
        </w:rPr>
      </w:pPr>
    </w:p>
    <w:p>
      <w:pPr>
        <w:sectPr>
          <w:pgSz w:w="11900" w:h="16928" w:orient="portrait"/>
          <w:cols w:equalWidth="0" w:num="4">
            <w:col w:w="2140" w:space="320"/>
            <w:col w:w="1340" w:space="280"/>
            <w:col w:w="3340" w:space="140"/>
            <w:col w:w="2659"/>
          </w:cols>
          <w:pgMar w:left="240" w:top="122" w:right="1440" w:bottom="0" w:gutter="0" w:footer="0" w:header="0"/>
          <w:type w:val="continuous"/>
        </w:sectPr>
      </w:pPr>
    </w:p>
    <w:p>
      <w:pPr>
        <w:ind w:left="340" w:right="57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Securities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total number of shares of common stock outstanding as of January 30, 2009, was 45,465,160.</w:t>
      </w:r>
    </w:p>
    <w:p>
      <w:pPr>
        <w:spacing w:after="0" w:line="198" w:lineRule="exact"/>
        <w:rPr>
          <w:sz w:val="20"/>
          <w:szCs w:val="20"/>
          <w:color w:val="auto"/>
        </w:rPr>
      </w:pPr>
    </w:p>
    <w:p>
      <w:pPr>
        <w:ind w:left="340" w:right="699" w:firstLine="373"/>
        <w:spacing w:after="0" w:line="279" w:lineRule="auto"/>
        <w:rPr>
          <w:sz w:val="20"/>
          <w:szCs w:val="20"/>
          <w:color w:val="auto"/>
        </w:rPr>
      </w:pPr>
      <w:r>
        <w:rPr>
          <w:rFonts w:ascii="Arial" w:cs="Arial" w:eastAsia="Arial" w:hAnsi="Arial"/>
          <w:sz w:val="17"/>
          <w:szCs w:val="17"/>
          <w:color w:val="auto"/>
        </w:rPr>
        <w:t>As of June 30, 2008, the last business day of the registrant’s most recently completed second fiscal quarter, the registrant’s common stock was not listed on any exchange or over-the-counter market. The registrant’s common stock began trading on the NASDAQ Global Market on November 20, 2008. As of December 31, 2008, the aggregate market value of the registrant’s common stock held by nonaffiliates was approximately $261.3 million.</w:t>
      </w:r>
    </w:p>
    <w:p>
      <w:pPr>
        <w:sectPr>
          <w:pgSz w:w="11900" w:h="16928" w:orient="portrait"/>
          <w:cols w:equalWidth="0" w:num="1">
            <w:col w:w="10219"/>
          </w:cols>
          <w:pgMar w:left="240" w:top="122" w:right="1440" w:bottom="0" w:gutter="0" w:footer="0" w:header="0"/>
          <w:type w:val="continuous"/>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0"/>
          <w:szCs w:val="20"/>
          <w:color w:val="auto"/>
        </w:rPr>
      </w:pPr>
    </w:p>
    <w:p>
      <w:pPr>
        <w:ind w:right="739" w:firstLine="373"/>
        <w:spacing w:after="0" w:line="264" w:lineRule="auto"/>
        <w:rPr>
          <w:sz w:val="20"/>
          <w:szCs w:val="20"/>
          <w:color w:val="auto"/>
        </w:rPr>
      </w:pPr>
      <w:r>
        <w:rPr>
          <w:rFonts w:ascii="Arial" w:cs="Arial" w:eastAsia="Arial" w:hAnsi="Arial"/>
          <w:sz w:val="18"/>
          <w:szCs w:val="18"/>
          <w:color w:val="auto"/>
        </w:rPr>
        <w:t>Certain portions of the registrant’s Definitive Proxy Statement for its 2009 Annual Meeting of Stockholders (which is expected to be filed with the Commission within 120 days after the end of the registrant’s 2008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132715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791210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3" w:name="page4"/>
    <w:bookmarkEnd w:id="3"/>
    <w:p>
      <w:pPr>
        <w:jc w:val="center"/>
        <w:ind w:right="1420"/>
        <w:spacing w:after="0"/>
        <w:rPr>
          <w:sz w:val="20"/>
          <w:szCs w:val="20"/>
          <w:color w:val="auto"/>
        </w:rPr>
      </w:pPr>
      <w:r>
        <w:rPr>
          <w:rFonts w:ascii="Arial" w:cs="Arial" w:eastAsia="Arial" w:hAnsi="Arial"/>
          <w:sz w:val="18"/>
          <w:szCs w:val="18"/>
          <w:color w:val="auto"/>
        </w:rPr>
        <w:t>GRAND CANYON EDUCATION, INC.</w:t>
      </w:r>
    </w:p>
    <w:p>
      <w:pPr>
        <w:spacing w:after="0" w:line="117"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 10-K</w:t>
      </w:r>
    </w:p>
    <w:p>
      <w:pPr>
        <w:spacing w:after="0" w:line="117"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INDEX</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gridSpan w:val="2"/>
          </w:tcPr>
          <w:p>
            <w:pPr>
              <w:jc w:val="right"/>
              <w:ind w:right="1980"/>
              <w:spacing w:after="0"/>
              <w:rPr>
                <w:sz w:val="20"/>
                <w:szCs w:val="20"/>
                <w:color w:val="auto"/>
              </w:rPr>
            </w:pPr>
            <w:r>
              <w:rPr>
                <w:rFonts w:ascii="Arial" w:cs="Arial" w:eastAsia="Arial" w:hAnsi="Arial"/>
                <w:sz w:val="18"/>
                <w:szCs w:val="18"/>
                <w:b w:val="1"/>
                <w:bCs w:val="1"/>
                <w:color w:val="auto"/>
              </w:rPr>
              <w:t>Page</w:t>
            </w:r>
          </w:p>
        </w:tc>
      </w:tr>
      <w:tr>
        <w:trPr>
          <w:trHeight w:val="385"/>
        </w:trPr>
        <w:tc>
          <w:tcPr>
            <w:tcW w:w="38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PART I</w:t>
              </w:r>
            </w:hyperlink>
          </w:p>
        </w:tc>
        <w:tc>
          <w:tcPr>
            <w:tcW w:w="1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384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Special Note Regarding Forward-Looking Statements</w:t>
              </w:r>
            </w:hyperlink>
          </w:p>
        </w:tc>
        <w:tc>
          <w:tcPr>
            <w:tcW w:w="4700" w:type="dxa"/>
            <w:vAlign w:val="bottom"/>
            <w:gridSpan w:val="10"/>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680" w:type="dxa"/>
            <w:vAlign w:val="bottom"/>
            <w:tcBorders>
              <w:bottom w:val="single" w:sz="8" w:color="0000EE"/>
            </w:tcBorders>
            <w:gridSpan w:val="6"/>
          </w:tcPr>
          <w:p>
            <w:pPr>
              <w:ind w:left="40"/>
              <w:spacing w:after="0"/>
              <w:rPr>
                <w:rFonts w:ascii="Arial" w:cs="Arial" w:eastAsia="Arial" w:hAnsi="Arial"/>
                <w:sz w:val="18"/>
                <w:szCs w:val="18"/>
                <w:color w:val="0000EE"/>
                <w:w w:val="84"/>
              </w:rPr>
            </w:pPr>
            <w:hyperlink w:anchor="page7">
              <w:r>
                <w:rPr>
                  <w:rFonts w:ascii="Arial" w:cs="Arial" w:eastAsia="Arial" w:hAnsi="Arial"/>
                  <w:sz w:val="18"/>
                  <w:szCs w:val="18"/>
                  <w:color w:val="0000EE"/>
                  <w:w w:val="84"/>
                </w:rPr>
                <w:t>Business</w:t>
              </w:r>
            </w:hyperlink>
          </w:p>
        </w:tc>
        <w:tc>
          <w:tcPr>
            <w:tcW w:w="7180" w:type="dxa"/>
            <w:vAlign w:val="bottom"/>
            <w:gridSpan w:val="21"/>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5</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37</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Item 1B. Unresolved Staff Comments</w:t>
              </w:r>
            </w:hyperlink>
          </w:p>
        </w:tc>
        <w:tc>
          <w:tcPr>
            <w:tcW w:w="5660" w:type="dxa"/>
            <w:vAlign w:val="bottom"/>
            <w:gridSpan w:val="14"/>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63</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Item 2.</w:t>
              </w:r>
            </w:hyperlink>
          </w:p>
        </w:tc>
        <w:tc>
          <w:tcPr>
            <w:tcW w:w="7860" w:type="dxa"/>
            <w:vAlign w:val="bottom"/>
            <w:gridSpan w:val="27"/>
          </w:tcPr>
          <w:p>
            <w:pPr>
              <w:ind w:left="40"/>
              <w:spacing w:after="0"/>
              <w:rPr>
                <w:rFonts w:ascii="Arial" w:cs="Arial" w:eastAsia="Arial" w:hAnsi="Arial"/>
                <w:sz w:val="18"/>
                <w:szCs w:val="18"/>
                <w:color w:val="0000EE"/>
              </w:rPr>
            </w:pPr>
            <w:hyperlink w:anchor="page65">
              <w:r>
                <w:rPr>
                  <w:rFonts w:ascii="Arial" w:cs="Arial" w:eastAsia="Arial" w:hAnsi="Arial"/>
                  <w:sz w:val="18"/>
                  <w:szCs w:val="18"/>
                  <w:color w:val="0000EE"/>
                </w:rPr>
                <w:t>Properties</w:t>
              </w:r>
            </w:hyperlink>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63</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Item 3.</w:t>
              </w:r>
            </w:hyperlink>
          </w:p>
        </w:tc>
        <w:tc>
          <w:tcPr>
            <w:tcW w:w="7860" w:type="dxa"/>
            <w:vAlign w:val="bottom"/>
            <w:gridSpan w:val="27"/>
          </w:tcPr>
          <w:p>
            <w:pPr>
              <w:ind w:left="40"/>
              <w:spacing w:after="0"/>
              <w:rPr>
                <w:rFonts w:ascii="Arial" w:cs="Arial" w:eastAsia="Arial" w:hAnsi="Arial"/>
                <w:sz w:val="18"/>
                <w:szCs w:val="18"/>
                <w:color w:val="0000EE"/>
              </w:rPr>
            </w:pPr>
            <w:hyperlink w:anchor="page65">
              <w:r>
                <w:rPr>
                  <w:rFonts w:ascii="Arial" w:cs="Arial" w:eastAsia="Arial" w:hAnsi="Arial"/>
                  <w:sz w:val="18"/>
                  <w:szCs w:val="18"/>
                  <w:color w:val="0000EE"/>
                </w:rPr>
                <w:t>Legal Proceedings</w:t>
              </w:r>
            </w:hyperlink>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63</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Item 4.</w:t>
              </w:r>
            </w:hyperlink>
          </w:p>
        </w:tc>
        <w:tc>
          <w:tcPr>
            <w:tcW w:w="3800" w:type="dxa"/>
            <w:vAlign w:val="bottom"/>
            <w:tcBorders>
              <w:bottom w:val="single" w:sz="8" w:color="0000EE"/>
            </w:tcBorders>
            <w:gridSpan w:val="19"/>
          </w:tcPr>
          <w:p>
            <w:pPr>
              <w:ind w:left="40"/>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Submission of Matters to a Vote of Security Holders</w:t>
              </w:r>
            </w:hyperlink>
          </w:p>
        </w:tc>
        <w:tc>
          <w:tcPr>
            <w:tcW w:w="4060" w:type="dxa"/>
            <w:vAlign w:val="bottom"/>
            <w:gridSpan w:val="8"/>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64</w:t>
            </w:r>
          </w:p>
        </w:tc>
      </w:tr>
      <w:tr>
        <w:trPr>
          <w:trHeight w:val="412"/>
        </w:trPr>
        <w:tc>
          <w:tcPr>
            <w:tcW w:w="380" w:type="dxa"/>
            <w:vAlign w:val="bottom"/>
          </w:tcPr>
          <w:p>
            <w:pPr>
              <w:spacing w:after="0"/>
              <w:rPr>
                <w:sz w:val="24"/>
                <w:szCs w:val="24"/>
                <w:color w:val="auto"/>
              </w:rPr>
            </w:pPr>
          </w:p>
        </w:tc>
        <w:tc>
          <w:tcPr>
            <w:tcW w:w="680" w:type="dxa"/>
            <w:vAlign w:val="bottom"/>
            <w:gridSpan w:val="6"/>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Item 5.</w:t>
              </w:r>
            </w:hyperlink>
          </w:p>
        </w:tc>
        <w:tc>
          <w:tcPr>
            <w:tcW w:w="7360" w:type="dxa"/>
            <w:vAlign w:val="bottom"/>
            <w:tcBorders>
              <w:bottom w:val="single" w:sz="8" w:color="0000EE"/>
            </w:tcBorders>
            <w:gridSpan w:val="25"/>
          </w:tcPr>
          <w:p>
            <w:pPr>
              <w:ind w:left="40"/>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Market for Registrant’s Common Equity, Related Stockholder Matters and Issuer Purchases of Equity</w:t>
              </w:r>
            </w:hyperlink>
          </w:p>
        </w:tc>
        <w:tc>
          <w:tcPr>
            <w:tcW w:w="5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Securities</w:t>
              </w:r>
            </w:hyperlink>
          </w:p>
        </w:tc>
        <w:tc>
          <w:tcPr>
            <w:tcW w:w="7460" w:type="dxa"/>
            <w:vAlign w:val="bottom"/>
            <w:gridSpan w:val="22"/>
          </w:tcPr>
          <w:p>
            <w:pPr>
              <w:spacing w:after="0"/>
              <w:rPr>
                <w:sz w:val="17"/>
                <w:szCs w:val="17"/>
                <w:color w:val="auto"/>
              </w:rPr>
            </w:pPr>
          </w:p>
        </w:tc>
        <w:tc>
          <w:tcPr>
            <w:tcW w:w="250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65</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Item 6.</w:t>
              </w:r>
            </w:hyperlink>
          </w:p>
        </w:tc>
        <w:tc>
          <w:tcPr>
            <w:tcW w:w="2740" w:type="dxa"/>
            <w:vAlign w:val="bottom"/>
            <w:tcBorders>
              <w:bottom w:val="single" w:sz="8" w:color="0000EE"/>
            </w:tcBorders>
            <w:gridSpan w:val="14"/>
          </w:tcPr>
          <w:p>
            <w:pPr>
              <w:ind w:left="4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Selected Consolidated Financial Data</w:t>
              </w:r>
            </w:hyperlink>
          </w:p>
        </w:tc>
        <w:tc>
          <w:tcPr>
            <w:tcW w:w="5120" w:type="dxa"/>
            <w:vAlign w:val="bottom"/>
            <w:gridSpan w:val="13"/>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69</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Item 7.</w:t>
              </w:r>
            </w:hyperlink>
          </w:p>
        </w:tc>
        <w:tc>
          <w:tcPr>
            <w:tcW w:w="7860" w:type="dxa"/>
            <w:vAlign w:val="bottom"/>
            <w:gridSpan w:val="27"/>
          </w:tcPr>
          <w:p>
            <w:pPr>
              <w:ind w:left="40"/>
              <w:spacing w:after="0"/>
              <w:rPr>
                <w:rFonts w:ascii="Arial" w:cs="Arial" w:eastAsia="Arial" w:hAnsi="Arial"/>
                <w:sz w:val="18"/>
                <w:szCs w:val="18"/>
                <w:color w:val="0000EE"/>
              </w:rPr>
            </w:pPr>
            <w:hyperlink w:anchor="page74">
              <w:r>
                <w:rPr>
                  <w:rFonts w:ascii="Arial" w:cs="Arial" w:eastAsia="Arial" w:hAnsi="Arial"/>
                  <w:sz w:val="18"/>
                  <w:szCs w:val="18"/>
                  <w:color w:val="0000EE"/>
                </w:rPr>
                <w:t>Management’s Discussion and Analysis of Financial Condition and Results of Operations</w:t>
              </w:r>
            </w:hyperlink>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72</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4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1380" w:type="dxa"/>
            <w:vAlign w:val="bottom"/>
            <w:gridSpan w:val="4"/>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89</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Item 8.</w:t>
              </w:r>
            </w:hyperlink>
          </w:p>
        </w:tc>
        <w:tc>
          <w:tcPr>
            <w:tcW w:w="3360" w:type="dxa"/>
            <w:vAlign w:val="bottom"/>
            <w:tcBorders>
              <w:bottom w:val="single" w:sz="8" w:color="0000EE"/>
            </w:tcBorders>
            <w:gridSpan w:val="18"/>
          </w:tcPr>
          <w:p>
            <w:pPr>
              <w:ind w:left="40"/>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Financial Statements and Supplementary Data</w:t>
              </w:r>
            </w:hyperlink>
          </w:p>
        </w:tc>
        <w:tc>
          <w:tcPr>
            <w:tcW w:w="4500" w:type="dxa"/>
            <w:vAlign w:val="bottom"/>
            <w:gridSpan w:val="9"/>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96</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131">
              <w:r>
                <w:rPr>
                  <w:rFonts w:ascii="Arial" w:cs="Arial" w:eastAsia="Arial" w:hAnsi="Arial"/>
                  <w:sz w:val="18"/>
                  <w:szCs w:val="18"/>
                  <w:color w:val="0000EE"/>
                  <w:w w:val="90"/>
                </w:rPr>
                <w:t>Item 9.</w:t>
              </w:r>
            </w:hyperlink>
          </w:p>
        </w:tc>
        <w:tc>
          <w:tcPr>
            <w:tcW w:w="7860" w:type="dxa"/>
            <w:vAlign w:val="bottom"/>
            <w:gridSpan w:val="27"/>
          </w:tcPr>
          <w:p>
            <w:pPr>
              <w:ind w:left="40"/>
              <w:spacing w:after="0"/>
              <w:rPr>
                <w:rFonts w:ascii="Arial" w:cs="Arial" w:eastAsia="Arial" w:hAnsi="Arial"/>
                <w:sz w:val="18"/>
                <w:szCs w:val="18"/>
                <w:color w:val="0000EE"/>
              </w:rPr>
            </w:pPr>
            <w:hyperlink w:anchor="page131">
              <w:r>
                <w:rPr>
                  <w:rFonts w:ascii="Arial" w:cs="Arial" w:eastAsia="Arial" w:hAnsi="Arial"/>
                  <w:sz w:val="18"/>
                  <w:szCs w:val="18"/>
                  <w:color w:val="0000EE"/>
                </w:rPr>
                <w:t>Changes in and Disagreements With Accountants on Accounting and Financial Disclosure</w:t>
              </w:r>
            </w:hyperlink>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128</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Item 9A. Controls and Procedures</w:t>
              </w:r>
            </w:hyperlink>
          </w:p>
        </w:tc>
        <w:tc>
          <w:tcPr>
            <w:tcW w:w="4600" w:type="dxa"/>
            <w:vAlign w:val="bottom"/>
            <w:tcBorders>
              <w:top w:val="single" w:sz="8" w:color="0000EE"/>
            </w:tcBorders>
            <w:gridSpan w:val="12"/>
          </w:tcPr>
          <w:p>
            <w:pPr>
              <w:spacing w:after="0"/>
              <w:rPr>
                <w:sz w:val="24"/>
                <w:szCs w:val="24"/>
                <w:color w:val="auto"/>
              </w:rPr>
            </w:pPr>
          </w:p>
        </w:tc>
        <w:tc>
          <w:tcPr>
            <w:tcW w:w="1320" w:type="dxa"/>
            <w:vAlign w:val="bottom"/>
            <w:gridSpan w:val="3"/>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128</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Item 9B. Other Information</w:t>
              </w:r>
            </w:hyperlink>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129</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680" w:type="dxa"/>
            <w:vAlign w:val="bottom"/>
            <w:tcBorders>
              <w:bottom w:val="single" w:sz="8" w:color="0000EE"/>
            </w:tcBorders>
            <w:gridSpan w:val="6"/>
          </w:tcPr>
          <w:p>
            <w:pPr>
              <w:spacing w:after="0"/>
              <w:rPr>
                <w:rFonts w:ascii="Arial" w:cs="Arial" w:eastAsia="Arial" w:hAnsi="Arial"/>
                <w:sz w:val="18"/>
                <w:szCs w:val="18"/>
                <w:b w:val="1"/>
                <w:bCs w:val="1"/>
                <w:color w:val="0000EE"/>
                <w:w w:val="95"/>
              </w:rPr>
            </w:pPr>
            <w:hyperlink w:anchor="page132">
              <w:r>
                <w:rPr>
                  <w:rFonts w:ascii="Arial" w:cs="Arial" w:eastAsia="Arial" w:hAnsi="Arial"/>
                  <w:sz w:val="18"/>
                  <w:szCs w:val="18"/>
                  <w:b w:val="1"/>
                  <w:bCs w:val="1"/>
                  <w:color w:val="0000EE"/>
                  <w:w w:val="95"/>
                </w:rPr>
                <w:t>PART III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Item 10. Directors, Executive Officers and Corporate Governance</w:t>
              </w:r>
            </w:hyperlink>
          </w:p>
        </w:tc>
        <w:tc>
          <w:tcPr>
            <w:tcW w:w="3640" w:type="dxa"/>
            <w:vAlign w:val="bottom"/>
            <w:gridSpan w:val="7"/>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129</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Item 11. Executive Compensation</w:t>
              </w:r>
            </w:hyperlink>
          </w:p>
        </w:tc>
        <w:tc>
          <w:tcPr>
            <w:tcW w:w="5940" w:type="dxa"/>
            <w:vAlign w:val="bottom"/>
            <w:gridSpan w:val="16"/>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129</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Item 12. Security Ownership of Certain Beneficial Owners and Management and Related Stockholder Matters</w:t>
              </w:r>
            </w:hyperlink>
          </w:p>
        </w:tc>
        <w:tc>
          <w:tcPr>
            <w:tcW w:w="440" w:type="dxa"/>
            <w:vAlign w:val="bottom"/>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129</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Item 13. Certain Relationships and Related Transactions, and Director Independence</w:t>
              </w:r>
            </w:hyperlink>
          </w:p>
        </w:tc>
        <w:tc>
          <w:tcPr>
            <w:tcW w:w="2280" w:type="dxa"/>
            <w:vAlign w:val="bottom"/>
            <w:gridSpan w:val="5"/>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130</w:t>
            </w: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Item 14. Principal Accounting Fees and Services</w:t>
              </w:r>
            </w:hyperlink>
          </w:p>
        </w:tc>
        <w:tc>
          <w:tcPr>
            <w:tcW w:w="4860" w:type="dxa"/>
            <w:vAlign w:val="bottom"/>
            <w:gridSpan w:val="12"/>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130</w:t>
            </w:r>
          </w:p>
        </w:tc>
      </w:tr>
      <w:tr>
        <w:trPr>
          <w:trHeight w:val="412"/>
        </w:trPr>
        <w:tc>
          <w:tcPr>
            <w:tcW w:w="380" w:type="dxa"/>
            <w:vAlign w:val="bottom"/>
          </w:tcPr>
          <w:p>
            <w:pPr>
              <w:spacing w:after="0"/>
              <w:rPr>
                <w:sz w:val="24"/>
                <w:szCs w:val="24"/>
                <w:color w:val="auto"/>
              </w:rPr>
            </w:pPr>
          </w:p>
        </w:tc>
        <w:tc>
          <w:tcPr>
            <w:tcW w:w="680" w:type="dxa"/>
            <w:vAlign w:val="bottom"/>
            <w:gridSpan w:val="6"/>
          </w:tcPr>
          <w:p>
            <w:pPr>
              <w:spacing w:after="0"/>
              <w:rPr>
                <w:rFonts w:ascii="Arial" w:cs="Arial" w:eastAsia="Arial" w:hAnsi="Arial"/>
                <w:sz w:val="18"/>
                <w:szCs w:val="18"/>
                <w:b w:val="1"/>
                <w:bCs w:val="1"/>
                <w:color w:val="0000EE"/>
                <w:w w:val="92"/>
              </w:rPr>
            </w:pPr>
            <w:hyperlink w:anchor="page133">
              <w:r>
                <w:rPr>
                  <w:rFonts w:ascii="Arial" w:cs="Arial" w:eastAsia="Arial" w:hAnsi="Arial"/>
                  <w:sz w:val="18"/>
                  <w:szCs w:val="18"/>
                  <w:b w:val="1"/>
                  <w:bCs w:val="1"/>
                  <w:color w:val="0000EE"/>
                  <w:w w:val="92"/>
                </w:rPr>
                <w:t>PART IV</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4840" w:type="dxa"/>
            <w:vAlign w:val="bottom"/>
            <w:gridSpan w:val="11"/>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80" w:type="dxa"/>
            <w:vAlign w:val="bottom"/>
            <w:gridSpan w:val="32"/>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Item 15. Exhibits, Financial Statement Schedules</w:t>
              </w:r>
            </w:hyperlink>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130</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40" w:type="dxa"/>
            <w:vAlign w:val="bottom"/>
            <w:gridSpan w:val="12"/>
            <w:shd w:val="clear" w:color="auto" w:fill="0000EE"/>
          </w:tcPr>
          <w:p>
            <w:pPr>
              <w:spacing w:after="0" w:line="20" w:lineRule="exact"/>
              <w:rPr>
                <w:sz w:val="1"/>
                <w:szCs w:val="1"/>
                <w:color w:val="auto"/>
              </w:rPr>
            </w:pPr>
          </w:p>
        </w:tc>
        <w:tc>
          <w:tcPr>
            <w:tcW w:w="4840" w:type="dxa"/>
            <w:vAlign w:val="bottom"/>
            <w:gridSpan w:val="11"/>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0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36">
              <w:r>
                <w:rPr>
                  <w:rFonts w:ascii="Arial" w:cs="Arial" w:eastAsia="Arial" w:hAnsi="Arial"/>
                  <w:sz w:val="18"/>
                  <w:szCs w:val="18"/>
                  <w:color w:val="0000EE"/>
                  <w:w w:val="88"/>
                </w:rPr>
                <w:t>SIGNATURES</w:t>
              </w:r>
            </w:hyperlink>
          </w:p>
        </w:tc>
        <w:tc>
          <w:tcPr>
            <w:tcW w:w="7480" w:type="dxa"/>
            <w:vAlign w:val="bottom"/>
            <w:gridSpan w:val="23"/>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133</w:t>
            </w:r>
          </w:p>
        </w:tc>
      </w:tr>
      <w:tr>
        <w:trPr>
          <w:trHeight w:val="412"/>
        </w:trPr>
        <w:tc>
          <w:tcPr>
            <w:tcW w:w="380" w:type="dxa"/>
            <w:vAlign w:val="bottom"/>
          </w:tcPr>
          <w:p>
            <w:pPr>
              <w:spacing w:after="0"/>
              <w:rPr>
                <w:sz w:val="24"/>
                <w:szCs w:val="24"/>
                <w:color w:val="auto"/>
              </w:rPr>
            </w:pPr>
          </w:p>
        </w:tc>
        <w:tc>
          <w:tcPr>
            <w:tcW w:w="9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Exhibit Index</w:t>
              </w:r>
            </w:hyperlink>
          </w:p>
        </w:tc>
        <w:tc>
          <w:tcPr>
            <w:tcW w:w="7600" w:type="dxa"/>
            <w:vAlign w:val="bottom"/>
            <w:gridSpan w:val="24"/>
          </w:tcPr>
          <w:p>
            <w:pPr>
              <w:spacing w:after="0"/>
              <w:rPr>
                <w:sz w:val="24"/>
                <w:szCs w:val="24"/>
                <w:color w:val="auto"/>
              </w:rPr>
            </w:pPr>
          </w:p>
        </w:tc>
        <w:tc>
          <w:tcPr>
            <w:tcW w:w="2500" w:type="dxa"/>
            <w:vAlign w:val="bottom"/>
            <w:gridSpan w:val="2"/>
          </w:tcPr>
          <w:p>
            <w:pPr>
              <w:jc w:val="right"/>
              <w:ind w:right="1840"/>
              <w:spacing w:after="0"/>
              <w:rPr>
                <w:sz w:val="20"/>
                <w:szCs w:val="20"/>
                <w:color w:val="auto"/>
              </w:rPr>
            </w:pPr>
            <w:r>
              <w:rPr>
                <w:rFonts w:ascii="Arial" w:cs="Arial" w:eastAsia="Arial" w:hAnsi="Arial"/>
                <w:sz w:val="18"/>
                <w:szCs w:val="18"/>
                <w:color w:val="auto"/>
              </w:rPr>
              <w:t>134</w:t>
            </w: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Exhibit 23.1</w:t>
            </w:r>
          </w:p>
        </w:tc>
        <w:tc>
          <w:tcPr>
            <w:tcW w:w="7660" w:type="dxa"/>
            <w:vAlign w:val="bottom"/>
            <w:gridSpan w:val="25"/>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Exhibit 31.1</w:t>
            </w:r>
          </w:p>
        </w:tc>
        <w:tc>
          <w:tcPr>
            <w:tcW w:w="7660" w:type="dxa"/>
            <w:vAlign w:val="bottom"/>
            <w:gridSpan w:val="25"/>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Exhibit 31.2</w:t>
            </w:r>
          </w:p>
        </w:tc>
        <w:tc>
          <w:tcPr>
            <w:tcW w:w="7660" w:type="dxa"/>
            <w:vAlign w:val="bottom"/>
            <w:gridSpan w:val="25"/>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Exhibit 32.1</w:t>
            </w:r>
          </w:p>
        </w:tc>
        <w:tc>
          <w:tcPr>
            <w:tcW w:w="7660" w:type="dxa"/>
            <w:vAlign w:val="bottom"/>
            <w:gridSpan w:val="25"/>
          </w:tcPr>
          <w:p>
            <w:pPr>
              <w:spacing w:after="0"/>
              <w:rPr>
                <w:sz w:val="17"/>
                <w:szCs w:val="17"/>
                <w:color w:val="auto"/>
              </w:rPr>
            </w:pP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540" w:type="dxa"/>
            <w:vAlign w:val="bottom"/>
            <w:gridSpan w:val="33"/>
          </w:tcPr>
          <w:p>
            <w:pPr>
              <w:spacing w:after="0" w:line="196" w:lineRule="exact"/>
              <w:rPr>
                <w:sz w:val="20"/>
                <w:szCs w:val="20"/>
                <w:color w:val="auto"/>
              </w:rPr>
            </w:pPr>
            <w:r>
              <w:rPr>
                <w:rFonts w:ascii="Arial" w:cs="Arial" w:eastAsia="Arial" w:hAnsi="Arial"/>
                <w:sz w:val="18"/>
                <w:szCs w:val="18"/>
                <w:color w:val="0000EE"/>
              </w:rPr>
              <w:t>Exhibit 32.2</w:t>
            </w:r>
          </w:p>
        </w:tc>
        <w:tc>
          <w:tcPr>
            <w:tcW w:w="6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817"/>
        </w:trPr>
        <w:tc>
          <w:tcPr>
            <w:tcW w:w="3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40" w:type="dxa"/>
            <w:vAlign w:val="bottom"/>
            <w:gridSpan w:val="19"/>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color w:val="auto"/>
        </w:rPr>
        <w:t xml:space="preserve">This Annual Report on Form 10-K, including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contains certain “forward-looking statements”,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29"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38" w:lineRule="exact"/>
        <w:rPr>
          <w:sz w:val="20"/>
          <w:szCs w:val="20"/>
          <w:color w:val="auto"/>
        </w:rPr>
      </w:pPr>
    </w:p>
    <w:p>
      <w:pPr>
        <w:ind w:left="1420" w:right="57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13" w:lineRule="exact"/>
        <w:rPr>
          <w:rFonts w:ascii="Arial" w:cs="Arial" w:eastAsia="Arial" w:hAnsi="Arial"/>
          <w:sz w:val="18"/>
          <w:szCs w:val="18"/>
          <w:b w:val="1"/>
          <w:bCs w:val="1"/>
          <w:color w:val="auto"/>
        </w:rPr>
      </w:pPr>
    </w:p>
    <w:p>
      <w:pPr>
        <w:ind w:left="1420" w:right="91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 possible remedial actions or other liability resulting therefrom;</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57" w:lineRule="exact"/>
        <w:rPr>
          <w:rFonts w:ascii="Arial" w:cs="Arial" w:eastAsia="Arial" w:hAnsi="Arial"/>
          <w:sz w:val="18"/>
          <w:szCs w:val="18"/>
          <w:b w:val="1"/>
          <w:bCs w:val="1"/>
          <w:color w:val="auto"/>
        </w:rPr>
      </w:pPr>
    </w:p>
    <w:p>
      <w:pPr>
        <w:ind w:left="1420" w:right="89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57"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57" w:lineRule="exact"/>
        <w:rPr>
          <w:rFonts w:ascii="Arial" w:cs="Arial" w:eastAsia="Arial" w:hAnsi="Arial"/>
          <w:sz w:val="18"/>
          <w:szCs w:val="18"/>
          <w:b w:val="1"/>
          <w:bCs w:val="1"/>
          <w:color w:val="auto"/>
        </w:rPr>
      </w:pPr>
    </w:p>
    <w:p>
      <w:pPr>
        <w:ind w:left="1420" w:right="107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general adverse economic conditions or other developments that affect job prospects in our core disciplines; and</w:t>
      </w:r>
    </w:p>
    <w:p>
      <w:pPr>
        <w:spacing w:after="0" w:line="180" w:lineRule="exact"/>
        <w:rPr>
          <w:rFonts w:ascii="Arial" w:cs="Arial" w:eastAsia="Arial" w:hAnsi="Arial"/>
          <w:sz w:val="16"/>
          <w:szCs w:val="16"/>
          <w:b w:val="1"/>
          <w:bCs w:val="1"/>
          <w:color w:val="auto"/>
        </w:rPr>
      </w:pPr>
    </w:p>
    <w:p>
      <w:pPr>
        <w:ind w:left="1420" w:right="67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43" w:lineRule="exact"/>
        <w:rPr>
          <w:sz w:val="20"/>
          <w:szCs w:val="20"/>
          <w:color w:val="auto"/>
        </w:rPr>
      </w:pPr>
    </w:p>
    <w:p>
      <w:pPr>
        <w:ind w:left="340" w:right="719" w:firstLine="373"/>
        <w:spacing w:after="0" w:line="276"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our students. We utilize an integrated, innovative approach to marketing, recruiting, and retaining students, which has enabled us to increase enrollment from approximately 3,000 students at the end of 2003 to approximately 24,600 students at December 31, 2008, representing a compound annual growth rate of approximately 52.4%. At December 31, 2008, 89.1% of our students were enrolled in our online programs, and 52.9% of our students were pursuing master’s or doctoral degrees.</w:t>
      </w:r>
    </w:p>
    <w:p>
      <w:pPr>
        <w:spacing w:after="0" w:line="139" w:lineRule="exact"/>
        <w:rPr>
          <w:sz w:val="20"/>
          <w:szCs w:val="20"/>
          <w:color w:val="auto"/>
        </w:rPr>
      </w:pPr>
    </w:p>
    <w:p>
      <w:pPr>
        <w:ind w:left="340" w:right="559" w:firstLine="373"/>
        <w:spacing w:after="0" w:line="293" w:lineRule="auto"/>
        <w:rPr>
          <w:sz w:val="20"/>
          <w:szCs w:val="20"/>
          <w:color w:val="auto"/>
        </w:rPr>
      </w:pPr>
      <w:r>
        <w:rPr>
          <w:rFonts w:ascii="Arial" w:cs="Arial" w:eastAsia="Arial" w:hAnsi="Arial"/>
          <w:sz w:val="16"/>
          <w:szCs w:val="16"/>
          <w:color w:val="auto"/>
        </w:rPr>
        <w:t>We primarily focus on recruiting and educating working adults, whom we define as students age 25 or older who are pursuing a degree while employed. As of December 31, 2008, approximately 91.6%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have experienced significant growth in enrollment, net revenue, and operating income over the last several years. Our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enrollment at December 31, 2008 was approximately 24,600, representing an increase of approximately 67.0% over our</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enrollment at December 31, 2007. Our net revenue and operating income for the year ended December 31, 2008 were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$161.3 million and $12.8 million, respectively, representing increases of 62.4% and 194.5%, respectively, over the year ended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December 31, 2007. Our net revenue and operating income for the year ended December 31, 2007 were $99.3 million and</w:t>
      </w:r>
    </w:p>
    <w:p>
      <w:pPr>
        <w:spacing w:after="0" w:line="21" w:lineRule="exact"/>
        <w:rPr>
          <w:sz w:val="20"/>
          <w:szCs w:val="20"/>
          <w:color w:val="auto"/>
        </w:rPr>
      </w:pPr>
    </w:p>
    <w:p>
      <w:pPr>
        <w:ind w:left="340" w:right="619"/>
        <w:spacing w:after="0" w:line="261" w:lineRule="auto"/>
        <w:rPr>
          <w:sz w:val="20"/>
          <w:szCs w:val="20"/>
          <w:color w:val="auto"/>
        </w:rPr>
      </w:pPr>
      <w:r>
        <w:rPr>
          <w:rFonts w:ascii="Arial" w:cs="Arial" w:eastAsia="Arial" w:hAnsi="Arial"/>
          <w:sz w:val="18"/>
          <w:szCs w:val="18"/>
          <w:color w:val="auto"/>
        </w:rPr>
        <w:t>$4.3 million, respectively, representing increases of 37.7% and 42.8%, respectively, over the year ended December 31, 2006. We believe our growth is the result of a combination of factors, including our:</w:t>
      </w:r>
    </w:p>
    <w:p>
      <w:pPr>
        <w:spacing w:after="0" w:line="143" w:lineRule="exact"/>
        <w:rPr>
          <w:sz w:val="20"/>
          <w:szCs w:val="20"/>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focus on our core disciplines of education, business, and healthcare;</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convenient and flexible online delivery platform targeted at working adults;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innovative marketing, recruitment, and retention approach; and</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expanding portfolio of academically rigorous, career-oriented program offerings.</w:t>
      </w:r>
    </w:p>
    <w:p>
      <w:pPr>
        <w:spacing w:after="0" w:line="198" w:lineRule="exact"/>
        <w:rPr>
          <w:sz w:val="20"/>
          <w:szCs w:val="20"/>
          <w:color w:val="auto"/>
        </w:rPr>
      </w:pPr>
    </w:p>
    <w:p>
      <w:pPr>
        <w:ind w:left="340" w:right="559" w:firstLine="373"/>
        <w:spacing w:after="0" w:line="302" w:lineRule="auto"/>
        <w:rPr>
          <w:sz w:val="20"/>
          <w:szCs w:val="20"/>
          <w:color w:val="auto"/>
        </w:rPr>
      </w:pPr>
      <w:r>
        <w:rPr>
          <w:rFonts w:ascii="Arial" w:cs="Arial" w:eastAsia="Arial" w:hAnsi="Arial"/>
          <w:sz w:val="16"/>
          <w:szCs w:val="16"/>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53" w:lineRule="auto"/>
        <w:rPr>
          <w:sz w:val="20"/>
          <w:szCs w:val="20"/>
          <w:color w:val="auto"/>
        </w:rPr>
      </w:pPr>
      <w:r>
        <w:rPr>
          <w:rFonts w:ascii="Arial" w:cs="Arial" w:eastAsia="Arial" w:hAnsi="Arial"/>
          <w:sz w:val="18"/>
          <w:szCs w:val="18"/>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70" w:lineRule="exact"/>
        <w:rPr>
          <w:sz w:val="20"/>
          <w:szCs w:val="20"/>
          <w:color w:val="auto"/>
        </w:rPr>
      </w:pPr>
    </w:p>
    <w:p>
      <w:pPr>
        <w:ind w:left="340" w:right="619" w:firstLine="373"/>
        <w:spacing w:after="0" w:line="253" w:lineRule="auto"/>
        <w:rPr>
          <w:sz w:val="20"/>
          <w:szCs w:val="20"/>
          <w:color w:val="auto"/>
        </w:rPr>
      </w:pPr>
      <w:r>
        <w:rPr>
          <w:rFonts w:ascii="Arial" w:cs="Arial" w:eastAsia="Arial" w:hAnsi="Arial"/>
          <w:sz w:val="18"/>
          <w:szCs w:val="18"/>
          <w:color w:val="auto"/>
        </w:rPr>
        <w:t>We believe that our online capabilities, combined with our 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 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History</w:t>
      </w:r>
    </w:p>
    <w:p>
      <w:pPr>
        <w:spacing w:after="0" w:line="189" w:lineRule="exact"/>
        <w:rPr>
          <w:sz w:val="20"/>
          <w:szCs w:val="20"/>
          <w:color w:val="auto"/>
        </w:rPr>
      </w:pPr>
    </w:p>
    <w:p>
      <w:pPr>
        <w:ind w:left="340" w:right="639" w:firstLine="373"/>
        <w:spacing w:after="0" w:line="289" w:lineRule="auto"/>
        <w:rPr>
          <w:sz w:val="20"/>
          <w:szCs w:val="20"/>
          <w:color w:val="auto"/>
        </w:rPr>
      </w:pPr>
      <w:r>
        <w:rPr>
          <w:rFonts w:ascii="Arial" w:cs="Arial" w:eastAsia="Arial" w:hAnsi="Arial"/>
          <w:sz w:val="16"/>
          <w:szCs w:val="16"/>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140"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that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3" w:lineRule="auto"/>
        <w:rPr>
          <w:sz w:val="20"/>
          <w:szCs w:val="20"/>
          <w:color w:val="auto"/>
        </w:rPr>
      </w:pPr>
      <w:r>
        <w:rPr>
          <w:rFonts w:ascii="Arial" w:cs="Arial" w:eastAsia="Arial" w:hAnsi="Arial"/>
          <w:sz w:val="17"/>
          <w:szCs w:val="17"/>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Approach to Academic Quality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85" w:lineRule="exact"/>
        <w:rPr>
          <w:sz w:val="20"/>
          <w:szCs w:val="20"/>
          <w:color w:val="auto"/>
        </w:rPr>
      </w:pPr>
    </w:p>
    <w:p>
      <w:pPr>
        <w:ind w:left="1420" w:right="659" w:hanging="345"/>
        <w:spacing w:after="0" w:line="293" w:lineRule="auto"/>
        <w:tabs>
          <w:tab w:leader="none" w:pos="142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Academically rigorous, career oriented curricula. </w:t>
      </w:r>
      <w:r>
        <w:rPr>
          <w:rFonts w:ascii="Arial" w:cs="Arial" w:eastAsia="Arial" w:hAnsi="Arial"/>
          <w:sz w:val="16"/>
          <w:szCs w:val="16"/>
          <w:color w:val="auto"/>
        </w:rPr>
        <w:t>We create academically rigorous curricula that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enable all students to gain the foundational knowledge, 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137" w:lineRule="exact"/>
        <w:rPr>
          <w:rFonts w:ascii="Arial" w:cs="Arial" w:eastAsia="Arial" w:hAnsi="Arial"/>
          <w:sz w:val="16"/>
          <w:szCs w:val="16"/>
          <w:b w:val="1"/>
          <w:bCs w:val="1"/>
          <w:color w:val="auto"/>
        </w:rPr>
      </w:pPr>
    </w:p>
    <w:p>
      <w:pPr>
        <w:ind w:left="1420" w:right="579" w:hanging="345"/>
        <w:spacing w:after="0" w:line="291" w:lineRule="auto"/>
        <w:tabs>
          <w:tab w:leader="none" w:pos="142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Qualified faculty. </w:t>
      </w:r>
      <w:r>
        <w:rPr>
          <w:rFonts w:ascii="Arial" w:cs="Arial" w:eastAsia="Arial" w:hAnsi="Arial"/>
          <w:sz w:val="16"/>
          <w:szCs w:val="16"/>
          <w:color w:val="auto"/>
        </w:rPr>
        <w:t>We demonstrate our commitment to high quality education by hiring and contracting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faculty with relevant practical experience. Substantially all of our current faculty members hold at least a master’s degree in their respective field and approximately 30% of our faculty members hold a doctoral degree. Many of our faculty members are able to integrate relevant, practical experiences from their professional careers into the courses they teach. We invest in the professional development of our faculty members by providing training in traditional and online teaching techniques, hosting events and discussion forums that foster sharing of best practices, and continually assessing teaching effectiveness through peer reviews and student evaluations.</w:t>
      </w:r>
    </w:p>
    <w:p>
      <w:pPr>
        <w:spacing w:after="0" w:line="126" w:lineRule="exact"/>
        <w:rPr>
          <w:rFonts w:ascii="Arial" w:cs="Arial" w:eastAsia="Arial" w:hAnsi="Arial"/>
          <w:sz w:val="16"/>
          <w:szCs w:val="16"/>
          <w:b w:val="1"/>
          <w:bCs w:val="1"/>
          <w:color w:val="auto"/>
        </w:rPr>
      </w:pPr>
    </w:p>
    <w:p>
      <w:pPr>
        <w:ind w:left="1420" w:right="659" w:hanging="345"/>
        <w:spacing w:after="0" w:line="257"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Standardized course design. </w:t>
      </w:r>
      <w:r>
        <w:rPr>
          <w:rFonts w:ascii="Arial" w:cs="Arial" w:eastAsia="Arial" w:hAnsi="Arial"/>
          <w:sz w:val="18"/>
          <w:szCs w:val="18"/>
          <w:color w:val="auto"/>
        </w:rPr>
        <w:t>We employ a standardized curriculum development process to ensure a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learning experience with frequent faculty-student 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147" w:lineRule="exact"/>
        <w:rPr>
          <w:rFonts w:ascii="Arial" w:cs="Arial" w:eastAsia="Arial" w:hAnsi="Arial"/>
          <w:sz w:val="18"/>
          <w:szCs w:val="18"/>
          <w:b w:val="1"/>
          <w:bCs w:val="1"/>
          <w:color w:val="auto"/>
        </w:rPr>
      </w:pPr>
    </w:p>
    <w:p>
      <w:pPr>
        <w:ind w:left="1420" w:right="579" w:hanging="345"/>
        <w:spacing w:after="0" w:line="272" w:lineRule="auto"/>
        <w:tabs>
          <w:tab w:leader="none" w:pos="142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Effective student services. </w:t>
      </w:r>
      <w:r>
        <w:rPr>
          <w:rFonts w:ascii="Arial" w:cs="Arial" w:eastAsia="Arial" w:hAnsi="Arial"/>
          <w:sz w:val="17"/>
          <w:szCs w:val="17"/>
          <w:color w:val="auto"/>
        </w:rPr>
        <w:t>We establish teams comprised of enrollment, academic and finance personnel that act</w:t>
      </w:r>
      <w:r>
        <w:rPr>
          <w:rFonts w:ascii="Arial" w:cs="Arial" w:eastAsia="Arial" w:hAnsi="Arial"/>
          <w:sz w:val="17"/>
          <w:szCs w:val="17"/>
          <w:i w:val="1"/>
          <w:iCs w:val="1"/>
          <w:color w:val="auto"/>
        </w:rPr>
        <w:t xml:space="preserve"> </w:t>
      </w:r>
      <w:r>
        <w:rPr>
          <w:rFonts w:ascii="Arial" w:cs="Arial" w:eastAsia="Arial" w:hAnsi="Arial"/>
          <w:sz w:val="17"/>
          <w:szCs w:val="17"/>
          <w:color w:val="auto"/>
        </w:rPr>
        <w:t>as the primary support contact point for each of our students, 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20" w:right="719" w:hanging="345"/>
        <w:spacing w:after="0" w:line="289" w:lineRule="auto"/>
        <w:tabs>
          <w:tab w:leader="none" w:pos="142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Continual academic oversight. </w:t>
      </w:r>
      <w:r>
        <w:rPr>
          <w:rFonts w:ascii="Arial" w:cs="Arial" w:eastAsia="Arial" w:hAnsi="Arial"/>
          <w:sz w:val="16"/>
          <w:szCs w:val="16"/>
          <w:color w:val="auto"/>
        </w:rPr>
        <w:t>We have centralized the academic oversight and assessment functions for all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programs through our Office of Assessment, which continuously evaluates the academic content, delivery method, faculty performance, and desired learning outcomes for each of our programs. We continuously assess outcomes data to determine whether our students graduate with the knowledge, competencies, and skills that are necessary to succeed in the workplace. The Office of Assessment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of Assessment also oversees regular reviews of our programs conducted by accrediting commissions.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also offer the following features in an effort to enrich the academic experience of current and prospective students:</w:t>
      </w:r>
    </w:p>
    <w:p>
      <w:pPr>
        <w:spacing w:after="0" w:line="196" w:lineRule="exact"/>
        <w:rPr>
          <w:sz w:val="20"/>
          <w:szCs w:val="20"/>
          <w:color w:val="auto"/>
        </w:rPr>
      </w:pPr>
    </w:p>
    <w:p>
      <w:pPr>
        <w:ind w:left="1420" w:right="579" w:hanging="345"/>
        <w:spacing w:after="0" w:line="271" w:lineRule="auto"/>
        <w:tabs>
          <w:tab w:leader="none" w:pos="142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Flexibility in program delivery. </w:t>
      </w:r>
      <w:r>
        <w:rPr>
          <w:rFonts w:ascii="Arial" w:cs="Arial" w:eastAsia="Arial" w:hAnsi="Arial"/>
          <w:sz w:val="17"/>
          <w:szCs w:val="17"/>
          <w:color w:val="auto"/>
        </w:rPr>
        <w:t>We also seek to meet market demands by providing students with the flexibility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take courses exclusively 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151" w:lineRule="exact"/>
        <w:rPr>
          <w:rFonts w:ascii="Arial" w:cs="Arial" w:eastAsia="Arial" w:hAnsi="Arial"/>
          <w:sz w:val="17"/>
          <w:szCs w:val="17"/>
          <w:b w:val="1"/>
          <w:bCs w:val="1"/>
          <w:color w:val="auto"/>
        </w:rPr>
      </w:pPr>
    </w:p>
    <w:p>
      <w:pPr>
        <w:ind w:left="1420" w:right="559" w:hanging="345"/>
        <w:spacing w:after="0" w:line="255" w:lineRule="auto"/>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Small class size. </w:t>
      </w:r>
      <w:r>
        <w:rPr>
          <w:rFonts w:ascii="Arial" w:cs="Arial" w:eastAsia="Arial" w:hAnsi="Arial"/>
          <w:sz w:val="18"/>
          <w:szCs w:val="18"/>
          <w:color w:val="auto"/>
        </w:rPr>
        <w:t>At December 31, 2008, over 85% of our ground and online classes had 25 or fewer students.</w:t>
      </w:r>
      <w:r>
        <w:rPr>
          <w:rFonts w:ascii="Arial" w:cs="Arial" w:eastAsia="Arial" w:hAnsi="Arial"/>
          <w:sz w:val="18"/>
          <w:szCs w:val="18"/>
          <w:i w:val="1"/>
          <w:iCs w:val="1"/>
          <w:color w:val="auto"/>
        </w:rPr>
        <w:t xml:space="preserve"> </w:t>
      </w:r>
      <w:r>
        <w:rPr>
          <w:rFonts w:ascii="Arial" w:cs="Arial" w:eastAsia="Arial" w:hAnsi="Arial"/>
          <w:sz w:val="18"/>
          <w:szCs w:val="18"/>
          <w:color w:val="auto"/>
        </w:rPr>
        <w:t>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Accreditation and Program Approvals</w:t>
      </w:r>
    </w:p>
    <w:p>
      <w:pPr>
        <w:spacing w:after="0" w:line="202"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Specialized Accreditations and Program</w:t>
            </w:r>
          </w:p>
        </w:tc>
        <w:tc>
          <w:tcPr>
            <w:tcW w:w="176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College</w:t>
            </w:r>
          </w:p>
        </w:tc>
        <w:tc>
          <w:tcPr>
            <w:tcW w:w="480" w:type="dxa"/>
            <w:vAlign w:val="bottom"/>
          </w:tcPr>
          <w:p>
            <w:pPr>
              <w:spacing w:after="0"/>
              <w:rPr>
                <w:sz w:val="20"/>
                <w:szCs w:val="20"/>
                <w:color w:val="auto"/>
              </w:rPr>
            </w:pPr>
          </w:p>
        </w:tc>
        <w:tc>
          <w:tcPr>
            <w:tcW w:w="3640" w:type="dxa"/>
            <w:vAlign w:val="bottom"/>
            <w:gridSpan w:val="2"/>
          </w:tcPr>
          <w:p>
            <w:pPr>
              <w:ind w:left="1200"/>
              <w:spacing w:after="0"/>
              <w:rPr>
                <w:sz w:val="20"/>
                <w:szCs w:val="20"/>
                <w:color w:val="auto"/>
              </w:rPr>
            </w:pPr>
            <w:r>
              <w:rPr>
                <w:rFonts w:ascii="Arial" w:cs="Arial" w:eastAsia="Arial" w:hAnsi="Arial"/>
                <w:sz w:val="18"/>
                <w:szCs w:val="18"/>
                <w:b w:val="1"/>
                <w:bCs w:val="1"/>
                <w:color w:val="auto"/>
              </w:rPr>
              <w:t>Approvals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Current Period</w:t>
            </w: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College of Education</w:t>
            </w:r>
          </w:p>
        </w:tc>
        <w:tc>
          <w:tcPr>
            <w:tcW w:w="48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7"/>
              </w:rPr>
              <w:t xml:space="preserve">•   </w:t>
            </w:r>
            <w:r>
              <w:rPr>
                <w:rFonts w:ascii="Arial" w:cs="Arial" w:eastAsia="Arial" w:hAnsi="Arial"/>
                <w:sz w:val="18"/>
                <w:szCs w:val="18"/>
                <w:color w:val="auto"/>
                <w:w w:val="97"/>
              </w:rPr>
              <w:t>The Arizona State Board of Education</w:t>
            </w:r>
          </w:p>
        </w:tc>
        <w:tc>
          <w:tcPr>
            <w:tcW w:w="460" w:type="dxa"/>
            <w:vAlign w:val="bottom"/>
          </w:tcPr>
          <w:p>
            <w:pPr>
              <w:spacing w:after="0"/>
              <w:rPr>
                <w:sz w:val="16"/>
                <w:szCs w:val="16"/>
                <w:color w:val="auto"/>
              </w:rPr>
            </w:pPr>
          </w:p>
        </w:tc>
        <w:tc>
          <w:tcPr>
            <w:tcW w:w="1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2008 – 2010</w:t>
            </w: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approves our College of Education to</w:t>
            </w:r>
          </w:p>
        </w:tc>
        <w:tc>
          <w:tcPr>
            <w:tcW w:w="1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offer Institutional Recommendations</w:t>
            </w:r>
          </w:p>
        </w:tc>
        <w:tc>
          <w:tcPr>
            <w:tcW w:w="1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for the certification of elementary,</w:t>
            </w:r>
          </w:p>
        </w:tc>
        <w:tc>
          <w:tcPr>
            <w:tcW w:w="1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secondary, and special education</w:t>
            </w:r>
          </w:p>
        </w:tc>
        <w:tc>
          <w:tcPr>
            <w:tcW w:w="176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teachers and school administrators.</w:t>
            </w:r>
          </w:p>
        </w:tc>
        <w:tc>
          <w:tcPr>
            <w:tcW w:w="1760" w:type="dxa"/>
            <w:vAlign w:val="bottom"/>
          </w:tcPr>
          <w:p>
            <w:pPr>
              <w:spacing w:after="0"/>
              <w:rPr>
                <w:sz w:val="20"/>
                <w:szCs w:val="20"/>
                <w:color w:val="auto"/>
              </w:rPr>
            </w:pPr>
          </w:p>
        </w:tc>
      </w:tr>
      <w:tr>
        <w:trPr>
          <w:trHeight w:val="418"/>
        </w:trPr>
        <w:tc>
          <w:tcPr>
            <w:tcW w:w="3440" w:type="dxa"/>
            <w:vAlign w:val="bottom"/>
          </w:tcPr>
          <w:p>
            <w:pPr>
              <w:spacing w:after="0"/>
              <w:rPr>
                <w:sz w:val="20"/>
                <w:szCs w:val="20"/>
                <w:color w:val="auto"/>
              </w:rPr>
            </w:pPr>
            <w:r>
              <w:rPr>
                <w:rFonts w:ascii="Arial" w:cs="Arial" w:eastAsia="Arial" w:hAnsi="Arial"/>
                <w:sz w:val="18"/>
                <w:szCs w:val="18"/>
                <w:i w:val="1"/>
                <w:iCs w:val="1"/>
                <w:color w:val="auto"/>
              </w:rPr>
              <w:t>Ken Blanchard College of Business</w:t>
            </w:r>
          </w:p>
        </w:tc>
        <w:tc>
          <w:tcPr>
            <w:tcW w:w="48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Association of Collegiate Business</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2007 – 2017</w:t>
            </w: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Schools and Programs accredits our</w:t>
            </w:r>
          </w:p>
        </w:tc>
        <w:tc>
          <w:tcPr>
            <w:tcW w:w="1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Master of Business Administration</w:t>
            </w:r>
          </w:p>
        </w:tc>
        <w:tc>
          <w:tcPr>
            <w:tcW w:w="1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degree program and our Bachelor of</w:t>
            </w:r>
          </w:p>
        </w:tc>
        <w:tc>
          <w:tcPr>
            <w:tcW w:w="1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Science degree programs in</w:t>
            </w:r>
          </w:p>
        </w:tc>
        <w:tc>
          <w:tcPr>
            <w:tcW w:w="1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Accounting, Business Administration,</w:t>
            </w:r>
          </w:p>
        </w:tc>
        <w:tc>
          <w:tcPr>
            <w:tcW w:w="176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and Marketing.</w:t>
            </w:r>
          </w:p>
        </w:tc>
        <w:tc>
          <w:tcPr>
            <w:tcW w:w="1760" w:type="dxa"/>
            <w:vAlign w:val="bottom"/>
          </w:tcPr>
          <w:p>
            <w:pPr>
              <w:spacing w:after="0"/>
              <w:rPr>
                <w:sz w:val="20"/>
                <w:szCs w:val="20"/>
                <w:color w:val="auto"/>
              </w:rPr>
            </w:pPr>
          </w:p>
        </w:tc>
      </w:tr>
      <w:tr>
        <w:trPr>
          <w:trHeight w:val="418"/>
        </w:trPr>
        <w:tc>
          <w:tcPr>
            <w:tcW w:w="3440" w:type="dxa"/>
            <w:vAlign w:val="bottom"/>
          </w:tcPr>
          <w:p>
            <w:pPr>
              <w:spacing w:after="0"/>
              <w:rPr>
                <w:sz w:val="20"/>
                <w:szCs w:val="20"/>
                <w:color w:val="auto"/>
              </w:rPr>
            </w:pPr>
            <w:r>
              <w:rPr>
                <w:rFonts w:ascii="Arial" w:cs="Arial" w:eastAsia="Arial" w:hAnsi="Arial"/>
                <w:sz w:val="18"/>
                <w:szCs w:val="18"/>
                <w:i w:val="1"/>
                <w:iCs w:val="1"/>
                <w:color w:val="auto"/>
              </w:rPr>
              <w:t>College of Nursing and Health Sciences</w:t>
            </w:r>
          </w:p>
        </w:tc>
        <w:tc>
          <w:tcPr>
            <w:tcW w:w="48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Commission on Collegiate Nursing</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2006 – 2016 (B.S.)</w:t>
            </w: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Education accredits our Bachelor of</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2006 – 2011 (M.S.)</w:t>
            </w: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Science (B.S.) in Nursing and Master of</w:t>
            </w:r>
          </w:p>
        </w:tc>
        <w:tc>
          <w:tcPr>
            <w:tcW w:w="1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Science (M.S.) — Nursing degree</w:t>
            </w:r>
          </w:p>
        </w:tc>
        <w:tc>
          <w:tcPr>
            <w:tcW w:w="176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programs.</w:t>
            </w:r>
          </w:p>
        </w:tc>
        <w:tc>
          <w:tcPr>
            <w:tcW w:w="1760" w:type="dxa"/>
            <w:vAlign w:val="bottom"/>
          </w:tcPr>
          <w:p>
            <w:pPr>
              <w:spacing w:after="0"/>
              <w:rPr>
                <w:sz w:val="20"/>
                <w:szCs w:val="20"/>
                <w:color w:val="auto"/>
              </w:rPr>
            </w:pPr>
          </w:p>
        </w:tc>
      </w:tr>
      <w:tr>
        <w:trPr>
          <w:trHeight w:val="418"/>
        </w:trPr>
        <w:tc>
          <w:tcPr>
            <w:tcW w:w="3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Arizona State Board of Nursing</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2006 – 2016 (B.S.)</w:t>
            </w: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approves our Bachelor of Science</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2006 – 2011 (M.S.)</w:t>
            </w: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(B.S.) in Nursing and Master of Science</w:t>
            </w:r>
          </w:p>
        </w:tc>
        <w:tc>
          <w:tcPr>
            <w:tcW w:w="176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(M.S.) — Nursing degree programs.</w:t>
            </w:r>
          </w:p>
        </w:tc>
        <w:tc>
          <w:tcPr>
            <w:tcW w:w="1760" w:type="dxa"/>
            <w:vAlign w:val="bottom"/>
          </w:tcPr>
          <w:p>
            <w:pPr>
              <w:spacing w:after="0"/>
              <w:rPr>
                <w:sz w:val="20"/>
                <w:szCs w:val="20"/>
                <w:color w:val="auto"/>
              </w:rPr>
            </w:pPr>
          </w:p>
        </w:tc>
      </w:tr>
      <w:tr>
        <w:trPr>
          <w:trHeight w:val="418"/>
        </w:trPr>
        <w:tc>
          <w:tcPr>
            <w:tcW w:w="3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Commission on Accreditation of</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2008 – 2013</w:t>
            </w:r>
          </w:p>
        </w:tc>
      </w:tr>
      <w:tr>
        <w:trPr>
          <w:trHeight w:val="216"/>
        </w:trPr>
        <w:tc>
          <w:tcPr>
            <w:tcW w:w="3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Athletic Training Education accredits</w:t>
            </w:r>
          </w:p>
        </w:tc>
        <w:tc>
          <w:tcPr>
            <w:tcW w:w="176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our Athletic Training Program.</w:t>
            </w:r>
          </w:p>
        </w:tc>
        <w:tc>
          <w:tcPr>
            <w:tcW w:w="1760" w:type="dxa"/>
            <w:vAlign w:val="bottom"/>
          </w:tcPr>
          <w:p>
            <w:pPr>
              <w:spacing w:after="0"/>
              <w:rPr>
                <w:sz w:val="20"/>
                <w:szCs w:val="20"/>
                <w:color w:val="auto"/>
              </w:rPr>
            </w:pPr>
          </w:p>
        </w:tc>
      </w:tr>
    </w:tbl>
    <w:p>
      <w:pPr>
        <w:spacing w:after="0" w:line="161"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Curricula</w:t>
      </w:r>
    </w:p>
    <w:p>
      <w:pPr>
        <w:spacing w:after="0" w:line="202"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began offering our first doctoral degree program, a Doctorate of Education in Organizational Leadership, in May 2008.</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offer our academic programs through our four distinct colleges:</w:t>
      </w:r>
    </w:p>
    <w:p>
      <w:pPr>
        <w:spacing w:after="0" w:line="198" w:lineRule="exact"/>
        <w:rPr>
          <w:sz w:val="20"/>
          <w:szCs w:val="20"/>
          <w:color w:val="auto"/>
        </w:rPr>
      </w:pPr>
    </w:p>
    <w:p>
      <w:pPr>
        <w:ind w:left="1420" w:right="779" w:hanging="345"/>
        <w:spacing w:after="0" w:line="264"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140" w:lineRule="exact"/>
        <w:rPr>
          <w:rFonts w:ascii="Arial" w:cs="Arial" w:eastAsia="Arial" w:hAnsi="Arial"/>
          <w:sz w:val="18"/>
          <w:szCs w:val="18"/>
          <w:b w:val="1"/>
          <w:bCs w:val="1"/>
          <w:color w:val="auto"/>
        </w:rPr>
      </w:pPr>
    </w:p>
    <w:p>
      <w:pPr>
        <w:jc w:val="both"/>
        <w:ind w:left="1420" w:right="699" w:hanging="345"/>
        <w:spacing w:after="0" w:line="312" w:lineRule="auto"/>
        <w:tabs>
          <w:tab w:leader="none" w:pos="142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106" w:lineRule="exact"/>
        <w:rPr>
          <w:rFonts w:ascii="Arial" w:cs="Arial" w:eastAsia="Arial" w:hAnsi="Arial"/>
          <w:sz w:val="16"/>
          <w:szCs w:val="16"/>
          <w:b w:val="1"/>
          <w:bCs w:val="1"/>
          <w:color w:val="auto"/>
        </w:rPr>
      </w:pPr>
    </w:p>
    <w:p>
      <w:pPr>
        <w:ind w:left="1420" w:right="1259" w:hanging="345"/>
        <w:spacing w:after="0" w:line="277"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College of Nursing and Health Sciences, which has a strong reputation within the Arizona healthcare community and is the second largest nursing program in Arizona; and</w:t>
      </w:r>
    </w:p>
    <w:p>
      <w:pPr>
        <w:spacing w:after="0" w:line="143" w:lineRule="exact"/>
        <w:rPr>
          <w:rFonts w:ascii="Arial" w:cs="Arial" w:eastAsia="Arial" w:hAnsi="Arial"/>
          <w:sz w:val="18"/>
          <w:szCs w:val="18"/>
          <w:b w:val="1"/>
          <w:bCs w:val="1"/>
          <w:color w:val="auto"/>
        </w:rPr>
      </w:pPr>
    </w:p>
    <w:p>
      <w:pPr>
        <w:jc w:val="both"/>
        <w:ind w:left="1420" w:right="739" w:hanging="345"/>
        <w:spacing w:after="0" w:line="264"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141" w:lineRule="exact"/>
        <w:rPr>
          <w:sz w:val="20"/>
          <w:szCs w:val="20"/>
          <w:color w:val="auto"/>
        </w:rPr>
      </w:pPr>
    </w:p>
    <w:p>
      <w:pPr>
        <w:ind w:left="340" w:right="1019" w:firstLine="373"/>
        <w:spacing w:after="0" w:line="277" w:lineRule="auto"/>
        <w:rPr>
          <w:sz w:val="20"/>
          <w:szCs w:val="20"/>
          <w:color w:val="auto"/>
        </w:rPr>
      </w:pPr>
      <w:r>
        <w:rPr>
          <w:rFonts w:ascii="Arial" w:cs="Arial" w:eastAsia="Arial" w:hAnsi="Arial"/>
          <w:sz w:val="18"/>
          <w:szCs w:val="18"/>
          <w:color w:val="auto"/>
        </w:rPr>
        <w:t>We license the right to utilize the name of Ken Blanchard in connection with our business school and Executive MBA Programs.</w:t>
      </w:r>
    </w:p>
    <w:p>
      <w:pPr>
        <w:spacing w:after="0" w:line="130" w:lineRule="exact"/>
        <w:rPr>
          <w:sz w:val="20"/>
          <w:szCs w:val="20"/>
          <w:color w:val="auto"/>
        </w:rPr>
      </w:pPr>
    </w:p>
    <w:p>
      <w:pPr>
        <w:ind w:left="340" w:right="759" w:firstLine="373"/>
        <w:spacing w:after="0" w:line="264" w:lineRule="auto"/>
        <w:rPr>
          <w:sz w:val="20"/>
          <w:szCs w:val="20"/>
          <w:color w:val="auto"/>
        </w:rPr>
      </w:pPr>
      <w:r>
        <w:rPr>
          <w:rFonts w:ascii="Arial" w:cs="Arial" w:eastAsia="Arial" w:hAnsi="Arial"/>
          <w:sz w:val="18"/>
          <w:szCs w:val="18"/>
          <w:color w:val="auto"/>
        </w:rPr>
        <w:t>Under the overall leadership of our senior academic affairs personnel and the deans of the individual colleges, each of the colleges organizes its academic programs through various departments and schools. At December 31, 2008, we offered 76 academic degree programs and emphases, as follows:</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1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College of Education</w:t>
            </w:r>
          </w:p>
        </w:tc>
        <w:tc>
          <w:tcPr>
            <w:tcW w:w="200" w:type="dxa"/>
            <w:vAlign w:val="bottom"/>
          </w:tcPr>
          <w:p>
            <w:pPr>
              <w:spacing w:after="0"/>
              <w:rPr>
                <w:sz w:val="13"/>
                <w:szCs w:val="13"/>
                <w:color w:val="auto"/>
              </w:rPr>
            </w:pPr>
          </w:p>
        </w:tc>
        <w:tc>
          <w:tcPr>
            <w:tcW w:w="3800" w:type="dxa"/>
            <w:vAlign w:val="bottom"/>
            <w:tcBorders>
              <w:bottom w:val="single" w:sz="8" w:color="auto"/>
            </w:tcBorders>
            <w:gridSpan w:val="4"/>
          </w:tcPr>
          <w:p>
            <w:pPr>
              <w:ind w:left="960"/>
              <w:spacing w:after="0"/>
              <w:rPr>
                <w:sz w:val="20"/>
                <w:szCs w:val="20"/>
                <w:color w:val="auto"/>
              </w:rPr>
            </w:pPr>
            <w:r>
              <w:rPr>
                <w:rFonts w:ascii="Arial" w:cs="Arial" w:eastAsia="Arial" w:hAnsi="Arial"/>
                <w:sz w:val="13"/>
                <w:szCs w:val="13"/>
                <w:b w:val="1"/>
                <w:bCs w:val="1"/>
                <w:color w:val="auto"/>
              </w:rPr>
              <w:t>Ken Blanchard College of Business</w:t>
            </w:r>
          </w:p>
        </w:tc>
        <w:tc>
          <w:tcPr>
            <w:tcW w:w="0" w:type="dxa"/>
            <w:vAlign w:val="bottom"/>
          </w:tcPr>
          <w:p>
            <w:pPr>
              <w:spacing w:after="0"/>
              <w:rPr>
                <w:sz w:val="1"/>
                <w:szCs w:val="1"/>
                <w:color w:val="auto"/>
              </w:rPr>
            </w:pPr>
          </w:p>
        </w:tc>
      </w:tr>
      <w:tr>
        <w:trPr>
          <w:trHeight w:val="129"/>
        </w:trPr>
        <w:tc>
          <w:tcPr>
            <w:tcW w:w="18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Degree Program</w:t>
            </w:r>
          </w:p>
        </w:tc>
        <w:tc>
          <w:tcPr>
            <w:tcW w:w="200" w:type="dxa"/>
            <w:vAlign w:val="bottom"/>
          </w:tcPr>
          <w:p>
            <w:pPr>
              <w:spacing w:after="0"/>
              <w:rPr>
                <w:sz w:val="11"/>
                <w:szCs w:val="11"/>
                <w:color w:val="auto"/>
              </w:rPr>
            </w:pPr>
          </w:p>
        </w:tc>
        <w:tc>
          <w:tcPr>
            <w:tcW w:w="3260" w:type="dxa"/>
            <w:vAlign w:val="bottom"/>
            <w:tcBorders>
              <w:bottom w:val="single" w:sz="8" w:color="auto"/>
            </w:tcBorders>
          </w:tcPr>
          <w:p>
            <w:pPr>
              <w:ind w:left="1380"/>
              <w:spacing w:after="0" w:line="129" w:lineRule="exact"/>
              <w:rPr>
                <w:sz w:val="20"/>
                <w:szCs w:val="20"/>
                <w:color w:val="auto"/>
              </w:rPr>
            </w:pPr>
            <w:r>
              <w:rPr>
                <w:rFonts w:ascii="Arial" w:cs="Arial" w:eastAsia="Arial" w:hAnsi="Arial"/>
                <w:sz w:val="13"/>
                <w:szCs w:val="13"/>
                <w:b w:val="1"/>
                <w:bCs w:val="1"/>
                <w:color w:val="auto"/>
              </w:rPr>
              <w:t>Emphasis</w:t>
            </w:r>
          </w:p>
        </w:tc>
        <w:tc>
          <w:tcPr>
            <w:tcW w:w="200" w:type="dxa"/>
            <w:vAlign w:val="bottom"/>
          </w:tcPr>
          <w:p>
            <w:pPr>
              <w:spacing w:after="0"/>
              <w:rPr>
                <w:sz w:val="11"/>
                <w:szCs w:val="11"/>
                <w:color w:val="auto"/>
              </w:rPr>
            </w:pPr>
          </w:p>
        </w:tc>
        <w:tc>
          <w:tcPr>
            <w:tcW w:w="1400" w:type="dxa"/>
            <w:vAlign w:val="bottom"/>
            <w:tcBorders>
              <w:bottom w:val="single" w:sz="8" w:color="auto"/>
            </w:tcBorders>
          </w:tcPr>
          <w:p>
            <w:pPr>
              <w:ind w:left="260"/>
              <w:spacing w:after="0" w:line="129" w:lineRule="exact"/>
              <w:rPr>
                <w:sz w:val="20"/>
                <w:szCs w:val="20"/>
                <w:color w:val="auto"/>
              </w:rPr>
            </w:pPr>
            <w:r>
              <w:rPr>
                <w:rFonts w:ascii="Arial" w:cs="Arial" w:eastAsia="Arial" w:hAnsi="Arial"/>
                <w:sz w:val="13"/>
                <w:szCs w:val="13"/>
                <w:b w:val="1"/>
                <w:bCs w:val="1"/>
                <w:color w:val="auto"/>
              </w:rPr>
              <w:t>Degree Program</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ind w:left="740"/>
              <w:spacing w:after="0" w:line="129" w:lineRule="exact"/>
              <w:rPr>
                <w:sz w:val="20"/>
                <w:szCs w:val="20"/>
                <w:color w:val="auto"/>
              </w:rPr>
            </w:pPr>
            <w:r>
              <w:rPr>
                <w:rFonts w:ascii="Arial" w:cs="Arial" w:eastAsia="Arial" w:hAnsi="Arial"/>
                <w:sz w:val="13"/>
                <w:szCs w:val="13"/>
                <w:b w:val="1"/>
                <w:bCs w:val="1"/>
                <w:color w:val="auto"/>
              </w:rPr>
              <w:t>Emphasis</w:t>
            </w:r>
          </w:p>
        </w:tc>
        <w:tc>
          <w:tcPr>
            <w:tcW w:w="0" w:type="dxa"/>
            <w:vAlign w:val="bottom"/>
          </w:tcPr>
          <w:p>
            <w:pPr>
              <w:spacing w:after="0"/>
              <w:rPr>
                <w:sz w:val="1"/>
                <w:szCs w:val="1"/>
                <w:color w:val="auto"/>
              </w:rPr>
            </w:pPr>
          </w:p>
        </w:tc>
      </w:tr>
      <w:tr>
        <w:trPr>
          <w:trHeight w:val="114"/>
        </w:trPr>
        <w:tc>
          <w:tcPr>
            <w:tcW w:w="1860" w:type="dxa"/>
            <w:vAlign w:val="bottom"/>
          </w:tcPr>
          <w:p>
            <w:pPr>
              <w:spacing w:after="0" w:line="114" w:lineRule="exact"/>
              <w:rPr>
                <w:sz w:val="20"/>
                <w:szCs w:val="20"/>
                <w:color w:val="auto"/>
              </w:rPr>
            </w:pPr>
            <w:r>
              <w:rPr>
                <w:rFonts w:ascii="Arial" w:cs="Arial" w:eastAsia="Arial" w:hAnsi="Arial"/>
                <w:sz w:val="13"/>
                <w:szCs w:val="13"/>
                <w:color w:val="auto"/>
              </w:rPr>
              <w:t>Master of Arts in Teaching</w:t>
            </w:r>
          </w:p>
        </w:tc>
        <w:tc>
          <w:tcPr>
            <w:tcW w:w="2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line="114" w:lineRule="exact"/>
              <w:rPr>
                <w:sz w:val="20"/>
                <w:szCs w:val="20"/>
                <w:color w:val="auto"/>
              </w:rPr>
            </w:pPr>
            <w:r>
              <w:rPr>
                <w:rFonts w:ascii="Arial" w:cs="Arial" w:eastAsia="Arial" w:hAnsi="Arial"/>
                <w:sz w:val="13"/>
                <w:szCs w:val="13"/>
                <w:color w:val="auto"/>
                <w:w w:val="94"/>
              </w:rPr>
              <w:t>Ken Blanchard Executive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w w:val="93"/>
              </w:rPr>
              <w:t xml:space="preserve">•  </w:t>
            </w:r>
            <w:r>
              <w:rPr>
                <w:rFonts w:ascii="Arial" w:cs="Arial" w:eastAsia="Arial" w:hAnsi="Arial"/>
                <w:sz w:val="13"/>
                <w:szCs w:val="13"/>
                <w:color w:val="auto"/>
                <w:w w:val="93"/>
              </w:rPr>
              <w:t>Education Administration — Institutional Recommendation</w:t>
            </w:r>
          </w:p>
        </w:tc>
        <w:tc>
          <w:tcPr>
            <w:tcW w:w="20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3"/>
                <w:szCs w:val="13"/>
                <w:color w:val="auto"/>
              </w:rPr>
              <w:t>MBA</w:t>
            </w:r>
          </w:p>
        </w:tc>
        <w:tc>
          <w:tcPr>
            <w:tcW w:w="1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860" w:type="dxa"/>
            <w:vAlign w:val="bottom"/>
          </w:tcPr>
          <w:p>
            <w:pPr>
              <w:spacing w:after="0" w:line="131" w:lineRule="exact"/>
              <w:rPr>
                <w:sz w:val="20"/>
                <w:szCs w:val="20"/>
                <w:color w:val="auto"/>
              </w:rPr>
            </w:pPr>
            <w:r>
              <w:rPr>
                <w:rFonts w:ascii="Arial" w:cs="Arial" w:eastAsia="Arial" w:hAnsi="Arial"/>
                <w:sz w:val="13"/>
                <w:szCs w:val="13"/>
                <w:color w:val="auto"/>
              </w:rPr>
              <w:t>Master of Education</w:t>
            </w:r>
          </w:p>
        </w:tc>
        <w:tc>
          <w:tcPr>
            <w:tcW w:w="20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line="131" w:lineRule="exact"/>
              <w:rPr>
                <w:sz w:val="20"/>
                <w:szCs w:val="20"/>
                <w:color w:val="auto"/>
              </w:rPr>
            </w:pPr>
            <w:r>
              <w:rPr>
                <w:rFonts w:ascii="Arial" w:cs="Arial" w:eastAsia="Arial" w:hAnsi="Arial"/>
                <w:sz w:val="13"/>
                <w:szCs w:val="13"/>
                <w:color w:val="auto"/>
              </w:rPr>
              <w:t>Master of Business</w:t>
            </w:r>
          </w:p>
        </w:tc>
        <w:tc>
          <w:tcPr>
            <w:tcW w:w="1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120" w:type="dxa"/>
            <w:vAlign w:val="bottom"/>
          </w:tcPr>
          <w:p>
            <w:pPr>
              <w:ind w:left="60"/>
              <w:spacing w:after="0" w:line="131" w:lineRule="exact"/>
              <w:rPr>
                <w:sz w:val="20"/>
                <w:szCs w:val="20"/>
                <w:color w:val="auto"/>
              </w:rPr>
            </w:pPr>
            <w:r>
              <w:rPr>
                <w:rFonts w:ascii="Arial" w:cs="Arial" w:eastAsia="Arial" w:hAnsi="Arial"/>
                <w:sz w:val="13"/>
                <w:szCs w:val="13"/>
                <w:color w:val="auto"/>
              </w:rPr>
              <w:t>Accounting</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ind w:left="180"/>
              <w:spacing w:after="0" w:line="135" w:lineRule="exact"/>
              <w:rPr>
                <w:sz w:val="20"/>
                <w:szCs w:val="20"/>
                <w:color w:val="auto"/>
              </w:rPr>
            </w:pPr>
            <w:r>
              <w:rPr>
                <w:rFonts w:ascii="Arial" w:cs="Arial" w:eastAsia="Arial" w:hAnsi="Arial"/>
                <w:sz w:val="13"/>
                <w:szCs w:val="13"/>
                <w:color w:val="auto"/>
              </w:rPr>
              <w:t>(“IR”)</w:t>
            </w:r>
          </w:p>
        </w:tc>
        <w:tc>
          <w:tcPr>
            <w:tcW w:w="20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3"/>
                <w:szCs w:val="13"/>
                <w:color w:val="auto"/>
              </w:rPr>
              <w:t>Administration</w:t>
            </w: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General Management</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w w:val="98"/>
              </w:rPr>
              <w:t xml:space="preserve">•  </w:t>
            </w:r>
            <w:r>
              <w:rPr>
                <w:rFonts w:ascii="Arial" w:cs="Arial" w:eastAsia="Arial" w:hAnsi="Arial"/>
                <w:sz w:val="13"/>
                <w:szCs w:val="13"/>
                <w:color w:val="auto"/>
                <w:w w:val="98"/>
              </w:rPr>
              <w:t>Education Administration — Organizational Leadership</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Finance</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Education Administration — School Leadership</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Health Systems Management</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Elementary Education — IR</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Leadership</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Elementary Education — Non-IR</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w w:val="96"/>
              </w:rPr>
              <w:t>Management of Information Systems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Curriculum and Instruction: Reading</w:t>
            </w:r>
          </w:p>
        </w:tc>
        <w:tc>
          <w:tcPr>
            <w:tcW w:w="20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3"/>
                <w:szCs w:val="13"/>
                <w:color w:val="auto"/>
              </w:rPr>
              <w:t>Master of Science</w:t>
            </w: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Marketing</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Curriculum and Instruction: Technology</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Six Sigma</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Secondary Education — IR</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Leadership</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Secondary Education — Non-IR</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w w:val="94"/>
              </w:rPr>
              <w:t>Leadership — Disaster Preparedness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Special Education for Certified Special Educators</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Crisis Management</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Teaching English to Speakers of Other Languages</w:t>
            </w:r>
          </w:p>
        </w:tc>
        <w:tc>
          <w:tcPr>
            <w:tcW w:w="200" w:type="dxa"/>
            <w:vAlign w:val="bottom"/>
          </w:tcPr>
          <w:p>
            <w:pPr>
              <w:spacing w:after="0"/>
              <w:rPr>
                <w:sz w:val="11"/>
                <w:szCs w:val="11"/>
                <w:color w:val="auto"/>
              </w:rPr>
            </w:pPr>
          </w:p>
        </w:tc>
        <w:tc>
          <w:tcPr>
            <w:tcW w:w="1400" w:type="dxa"/>
            <w:vAlign w:val="bottom"/>
          </w:tcPr>
          <w:p>
            <w:pPr>
              <w:spacing w:after="0" w:line="135" w:lineRule="exact"/>
              <w:rPr>
                <w:sz w:val="20"/>
                <w:szCs w:val="20"/>
                <w:color w:val="auto"/>
              </w:rPr>
            </w:pPr>
            <w:r>
              <w:rPr>
                <w:rFonts w:ascii="Arial" w:cs="Arial" w:eastAsia="Arial" w:hAnsi="Arial"/>
                <w:sz w:val="13"/>
                <w:szCs w:val="13"/>
                <w:color w:val="auto"/>
              </w:rPr>
              <w:t>Bachelor of Science</w:t>
            </w: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Executive Fire Leadership</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Special Education — IR</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Accounting</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Special Education — Non-IR</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Business Administration</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Applied Management</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Finance and Economics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Entrepreneurial Studies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Public Safety Administration</w:t>
            </w:r>
          </w:p>
        </w:tc>
        <w:tc>
          <w:tcPr>
            <w:tcW w:w="0" w:type="dxa"/>
            <w:vAlign w:val="bottom"/>
          </w:tcPr>
          <w:p>
            <w:pPr>
              <w:spacing w:after="0"/>
              <w:rPr>
                <w:sz w:val="1"/>
                <w:szCs w:val="1"/>
                <w:color w:val="auto"/>
              </w:rPr>
            </w:pPr>
          </w:p>
        </w:tc>
      </w:tr>
      <w:tr>
        <w:trPr>
          <w:trHeight w:val="164"/>
        </w:trPr>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rPr>
                <w:sz w:val="20"/>
                <w:szCs w:val="20"/>
                <w:color w:val="auto"/>
              </w:rPr>
            </w:pPr>
            <w:r>
              <w:rPr>
                <w:rFonts w:ascii="Arial" w:cs="Arial" w:eastAsia="Arial" w:hAnsi="Arial"/>
                <w:sz w:val="13"/>
                <w:szCs w:val="13"/>
                <w:color w:val="auto"/>
              </w:rPr>
              <w:t>Emergency Management</w:t>
            </w: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r>
              <w:rPr>
                <w:rFonts w:ascii="Arial" w:cs="Arial" w:eastAsia="Arial" w:hAnsi="Arial"/>
                <w:sz w:val="13"/>
                <w:szCs w:val="13"/>
                <w:color w:val="auto"/>
              </w:rPr>
              <w:t>Bachelor of Science</w:t>
            </w: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Elementary/Special Education</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Elementary Education — Early Childhood Education</w:t>
            </w: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Elementary Education — English</w:t>
            </w: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Elementary Education — Math</w:t>
      </w:r>
    </w:p>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Elementary Education — Science</w:t>
      </w:r>
    </w:p>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Secondary Education — Biology*</w:t>
      </w:r>
    </w:p>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Secondary Education — Business Education</w:t>
      </w:r>
    </w:p>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Secondary Education — Chemistry*</w:t>
      </w:r>
    </w:p>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Secondary Education — Mathematics</w:t>
      </w:r>
    </w:p>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Secondary Education — Social Studies</w:t>
      </w:r>
    </w:p>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Secondary Education — Physical Education</w:t>
      </w:r>
    </w:p>
    <w:p>
      <w:pPr>
        <w:ind w:left="2400"/>
        <w:spacing w:after="0"/>
        <w:tabs>
          <w:tab w:leader="none" w:pos="254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1"/>
          <w:szCs w:val="11"/>
          <w:color w:val="auto"/>
        </w:rPr>
        <w:t>Secondary Education — English</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Doctor of Education</w:t>
      </w:r>
    </w:p>
    <w:p>
      <w:pPr>
        <w:ind w:left="2560" w:hanging="160"/>
        <w:spacing w:after="0"/>
        <w:tabs>
          <w:tab w:leader="none" w:pos="256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Organizational Leadership</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156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College of Nursing and Health Sciences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College of Liberal Arts</w:t>
            </w:r>
          </w:p>
        </w:tc>
        <w:tc>
          <w:tcPr>
            <w:tcW w:w="0" w:type="dxa"/>
            <w:vAlign w:val="bottom"/>
          </w:tcPr>
          <w:p>
            <w:pPr>
              <w:spacing w:after="0"/>
              <w:rPr>
                <w:sz w:val="1"/>
                <w:szCs w:val="1"/>
                <w:color w:val="auto"/>
              </w:rPr>
            </w:pPr>
          </w:p>
        </w:tc>
      </w:tr>
      <w:tr>
        <w:trPr>
          <w:trHeight w:val="129"/>
        </w:trPr>
        <w:tc>
          <w:tcPr>
            <w:tcW w:w="15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Degree Program</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ind w:left="1280"/>
              <w:spacing w:after="0" w:line="129" w:lineRule="exact"/>
              <w:rPr>
                <w:sz w:val="20"/>
                <w:szCs w:val="20"/>
                <w:color w:val="auto"/>
              </w:rPr>
            </w:pPr>
            <w:r>
              <w:rPr>
                <w:rFonts w:ascii="Arial" w:cs="Arial" w:eastAsia="Arial" w:hAnsi="Arial"/>
                <w:sz w:val="13"/>
                <w:szCs w:val="13"/>
                <w:b w:val="1"/>
                <w:bCs w:val="1"/>
                <w:color w:val="auto"/>
              </w:rPr>
              <w:t>Emphasis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b w:val="1"/>
                <w:bCs w:val="1"/>
                <w:color w:val="auto"/>
                <w:w w:val="96"/>
              </w:rPr>
              <w:t>Degree Program</w:t>
            </w:r>
          </w:p>
        </w:tc>
        <w:tc>
          <w:tcPr>
            <w:tcW w:w="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ind w:left="740"/>
              <w:spacing w:after="0" w:line="129" w:lineRule="exact"/>
              <w:rPr>
                <w:sz w:val="20"/>
                <w:szCs w:val="20"/>
                <w:color w:val="auto"/>
              </w:rPr>
            </w:pPr>
            <w:r>
              <w:rPr>
                <w:rFonts w:ascii="Arial" w:cs="Arial" w:eastAsia="Arial" w:hAnsi="Arial"/>
                <w:sz w:val="13"/>
                <w:szCs w:val="13"/>
                <w:b w:val="1"/>
                <w:bCs w:val="1"/>
                <w:color w:val="auto"/>
              </w:rPr>
              <w:t>Emphasis</w:t>
            </w:r>
          </w:p>
        </w:tc>
        <w:tc>
          <w:tcPr>
            <w:tcW w:w="0" w:type="dxa"/>
            <w:vAlign w:val="bottom"/>
          </w:tcPr>
          <w:p>
            <w:pPr>
              <w:spacing w:after="0"/>
              <w:rPr>
                <w:sz w:val="1"/>
                <w:szCs w:val="1"/>
                <w:color w:val="auto"/>
              </w:rPr>
            </w:pPr>
          </w:p>
        </w:tc>
      </w:tr>
      <w:tr>
        <w:trPr>
          <w:trHeight w:val="110"/>
        </w:trPr>
        <w:tc>
          <w:tcPr>
            <w:tcW w:w="1560" w:type="dxa"/>
            <w:vAlign w:val="bottom"/>
          </w:tcPr>
          <w:p>
            <w:pPr>
              <w:spacing w:after="0" w:line="110" w:lineRule="exact"/>
              <w:rPr>
                <w:sz w:val="20"/>
                <w:szCs w:val="20"/>
                <w:color w:val="auto"/>
              </w:rPr>
            </w:pPr>
            <w:r>
              <w:rPr>
                <w:rFonts w:ascii="Arial" w:cs="Arial" w:eastAsia="Arial" w:hAnsi="Arial"/>
                <w:sz w:val="12"/>
                <w:szCs w:val="12"/>
                <w:color w:val="auto"/>
                <w:w w:val="98"/>
              </w:rPr>
              <w:t>Master of Science — Nursing</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line="110" w:lineRule="exact"/>
              <w:rPr>
                <w:sz w:val="20"/>
                <w:szCs w:val="20"/>
                <w:color w:val="auto"/>
              </w:rPr>
            </w:pPr>
            <w:r>
              <w:rPr>
                <w:rFonts w:ascii="Arial" w:cs="Arial" w:eastAsia="Arial" w:hAnsi="Arial"/>
                <w:sz w:val="12"/>
                <w:szCs w:val="12"/>
                <w:b w:val="1"/>
                <w:bCs w:val="1"/>
                <w:color w:val="auto"/>
              </w:rPr>
              <w:t>•</w:t>
            </w:r>
          </w:p>
        </w:tc>
        <w:tc>
          <w:tcPr>
            <w:tcW w:w="3160" w:type="dxa"/>
            <w:vAlign w:val="bottom"/>
          </w:tcPr>
          <w:p>
            <w:pPr>
              <w:ind w:left="60"/>
              <w:spacing w:after="0" w:line="110" w:lineRule="exact"/>
              <w:rPr>
                <w:sz w:val="20"/>
                <w:szCs w:val="20"/>
                <w:color w:val="auto"/>
              </w:rPr>
            </w:pPr>
            <w:r>
              <w:rPr>
                <w:rFonts w:ascii="Arial" w:cs="Arial" w:eastAsia="Arial" w:hAnsi="Arial"/>
                <w:sz w:val="12"/>
                <w:szCs w:val="12"/>
                <w:color w:val="auto"/>
              </w:rPr>
              <w:t>Family Nurse Practitioner*</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Nursing Leadership in Healthcare Systems</w:t>
            </w:r>
          </w:p>
        </w:tc>
        <w:tc>
          <w:tcPr>
            <w:tcW w:w="200" w:type="dxa"/>
            <w:vAlign w:val="bottom"/>
          </w:tcPr>
          <w:p>
            <w:pPr>
              <w:spacing w:after="0"/>
              <w:rPr>
                <w:sz w:val="11"/>
                <w:szCs w:val="11"/>
                <w:color w:val="auto"/>
              </w:rPr>
            </w:pPr>
          </w:p>
        </w:tc>
        <w:tc>
          <w:tcPr>
            <w:tcW w:w="1260" w:type="dxa"/>
            <w:vAlign w:val="bottom"/>
            <w:gridSpan w:val="2"/>
          </w:tcPr>
          <w:p>
            <w:pPr>
              <w:spacing w:after="0" w:line="135" w:lineRule="exact"/>
              <w:rPr>
                <w:sz w:val="20"/>
                <w:szCs w:val="20"/>
                <w:color w:val="auto"/>
              </w:rPr>
            </w:pPr>
            <w:r>
              <w:rPr>
                <w:rFonts w:ascii="Arial" w:cs="Arial" w:eastAsia="Arial" w:hAnsi="Arial"/>
                <w:sz w:val="13"/>
                <w:szCs w:val="13"/>
                <w:color w:val="auto"/>
              </w:rPr>
              <w:t>Bachelor of Science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Justice Studies</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Clinical Nurse Specialist*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Psychology</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Clinical Nurse Specialist (Education Focus)*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Sociology</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Nursing Education</w:t>
            </w:r>
          </w:p>
        </w:tc>
        <w:tc>
          <w:tcPr>
            <w:tcW w:w="200" w:type="dxa"/>
            <w:vAlign w:val="bottom"/>
          </w:tcPr>
          <w:p>
            <w:pPr>
              <w:spacing w:after="0"/>
              <w:rPr>
                <w:sz w:val="11"/>
                <w:szCs w:val="11"/>
                <w:color w:val="auto"/>
              </w:rPr>
            </w:pPr>
          </w:p>
        </w:tc>
        <w:tc>
          <w:tcPr>
            <w:tcW w:w="1260" w:type="dxa"/>
            <w:vAlign w:val="bottom"/>
            <w:gridSpan w:val="2"/>
          </w:tcPr>
          <w:p>
            <w:pPr>
              <w:spacing w:after="0" w:line="135" w:lineRule="exact"/>
              <w:rPr>
                <w:sz w:val="20"/>
                <w:szCs w:val="20"/>
                <w:color w:val="auto"/>
              </w:rPr>
            </w:pPr>
            <w:r>
              <w:rPr>
                <w:rFonts w:ascii="Arial" w:cs="Arial" w:eastAsia="Arial" w:hAnsi="Arial"/>
                <w:sz w:val="13"/>
                <w:szCs w:val="13"/>
                <w:color w:val="auto"/>
              </w:rPr>
              <w:t>Bachelor of Arts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Communications</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English Literature</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Interdisciplinary Studies</w:t>
            </w:r>
          </w:p>
        </w:tc>
        <w:tc>
          <w:tcPr>
            <w:tcW w:w="0" w:type="dxa"/>
            <w:vAlign w:val="bottom"/>
          </w:tcPr>
          <w:p>
            <w:pPr>
              <w:spacing w:after="0"/>
              <w:rPr>
                <w:sz w:val="1"/>
                <w:szCs w:val="1"/>
                <w:color w:val="auto"/>
              </w:rPr>
            </w:pPr>
          </w:p>
        </w:tc>
      </w:tr>
      <w:tr>
        <w:trPr>
          <w:trHeight w:val="135"/>
        </w:trPr>
        <w:tc>
          <w:tcPr>
            <w:tcW w:w="1560" w:type="dxa"/>
            <w:vAlign w:val="bottom"/>
          </w:tcPr>
          <w:p>
            <w:pPr>
              <w:spacing w:after="0" w:line="135" w:lineRule="exact"/>
              <w:rPr>
                <w:sz w:val="20"/>
                <w:szCs w:val="20"/>
                <w:color w:val="auto"/>
              </w:rPr>
            </w:pPr>
            <w:r>
              <w:rPr>
                <w:rFonts w:ascii="Arial" w:cs="Arial" w:eastAsia="Arial" w:hAnsi="Arial"/>
                <w:sz w:val="13"/>
                <w:szCs w:val="13"/>
                <w:color w:val="auto"/>
              </w:rPr>
              <w:t>Master of Science</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Professional Counseling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Christian Studies</w:t>
            </w: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rPr>
                <w:sz w:val="20"/>
                <w:szCs w:val="20"/>
                <w:color w:val="auto"/>
              </w:rPr>
            </w:pPr>
            <w:r>
              <w:rPr>
                <w:rFonts w:ascii="Arial" w:cs="Arial" w:eastAsia="Arial" w:hAnsi="Arial"/>
                <w:sz w:val="13"/>
                <w:szCs w:val="13"/>
                <w:color w:val="auto"/>
              </w:rPr>
              <w:t>Addiction Counseling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rPr>
                <w:sz w:val="20"/>
                <w:szCs w:val="20"/>
                <w:color w:val="auto"/>
              </w:rPr>
            </w:pPr>
            <w:r>
              <w:rPr>
                <w:rFonts w:ascii="Arial" w:cs="Arial" w:eastAsia="Arial" w:hAnsi="Arial"/>
                <w:sz w:val="13"/>
                <w:szCs w:val="13"/>
                <w:color w:val="auto"/>
              </w:rPr>
              <w:t>History</w:t>
            </w:r>
          </w:p>
        </w:tc>
        <w:tc>
          <w:tcPr>
            <w:tcW w:w="0" w:type="dxa"/>
            <w:vAlign w:val="bottom"/>
          </w:tcPr>
          <w:p>
            <w:pPr>
              <w:spacing w:after="0"/>
              <w:rPr>
                <w:sz w:val="1"/>
                <w:szCs w:val="1"/>
                <w:color w:val="auto"/>
              </w:rPr>
            </w:pPr>
          </w:p>
        </w:tc>
      </w:tr>
      <w:tr>
        <w:trPr>
          <w:trHeight w:val="270"/>
        </w:trPr>
        <w:tc>
          <w:tcPr>
            <w:tcW w:w="2160" w:type="dxa"/>
            <w:vAlign w:val="bottom"/>
            <w:gridSpan w:val="4"/>
          </w:tcPr>
          <w:p>
            <w:pPr>
              <w:spacing w:after="0"/>
              <w:rPr>
                <w:sz w:val="20"/>
                <w:szCs w:val="20"/>
                <w:color w:val="auto"/>
              </w:rPr>
            </w:pPr>
            <w:r>
              <w:rPr>
                <w:rFonts w:ascii="Arial" w:cs="Arial" w:eastAsia="Arial" w:hAnsi="Arial"/>
                <w:sz w:val="13"/>
                <w:szCs w:val="13"/>
                <w:color w:val="auto"/>
              </w:rPr>
              <w:t>Bachelor of Science in Nursing*</w:t>
            </w:r>
          </w:p>
        </w:tc>
        <w:tc>
          <w:tcPr>
            <w:tcW w:w="3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560" w:type="dxa"/>
            <w:vAlign w:val="bottom"/>
          </w:tcPr>
          <w:p>
            <w:pPr>
              <w:spacing w:after="0"/>
              <w:rPr>
                <w:sz w:val="20"/>
                <w:szCs w:val="20"/>
                <w:color w:val="auto"/>
              </w:rPr>
            </w:pPr>
            <w:r>
              <w:rPr>
                <w:rFonts w:ascii="Arial" w:cs="Arial" w:eastAsia="Arial" w:hAnsi="Arial"/>
                <w:sz w:val="13"/>
                <w:szCs w:val="13"/>
                <w:color w:val="auto"/>
              </w:rPr>
              <w:t>Bachelor of Science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rPr>
                <w:sz w:val="20"/>
                <w:szCs w:val="20"/>
                <w:color w:val="auto"/>
              </w:rPr>
            </w:pPr>
            <w:r>
              <w:rPr>
                <w:rFonts w:ascii="Arial" w:cs="Arial" w:eastAsia="Arial" w:hAnsi="Arial"/>
                <w:sz w:val="13"/>
                <w:szCs w:val="13"/>
                <w:color w:val="auto"/>
              </w:rPr>
              <w:t>Biology — Pre-Medicine*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Biology — Pre-Pharmacy*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Biology — Pre-Physician Assistant*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Biology — Pre-Physical Therapy*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Biology — Biomedical Science*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93"/>
              </w:rPr>
              <w:t xml:space="preserve">•  </w:t>
            </w:r>
            <w:r>
              <w:rPr>
                <w:rFonts w:ascii="Arial" w:cs="Arial" w:eastAsia="Arial" w:hAnsi="Arial"/>
                <w:sz w:val="13"/>
                <w:szCs w:val="13"/>
                <w:color w:val="auto"/>
                <w:w w:val="93"/>
              </w:rPr>
              <w:t>Health Science: Professional Development and Advanced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3160" w:type="dxa"/>
            <w:vAlign w:val="bottom"/>
          </w:tcPr>
          <w:p>
            <w:pPr>
              <w:ind w:left="80"/>
              <w:spacing w:after="0" w:line="135" w:lineRule="exact"/>
              <w:rPr>
                <w:sz w:val="20"/>
                <w:szCs w:val="20"/>
                <w:color w:val="auto"/>
              </w:rPr>
            </w:pPr>
            <w:r>
              <w:rPr>
                <w:rFonts w:ascii="Arial" w:cs="Arial" w:eastAsia="Arial" w:hAnsi="Arial"/>
                <w:sz w:val="13"/>
                <w:szCs w:val="13"/>
                <w:color w:val="auto"/>
              </w:rPr>
              <w:t>Patient Care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3160" w:type="dxa"/>
            <w:vAlign w:val="bottom"/>
          </w:tcPr>
          <w:p>
            <w:pPr>
              <w:ind w:left="60"/>
              <w:spacing w:after="0" w:line="131" w:lineRule="exact"/>
              <w:rPr>
                <w:sz w:val="20"/>
                <w:szCs w:val="20"/>
                <w:color w:val="auto"/>
              </w:rPr>
            </w:pPr>
            <w:r>
              <w:rPr>
                <w:rFonts w:ascii="Arial" w:cs="Arial" w:eastAsia="Arial" w:hAnsi="Arial"/>
                <w:sz w:val="13"/>
                <w:szCs w:val="13"/>
                <w:color w:val="auto"/>
              </w:rPr>
              <w:t>Respiratory Care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Medical Imaging Sciences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Athletic Training*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Corporate Fitness and Wellness — Athletic Coaching*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Corporate Fitness and Wellness — Health Education*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3160" w:type="dxa"/>
            <w:vAlign w:val="bottom"/>
          </w:tcPr>
          <w:p>
            <w:pPr>
              <w:ind w:left="60"/>
              <w:spacing w:after="0" w:line="135" w:lineRule="exact"/>
              <w:rPr>
                <w:sz w:val="20"/>
                <w:szCs w:val="20"/>
                <w:color w:val="auto"/>
              </w:rPr>
            </w:pPr>
            <w:r>
              <w:rPr>
                <w:rFonts w:ascii="Arial" w:cs="Arial" w:eastAsia="Arial" w:hAnsi="Arial"/>
                <w:sz w:val="13"/>
                <w:szCs w:val="13"/>
                <w:color w:val="auto"/>
              </w:rPr>
              <w:t>Addiction Counseling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Physical Education — Health Education*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Physical Education — Athletic Coaching*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i w:val="1"/>
                <w:iCs w:val="1"/>
                <w:color w:val="auto"/>
                <w:w w:val="95"/>
              </w:rPr>
              <w:t>Undergraduate Minors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1160" w:type="dxa"/>
            <w:vAlign w:val="bottom"/>
          </w:tcPr>
          <w:p>
            <w:pPr>
              <w:ind w:left="60"/>
              <w:spacing w:after="0" w:line="135" w:lineRule="exact"/>
              <w:rPr>
                <w:sz w:val="20"/>
                <w:szCs w:val="20"/>
                <w:color w:val="auto"/>
              </w:rPr>
            </w:pPr>
            <w:r>
              <w:rPr>
                <w:rFonts w:ascii="Arial" w:cs="Arial" w:eastAsia="Arial" w:hAnsi="Arial"/>
                <w:sz w:val="13"/>
                <w:szCs w:val="13"/>
                <w:color w:val="auto"/>
              </w:rPr>
              <w:t>Athletic Coaching*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Christian Studies</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1160" w:type="dxa"/>
            <w:vAlign w:val="bottom"/>
          </w:tcPr>
          <w:p>
            <w:pPr>
              <w:ind w:left="60"/>
              <w:spacing w:after="0" w:line="135" w:lineRule="exact"/>
              <w:rPr>
                <w:sz w:val="20"/>
                <w:szCs w:val="20"/>
                <w:color w:val="auto"/>
              </w:rPr>
            </w:pPr>
            <w:r>
              <w:rPr>
                <w:rFonts w:ascii="Arial" w:cs="Arial" w:eastAsia="Arial" w:hAnsi="Arial"/>
                <w:sz w:val="13"/>
                <w:szCs w:val="13"/>
                <w:color w:val="auto"/>
                <w:w w:val="87"/>
              </w:rPr>
              <w:t>Behavioral Sciences*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Communication</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1160" w:type="dxa"/>
            <w:vAlign w:val="bottom"/>
          </w:tcPr>
          <w:p>
            <w:pPr>
              <w:ind w:left="60"/>
              <w:spacing w:after="0" w:line="135" w:lineRule="exact"/>
              <w:rPr>
                <w:sz w:val="20"/>
                <w:szCs w:val="20"/>
                <w:color w:val="auto"/>
              </w:rPr>
            </w:pPr>
            <w:r>
              <w:rPr>
                <w:rFonts w:ascii="Arial" w:cs="Arial" w:eastAsia="Arial" w:hAnsi="Arial"/>
                <w:sz w:val="13"/>
                <w:szCs w:val="13"/>
                <w:color w:val="auto"/>
              </w:rPr>
              <w:t>Business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English Literature</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Justice Studies</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History</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Physical Education*</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1160" w:type="dxa"/>
            <w:vAlign w:val="bottom"/>
          </w:tcPr>
          <w:p>
            <w:pPr>
              <w:ind w:left="60"/>
              <w:spacing w:after="0" w:line="135" w:lineRule="exact"/>
              <w:rPr>
                <w:sz w:val="20"/>
                <w:szCs w:val="20"/>
                <w:color w:val="auto"/>
              </w:rPr>
            </w:pPr>
            <w:r>
              <w:rPr>
                <w:rFonts w:ascii="Arial" w:cs="Arial" w:eastAsia="Arial" w:hAnsi="Arial"/>
                <w:sz w:val="13"/>
                <w:szCs w:val="13"/>
                <w:color w:val="auto"/>
              </w:rPr>
              <w:t>Health Education*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line="135" w:lineRule="exact"/>
              <w:rPr>
                <w:sz w:val="20"/>
                <w:szCs w:val="20"/>
                <w:color w:val="auto"/>
              </w:rPr>
            </w:pPr>
            <w:r>
              <w:rPr>
                <w:rFonts w:ascii="Arial" w:cs="Arial" w:eastAsia="Arial" w:hAnsi="Arial"/>
                <w:sz w:val="13"/>
                <w:szCs w:val="13"/>
                <w:color w:val="auto"/>
              </w:rPr>
              <w:t>Psychology</w:t>
            </w: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120" w:type="dxa"/>
            <w:vAlign w:val="bottom"/>
          </w:tcPr>
          <w:p>
            <w:pPr>
              <w:ind w:left="60"/>
              <w:spacing w:after="0"/>
              <w:rPr>
                <w:sz w:val="20"/>
                <w:szCs w:val="20"/>
                <w:color w:val="auto"/>
              </w:rPr>
            </w:pPr>
            <w:r>
              <w:rPr>
                <w:rFonts w:ascii="Arial" w:cs="Arial" w:eastAsia="Arial" w:hAnsi="Arial"/>
                <w:sz w:val="13"/>
                <w:szCs w:val="13"/>
                <w:color w:val="auto"/>
              </w:rPr>
              <w:t>Sociology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250190</wp:posOffset>
            </wp:positionV>
            <wp:extent cx="1063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80" w:hanging="34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program was offered on ground only</w:t>
      </w:r>
    </w:p>
    <w:p>
      <w:pPr>
        <w:spacing w:after="0" w:line="185" w:lineRule="exact"/>
        <w:rPr>
          <w:sz w:val="20"/>
          <w:szCs w:val="20"/>
          <w:color w:val="auto"/>
        </w:rPr>
      </w:pPr>
    </w:p>
    <w:p>
      <w:pPr>
        <w:ind w:left="340" w:right="639" w:firstLine="373"/>
        <w:spacing w:after="0" w:line="276" w:lineRule="auto"/>
        <w:rPr>
          <w:sz w:val="20"/>
          <w:szCs w:val="20"/>
          <w:color w:val="auto"/>
        </w:rPr>
      </w:pPr>
      <w:r>
        <w:rPr>
          <w:rFonts w:ascii="Arial" w:cs="Arial" w:eastAsia="Arial" w:hAnsi="Arial"/>
          <w:sz w:val="17"/>
          <w:szCs w:val="17"/>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students.</w:t>
      </w:r>
    </w:p>
    <w:p>
      <w:pPr>
        <w:spacing w:after="0" w:line="132"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color w:val="auto"/>
        </w:rPr>
        <w:t>We offer our programs through three 16-week semesters in a calendar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Program Development</w:t>
      </w:r>
    </w:p>
    <w:p>
      <w:pPr>
        <w:spacing w:after="0" w:line="202" w:lineRule="exact"/>
        <w:rPr>
          <w:sz w:val="20"/>
          <w:szCs w:val="20"/>
          <w:color w:val="auto"/>
        </w:rPr>
      </w:pPr>
    </w:p>
    <w:p>
      <w:pPr>
        <w:ind w:left="340" w:right="579" w:firstLine="373"/>
        <w:spacing w:after="0" w:line="288" w:lineRule="auto"/>
        <w:rPr>
          <w:sz w:val="20"/>
          <w:szCs w:val="20"/>
          <w:color w:val="auto"/>
        </w:rPr>
      </w:pPr>
      <w:r>
        <w:rPr>
          <w:rFonts w:ascii="Arial" w:cs="Arial" w:eastAsia="Arial" w:hAnsi="Arial"/>
          <w:sz w:val="16"/>
          <w:szCs w:val="16"/>
          <w:color w:val="auto"/>
        </w:rPr>
        <w:t>We typically identify a potential new degree program or emphasis area through market demand or from proposals developed by faculty, staff, students, alumni, or partners, and then perform an analysis of the 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our provost and chief academic officer, our President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Assessment</w:t>
      </w:r>
    </w:p>
    <w:p>
      <w:pPr>
        <w:spacing w:after="0" w:line="189" w:lineRule="exact"/>
        <w:rPr>
          <w:sz w:val="20"/>
          <w:szCs w:val="20"/>
          <w:color w:val="auto"/>
        </w:rPr>
      </w:pPr>
    </w:p>
    <w:p>
      <w:pPr>
        <w:ind w:left="340" w:right="559" w:firstLine="373"/>
        <w:spacing w:after="0" w:line="291" w:lineRule="auto"/>
        <w:rPr>
          <w:sz w:val="20"/>
          <w:szCs w:val="20"/>
          <w:color w:val="auto"/>
        </w:rPr>
      </w:pPr>
      <w:r>
        <w:rPr>
          <w:rFonts w:ascii="Arial" w:cs="Arial" w:eastAsia="Arial" w:hAnsi="Arial"/>
          <w:sz w:val="16"/>
          <w:szCs w:val="16"/>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Faculty</w:t>
      </w:r>
    </w:p>
    <w:p>
      <w:pPr>
        <w:spacing w:after="0" w:line="189" w:lineRule="exact"/>
        <w:rPr>
          <w:sz w:val="20"/>
          <w:szCs w:val="20"/>
          <w:color w:val="auto"/>
        </w:rPr>
      </w:pPr>
    </w:p>
    <w:p>
      <w:pPr>
        <w:ind w:left="340" w:right="619" w:firstLine="373"/>
        <w:spacing w:after="0" w:line="270" w:lineRule="auto"/>
        <w:rPr>
          <w:sz w:val="20"/>
          <w:szCs w:val="20"/>
          <w:color w:val="auto"/>
        </w:rPr>
      </w:pPr>
      <w:r>
        <w:rPr>
          <w:rFonts w:ascii="Arial" w:cs="Arial" w:eastAsia="Arial" w:hAnsi="Arial"/>
          <w:sz w:val="17"/>
          <w:szCs w:val="17"/>
          <w:color w:val="auto"/>
        </w:rPr>
        <w:t>Our faculty includes full-time, ground-based faculty who teach under a nine-month or twelve-month teaching contract, as well as adjunct ground-based faculty and online faculty who we contract to teach on a course-by-course basis for a specified fee. As of December 31, 2008, we employed 517 ground-based faculty members, of which 49 were full-time and 468 were part-time adjuncts. Including our ground-based faculty members, who are available to teach online courses, we maintained a pool of over 1,292 online faculty members, all of whom had completed our required training, 898 of which taught at least one online course during 2008, and 263 of which taught one ground course during 2008. Substantially all of our current faculty members hold at least a master’s degree in their respective field and approximately 30%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141" w:lineRule="exact"/>
        <w:rPr>
          <w:sz w:val="20"/>
          <w:szCs w:val="20"/>
          <w:color w:val="auto"/>
        </w:rPr>
      </w:pPr>
    </w:p>
    <w:p>
      <w:pPr>
        <w:ind w:left="340" w:right="599" w:firstLine="373"/>
        <w:spacing w:after="0" w:line="254" w:lineRule="auto"/>
        <w:rPr>
          <w:sz w:val="20"/>
          <w:szCs w:val="20"/>
          <w:color w:val="auto"/>
        </w:rPr>
      </w:pPr>
      <w:r>
        <w:rPr>
          <w:rFonts w:ascii="Arial" w:cs="Arial" w:eastAsia="Arial" w:hAnsi="Arial"/>
          <w:sz w:val="18"/>
          <w:szCs w:val="18"/>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among other things, assigning him or her a mentor or through other means. If the faculty member’s performance does not improve, we terminate the faculty member’s contract or employment.</w:t>
      </w: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Student Support Services</w:t>
      </w:r>
    </w:p>
    <w:p>
      <w:pPr>
        <w:spacing w:after="0" w:line="202" w:lineRule="exact"/>
        <w:rPr>
          <w:sz w:val="20"/>
          <w:szCs w:val="20"/>
          <w:color w:val="auto"/>
        </w:rPr>
      </w:pPr>
    </w:p>
    <w:p>
      <w:pPr>
        <w:ind w:left="340" w:right="599" w:firstLine="373"/>
        <w:spacing w:after="0" w:line="273" w:lineRule="auto"/>
        <w:rPr>
          <w:sz w:val="20"/>
          <w:szCs w:val="20"/>
          <w:color w:val="auto"/>
        </w:rPr>
      </w:pPr>
      <w:r>
        <w:rPr>
          <w:rFonts w:ascii="Arial" w:cs="Arial" w:eastAsia="Arial" w:hAnsi="Arial"/>
          <w:sz w:val="17"/>
          <w:szCs w:val="17"/>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38" w:lineRule="exact"/>
        <w:rPr>
          <w:sz w:val="20"/>
          <w:szCs w:val="20"/>
          <w:color w:val="auto"/>
        </w:rPr>
      </w:pPr>
    </w:p>
    <w:p>
      <w:pPr>
        <w:ind w:left="340" w:right="619" w:firstLine="373"/>
        <w:spacing w:after="0" w:line="264" w:lineRule="auto"/>
        <w:rPr>
          <w:sz w:val="20"/>
          <w:szCs w:val="20"/>
          <w:color w:val="auto"/>
        </w:rPr>
      </w:pPr>
      <w:r>
        <w:rPr>
          <w:rFonts w:ascii="Arial" w:cs="Arial" w:eastAsia="Arial" w:hAnsi="Arial"/>
          <w:sz w:val="18"/>
          <w:szCs w:val="18"/>
          <w:i w:val="1"/>
          <w:iCs w:val="1"/>
          <w:color w:val="auto"/>
        </w:rPr>
        <w:t xml:space="preserve">Academic services. </w:t>
      </w:r>
      <w:r>
        <w:rPr>
          <w:rFonts w:ascii="Arial" w:cs="Arial" w:eastAsia="Arial" w:hAnsi="Arial"/>
          <w:sz w:val="18"/>
          <w:szCs w:val="18"/>
          <w:color w:val="auto"/>
        </w:rPr>
        <w:t>We provide students with a variety of services designed to support their academic studies. Our Center</w:t>
      </w:r>
      <w:r>
        <w:rPr>
          <w:rFonts w:ascii="Arial" w:cs="Arial" w:eastAsia="Arial" w:hAnsi="Arial"/>
          <w:sz w:val="18"/>
          <w:szCs w:val="18"/>
          <w:i w:val="1"/>
          <w:iCs w:val="1"/>
          <w:color w:val="auto"/>
        </w:rPr>
        <w:t xml:space="preserve"> </w:t>
      </w:r>
      <w:r>
        <w:rPr>
          <w:rFonts w:ascii="Arial" w:cs="Arial" w:eastAsia="Arial" w:hAnsi="Arial"/>
          <w:sz w:val="18"/>
          <w:szCs w:val="18"/>
          <w:color w:val="auto"/>
        </w:rPr>
        <w:t>for Academic and Professional Success offers new student orientation, technical support, research services, writing services, and other tutoring services.</w:t>
      </w:r>
    </w:p>
    <w:p>
      <w:pPr>
        <w:spacing w:after="0" w:line="141" w:lineRule="exact"/>
        <w:rPr>
          <w:sz w:val="20"/>
          <w:szCs w:val="20"/>
          <w:color w:val="auto"/>
        </w:rPr>
      </w:pPr>
    </w:p>
    <w:p>
      <w:pPr>
        <w:ind w:left="340" w:right="619" w:firstLine="373"/>
        <w:spacing w:after="0" w:line="302" w:lineRule="auto"/>
        <w:rPr>
          <w:sz w:val="20"/>
          <w:szCs w:val="20"/>
          <w:color w:val="auto"/>
        </w:rPr>
      </w:pP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We provide students with the ability to access a variety of administrative services both</w:t>
      </w:r>
      <w:r>
        <w:rPr>
          <w:rFonts w:ascii="Arial" w:cs="Arial" w:eastAsia="Arial" w:hAnsi="Arial"/>
          <w:sz w:val="16"/>
          <w:szCs w:val="16"/>
          <w:i w:val="1"/>
          <w:iCs w:val="1"/>
          <w:color w:val="auto"/>
        </w:rPr>
        <w:t xml:space="preserve"> </w:t>
      </w:r>
      <w:r>
        <w:rPr>
          <w:rFonts w:ascii="Arial" w:cs="Arial" w:eastAsia="Arial" w:hAnsi="Arial"/>
          <w:sz w:val="16"/>
          <w:szCs w:val="16"/>
          <w:color w:val="auto"/>
        </w:rPr>
        <w:t>telephonically and via the Internet. For example, students can register for classes, apply for financial aid, pay their tuition and access their transcripts online. We believe this online accessibility provides the convenience and self-service capabilities that our students value. Our academic and finance counselors provide personalized online and telephonic support to our students.</w:t>
      </w:r>
    </w:p>
    <w:p>
      <w:pPr>
        <w:spacing w:after="0" w:line="127" w:lineRule="exact"/>
        <w:rPr>
          <w:sz w:val="20"/>
          <w:szCs w:val="20"/>
          <w:color w:val="auto"/>
        </w:rPr>
      </w:pPr>
    </w:p>
    <w:p>
      <w:pPr>
        <w:ind w:left="340" w:right="639" w:firstLine="373"/>
        <w:spacing w:after="0" w:line="257"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endeavors of all students, faculty, and 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148" w:lineRule="exact"/>
        <w:rPr>
          <w:sz w:val="20"/>
          <w:szCs w:val="20"/>
          <w:color w:val="auto"/>
        </w:rPr>
      </w:pPr>
    </w:p>
    <w:p>
      <w:pPr>
        <w:ind w:left="340" w:right="639" w:firstLine="373"/>
        <w:spacing w:after="0" w:line="297"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including resume 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118" w:lineRule="exact"/>
        <w:rPr>
          <w:sz w:val="20"/>
          <w:szCs w:val="20"/>
          <w:color w:val="auto"/>
        </w:rPr>
      </w:pPr>
    </w:p>
    <w:p>
      <w:pPr>
        <w:ind w:left="340" w:right="759" w:firstLine="373"/>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16 hours per day during the week and 14 hours per day</w:t>
      </w:r>
      <w:r>
        <w:rPr>
          <w:rFonts w:ascii="Arial" w:cs="Arial" w:eastAsia="Arial" w:hAnsi="Arial"/>
          <w:sz w:val="18"/>
          <w:szCs w:val="18"/>
          <w:i w:val="1"/>
          <w:iCs w:val="1"/>
          <w:color w:val="auto"/>
        </w:rPr>
        <w:t xml:space="preserve"> </w:t>
      </w:r>
      <w:r>
        <w:rPr>
          <w:rFonts w:ascii="Arial" w:cs="Arial" w:eastAsia="Arial" w:hAnsi="Arial"/>
          <w:sz w:val="18"/>
          <w:szCs w:val="18"/>
          <w:color w:val="auto"/>
        </w:rPr>
        <w:t>on weekends to help our students remedy technology-related issues. We also provide online tutorials and “Frequently Asked Questions” for students who are new to online coursework.</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Marketing, Recruitment, and Retention</w:t>
      </w:r>
    </w:p>
    <w:p>
      <w:pPr>
        <w:spacing w:after="0" w:line="189" w:lineRule="exact"/>
        <w:rPr>
          <w:sz w:val="20"/>
          <w:szCs w:val="20"/>
          <w:color w:val="auto"/>
        </w:rPr>
      </w:pPr>
    </w:p>
    <w:p>
      <w:pPr>
        <w:ind w:left="340" w:right="919" w:firstLine="373"/>
        <w:spacing w:after="0" w:line="270"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w:t>
      </w:r>
      <w:r>
        <w:rPr>
          <w:rFonts w:ascii="Arial" w:cs="Arial" w:eastAsia="Arial" w:hAnsi="Arial"/>
          <w:sz w:val="17"/>
          <w:szCs w:val="17"/>
          <w:i w:val="1"/>
          <w:iCs w:val="1"/>
          <w:color w:val="auto"/>
        </w:rPr>
        <w:t xml:space="preserve"> </w:t>
      </w:r>
      <w:r>
        <w:rPr>
          <w:rFonts w:ascii="Arial" w:cs="Arial" w:eastAsia="Arial" w:hAnsi="Arial"/>
          <w:sz w:val="17"/>
          <w:szCs w:val="17"/>
          <w:color w:val="auto"/>
        </w:rPr>
        <w:t>career-oriented educational programs, build strong brand 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 enable us to gain a better understanding of the attributes of our students who ultimately enroll and graduate so that we can target our marketing and enrollment processes accordingly.</w:t>
      </w:r>
    </w:p>
    <w:p>
      <w:pPr>
        <w:spacing w:after="0" w:line="131" w:lineRule="exact"/>
        <w:rPr>
          <w:sz w:val="20"/>
          <w:szCs w:val="20"/>
          <w:color w:val="auto"/>
        </w:rPr>
      </w:pPr>
    </w:p>
    <w:p>
      <w:pPr>
        <w:ind w:left="340" w:right="659" w:firstLine="373"/>
        <w:spacing w:after="0" w:line="277" w:lineRule="auto"/>
        <w:rPr>
          <w:sz w:val="20"/>
          <w:szCs w:val="20"/>
          <w:color w:val="auto"/>
        </w:rPr>
      </w:pPr>
      <w:r>
        <w:rPr>
          <w:rFonts w:ascii="Arial" w:cs="Arial" w:eastAsia="Arial" w:hAnsi="Arial"/>
          <w:sz w:val="18"/>
          <w:szCs w:val="18"/>
          <w:color w:val="auto"/>
        </w:rPr>
        <w:t>To generate student leads, our marketing and enrollment personnel employ an integrated marketing approach that utilizes a variety of lead sources to identify prospective students. These lead generation sources include:</w:t>
      </w:r>
    </w:p>
    <w:p>
      <w:pPr>
        <w:spacing w:after="0" w:line="130" w:lineRule="exact"/>
        <w:rPr>
          <w:sz w:val="20"/>
          <w:szCs w:val="20"/>
          <w:color w:val="auto"/>
        </w:rPr>
      </w:pPr>
    </w:p>
    <w:p>
      <w:pPr>
        <w:jc w:val="both"/>
        <w:ind w:left="1420" w:right="719" w:hanging="345"/>
        <w:spacing w:after="0" w:line="264" w:lineRule="auto"/>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140"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search engine optimization techniques, through which we seek to obtain high placement in search engine results in response to key topic and word searches and drive traffic to our website;</w:t>
      </w:r>
    </w:p>
    <w:p>
      <w:pPr>
        <w:spacing w:after="0" w:line="143" w:lineRule="exact"/>
        <w:rPr>
          <w:rFonts w:ascii="Arial" w:cs="Arial" w:eastAsia="Arial" w:hAnsi="Arial"/>
          <w:sz w:val="18"/>
          <w:szCs w:val="18"/>
          <w:b w:val="1"/>
          <w:bCs w:val="1"/>
          <w:color w:val="auto"/>
        </w:rPr>
      </w:pPr>
    </w:p>
    <w:p>
      <w:pPr>
        <w:ind w:left="1420" w:right="999" w:hanging="345"/>
        <w:spacing w:after="0" w:line="277" w:lineRule="auto"/>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seminar and event marketing, in which our marketing and enrollment personnel host group events at various venues, including community colleges, corporations, and hospitals;</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referrals from existing students, alumni, and employees;</w:t>
      </w:r>
    </w:p>
    <w:p>
      <w:pPr>
        <w:spacing w:after="0" w:line="184" w:lineRule="exact"/>
        <w:rPr>
          <w:rFonts w:ascii="Arial" w:cs="Arial" w:eastAsia="Arial" w:hAnsi="Arial"/>
          <w:sz w:val="18"/>
          <w:szCs w:val="18"/>
          <w:b w:val="1"/>
          <w:bCs w:val="1"/>
          <w:color w:val="auto"/>
        </w:rPr>
      </w:pPr>
    </w:p>
    <w:p>
      <w:pPr>
        <w:ind w:left="1420" w:right="559" w:hanging="345"/>
        <w:spacing w:after="0" w:line="279" w:lineRule="auto"/>
        <w:tabs>
          <w:tab w:leader="none" w:pos="14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144" w:lineRule="exact"/>
        <w:rPr>
          <w:rFonts w:ascii="Arial" w:cs="Arial" w:eastAsia="Arial" w:hAnsi="Arial"/>
          <w:sz w:val="17"/>
          <w:szCs w:val="17"/>
          <w:b w:val="1"/>
          <w:bCs w:val="1"/>
          <w:color w:val="auto"/>
        </w:rPr>
      </w:pPr>
    </w:p>
    <w:p>
      <w:pPr>
        <w:ind w:left="1420" w:right="919" w:hanging="345"/>
        <w:spacing w:after="0" w:line="277" w:lineRule="auto"/>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print and direct mail advertising campaigns, and other public relations and communications efforts, including promoting our athletic programs and student and alumni events.</w:t>
      </w:r>
    </w:p>
    <w:p>
      <w:pPr>
        <w:spacing w:after="0" w:line="130" w:lineRule="exact"/>
        <w:rPr>
          <w:sz w:val="20"/>
          <w:szCs w:val="20"/>
          <w:color w:val="auto"/>
        </w:rPr>
      </w:pPr>
    </w:p>
    <w:p>
      <w:pPr>
        <w:ind w:left="340" w:right="599" w:firstLine="373"/>
        <w:spacing w:after="0" w:line="272" w:lineRule="auto"/>
        <w:rPr>
          <w:sz w:val="20"/>
          <w:szCs w:val="20"/>
          <w:color w:val="auto"/>
        </w:rPr>
      </w:pPr>
      <w:r>
        <w:rPr>
          <w:rFonts w:ascii="Arial" w:cs="Arial" w:eastAsia="Arial" w:hAnsi="Arial"/>
          <w:sz w:val="17"/>
          <w:szCs w:val="17"/>
          <w:i w:val="1"/>
          <w:iCs w:val="1"/>
          <w:color w:val="auto"/>
        </w:rPr>
        <w:t xml:space="preserve">Recruitment. </w:t>
      </w:r>
      <w:r>
        <w:rPr>
          <w:rFonts w:ascii="Arial" w:cs="Arial" w:eastAsia="Arial" w:hAnsi="Arial"/>
          <w:sz w:val="17"/>
          <w:szCs w:val="17"/>
          <w:color w:val="auto"/>
        </w:rPr>
        <w:t>Once a prospective student has indicated an interest in enrolling in one of our programs, our lead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system identifies and directs an enrollment counselor to 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39" w:firstLine="373"/>
        <w:spacing w:after="0" w:line="302" w:lineRule="auto"/>
        <w:rPr>
          <w:sz w:val="20"/>
          <w:szCs w:val="20"/>
          <w:color w:val="auto"/>
        </w:rPr>
      </w:pPr>
      <w:r>
        <w:rPr>
          <w:rFonts w:ascii="Arial" w:cs="Arial" w:eastAsia="Arial" w:hAnsi="Arial"/>
          <w:sz w:val="16"/>
          <w:szCs w:val="16"/>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December 31, 2008, we employed over 530 enrollment counselors at facilities in Arizona and Utah.</w:t>
      </w:r>
    </w:p>
    <w:p>
      <w:pPr>
        <w:spacing w:after="0" w:line="127"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Our academic advisors support students in advancing from matriculation through graduation. The academic</w:t>
      </w:r>
      <w:r>
        <w:rPr>
          <w:rFonts w:ascii="Arial" w:cs="Arial" w:eastAsia="Arial" w:hAnsi="Arial"/>
          <w:sz w:val="16"/>
          <w:szCs w:val="16"/>
          <w:i w:val="1"/>
          <w:iCs w:val="1"/>
          <w:color w:val="auto"/>
        </w:rPr>
        <w:t xml:space="preserve"> </w:t>
      </w:r>
      <w:r>
        <w:rPr>
          <w:rFonts w:ascii="Arial" w:cs="Arial" w:eastAsia="Arial" w:hAnsi="Arial"/>
          <w:sz w:val="16"/>
          <w:szCs w:val="16"/>
          <w:color w:val="auto"/>
        </w:rPr>
        <w:t>advisors, among other things, monitor “triggering events,” such as the failure to buy books for a registered course or to participate in online orientation exercises, which signal that a student may be at-risk for dropping out. Upon identifying an at-risk student, academic advisors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 significantly increase retention 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Admissions</w:t>
      </w:r>
    </w:p>
    <w:p>
      <w:pPr>
        <w:spacing w:after="0" w:line="189" w:lineRule="exact"/>
        <w:rPr>
          <w:sz w:val="20"/>
          <w:szCs w:val="20"/>
          <w:color w:val="auto"/>
        </w:rPr>
      </w:pPr>
    </w:p>
    <w:p>
      <w:pPr>
        <w:ind w:left="340" w:right="679" w:firstLine="373"/>
        <w:spacing w:after="0" w:line="270" w:lineRule="auto"/>
        <w:rPr>
          <w:sz w:val="20"/>
          <w:szCs w:val="20"/>
          <w:color w:val="auto"/>
        </w:rPr>
      </w:pPr>
      <w:r>
        <w:rPr>
          <w:rFonts w:ascii="Arial" w:cs="Arial" w:eastAsia="Arial" w:hAnsi="Arial"/>
          <w:sz w:val="17"/>
          <w:szCs w:val="17"/>
          <w:color w:val="auto"/>
        </w:rPr>
        <w:t>Admission is available to qualified students who are at least 16 years of age.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such a college, university, or program. In addition, some students who do not meet the qualifications for admission may be admitted at our discretion.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Enrollment</w:t>
      </w:r>
    </w:p>
    <w:p>
      <w:pPr>
        <w:spacing w:after="0" w:line="189"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At December 31, 2008, we had 24,636 students enrolled in our courses, of which 21,955, or 89.1%, were enrolled in our online programs, and 2,681, or 10.9%, were enrolled in our ground programs. Of our online students, which were geographically distributed throughout all 50 states of the United States, and Canada, 91.6% were age 25 or older. Of our ground students, which, although we draw students from throughout the United States, were predominantly comprised of students from Arizona, 64.2% were age 25 or older.</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99" w:firstLine="373"/>
        <w:spacing w:after="0" w:line="308" w:lineRule="auto"/>
        <w:rPr>
          <w:sz w:val="20"/>
          <w:szCs w:val="20"/>
          <w:color w:val="auto"/>
        </w:rPr>
      </w:pPr>
      <w:r>
        <w:rPr>
          <w:rFonts w:ascii="Arial" w:cs="Arial" w:eastAsia="Arial" w:hAnsi="Arial"/>
          <w:sz w:val="17"/>
          <w:szCs w:val="17"/>
          <w:color w:val="auto"/>
        </w:rPr>
        <w:t>The following is a summary of our student enrollment at December 31, 2008 and December 31, 2007 (which included less than 150 students pursuing non-degree certificates)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December 31, 2008</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December 31, 2007</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Master’s </w:t>
            </w:r>
            <w:r>
              <w:rPr>
                <w:rFonts w:ascii="Arial" w:cs="Arial" w:eastAsia="Arial" w:hAnsi="Arial"/>
                <w:sz w:val="15"/>
                <w:szCs w:val="15"/>
                <w:color w:val="auto"/>
              </w:rPr>
              <w:t>(1)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13,031</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Bachelor’s</w:t>
            </w:r>
          </w:p>
        </w:tc>
        <w:tc>
          <w:tcPr>
            <w:tcW w:w="1000" w:type="dxa"/>
            <w:vAlign w:val="bottom"/>
          </w:tcPr>
          <w:p>
            <w:pPr>
              <w:jc w:val="right"/>
              <w:spacing w:after="0"/>
              <w:rPr>
                <w:sz w:val="20"/>
                <w:szCs w:val="20"/>
                <w:color w:val="auto"/>
              </w:rPr>
            </w:pPr>
            <w:r>
              <w:rPr>
                <w:rFonts w:ascii="Arial" w:cs="Arial" w:eastAsia="Arial" w:hAnsi="Arial"/>
                <w:sz w:val="18"/>
                <w:szCs w:val="18"/>
                <w:color w:val="auto"/>
              </w:rPr>
              <w:t>11,605</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47.1%</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5,598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December 31, 2008</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December 31, 2007</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21,955</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 xml:space="preserve">Ground </w:t>
            </w:r>
            <w:r>
              <w:rPr>
                <w:rFonts w:ascii="Arial" w:cs="Arial" w:eastAsia="Arial" w:hAnsi="Arial"/>
                <w:sz w:val="15"/>
                <w:szCs w:val="15"/>
                <w:color w:val="auto"/>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2,681</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2,257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56 students pursuing doctoral degrees at December 31, 2008.</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our traditional ground students, as well as our professional studies students.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Tuition and Fees</w:t>
      </w:r>
    </w:p>
    <w:p>
      <w:pPr>
        <w:spacing w:after="0" w:line="189" w:lineRule="exact"/>
        <w:rPr>
          <w:sz w:val="20"/>
          <w:szCs w:val="20"/>
          <w:color w:val="auto"/>
        </w:rPr>
      </w:pPr>
    </w:p>
    <w:p>
      <w:pPr>
        <w:ind w:left="340" w:right="599" w:firstLine="373"/>
        <w:spacing w:after="0" w:line="287" w:lineRule="auto"/>
        <w:rPr>
          <w:sz w:val="20"/>
          <w:szCs w:val="20"/>
          <w:color w:val="auto"/>
        </w:rPr>
      </w:pPr>
      <w:r>
        <w:rPr>
          <w:rFonts w:ascii="Arial" w:cs="Arial" w:eastAsia="Arial" w:hAnsi="Arial"/>
          <w:sz w:val="16"/>
          <w:szCs w:val="16"/>
          <w:color w:val="auto"/>
        </w:rPr>
        <w:t>Our tuition rates vary by type and length of program and by degree level. For all graduate and undergraduate programs, tuition is determined by the number of courses taken by each student. For our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132"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We offer tuition scholarships to select students, including online students, athletes, employees, and participants in programs we offer through relationships with employers. For the years ended December 31, 2006, 2007, and 2008, our revenue was reduced by approximately $8.0 million, $10.3 million, and $18.4 million, respectively, as a result of scholarships that we offered to our students.</w:t>
      </w:r>
    </w:p>
    <w:p>
      <w:pPr>
        <w:spacing w:after="0" w:line="160"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color w:val="auto"/>
        </w:rPr>
        <w:t>We have established a refund policy for tuition and fees based upon semester start dates. While this policy may differ slightly in certain states, generally,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graduation fees of $150,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Sources of Student Financing</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185" w:lineRule="exact"/>
        <w:rPr>
          <w:sz w:val="20"/>
          <w:szCs w:val="20"/>
          <w:color w:val="auto"/>
        </w:rPr>
      </w:pPr>
    </w:p>
    <w:p>
      <w:pPr>
        <w:ind w:left="340" w:right="799" w:firstLine="373"/>
        <w:spacing w:after="0" w:line="272" w:lineRule="auto"/>
        <w:rPr>
          <w:sz w:val="20"/>
          <w:szCs w:val="20"/>
          <w:color w:val="auto"/>
        </w:rPr>
      </w:pPr>
      <w:r>
        <w:rPr>
          <w:rFonts w:ascii="Arial" w:cs="Arial" w:eastAsia="Arial" w:hAnsi="Arial"/>
          <w:sz w:val="17"/>
          <w:szCs w:val="17"/>
          <w:i w:val="1"/>
          <w:iCs w:val="1"/>
          <w:color w:val="auto"/>
        </w:rPr>
        <w:t xml:space="preserve">Title IV programs. </w:t>
      </w:r>
      <w:r>
        <w:rPr>
          <w:rFonts w:ascii="Arial" w:cs="Arial" w:eastAsia="Arial" w:hAnsi="Arial"/>
          <w:sz w:val="17"/>
          <w:szCs w:val="17"/>
          <w:color w:val="auto"/>
        </w:rPr>
        <w:t>The federal government provides for grants and loans to students under the Title IV programs, and</w:t>
      </w:r>
      <w:r>
        <w:rPr>
          <w:rFonts w:ascii="Arial" w:cs="Arial" w:eastAsia="Arial" w:hAnsi="Arial"/>
          <w:sz w:val="17"/>
          <w:szCs w:val="17"/>
          <w:i w:val="1"/>
          <w:iCs w:val="1"/>
          <w:color w:val="auto"/>
        </w:rPr>
        <w:t xml:space="preserve"> </w:t>
      </w:r>
      <w:r>
        <w:rPr>
          <w:rFonts w:ascii="Arial" w:cs="Arial" w:eastAsia="Arial" w:hAnsi="Arial"/>
          <w:sz w:val="17"/>
          <w:szCs w:val="17"/>
          <w:color w:val="auto"/>
        </w:rPr>
        <w:t>students can use those funds at 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37" w:lineRule="exact"/>
        <w:rPr>
          <w:sz w:val="20"/>
          <w:szCs w:val="20"/>
          <w:color w:val="auto"/>
        </w:rPr>
      </w:pPr>
    </w:p>
    <w:p>
      <w:pPr>
        <w:ind w:left="340" w:right="659" w:firstLine="373"/>
        <w:spacing w:after="0" w:line="302" w:lineRule="auto"/>
        <w:rPr>
          <w:sz w:val="20"/>
          <w:szCs w:val="20"/>
          <w:color w:val="auto"/>
        </w:rPr>
      </w:pPr>
      <w:r>
        <w:rPr>
          <w:rFonts w:ascii="Arial" w:cs="Arial" w:eastAsia="Arial" w:hAnsi="Arial"/>
          <w:sz w:val="16"/>
          <w:szCs w:val="16"/>
          <w:color w:val="auto"/>
        </w:rPr>
        <w:t>During fiscal 2008, we derived approximately 78.6% of our revenue (calculated on a cash basis in accordance with Department of Education standards that were in effect prior to the August 2008 reauthorization of the Higher Education Act)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127" w:lineRule="exact"/>
        <w:rPr>
          <w:sz w:val="20"/>
          <w:szCs w:val="20"/>
          <w:color w:val="auto"/>
        </w:rPr>
      </w:pPr>
    </w:p>
    <w:p>
      <w:pPr>
        <w:ind w:left="1420" w:right="559" w:hanging="345"/>
        <w:spacing w:after="0" w:line="269" w:lineRule="auto"/>
        <w:tabs>
          <w:tab w:leader="none" w:pos="1420" w:val="left"/>
        </w:tabs>
        <w:numPr>
          <w:ilvl w:val="0"/>
          <w:numId w:val="1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FFEL. </w:t>
      </w:r>
      <w:r>
        <w:rPr>
          <w:rFonts w:ascii="Arial" w:cs="Arial" w:eastAsia="Arial" w:hAnsi="Arial"/>
          <w:sz w:val="17"/>
          <w:szCs w:val="17"/>
          <w:color w:val="auto"/>
        </w:rPr>
        <w:t>Under the FFEL Program, banks and other lending institutions make loans to students. The FFEL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the Federal Stafford Loan Program, the 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115" w:lineRule="exact"/>
        <w:rPr>
          <w:rFonts w:ascii="Arial" w:cs="Arial" w:eastAsia="Arial" w:hAnsi="Arial"/>
          <w:sz w:val="17"/>
          <w:szCs w:val="17"/>
          <w:b w:val="1"/>
          <w:bCs w:val="1"/>
          <w:color w:val="auto"/>
        </w:rPr>
      </w:pPr>
    </w:p>
    <w:p>
      <w:pPr>
        <w:ind w:left="1420" w:right="579"/>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Effective July 1, 2008, under the Federal Stafford Loan Program, a dependent undergraduate student can borrow up to $5,500 for the first academic year, $6,500 for the second academic year, and $7,500 for each of the third and fourth academic years. Students classified as independent, and dependent students whose parents were denied a parent loan for undergraduate students,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110" w:lineRule="exact"/>
        <w:rPr>
          <w:rFonts w:ascii="Arial" w:cs="Arial" w:eastAsia="Arial" w:hAnsi="Arial"/>
          <w:sz w:val="17"/>
          <w:szCs w:val="17"/>
          <w:b w:val="1"/>
          <w:bCs w:val="1"/>
          <w:color w:val="auto"/>
        </w:rPr>
      </w:pPr>
    </w:p>
    <w:p>
      <w:pPr>
        <w:ind w:left="1420" w:right="559" w:hanging="345"/>
        <w:spacing w:after="0" w:line="273" w:lineRule="auto"/>
        <w:tabs>
          <w:tab w:leader="none" w:pos="1420" w:val="left"/>
        </w:tabs>
        <w:numPr>
          <w:ilvl w:val="0"/>
          <w:numId w:val="1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Pell. </w:t>
      </w:r>
      <w:r>
        <w:rPr>
          <w:rFonts w:ascii="Arial" w:cs="Arial" w:eastAsia="Arial" w:hAnsi="Arial"/>
          <w:sz w:val="17"/>
          <w:szCs w:val="17"/>
          <w:color w:val="auto"/>
        </w:rPr>
        <w:t>Under the Pell Program, the Department of Education makes grants to undergraduate students who</w:t>
      </w:r>
      <w:r>
        <w:rPr>
          <w:rFonts w:ascii="Arial" w:cs="Arial" w:eastAsia="Arial" w:hAnsi="Arial"/>
          <w:sz w:val="17"/>
          <w:szCs w:val="17"/>
          <w:i w:val="1"/>
          <w:iCs w:val="1"/>
          <w:color w:val="auto"/>
        </w:rPr>
        <w:t xml:space="preserve"> </w:t>
      </w:r>
      <w:r>
        <w:rPr>
          <w:rFonts w:ascii="Arial" w:cs="Arial" w:eastAsia="Arial" w:hAnsi="Arial"/>
          <w:sz w:val="17"/>
          <w:szCs w:val="17"/>
          <w:color w:val="auto"/>
        </w:rPr>
        <w:t>demonstrate financial need. Effective July 1, 2008, the maximum annual grant a student can receive under the Pell Program is $4,731, and effective July 1, 2009, the maximum annual amount will increase to $5,350. Under the August 2008 reauthorization of the Higher Education Act, students are able for the first time to receive Pell Grant funds for attendance on a year-round basis, which means that the amount a student can receive in a given year is more than the traditionally defined maximum annual amount.</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spacing w:after="0" w:line="290"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the Academic Competitiveness Grant Program, and the Teacher Education Assistance for College and Higher Education Grant Program.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types of loans, the maximum annual loan amounts and other terms of the loans made under the Federal Direct Loan Program are similar to those for loans made under the FFEL Program.</w:t>
      </w:r>
    </w:p>
    <w:p>
      <w:pPr>
        <w:spacing w:after="0" w:line="139" w:lineRule="exact"/>
        <w:rPr>
          <w:sz w:val="20"/>
          <w:szCs w:val="20"/>
          <w:color w:val="auto"/>
        </w:rPr>
      </w:pPr>
    </w:p>
    <w:p>
      <w:pPr>
        <w:ind w:left="340" w:right="659" w:firstLine="373"/>
        <w:spacing w:after="0" w:line="279" w:lineRule="auto"/>
        <w:rPr>
          <w:sz w:val="20"/>
          <w:szCs w:val="20"/>
          <w:color w:val="auto"/>
        </w:rPr>
      </w:pPr>
      <w:r>
        <w:rPr>
          <w:rFonts w:ascii="Arial" w:cs="Arial" w:eastAsia="Arial" w:hAnsi="Arial"/>
          <w:sz w:val="17"/>
          <w:szCs w:val="17"/>
          <w:i w:val="1"/>
          <w:iCs w:val="1"/>
          <w:color w:val="auto"/>
        </w:rPr>
        <w:t xml:space="preserve">Other financial aid programs. </w:t>
      </w:r>
      <w:r>
        <w:rPr>
          <w:rFonts w:ascii="Arial" w:cs="Arial" w:eastAsia="Arial" w:hAnsi="Arial"/>
          <w:sz w:val="17"/>
          <w:szCs w:val="17"/>
          <w:color w:val="auto"/>
        </w:rPr>
        <w:t>In addition to the Title IV programs listed above, eligible students may participate in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other financial aid programs or receive support from other governmental sources. These include veterans educational benefits administered by the U.S. Department of Veterans Affairs and state financial aid programs. During fiscal 2007 and 2008, we derived an immaterial amount of our net revenue from tuition financed by such programs.</w:t>
      </w:r>
    </w:p>
    <w:p>
      <w:pPr>
        <w:spacing w:after="0" w:line="131" w:lineRule="exact"/>
        <w:rPr>
          <w:sz w:val="20"/>
          <w:szCs w:val="20"/>
          <w:color w:val="auto"/>
        </w:rPr>
      </w:pPr>
    </w:p>
    <w:p>
      <w:pPr>
        <w:ind w:left="340" w:right="699" w:firstLine="373"/>
        <w:spacing w:after="0" w:line="255" w:lineRule="auto"/>
        <w:rPr>
          <w:sz w:val="20"/>
          <w:szCs w:val="20"/>
          <w:color w:val="auto"/>
        </w:rPr>
      </w:pPr>
      <w:r>
        <w:rPr>
          <w:rFonts w:ascii="Arial" w:cs="Arial" w:eastAsia="Arial" w:hAnsi="Arial"/>
          <w:sz w:val="18"/>
          <w:szCs w:val="18"/>
          <w:i w:val="1"/>
          <w:iCs w:val="1"/>
          <w:color w:val="auto"/>
        </w:rPr>
        <w:t xml:space="preserve">Private loans. </w:t>
      </w:r>
      <w:r>
        <w:rPr>
          <w:rFonts w:ascii="Arial" w:cs="Arial" w:eastAsia="Arial" w:hAnsi="Arial"/>
          <w:sz w:val="18"/>
          <w:szCs w:val="18"/>
          <w:color w:val="auto"/>
        </w:rPr>
        <w:t>Some of our students also use private loan programs to help finance their education. Students can apply to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different lenders for private loans at current market interest rates. Private loans are intended to fund a portion of students’ cost of education not covered by the Title IV programs and other financial aid. During fiscal 2008, payments derived from private loans constituted approximately 2.9% of our cash revenue. Third-party lenders independently determine whether a loan to a student is classified as subprime, and, based on these determinations, we did not derive any payments from subprime loans during fiscal year 2008.</w:t>
      </w:r>
    </w:p>
    <w:p>
      <w:pPr>
        <w:spacing w:after="0" w:line="153" w:lineRule="exact"/>
        <w:rPr>
          <w:sz w:val="20"/>
          <w:szCs w:val="20"/>
          <w:color w:val="auto"/>
        </w:rPr>
      </w:pPr>
    </w:p>
    <w:p>
      <w:pPr>
        <w:ind w:left="340" w:right="979" w:firstLine="373"/>
        <w:spacing w:after="0" w:line="277" w:lineRule="auto"/>
        <w:rPr>
          <w:sz w:val="20"/>
          <w:szCs w:val="20"/>
          <w:color w:val="auto"/>
        </w:rPr>
      </w:pPr>
      <w:r>
        <w:rPr>
          <w:rFonts w:ascii="Arial" w:cs="Arial" w:eastAsia="Arial" w:hAnsi="Arial"/>
          <w:sz w:val="18"/>
          <w:szCs w:val="18"/>
          <w:i w:val="1"/>
          <w:iCs w:val="1"/>
          <w:color w:val="auto"/>
        </w:rPr>
        <w:t xml:space="preserve">Other sources. </w:t>
      </w:r>
      <w:r>
        <w:rPr>
          <w:rFonts w:ascii="Arial" w:cs="Arial" w:eastAsia="Arial" w:hAnsi="Arial"/>
          <w:sz w:val="18"/>
          <w:szCs w:val="18"/>
          <w:color w:val="auto"/>
        </w:rPr>
        <w:t>We derived the remainder of our net revenue from tuition that is self-funded or attributable to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tuition reimbursements.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Systems and Management</w:t>
      </w:r>
    </w:p>
    <w:p>
      <w:pPr>
        <w:spacing w:after="0" w:line="189" w:lineRule="exact"/>
        <w:rPr>
          <w:sz w:val="20"/>
          <w:szCs w:val="20"/>
          <w:color w:val="auto"/>
        </w:rPr>
      </w:pPr>
    </w:p>
    <w:p>
      <w:pPr>
        <w:ind w:left="340" w:right="1079" w:firstLine="373"/>
        <w:spacing w:after="0" w:line="342" w:lineRule="auto"/>
        <w:rPr>
          <w:sz w:val="20"/>
          <w:szCs w:val="20"/>
          <w:color w:val="auto"/>
        </w:rPr>
      </w:pPr>
      <w:r>
        <w:rPr>
          <w:rFonts w:ascii="Arial" w:cs="Arial" w:eastAsia="Arial" w:hAnsi="Arial"/>
          <w:sz w:val="16"/>
          <w:szCs w:val="16"/>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83"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i w:val="1"/>
          <w:iCs w:val="1"/>
          <w:color w:val="auto"/>
        </w:rPr>
        <w:t xml:space="preserve">Online course delivery and management. </w:t>
      </w:r>
      <w:r>
        <w:rPr>
          <w:rFonts w:ascii="Arial" w:cs="Arial" w:eastAsia="Arial" w:hAnsi="Arial"/>
          <w:sz w:val="16"/>
          <w:szCs w:val="16"/>
          <w:color w:val="auto"/>
        </w:rPr>
        <w:t>In 2007, we implemented the ANGEL Learning Management Suite, which is a</w:t>
      </w:r>
      <w:r>
        <w:rPr>
          <w:rFonts w:ascii="Arial" w:cs="Arial" w:eastAsia="Arial" w:hAnsi="Arial"/>
          <w:sz w:val="16"/>
          <w:szCs w:val="16"/>
          <w:i w:val="1"/>
          <w:iCs w:val="1"/>
          <w:color w:val="auto"/>
        </w:rPr>
        <w:t xml:space="preserve"> </w:t>
      </w:r>
      <w:r>
        <w:rPr>
          <w:rFonts w:ascii="Arial" w:cs="Arial" w:eastAsia="Arial" w:hAnsi="Arial"/>
          <w:sz w:val="16"/>
          <w:szCs w:val="16"/>
          <w:color w:val="auto"/>
        </w:rPr>
        <w:t>web-based system and collaboration portal that stores, 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began for selected courses in the fall of 2008.</w:t>
      </w:r>
    </w:p>
    <w:p>
      <w:pPr>
        <w:spacing w:after="0" w:line="138" w:lineRule="exact"/>
        <w:rPr>
          <w:sz w:val="20"/>
          <w:szCs w:val="20"/>
          <w:color w:val="auto"/>
        </w:rPr>
      </w:pPr>
    </w:p>
    <w:p>
      <w:pPr>
        <w:jc w:val="both"/>
        <w:ind w:left="340" w:right="659" w:firstLine="373"/>
        <w:spacing w:after="0" w:line="259" w:lineRule="auto"/>
        <w:rPr>
          <w:sz w:val="20"/>
          <w:szCs w:val="20"/>
          <w:color w:val="auto"/>
        </w:rPr>
      </w:pPr>
      <w:r>
        <w:rPr>
          <w:rFonts w:ascii="Arial" w:cs="Arial" w:eastAsia="Arial" w:hAnsi="Arial"/>
          <w:sz w:val="18"/>
          <w:szCs w:val="18"/>
          <w:i w:val="1"/>
          <w:iCs w:val="1"/>
          <w:color w:val="auto"/>
        </w:rPr>
        <w:t xml:space="preserve">Internal administration. </w:t>
      </w:r>
      <w:r>
        <w:rPr>
          <w:rFonts w:ascii="Arial" w:cs="Arial" w:eastAsia="Arial" w:hAnsi="Arial"/>
          <w:sz w:val="18"/>
          <w:szCs w:val="18"/>
          <w:color w:val="auto"/>
        </w:rPr>
        <w:t>We utilize a commercial customer relations management package to distribute, manage, track, and</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all prospective student leads developed, both internally and externally. We also utilize a commercial software package to track Title IV funds, student records, grades, accounts receivable, and accounts payable. Each of these packages is scalable to capacity levels well in excess of current requirements.</w:t>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39" w:firstLine="373"/>
        <w:spacing w:after="0" w:line="276" w:lineRule="auto"/>
        <w:rPr>
          <w:sz w:val="20"/>
          <w:szCs w:val="20"/>
          <w:color w:val="auto"/>
        </w:rPr>
      </w:pPr>
      <w:r>
        <w:rPr>
          <w:rFonts w:ascii="Arial" w:cs="Arial" w:eastAsia="Arial" w:hAnsi="Arial"/>
          <w:sz w:val="17"/>
          <w:szCs w:val="17"/>
          <w:i w:val="1"/>
          <w:iCs w:val="1"/>
          <w:color w:val="auto"/>
        </w:rPr>
        <w:t xml:space="preserve">Infrastructure. </w:t>
      </w:r>
      <w:r>
        <w:rPr>
          <w:rFonts w:ascii="Arial" w:cs="Arial" w:eastAsia="Arial" w:hAnsi="Arial"/>
          <w:sz w:val="17"/>
          <w:szCs w:val="17"/>
          <w:color w:val="auto"/>
        </w:rPr>
        <w:t>We operate two data centers, one at our campus and one at a third party co-location facility.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servers are networked and we have redundant data backup. We manage our technology 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Ground Campus</w:t>
      </w:r>
    </w:p>
    <w:p>
      <w:pPr>
        <w:spacing w:after="0" w:line="189"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153"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twenty Major League Baseball players.</w:t>
      </w:r>
    </w:p>
    <w:p>
      <w:pPr>
        <w:spacing w:after="0" w:line="120" w:lineRule="exact"/>
        <w:rPr>
          <w:sz w:val="20"/>
          <w:szCs w:val="20"/>
          <w:color w:val="auto"/>
        </w:rPr>
      </w:pPr>
    </w:p>
    <w:p>
      <w:pPr>
        <w:ind w:left="340" w:right="559" w:firstLine="373"/>
        <w:spacing w:after="0" w:line="273" w:lineRule="auto"/>
        <w:rPr>
          <w:sz w:val="20"/>
          <w:szCs w:val="20"/>
          <w:color w:val="auto"/>
        </w:rPr>
      </w:pPr>
      <w:r>
        <w:rPr>
          <w:rFonts w:ascii="Arial" w:cs="Arial" w:eastAsia="Arial" w:hAnsi="Arial"/>
          <w:sz w:val="17"/>
          <w:szCs w:val="17"/>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340" w:right="819" w:firstLine="373"/>
        <w:spacing w:after="0" w:line="302" w:lineRule="auto"/>
        <w:rPr>
          <w:sz w:val="20"/>
          <w:szCs w:val="20"/>
          <w:color w:val="auto"/>
        </w:rPr>
      </w:pPr>
      <w:r>
        <w:rPr>
          <w:rFonts w:ascii="Arial" w:cs="Arial" w:eastAsia="Arial" w:hAnsi="Arial"/>
          <w:sz w:val="16"/>
          <w:szCs w:val="16"/>
          <w:color w:val="auto"/>
        </w:rPr>
        <w:t>In addition to our faculty, as of December 31, 2008, we employed 1,365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left="340" w:right="859" w:firstLine="373"/>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41"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most major colleges and universities, offer online programs.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91" w:lineRule="auto"/>
        <w:rPr>
          <w:sz w:val="20"/>
          <w:szCs w:val="20"/>
          <w:color w:val="auto"/>
        </w:rPr>
      </w:pPr>
      <w:r>
        <w:rPr>
          <w:rFonts w:ascii="Arial" w:cs="Arial" w:eastAsia="Arial" w:hAnsi="Arial"/>
          <w:sz w:val="16"/>
          <w:szCs w:val="16"/>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85" w:lineRule="exact"/>
        <w:rPr>
          <w:sz w:val="20"/>
          <w:szCs w:val="20"/>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availability of career-oriented and accredited program offerings;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types of degrees offered and marketability of those degrees;</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reputation, regulatory approvals, and compliance history of the school;</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convenient, flexible and dependable access to programs and classes;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qualified and experienced faculty;</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level of student support services;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cost of the program;</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marketing and selling effectiveness; and</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time necessary to earn a degree.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left="340" w:right="719" w:firstLine="373"/>
        <w:spacing w:after="0" w:line="271"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www.gcu.edu</w:t>
      </w:r>
      <w:r>
        <w:rPr>
          <w:rFonts w:ascii="Arial" w:cs="Arial" w:eastAsia="Arial" w:hAnsi="Arial"/>
          <w:sz w:val="17"/>
          <w:szCs w:val="17"/>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In addition, our earnings conference calls and presentation to the financial community are web cast live via our website. In addition to visiting our website, you may read and copy any document we file with the SEC at the SEC’s Public Reference Room at 100 F. Street NE, Washington, D.C. 20549 or at www.sec.gov. Please call the Securities and Exchange Commission at 1-800-SEC-0330 for information on the Public Reference Room.</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02" w:lineRule="exact"/>
        <w:rPr>
          <w:sz w:val="20"/>
          <w:szCs w:val="20"/>
          <w:color w:val="auto"/>
        </w:rPr>
      </w:pPr>
    </w:p>
    <w:p>
      <w:pPr>
        <w:ind w:left="340" w:right="639" w:firstLine="373"/>
        <w:spacing w:after="0" w:line="302" w:lineRule="auto"/>
        <w:rPr>
          <w:sz w:val="20"/>
          <w:szCs w:val="20"/>
          <w:color w:val="auto"/>
        </w:rPr>
      </w:pPr>
      <w:r>
        <w:rPr>
          <w:rFonts w:ascii="Arial" w:cs="Arial" w:eastAsia="Arial" w:hAnsi="Arial"/>
          <w:sz w:val="16"/>
          <w:szCs w:val="16"/>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114" w:lineRule="exact"/>
        <w:rPr>
          <w:sz w:val="20"/>
          <w:szCs w:val="20"/>
          <w:color w:val="auto"/>
        </w:rPr>
      </w:pPr>
    </w:p>
    <w:p>
      <w:pPr>
        <w:ind w:left="340" w:right="699" w:firstLine="373"/>
        <w:spacing w:after="0" w:line="291" w:lineRule="auto"/>
        <w:rPr>
          <w:sz w:val="20"/>
          <w:szCs w:val="20"/>
          <w:color w:val="auto"/>
        </w:rPr>
      </w:pPr>
      <w:r>
        <w:rPr>
          <w:rFonts w:ascii="Arial" w:cs="Arial" w:eastAsia="Arial" w:hAnsi="Arial"/>
          <w:sz w:val="16"/>
          <w:szCs w:val="16"/>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27"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Our operations are also subject to regulation by the Department of Education due to our participation in federal student financial aid programs under Title IV of the Higher Education Act. Those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6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Chief Administrative Officer, and General Counsel also provide oversight designed to ensure that we meet the requirements of our regulated operating environment.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89"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2" w:lineRule="auto"/>
        <w:rPr>
          <w:sz w:val="20"/>
          <w:szCs w:val="20"/>
          <w:color w:val="auto"/>
        </w:rPr>
      </w:pPr>
      <w:r>
        <w:rPr>
          <w:rFonts w:ascii="Arial" w:cs="Arial" w:eastAsia="Arial" w:hAnsi="Arial"/>
          <w:sz w:val="17"/>
          <w:szCs w:val="17"/>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151" w:lineRule="exact"/>
        <w:rPr>
          <w:sz w:val="20"/>
          <w:szCs w:val="20"/>
          <w:color w:val="auto"/>
        </w:rPr>
      </w:pPr>
    </w:p>
    <w:p>
      <w:pPr>
        <w:ind w:left="340" w:right="659" w:firstLine="373"/>
        <w:spacing w:after="0" w:line="254" w:lineRule="auto"/>
        <w:rPr>
          <w:sz w:val="20"/>
          <w:szCs w:val="20"/>
          <w:color w:val="auto"/>
        </w:rPr>
      </w:pPr>
      <w:r>
        <w:rPr>
          <w:rFonts w:ascii="Arial" w:cs="Arial" w:eastAsia="Arial" w:hAnsi="Arial"/>
          <w:sz w:val="18"/>
          <w:szCs w:val="18"/>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152"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 Professional Licensure</w:t>
      </w:r>
    </w:p>
    <w:p>
      <w:pPr>
        <w:spacing w:after="0" w:line="202"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46" w:lineRule="exact"/>
        <w:rPr>
          <w:sz w:val="20"/>
          <w:szCs w:val="20"/>
          <w:color w:val="auto"/>
        </w:rPr>
      </w:pPr>
    </w:p>
    <w:p>
      <w:pPr>
        <w:ind w:left="1420" w:right="659" w:hanging="345"/>
        <w:spacing w:after="0" w:line="277" w:lineRule="auto"/>
        <w:tabs>
          <w:tab w:leader="none" w:pos="14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129" w:lineRule="exact"/>
        <w:rPr>
          <w:rFonts w:ascii="Arial" w:cs="Arial" w:eastAsia="Arial" w:hAnsi="Arial"/>
          <w:sz w:val="18"/>
          <w:szCs w:val="18"/>
          <w:b w:val="1"/>
          <w:bCs w:val="1"/>
          <w:color w:val="auto"/>
        </w:rPr>
      </w:pPr>
    </w:p>
    <w:p>
      <w:pPr>
        <w:ind w:left="1420" w:right="779" w:hanging="345"/>
        <w:spacing w:after="0" w:line="277" w:lineRule="auto"/>
        <w:tabs>
          <w:tab w:leader="none" w:pos="14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14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whether the institution and the program are accredited and, if so, by what accrediting commissions; and</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whether the institution’s degrees are recognized by other states in which a student may seek to work.</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340" w:right="799"/>
        <w:spacing w:after="0" w:line="342" w:lineRule="auto"/>
        <w:rPr>
          <w:sz w:val="20"/>
          <w:szCs w:val="20"/>
          <w:color w:val="auto"/>
        </w:rPr>
      </w:pPr>
      <w:r>
        <w:rPr>
          <w:rFonts w:ascii="Arial" w:cs="Arial" w:eastAsia="Arial" w:hAnsi="Arial"/>
          <w:sz w:val="16"/>
          <w:szCs w:val="16"/>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83"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 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Accreditation</w:t>
      </w:r>
    </w:p>
    <w:p>
      <w:pPr>
        <w:spacing w:after="0" w:line="202" w:lineRule="exact"/>
        <w:rPr>
          <w:sz w:val="20"/>
          <w:szCs w:val="20"/>
          <w:color w:val="auto"/>
        </w:rPr>
      </w:pPr>
    </w:p>
    <w:p>
      <w:pPr>
        <w:ind w:left="340" w:right="619" w:firstLine="373"/>
        <w:spacing w:after="0" w:line="270" w:lineRule="auto"/>
        <w:rPr>
          <w:sz w:val="20"/>
          <w:szCs w:val="20"/>
          <w:color w:val="auto"/>
        </w:rPr>
      </w:pPr>
      <w:r>
        <w:rPr>
          <w:rFonts w:ascii="Arial" w:cs="Arial" w:eastAsia="Arial" w:hAnsi="Arial"/>
          <w:sz w:val="17"/>
          <w:szCs w:val="17"/>
          <w:color w:val="auto"/>
        </w:rPr>
        <w:t>We have been continuously accredited since 1968 by the Higher Learning Commission and its predecessor, each a regional accrediting commission recognized by the Department of Education. Our accreditation was reaffirmed in 2007 for the maximum term of 10 years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41" w:lineRule="exact"/>
        <w:rPr>
          <w:sz w:val="20"/>
          <w:szCs w:val="20"/>
          <w:color w:val="auto"/>
        </w:rPr>
      </w:pPr>
    </w:p>
    <w:p>
      <w:pPr>
        <w:ind w:left="340" w:right="799" w:firstLine="373"/>
        <w:spacing w:after="0" w:line="291" w:lineRule="auto"/>
        <w:rPr>
          <w:sz w:val="20"/>
          <w:szCs w:val="20"/>
          <w:color w:val="auto"/>
        </w:rPr>
      </w:pPr>
      <w:r>
        <w:rPr>
          <w:rFonts w:ascii="Arial" w:cs="Arial" w:eastAsia="Arial" w:hAnsi="Arial"/>
          <w:sz w:val="16"/>
          <w:szCs w:val="16"/>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127"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59" w:firstLine="373"/>
        <w:spacing w:after="0" w:line="259" w:lineRule="auto"/>
        <w:rPr>
          <w:sz w:val="20"/>
          <w:szCs w:val="20"/>
          <w:color w:val="auto"/>
        </w:rPr>
      </w:pPr>
      <w:r>
        <w:rPr>
          <w:rFonts w:ascii="Arial" w:cs="Arial" w:eastAsia="Arial" w:hAnsi="Arial"/>
          <w:sz w:val="18"/>
          <w:szCs w:val="18"/>
          <w:color w:val="auto"/>
        </w:rPr>
        <w:t>In connection with our reaccreditation by the Higher Learning Commission in 2007, the Higher Learning Commission identified certain deficiencies in the areas of library staffing and resources, assessment, and resources for our on-ground operations. We are addressing these deficiencies and recently provided a required monitoring report regarding our progress in these areas to the Higher Learning Commission.</w:t>
      </w:r>
    </w:p>
    <w:p>
      <w:pPr>
        <w:spacing w:after="0" w:line="160" w:lineRule="exact"/>
        <w:rPr>
          <w:sz w:val="20"/>
          <w:szCs w:val="20"/>
          <w:color w:val="auto"/>
        </w:rPr>
      </w:pPr>
    </w:p>
    <w:p>
      <w:pPr>
        <w:ind w:left="340" w:right="759" w:firstLine="373"/>
        <w:spacing w:after="0" w:line="257" w:lineRule="auto"/>
        <w:rPr>
          <w:sz w:val="20"/>
          <w:szCs w:val="20"/>
          <w:color w:val="auto"/>
        </w:rPr>
      </w:pPr>
      <w:r>
        <w:rPr>
          <w:rFonts w:ascii="Arial" w:cs="Arial" w:eastAsia="Arial" w:hAnsi="Arial"/>
          <w:sz w:val="18"/>
          <w:szCs w:val="18"/>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148" w:lineRule="exact"/>
        <w:rPr>
          <w:sz w:val="20"/>
          <w:szCs w:val="20"/>
          <w:color w:val="auto"/>
        </w:rPr>
      </w:pPr>
    </w:p>
    <w:p>
      <w:pPr>
        <w:ind w:left="1420" w:right="779" w:hanging="345"/>
        <w:spacing w:after="0" w:line="264" w:lineRule="auto"/>
        <w:tabs>
          <w:tab w:leader="none" w:pos="14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140" w:lineRule="exact"/>
        <w:rPr>
          <w:rFonts w:ascii="Arial" w:cs="Arial" w:eastAsia="Arial" w:hAnsi="Arial"/>
          <w:sz w:val="18"/>
          <w:szCs w:val="18"/>
          <w:b w:val="1"/>
          <w:bCs w:val="1"/>
          <w:color w:val="auto"/>
        </w:rPr>
      </w:pPr>
    </w:p>
    <w:p>
      <w:pPr>
        <w:ind w:left="1420" w:right="839" w:hanging="345"/>
        <w:spacing w:after="0" w:line="277" w:lineRule="auto"/>
        <w:tabs>
          <w:tab w:leader="none" w:pos="14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Commission on Collegiate Nursing Education accredits our Bachelor of Science in Nursing and Master of Science — Nursing degree programs; and</w:t>
      </w:r>
    </w:p>
    <w:p>
      <w:pPr>
        <w:spacing w:after="0" w:line="14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Commission on Accreditation of Athletic Training Education accredits our Athletic Training Program.</w:t>
      </w:r>
    </w:p>
    <w:p>
      <w:pPr>
        <w:spacing w:after="0" w:line="196" w:lineRule="exact"/>
        <w:rPr>
          <w:sz w:val="20"/>
          <w:szCs w:val="20"/>
          <w:color w:val="auto"/>
        </w:rPr>
      </w:pPr>
    </w:p>
    <w:p>
      <w:pPr>
        <w:ind w:left="340" w:right="1199" w:firstLine="373"/>
        <w:spacing w:after="0" w:line="342" w:lineRule="auto"/>
        <w:rPr>
          <w:sz w:val="20"/>
          <w:szCs w:val="20"/>
          <w:color w:val="auto"/>
        </w:rPr>
      </w:pPr>
      <w:r>
        <w:rPr>
          <w:rFonts w:ascii="Arial" w:cs="Arial" w:eastAsia="Arial" w:hAnsi="Arial"/>
          <w:sz w:val="16"/>
          <w:szCs w:val="16"/>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202"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138" w:lineRule="exact"/>
        <w:rPr>
          <w:sz w:val="20"/>
          <w:szCs w:val="20"/>
          <w:color w:val="auto"/>
        </w:rPr>
      </w:pPr>
    </w:p>
    <w:p>
      <w:pPr>
        <w:ind w:left="340" w:right="739" w:firstLine="373"/>
        <w:spacing w:after="0" w:line="291" w:lineRule="auto"/>
        <w:rPr>
          <w:sz w:val="20"/>
          <w:szCs w:val="20"/>
          <w:color w:val="auto"/>
        </w:rPr>
      </w:pPr>
      <w:r>
        <w:rPr>
          <w:rFonts w:ascii="Arial" w:cs="Arial" w:eastAsia="Arial" w:hAnsi="Arial"/>
          <w:sz w:val="16"/>
          <w:szCs w:val="16"/>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2009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factors relating to the Title IV programs that could adversely affect us include the following:</w:t>
      </w:r>
    </w:p>
    <w:p>
      <w:pPr>
        <w:spacing w:after="0" w:line="198"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w:t>
      </w:r>
      <w:r>
        <w:rPr>
          <w:rFonts w:ascii="Arial" w:cs="Arial" w:eastAsia="Arial" w:hAnsi="Arial"/>
          <w:sz w:val="16"/>
          <w:szCs w:val="16"/>
          <w:i w:val="1"/>
          <w:iCs w:val="1"/>
          <w:color w:val="auto"/>
        </w:rPr>
        <w:t xml:space="preserve"> </w:t>
      </w:r>
      <w:r>
        <w:rPr>
          <w:rFonts w:ascii="Arial" w:cs="Arial" w:eastAsia="Arial" w:hAnsi="Arial"/>
          <w:sz w:val="16"/>
          <w:szCs w:val="16"/>
          <w:color w:val="auto"/>
        </w:rPr>
        <w:t>years, and the most recent reauthorization occurred in 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128" w:lineRule="exact"/>
        <w:rPr>
          <w:sz w:val="20"/>
          <w:szCs w:val="20"/>
          <w:color w:val="auto"/>
        </w:rPr>
      </w:pPr>
    </w:p>
    <w:p>
      <w:pPr>
        <w:ind w:left="340" w:right="839" w:firstLine="373"/>
        <w:spacing w:after="0" w:line="279" w:lineRule="auto"/>
        <w:rPr>
          <w:sz w:val="20"/>
          <w:szCs w:val="20"/>
          <w:color w:val="auto"/>
        </w:rPr>
      </w:pPr>
      <w:r>
        <w:rPr>
          <w:rFonts w:ascii="Arial" w:cs="Arial" w:eastAsia="Arial" w:hAnsi="Arial"/>
          <w:sz w:val="17"/>
          <w:szCs w:val="17"/>
          <w:color w:val="auto"/>
        </w:rPr>
        <w:t>In addition, Congress must determine the funding levels for the Title IV programs on an annual basis through the budget and appropriations process, and may adjust those levels at other times.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131"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certification to 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56" w:lineRule="exact"/>
        <w:rPr>
          <w:sz w:val="20"/>
          <w:szCs w:val="20"/>
          <w:color w:val="auto"/>
        </w:rPr>
      </w:pPr>
    </w:p>
    <w:p>
      <w:pPr>
        <w:ind w:left="340" w:right="579" w:firstLine="373"/>
        <w:spacing w:after="0" w:line="289" w:lineRule="auto"/>
        <w:rPr>
          <w:sz w:val="20"/>
          <w:szCs w:val="20"/>
          <w:color w:val="auto"/>
        </w:rPr>
      </w:pPr>
      <w:r>
        <w:rPr>
          <w:rFonts w:ascii="Arial" w:cs="Arial" w:eastAsia="Arial" w:hAnsi="Arial"/>
          <w:sz w:val="16"/>
          <w:szCs w:val="16"/>
          <w:color w:val="auto"/>
        </w:rPr>
        <w:t>The Department of Education issued our current program participation agreement in May 2005, after an extended review following the change in control that occurred in February 2004. In the May 2005 recertification, the Department of Education placed us on provisional certification status and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Provisional certification means that the Department of Education may more closely review applications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establish new locations, acquire other schools, make other significant changes in our operations or initiate new educational programs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w:t>
      </w:r>
    </w:p>
    <w:p>
      <w:pPr>
        <w:spacing w:after="0" w:line="155" w:lineRule="exact"/>
        <w:rPr>
          <w:sz w:val="20"/>
          <w:szCs w:val="20"/>
          <w:color w:val="auto"/>
        </w:rPr>
      </w:pPr>
    </w:p>
    <w:p>
      <w:pPr>
        <w:ind w:left="340" w:right="799" w:firstLine="373"/>
        <w:spacing w:after="0" w:line="264"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Department of Education regulations specify extensive criteria by which an institution must</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that it has the requisite “administrative capability” to participate in the Title IV programs. To meet the administrative capability standards, an institution must, among other things:</w:t>
      </w:r>
    </w:p>
    <w:p>
      <w:pPr>
        <w:spacing w:after="0" w:line="141" w:lineRule="exact"/>
        <w:rPr>
          <w:sz w:val="20"/>
          <w:szCs w:val="20"/>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comply with all applicable Title IV program requirements;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have an adequate number of qualified personnel to administer the Title IV programs;</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have acceptable standards for measuring the satisfactory academic progress of its students;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not have student loan cohort default rates above specified levels;</w:t>
      </w:r>
    </w:p>
    <w:p>
      <w:pPr>
        <w:spacing w:after="0" w:line="184" w:lineRule="exact"/>
        <w:rPr>
          <w:rFonts w:ascii="Arial" w:cs="Arial" w:eastAsia="Arial" w:hAnsi="Arial"/>
          <w:sz w:val="18"/>
          <w:szCs w:val="18"/>
          <w:b w:val="1"/>
          <w:bCs w:val="1"/>
          <w:color w:val="auto"/>
        </w:rPr>
      </w:pPr>
    </w:p>
    <w:p>
      <w:pPr>
        <w:ind w:left="1420" w:right="819" w:hanging="345"/>
        <w:spacing w:after="0" w:line="277" w:lineRule="auto"/>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spacing w:after="0" w:line="14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administer the Title IV programs with adequate checks and balances in its system of internal controls;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20" w:right="639" w:hanging="345"/>
        <w:spacing w:after="0" w:line="277" w:lineRule="auto"/>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provide financial aid counseling to its students;</w:t>
      </w:r>
    </w:p>
    <w:p>
      <w:pPr>
        <w:spacing w:after="0" w:line="184" w:lineRule="exact"/>
        <w:rPr>
          <w:rFonts w:ascii="Arial" w:cs="Arial" w:eastAsia="Arial" w:hAnsi="Arial"/>
          <w:sz w:val="18"/>
          <w:szCs w:val="18"/>
          <w:b w:val="1"/>
          <w:bCs w:val="1"/>
          <w:color w:val="auto"/>
        </w:rPr>
      </w:pPr>
    </w:p>
    <w:p>
      <w:pPr>
        <w:jc w:val="both"/>
        <w:ind w:left="1420" w:right="739" w:hanging="345"/>
        <w:spacing w:after="0" w:line="264" w:lineRule="auto"/>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5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submit all required reports and financial statements in a timely manner; and</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not otherwise appear to lack administrative capability.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98" w:lineRule="exact"/>
        <w:rPr>
          <w:sz w:val="20"/>
          <w:szCs w:val="20"/>
          <w:color w:val="auto"/>
        </w:rPr>
      </w:pPr>
    </w:p>
    <w:p>
      <w:pPr>
        <w:ind w:left="1420" w:hanging="345"/>
        <w:spacing w:after="0"/>
        <w:tabs>
          <w:tab w:leader="none" w:pos="14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require the institution to repay Title IV funds its students previously received;</w:t>
      </w:r>
    </w:p>
    <w:p>
      <w:pPr>
        <w:spacing w:after="0" w:line="184" w:lineRule="exact"/>
        <w:rPr>
          <w:rFonts w:ascii="Arial" w:cs="Arial" w:eastAsia="Arial" w:hAnsi="Arial"/>
          <w:sz w:val="18"/>
          <w:szCs w:val="18"/>
          <w:b w:val="1"/>
          <w:bCs w:val="1"/>
          <w:color w:val="auto"/>
        </w:rPr>
      </w:pPr>
    </w:p>
    <w:p>
      <w:pPr>
        <w:ind w:left="1420" w:right="979" w:hanging="345"/>
        <w:spacing w:after="0" w:line="277" w:lineRule="auto"/>
        <w:tabs>
          <w:tab w:leader="none" w:pos="14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place the institution on provisional certification status; or</w:t>
      </w:r>
    </w:p>
    <w:p>
      <w:pPr>
        <w:spacing w:after="0" w:line="198" w:lineRule="exact"/>
        <w:rPr>
          <w:rFonts w:ascii="Arial" w:cs="Arial" w:eastAsia="Arial" w:hAnsi="Arial"/>
          <w:sz w:val="18"/>
          <w:szCs w:val="18"/>
          <w:b w:val="1"/>
          <w:bCs w:val="1"/>
          <w:color w:val="auto"/>
        </w:rPr>
      </w:pPr>
    </w:p>
    <w:p>
      <w:pPr>
        <w:ind w:left="1420" w:right="919" w:hanging="345"/>
        <w:spacing w:after="0" w:line="277" w:lineRule="auto"/>
        <w:tabs>
          <w:tab w:leader="none" w:pos="14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commence a proceeding to impose a fine or to limit, suspend or terminate the institution’s participation in the Title IV programs.</w:t>
      </w:r>
    </w:p>
    <w:p>
      <w:pPr>
        <w:spacing w:after="0" w:line="130" w:lineRule="exact"/>
        <w:rPr>
          <w:sz w:val="20"/>
          <w:szCs w:val="20"/>
          <w:color w:val="auto"/>
        </w:rPr>
      </w:pPr>
    </w:p>
    <w:p>
      <w:pPr>
        <w:ind w:left="340" w:right="899" w:firstLine="373"/>
        <w:spacing w:after="0" w:line="277" w:lineRule="auto"/>
        <w:rPr>
          <w:sz w:val="20"/>
          <w:szCs w:val="20"/>
          <w:color w:val="auto"/>
        </w:rPr>
      </w:pPr>
      <w:r>
        <w:rPr>
          <w:rFonts w:ascii="Arial" w:cs="Arial" w:eastAsia="Arial" w:hAnsi="Arial"/>
          <w:sz w:val="18"/>
          <w:szCs w:val="18"/>
          <w:color w:val="auto"/>
        </w:rPr>
        <w:t>If we are found not to have satisfied the Department of Education’s administrative capability requirements, our students could lose, or be limited in their access to, Title IV program funding.</w:t>
      </w:r>
    </w:p>
    <w:p>
      <w:pPr>
        <w:spacing w:after="0" w:line="130" w:lineRule="exact"/>
        <w:rPr>
          <w:sz w:val="20"/>
          <w:szCs w:val="20"/>
          <w:color w:val="auto"/>
        </w:rPr>
      </w:pPr>
    </w:p>
    <w:p>
      <w:pPr>
        <w:ind w:left="340" w:right="679" w:firstLine="373"/>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Higher Education Act and Department of Education regulations establish extensive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financial responsibility that institutions such as Grand 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162" w:lineRule="exact"/>
        <w:rPr>
          <w:sz w:val="20"/>
          <w:szCs w:val="20"/>
          <w:color w:val="auto"/>
        </w:rPr>
      </w:pPr>
    </w:p>
    <w:p>
      <w:pPr>
        <w:ind w:left="1420" w:hanging="345"/>
        <w:spacing w:after="0"/>
        <w:tabs>
          <w:tab w:leader="none" w:pos="14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84" w:lineRule="exact"/>
        <w:rPr>
          <w:rFonts w:ascii="Arial" w:cs="Arial" w:eastAsia="Arial" w:hAnsi="Arial"/>
          <w:sz w:val="18"/>
          <w:szCs w:val="18"/>
          <w:b w:val="1"/>
          <w:bCs w:val="1"/>
          <w:color w:val="auto"/>
        </w:rPr>
      </w:pPr>
    </w:p>
    <w:p>
      <w:pPr>
        <w:ind w:left="1420" w:right="999" w:hanging="345"/>
        <w:spacing w:after="0" w:line="277" w:lineRule="auto"/>
        <w:tabs>
          <w:tab w:leader="none" w:pos="14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net income ratio, which measures the institution’s ability to operate at a profit or within its means.</w:t>
      </w:r>
    </w:p>
    <w:p>
      <w:pPr>
        <w:spacing w:after="0" w:line="198" w:lineRule="exact"/>
        <w:rPr>
          <w:sz w:val="20"/>
          <w:szCs w:val="20"/>
          <w:color w:val="auto"/>
        </w:rPr>
      </w:pPr>
    </w:p>
    <w:p>
      <w:pPr>
        <w:ind w:left="340" w:right="579"/>
        <w:spacing w:after="0" w:line="253" w:lineRule="auto"/>
        <w:rPr>
          <w:sz w:val="20"/>
          <w:szCs w:val="20"/>
          <w:color w:val="auto"/>
        </w:rPr>
      </w:pPr>
      <w:r>
        <w:rPr>
          <w:rFonts w:ascii="Arial" w:cs="Arial" w:eastAsia="Arial" w:hAnsi="Arial"/>
          <w:sz w:val="18"/>
          <w:szCs w:val="18"/>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and 2007 financial statements to the Department of Education as required, and we calculated that our composite score for the fiscal years 2006 and 2007 exceeded 1.5. We will also be submitting our fiscal year 2008 financial statements to the Department of Education as required, and we have calculated that our composite score for fiscal year 2008 also exceeded 1.5. We therefore believe that we meet the Department of Education’s financial responsibility standards for our most recently completed fiscal year.</w:t>
      </w:r>
    </w:p>
    <w:p>
      <w:pPr>
        <w:spacing w:after="0" w:line="153"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 other limitations on our ability to increase the number of programs we offer or the number of students we enroll.</w:t>
      </w:r>
    </w:p>
    <w:p>
      <w:pPr>
        <w:spacing w:after="0" w:line="127" w:lineRule="exact"/>
        <w:rPr>
          <w:sz w:val="20"/>
          <w:szCs w:val="20"/>
          <w:color w:val="auto"/>
        </w:rPr>
      </w:pPr>
    </w:p>
    <w:p>
      <w:pPr>
        <w:ind w:left="340" w:right="559" w:firstLine="373"/>
        <w:spacing w:after="0" w:line="302" w:lineRule="auto"/>
        <w:rPr>
          <w:sz w:val="20"/>
          <w:szCs w:val="20"/>
          <w:color w:val="auto"/>
        </w:rPr>
      </w:pPr>
      <w:r>
        <w:rPr>
          <w:rFonts w:ascii="Arial" w:cs="Arial" w:eastAsia="Arial" w:hAnsi="Arial"/>
          <w:sz w:val="16"/>
          <w:szCs w:val="16"/>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114"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i w:val="1"/>
          <w:iCs w:val="1"/>
          <w:color w:val="auto"/>
        </w:rPr>
        <w:t xml:space="preserve">Return of Title IV funds for students who withdraw. </w:t>
      </w:r>
      <w:r>
        <w:rPr>
          <w:rFonts w:ascii="Arial" w:cs="Arial" w:eastAsia="Arial" w:hAnsi="Arial"/>
          <w:sz w:val="17"/>
          <w:szCs w:val="17"/>
          <w:color w:val="auto"/>
        </w:rPr>
        <w:t>When a student who has received Title IV funds withdraws from school,</w:t>
      </w:r>
      <w:r>
        <w:rPr>
          <w:rFonts w:ascii="Arial" w:cs="Arial" w:eastAsia="Arial" w:hAnsi="Arial"/>
          <w:sz w:val="17"/>
          <w:szCs w:val="17"/>
          <w:i w:val="1"/>
          <w:iCs w:val="1"/>
          <w:color w:val="auto"/>
        </w:rPr>
        <w:t xml:space="preserve"> </w:t>
      </w:r>
      <w:r>
        <w:rPr>
          <w:rFonts w:ascii="Arial" w:cs="Arial" w:eastAsia="Arial" w:hAnsi="Arial"/>
          <w:sz w:val="17"/>
          <w:szCs w:val="17"/>
          <w:color w:val="auto"/>
        </w:rPr>
        <w:t>the institution must determine the amount of Title IV 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2006 and 2007 fiscal years, and while we do not expect to exceed this threshold for our 2008 fiscal year, our Title IV compliance audit for our 2008 fiscal year has not yet been completed.</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i w:val="1"/>
          <w:iCs w:val="1"/>
          <w:color w:val="auto"/>
        </w:rPr>
        <w:t xml:space="preserve">The “90/10 Rule.” </w:t>
      </w:r>
      <w:r>
        <w:rPr>
          <w:rFonts w:ascii="Arial" w:cs="Arial" w:eastAsia="Arial" w:hAnsi="Arial"/>
          <w:sz w:val="16"/>
          <w:szCs w:val="16"/>
          <w:color w:val="auto"/>
        </w:rPr>
        <w:t>A requirement of the Higher Education Act, commonly referred to as the “90/10 Rule,” that is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only to for-profit, postsecondary educational institutions like us, provides that an institution loses its eligibility to participate in the Title IV programs, if, under a complex regulatory formula that requires cash basis accounting and other adjustments to the calculation of revenue, the institution derives more than 90% of its revenues for any fiscal year from Title IV program funds. This rule for many years has provided that an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 applicable lender or the Department of Education. The August 2008 reauthorization of the Higher Education Act includes significant revisions to the “90/10 Rule,” effective upon the date of the law’s enactment. Under the revised law, an institution is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our students’ employment circumstances could also increase their reliance on Title IV programs. However, such effects may be mitigated by other provisions of the recent Higher Education Act reauthorization that allow institutions, when calculating their compliance with this revenue test, to exclude from their Title IV revenues for a three-year period the additional federal student loan amounts that became available starting in July 2008, and to include more non-Title IV revenues, such as revenues from institutional loans under certain circumstances. Using the Department of Education’s formula under the “90/10 Rule” that was in effect prior to the August 2008 reauthorization of the Higher Education Act, for our 2007 and 2008 fiscal years, we derived approximately 74.0% and 78.6%, respectively, of our revenues (calculated on a cash basis) from Title IV program funds. We are currently assessing what impact, if any, the Department of Education’s revised formula and other changes in federal law will have on our 90/10 calculation.</w:t>
      </w:r>
    </w:p>
    <w:p>
      <w:pPr>
        <w:spacing w:after="0" w:line="152" w:lineRule="exact"/>
        <w:rPr>
          <w:sz w:val="20"/>
          <w:szCs w:val="20"/>
          <w:color w:val="auto"/>
        </w:rPr>
      </w:pPr>
    </w:p>
    <w:p>
      <w:pPr>
        <w:ind w:left="340" w:right="619" w:firstLine="373"/>
        <w:spacing w:after="0" w:line="255"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Higher Education Act, an educational institution may lose its eligibility to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some or all of the Title IV programs if defaults by its students on the repayment of their FFEL student loans exceed certain levels. For each federal fiscal year, the Department of Education calculates a rate of student defaults for each institution (known as a “cohort default rate”). An institution’s FFEL cohort default rate for a federal fiscal year is calculated by determining the rate at which borrowers who became subject to their repayment obligation in that federal fiscal year defaulted by the end of the following federal fiscal year.</w:t>
      </w:r>
    </w:p>
    <w:p>
      <w:pPr>
        <w:spacing w:after="0" w:line="153"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If an institution’s FFEL cohort default rate equals or exceeds 25% in any single year, the Department of Education may place the institution on provisional certification status. Our cohort default rates on FFEL program loans for the 2004, 2005 and 2006 federal fiscal years, the three most recent years for which such rates have been calculated, were 1.4%, 1.8% and 1.6%, respectively. Our draft cohort default rate for the 2007 federal fiscal year is 1.4%. The August 2008 reauthorization of the Higher Education Act includes significant revisions to the requirements concerning FFEL cohort default rates. Under the revised law, the period for which students’ defaults on their loans are included in the calculation of an institution’s cohort default rate has been extended by one additional year, which is expected to increase the cohort default rates for most institutions. That change will be effective with the calculation of institutions’ cohort default rates for federal fiscal year 2009, which are expected to be calculated and issued by the Department of Education in 2012. The revised law also increased the threshold for ending an institution’s participation in the relevant Title IV programs from 25% to 30%, effective in 2012.</w:t>
      </w:r>
    </w:p>
    <w:p>
      <w:pPr>
        <w:spacing w:after="0" w:line="151"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color w:val="auto"/>
        </w:rPr>
        <w:t>If our students begin taking out loans under the Federal Direct Loan Program, those loans will be combined with our students’ FFEL loans in calculating our annual student loan cohort default rate. In such case, the potential sanctions discussed in this section would be based on the combined cohort default rate.</w:t>
      </w:r>
    </w:p>
    <w:p>
      <w:pPr>
        <w:spacing w:after="0" w:line="141"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i w:val="1"/>
          <w:iCs w:val="1"/>
          <w:color w:val="auto"/>
        </w:rPr>
        <w:t xml:space="preserve">Incentive compensation rule. </w:t>
      </w:r>
      <w:r>
        <w:rPr>
          <w:rFonts w:ascii="Arial" w:cs="Arial" w:eastAsia="Arial" w:hAnsi="Arial"/>
          <w:sz w:val="17"/>
          <w:szCs w:val="17"/>
          <w:color w:val="auto"/>
        </w:rPr>
        <w:t>An institution that participates in the Title IV programs may not provide any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bonus, or other incentive payment based directly or indirectly on success in securing enrollments or financial aid to any person or entity engaged in any student recruitment, admissions, or financial aid awarding activity.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143"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 xml:space="preserve">In recent years, several for-profit education companies have been faced with 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brought by current or former employees alleging that their institution had made impermissible incentive payments. A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case is a civil lawsuit brought by one or more individuals (a “relator”) on behalf of the federal government for an alleged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this regard, 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or our enrollment counselors in violation of the Title IV law governing compensation of such employees, and as a result, improperly received Title IV program funds. See Item 3, </w:t>
      </w:r>
      <w:r>
        <w:rPr>
          <w:rFonts w:ascii="Arial" w:cs="Arial" w:eastAsia="Arial" w:hAnsi="Arial"/>
          <w:sz w:val="16"/>
          <w:szCs w:val="16"/>
          <w:i w:val="1"/>
          <w:iCs w:val="1"/>
          <w:color w:val="auto"/>
        </w:rPr>
        <w:t>Legal Proceedings</w:t>
      </w:r>
      <w:r>
        <w:rPr>
          <w:rFonts w:ascii="Arial" w:cs="Arial" w:eastAsia="Arial" w:hAnsi="Arial"/>
          <w:sz w:val="16"/>
          <w:szCs w:val="16"/>
          <w:color w:val="auto"/>
        </w:rPr>
        <w:t>, for a description of this matter.</w:t>
      </w: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color w:val="auto"/>
        </w:rPr>
        <w:t xml:space="preserve">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See Item 3, </w:t>
      </w:r>
      <w:r>
        <w:rPr>
          <w:rFonts w:ascii="Arial" w:cs="Arial" w:eastAsia="Arial" w:hAnsi="Arial"/>
          <w:sz w:val="17"/>
          <w:szCs w:val="17"/>
          <w:i w:val="1"/>
          <w:iCs w:val="1"/>
          <w:color w:val="auto"/>
        </w:rPr>
        <w:t>Legal Proceedings</w:t>
      </w:r>
      <w:r>
        <w:rPr>
          <w:rFonts w:ascii="Arial" w:cs="Arial" w:eastAsia="Arial" w:hAnsi="Arial"/>
          <w:sz w:val="17"/>
          <w:szCs w:val="17"/>
          <w:color w:val="auto"/>
        </w:rPr>
        <w:t>, for a description of this matter.</w:t>
      </w:r>
    </w:p>
    <w:p>
      <w:pPr>
        <w:spacing w:after="0" w:line="152" w:lineRule="exact"/>
        <w:rPr>
          <w:sz w:val="20"/>
          <w:szCs w:val="20"/>
          <w:color w:val="auto"/>
        </w:rPr>
      </w:pPr>
    </w:p>
    <w:p>
      <w:pPr>
        <w:ind w:left="340" w:right="639" w:firstLine="373"/>
        <w:spacing w:after="0" w:line="257" w:lineRule="auto"/>
        <w:rPr>
          <w:sz w:val="20"/>
          <w:szCs w:val="20"/>
          <w:color w:val="auto"/>
        </w:rPr>
      </w:pPr>
      <w:r>
        <w:rPr>
          <w:rFonts w:ascii="Arial" w:cs="Arial" w:eastAsia="Arial" w:hAnsi="Arial"/>
          <w:sz w:val="18"/>
          <w:szCs w:val="18"/>
          <w:color w:val="auto"/>
        </w:rPr>
        <w:t xml:space="preserve">Any fine or other sanction resulting from the Department of Education investigation or otherwise, or any monetary liability resulting from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or the Office of Inspector General investigation or any liability or other sanctions that might result.</w:t>
      </w:r>
    </w:p>
    <w:p>
      <w:pPr>
        <w:spacing w:after="0" w:line="148"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i w:val="1"/>
          <w:iCs w:val="1"/>
          <w:color w:val="auto"/>
        </w:rPr>
        <w:t xml:space="preserve">Compliance reviews. </w:t>
      </w:r>
      <w:r>
        <w:rPr>
          <w:rFonts w:ascii="Arial" w:cs="Arial" w:eastAsia="Arial" w:hAnsi="Arial"/>
          <w:sz w:val="16"/>
          <w:szCs w:val="16"/>
          <w:color w:val="auto"/>
        </w:rPr>
        <w:t>We are subject to announced and unannounced compliance reviews and audits by various external</w:t>
      </w:r>
      <w:r>
        <w:rPr>
          <w:rFonts w:ascii="Arial" w:cs="Arial" w:eastAsia="Arial" w:hAnsi="Arial"/>
          <w:sz w:val="16"/>
          <w:szCs w:val="16"/>
          <w:i w:val="1"/>
          <w:iCs w:val="1"/>
          <w:color w:val="auto"/>
        </w:rPr>
        <w:t xml:space="preserve"> </w:t>
      </w:r>
      <w:r>
        <w:rPr>
          <w:rFonts w:ascii="Arial" w:cs="Arial" w:eastAsia="Arial" w:hAnsi="Arial"/>
          <w:sz w:val="16"/>
          <w:szCs w:val="16"/>
          <w:color w:val="auto"/>
        </w:rPr>
        <w:t>agencies, including the Department of Education, its Office 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26" w:lineRule="exact"/>
        <w:rPr>
          <w:sz w:val="20"/>
          <w:szCs w:val="20"/>
          <w:color w:val="auto"/>
        </w:rPr>
      </w:pPr>
    </w:p>
    <w:p>
      <w:pPr>
        <w:ind w:left="340" w:right="579" w:firstLine="373"/>
        <w:spacing w:after="0" w:line="267" w:lineRule="auto"/>
        <w:rPr>
          <w:sz w:val="20"/>
          <w:szCs w:val="20"/>
          <w:color w:val="auto"/>
        </w:rPr>
      </w:pPr>
      <w:r>
        <w:rPr>
          <w:rFonts w:ascii="Arial" w:cs="Arial" w:eastAsia="Arial" w:hAnsi="Arial"/>
          <w:sz w:val="17"/>
          <w:szCs w:val="17"/>
          <w:i w:val="1"/>
          <w:iCs w:val="1"/>
          <w:color w:val="auto"/>
        </w:rPr>
        <w:t xml:space="preserve">Privacy of student records. </w:t>
      </w:r>
      <w:r>
        <w:rPr>
          <w:rFonts w:ascii="Arial" w:cs="Arial" w:eastAsia="Arial" w:hAnsi="Arial"/>
          <w:sz w:val="17"/>
          <w:szCs w:val="17"/>
          <w:color w:val="auto"/>
        </w:rPr>
        <w:t>The Family Educational Rights and Privacy Act of 1974, or FERPA, and the Department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Education’s FERPA regulations 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i w:val="1"/>
          <w:iCs w:val="1"/>
          <w:color w:val="auto"/>
        </w:rPr>
        <w:t xml:space="preserve">Potential effect of regulatory violations. </w:t>
      </w:r>
      <w:r>
        <w:rPr>
          <w:rFonts w:ascii="Arial" w:cs="Arial" w:eastAsia="Arial" w:hAnsi="Arial"/>
          <w:sz w:val="17"/>
          <w:szCs w:val="17"/>
          <w:color w:val="auto"/>
        </w:rPr>
        <w:t>If we fail to comply with the regulatory standards governing the Title IV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the Department of 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53" w:lineRule="exact"/>
        <w:rPr>
          <w:sz w:val="20"/>
          <w:szCs w:val="20"/>
          <w:color w:val="auto"/>
        </w:rPr>
      </w:pPr>
    </w:p>
    <w:p>
      <w:pPr>
        <w:ind w:left="340" w:right="619" w:firstLine="373"/>
        <w:spacing w:after="0" w:line="270" w:lineRule="auto"/>
        <w:rPr>
          <w:sz w:val="20"/>
          <w:szCs w:val="20"/>
          <w:color w:val="auto"/>
        </w:rPr>
      </w:pPr>
      <w:r>
        <w:rPr>
          <w:rFonts w:ascii="Arial" w:cs="Arial" w:eastAsia="Arial" w:hAnsi="Arial"/>
          <w:sz w:val="17"/>
          <w:szCs w:val="17"/>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be expected to have a material adverse effect on our results of operations, even if we could arrange or provide alternative sources of revenue or student financial aid.</w:t>
      </w:r>
    </w:p>
    <w:p>
      <w:pPr>
        <w:spacing w:after="0" w:line="137" w:lineRule="exact"/>
        <w:rPr>
          <w:sz w:val="20"/>
          <w:szCs w:val="20"/>
          <w:color w:val="auto"/>
        </w:rPr>
      </w:pPr>
    </w:p>
    <w:p>
      <w:pPr>
        <w:ind w:left="340" w:right="579" w:firstLine="373"/>
        <w:spacing w:after="0" w:line="312" w:lineRule="auto"/>
        <w:rPr>
          <w:sz w:val="20"/>
          <w:szCs w:val="20"/>
          <w:color w:val="auto"/>
        </w:rPr>
      </w:pPr>
      <w:r>
        <w:rPr>
          <w:rFonts w:ascii="Arial" w:cs="Arial" w:eastAsia="Arial" w:hAnsi="Arial"/>
          <w:sz w:val="16"/>
          <w:szCs w:val="16"/>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06"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i w:val="1"/>
          <w:iCs w:val="1"/>
          <w:color w:val="auto"/>
        </w:rPr>
        <w:t xml:space="preserve">Uncertainties, increased oversight, and changes in student loan environment. </w:t>
      </w:r>
      <w:r>
        <w:rPr>
          <w:rFonts w:ascii="Arial" w:cs="Arial" w:eastAsia="Arial" w:hAnsi="Arial"/>
          <w:sz w:val="17"/>
          <w:szCs w:val="17"/>
          <w:color w:val="auto"/>
        </w:rPr>
        <w:t>During 2007 and 2008, student loan</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including the Title IV programs, came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In recent years,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In 2008, without admitting any wrongdoing, we agreed with the Attorney General of the State of Arizona to conclude its investigation of us by executing a Letter of Assurance, whereby we agreed to conduct referrals of students to lenders in accordance with our existing policies or any new policies promulgated by the State of Arizona in the future, and to reimburse the state for the costs of its investigation in the amount of approximately $20,000.</w:t>
      </w: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39" w:firstLine="373"/>
        <w:spacing w:after="0" w:line="271" w:lineRule="auto"/>
        <w:rPr>
          <w:sz w:val="20"/>
          <w:szCs w:val="20"/>
          <w:color w:val="auto"/>
        </w:rPr>
      </w:pPr>
      <w:r>
        <w:rPr>
          <w:rFonts w:ascii="Arial" w:cs="Arial" w:eastAsia="Arial" w:hAnsi="Arial"/>
          <w:sz w:val="17"/>
          <w:szCs w:val="17"/>
          <w:color w:val="auto"/>
        </w:rPr>
        <w:t>As a result of the increased scrutiny of student loan programs,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adversely affected the student lending marketplace.</w:t>
      </w:r>
    </w:p>
    <w:p>
      <w:pPr>
        <w:spacing w:after="0" w:line="152"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The cumulative impact of these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that legislation:</w:t>
      </w:r>
    </w:p>
    <w:p>
      <w:pPr>
        <w:spacing w:after="0" w:line="137" w:lineRule="exact"/>
        <w:rPr>
          <w:sz w:val="20"/>
          <w:szCs w:val="20"/>
          <w:color w:val="auto"/>
        </w:rPr>
      </w:pPr>
    </w:p>
    <w:p>
      <w:pPr>
        <w:ind w:left="1420" w:right="699" w:hanging="345"/>
        <w:spacing w:after="0" w:line="277" w:lineRule="auto"/>
        <w:tabs>
          <w:tab w:leader="none" w:pos="14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authorizes the Department of Education to purchase Title IV loans from lenders, thereby providing capital to the lenders to enable them to continue making Title IV loans to students; and</w:t>
      </w:r>
    </w:p>
    <w:p>
      <w:pPr>
        <w:spacing w:after="0" w:line="129" w:lineRule="exact"/>
        <w:rPr>
          <w:rFonts w:ascii="Arial" w:cs="Arial" w:eastAsia="Arial" w:hAnsi="Arial"/>
          <w:sz w:val="18"/>
          <w:szCs w:val="18"/>
          <w:b w:val="1"/>
          <w:bCs w:val="1"/>
          <w:color w:val="auto"/>
        </w:rPr>
      </w:pPr>
    </w:p>
    <w:p>
      <w:pPr>
        <w:ind w:left="1420" w:right="579" w:hanging="345"/>
        <w:spacing w:after="0" w:line="264" w:lineRule="auto"/>
        <w:tabs>
          <w:tab w:leader="none" w:pos="14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154" w:lineRule="exact"/>
        <w:rPr>
          <w:sz w:val="20"/>
          <w:szCs w:val="20"/>
          <w:color w:val="auto"/>
        </w:rPr>
      </w:pPr>
    </w:p>
    <w:p>
      <w:pPr>
        <w:ind w:left="340" w:right="659"/>
        <w:spacing w:after="0" w:line="271" w:lineRule="auto"/>
        <w:rPr>
          <w:sz w:val="20"/>
          <w:szCs w:val="20"/>
          <w:color w:val="auto"/>
        </w:rPr>
      </w:pPr>
      <w:r>
        <w:rPr>
          <w:rFonts w:ascii="Arial" w:cs="Arial" w:eastAsia="Arial" w:hAnsi="Arial"/>
          <w:sz w:val="17"/>
          <w:szCs w:val="17"/>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considered at the federal and state levels. The uncertainty surrounding these issues, and any resolution of these issues that increases loan costs or reduces students’ access to Title IV loans, may adversely affect our student enrollments.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202" w:lineRule="exact"/>
        <w:rPr>
          <w:sz w:val="20"/>
          <w:szCs w:val="20"/>
          <w:color w:val="auto"/>
        </w:rPr>
      </w:pPr>
    </w:p>
    <w:p>
      <w:pPr>
        <w:ind w:left="340" w:right="659" w:firstLine="373"/>
        <w:spacing w:after="0" w:line="277" w:lineRule="auto"/>
        <w:rPr>
          <w:sz w:val="20"/>
          <w:szCs w:val="20"/>
          <w:color w:val="auto"/>
        </w:rPr>
      </w:pPr>
      <w:r>
        <w:rPr>
          <w:rFonts w:ascii="Arial" w:cs="Arial" w:eastAsia="Arial" w:hAnsi="Arial"/>
          <w:sz w:val="18"/>
          <w:szCs w:val="18"/>
          <w:color w:val="auto"/>
        </w:rPr>
        <w:t>Many actions that we may wish to take in connection with expanding our operations or other changes are subject to review or approval by the applicable regulatory agencies.</w:t>
      </w:r>
    </w:p>
    <w:p>
      <w:pPr>
        <w:spacing w:after="0" w:line="130" w:lineRule="exact"/>
        <w:rPr>
          <w:sz w:val="20"/>
          <w:szCs w:val="20"/>
          <w:color w:val="auto"/>
        </w:rPr>
      </w:pPr>
    </w:p>
    <w:p>
      <w:pPr>
        <w:ind w:left="340" w:right="919" w:firstLine="373"/>
        <w:spacing w:after="0" w:line="269" w:lineRule="auto"/>
        <w:rPr>
          <w:sz w:val="20"/>
          <w:szCs w:val="20"/>
          <w:color w:val="auto"/>
        </w:rPr>
      </w:pPr>
      <w:r>
        <w:rPr>
          <w:rFonts w:ascii="Arial" w:cs="Arial" w:eastAsia="Arial" w:hAnsi="Arial"/>
          <w:sz w:val="17"/>
          <w:szCs w:val="17"/>
          <w:i w:val="1"/>
          <w:iCs w:val="1"/>
          <w:color w:val="auto"/>
        </w:rPr>
        <w:t xml:space="preserve">Adding teaching locations, implementing new educational programs, and increasing enrollment. </w:t>
      </w:r>
      <w:r>
        <w:rPr>
          <w:rFonts w:ascii="Arial" w:cs="Arial" w:eastAsia="Arial" w:hAnsi="Arial"/>
          <w:sz w:val="17"/>
          <w:szCs w:val="17"/>
          <w:color w:val="auto"/>
        </w:rPr>
        <w:t>The requirements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of state education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139"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158"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i w:val="1"/>
          <w:iCs w:val="1"/>
          <w:color w:val="auto"/>
        </w:rPr>
        <w:t>Acquiring other schools</w:t>
      </w:r>
      <w:r>
        <w:rPr>
          <w:rFonts w:ascii="Arial" w:cs="Arial" w:eastAsia="Arial" w:hAnsi="Arial"/>
          <w:sz w:val="16"/>
          <w:szCs w:val="16"/>
          <w:color w:val="auto"/>
        </w:rPr>
        <w:t>. While we have not acquired any other schools in the past, we may seek to do so in the future.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Education 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129" w:lineRule="exact"/>
        <w:rPr>
          <w:sz w:val="20"/>
          <w:szCs w:val="20"/>
          <w:color w:val="auto"/>
        </w:rPr>
      </w:pPr>
    </w:p>
    <w:p>
      <w:pPr>
        <w:ind w:left="340" w:right="779" w:firstLine="373"/>
        <w:spacing w:after="0" w:line="279" w:lineRule="auto"/>
        <w:rPr>
          <w:sz w:val="20"/>
          <w:szCs w:val="20"/>
          <w:color w:val="auto"/>
        </w:rPr>
      </w:pPr>
      <w:r>
        <w:rPr>
          <w:rFonts w:ascii="Arial" w:cs="Arial" w:eastAsia="Arial" w:hAnsi="Arial"/>
          <w:sz w:val="17"/>
          <w:szCs w:val="17"/>
          <w:i w:val="1"/>
          <w:iCs w:val="1"/>
          <w:color w:val="auto"/>
        </w:rPr>
        <w:t>Provisional certification</w:t>
      </w:r>
      <w:r>
        <w:rPr>
          <w:rFonts w:ascii="Arial" w:cs="Arial" w:eastAsia="Arial" w:hAnsi="Arial"/>
          <w:sz w:val="17"/>
          <w:szCs w:val="17"/>
          <w:color w:val="auto"/>
        </w:rPr>
        <w:t>. Each institution must apply to the Department of Education for continued certification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Title IV 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156" w:lineRule="exact"/>
        <w:rPr>
          <w:sz w:val="20"/>
          <w:szCs w:val="20"/>
          <w:color w:val="auto"/>
        </w:rPr>
      </w:pPr>
    </w:p>
    <w:p>
      <w:pPr>
        <w:ind w:left="340" w:right="619" w:firstLine="373"/>
        <w:spacing w:after="0" w:line="286" w:lineRule="auto"/>
        <w:rPr>
          <w:sz w:val="20"/>
          <w:szCs w:val="20"/>
          <w:color w:val="auto"/>
        </w:rPr>
      </w:pPr>
      <w:r>
        <w:rPr>
          <w:rFonts w:ascii="Arial" w:cs="Arial" w:eastAsia="Arial" w:hAnsi="Arial"/>
          <w:sz w:val="16"/>
          <w:szCs w:val="16"/>
          <w:color w:val="auto"/>
        </w:rPr>
        <w:t xml:space="preserve">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while the investigation by the Office of Inspector General of the Department of Education is being conducted, while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is pending, or at all, or that it will not impose restrictions as a condition of approving our pending recertification application or with respect to any future recertification.</w:t>
      </w:r>
    </w:p>
    <w:p>
      <w:pPr>
        <w:spacing w:after="0" w:line="131" w:lineRule="exact"/>
        <w:rPr>
          <w:sz w:val="20"/>
          <w:szCs w:val="20"/>
          <w:color w:val="auto"/>
        </w:rPr>
      </w:pPr>
    </w:p>
    <w:p>
      <w:pPr>
        <w:ind w:left="340" w:right="639" w:firstLine="373"/>
        <w:spacing w:after="0" w:line="270" w:lineRule="auto"/>
        <w:rPr>
          <w:sz w:val="20"/>
          <w:szCs w:val="20"/>
          <w:color w:val="auto"/>
        </w:rPr>
      </w:pPr>
      <w:r>
        <w:rPr>
          <w:rFonts w:ascii="Arial" w:cs="Arial" w:eastAsia="Arial" w:hAnsi="Arial"/>
          <w:sz w:val="17"/>
          <w:szCs w:val="17"/>
          <w:i w:val="1"/>
          <w:iCs w:val="1"/>
          <w:color w:val="auto"/>
        </w:rPr>
        <w:t xml:space="preserve">Change in ownership resulting in a change in control. </w:t>
      </w:r>
      <w:r>
        <w:rPr>
          <w:rFonts w:ascii="Arial" w:cs="Arial" w:eastAsia="Arial" w:hAnsi="Arial"/>
          <w:sz w:val="17"/>
          <w:szCs w:val="17"/>
          <w:color w:val="auto"/>
        </w:rPr>
        <w:t>Many states and accrediting commissions require institutions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higher education to report or obtain approval of certain changes in control and changes in other aspects of institutional organization or control. The types of and thresholds for such reporting and approval vary among the various regulatory bodies. The Higher Learning Commission provides that an institution must obtain its approval in advance of a change in ownership in order for the institution to retain its accredited status, but the Higher Learning Commission does not set specific standards for determining when a 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141" w:lineRule="exact"/>
        <w:rPr>
          <w:sz w:val="20"/>
          <w:szCs w:val="20"/>
          <w:color w:val="auto"/>
        </w:rPr>
      </w:pPr>
    </w:p>
    <w:p>
      <w:pPr>
        <w:ind w:left="340" w:right="559" w:firstLine="373"/>
        <w:spacing w:after="0" w:line="273"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 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153" w:lineRule="exact"/>
        <w:rPr>
          <w:sz w:val="20"/>
          <w:szCs w:val="20"/>
          <w:color w:val="auto"/>
        </w:rPr>
      </w:pPr>
    </w:p>
    <w:p>
      <w:pPr>
        <w:ind w:left="340" w:right="599" w:firstLine="373"/>
        <w:spacing w:after="0" w:line="289" w:lineRule="auto"/>
        <w:rPr>
          <w:sz w:val="20"/>
          <w:szCs w:val="20"/>
          <w:color w:val="auto"/>
        </w:rPr>
      </w:pPr>
      <w:r>
        <w:rPr>
          <w:rFonts w:ascii="Arial" w:cs="Arial" w:eastAsia="Arial" w:hAnsi="Arial"/>
          <w:sz w:val="16"/>
          <w:szCs w:val="16"/>
          <w:color w:val="auto"/>
        </w:rPr>
        <w:t>For corporations that are neither publicly traded nor closely held, such as us prior to our initial public offering in November 2008,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Because the Richardson family continues to own or control more than 25% of our outstanding voting stock following our initial public offering, the Department of Education concluded that the offering did not trigger a change in ownership resulting in a change in control under the Department of Education’s regulations.</w:t>
      </w:r>
    </w:p>
    <w:p>
      <w:pPr>
        <w:spacing w:after="0" w:line="126" w:lineRule="exact"/>
        <w:rPr>
          <w:sz w:val="20"/>
          <w:szCs w:val="20"/>
          <w:color w:val="auto"/>
        </w:rPr>
      </w:pPr>
    </w:p>
    <w:p>
      <w:pPr>
        <w:ind w:left="340" w:right="679" w:firstLine="373"/>
        <w:spacing w:after="0" w:line="270" w:lineRule="auto"/>
        <w:rPr>
          <w:sz w:val="20"/>
          <w:szCs w:val="20"/>
          <w:color w:val="auto"/>
        </w:rPr>
      </w:pPr>
      <w:r>
        <w:rPr>
          <w:rFonts w:ascii="Arial" w:cs="Arial" w:eastAsia="Arial" w:hAnsi="Arial"/>
          <w:sz w:val="17"/>
          <w:szCs w:val="17"/>
          <w:color w:val="auto"/>
        </w:rPr>
        <w:t>The Higher Learning Commission considered our initial public offering to be a change in control under its policies. While we obtained the Higher Learning Commission’s approval to consummate the offering, as a result of its determination that the offering constituted a change in control, the Higher Learning Commission has informed us that it will conduct a site visit in March 2009 to confirm the appropriateness of the approval and to evaluate whether we continue to meet the Higher Learning Commission’s eligibility criteria. We cannot predict whether the Higher Learning Commission will impose any limitations or conditions on us, or identify any compliance issues related to us in the context of the change in control process, that could result in our loss of accreditation by such agency. Any failure to comply with the requirements of the Higher Learning Commission could result in our loss of accreditation, which, in turn, would result in our loss of eligibility to participate in the Title IV programs and cause a significant decline in our student enrollments.</w:t>
      </w:r>
    </w:p>
    <w:p>
      <w:pPr>
        <w:spacing w:after="0" w:line="141" w:lineRule="exact"/>
        <w:rPr>
          <w:sz w:val="20"/>
          <w:szCs w:val="20"/>
          <w:color w:val="auto"/>
        </w:rPr>
      </w:pPr>
    </w:p>
    <w:p>
      <w:pPr>
        <w:ind w:left="340" w:right="719" w:firstLine="373"/>
        <w:spacing w:after="0" w:line="254" w:lineRule="auto"/>
        <w:rPr>
          <w:sz w:val="20"/>
          <w:szCs w:val="20"/>
          <w:color w:val="auto"/>
        </w:rPr>
      </w:pPr>
      <w:r>
        <w:rPr>
          <w:rFonts w:ascii="Arial" w:cs="Arial" w:eastAsia="Arial" w:hAnsi="Arial"/>
          <w:sz w:val="18"/>
          <w:szCs w:val="18"/>
          <w:color w:val="auto"/>
        </w:rPr>
        <w:t>In addition, we notified the Arizona State Board for Private Postsecondary Education of our initial public offering and, based on our communications with that agency, we do not believe that our initial public offering constituted a change in control under Arizona law. We also notified other accrediting commissions and state agencies, as we believed necessary, of our initial public offering and the reasons why we believed the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has advised us that it concluded that the offering constituted a change in control under its policies or that it required us to take any further action.</w:t>
      </w: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firstLine="373"/>
        <w:spacing w:after="0" w:line="288" w:lineRule="auto"/>
        <w:rPr>
          <w:sz w:val="20"/>
          <w:szCs w:val="20"/>
          <w:color w:val="auto"/>
        </w:rPr>
      </w:pPr>
      <w:r>
        <w:rPr>
          <w:rFonts w:ascii="Arial" w:cs="Arial" w:eastAsia="Arial" w:hAnsi="Arial"/>
          <w:sz w:val="16"/>
          <w:szCs w:val="16"/>
          <w:color w:val="auto"/>
        </w:rPr>
        <w:t>A change in control also could occur as a result of future transactions in which we are involved. Some corporate reorganizations and some changes in the board of directors are examples of such transactions. In addition, Department of Education regulations provide that a change in control occurs for a publicly traded corporation, which is our status now, if either:</w:t>
      </w:r>
    </w:p>
    <w:p>
      <w:pPr>
        <w:ind w:left="340" w:right="559" w:hanging="8"/>
        <w:spacing w:after="0" w:line="268" w:lineRule="auto"/>
        <w:tabs>
          <w:tab w:leader="none" w:pos="5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is an event that would obligate the corporation to file a Current Report on Form 8-K with the SEC disclosing a change in control, or (ii) the corporation has a stockholder that owns, or has voting control over, at least 25% of the total outstanding voting stock of the corporation and is the largest stockholder of the corporation, and that stockholder ceases to own, or have voting control over,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153"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i w:val="1"/>
          <w:iCs w:val="1"/>
          <w:color w:val="auto"/>
        </w:rPr>
        <w:t xml:space="preserve">Additional state regulation. </w:t>
      </w:r>
      <w:r>
        <w:rPr>
          <w:rFonts w:ascii="Arial" w:cs="Arial" w:eastAsia="Arial" w:hAnsi="Arial"/>
          <w:sz w:val="16"/>
          <w:szCs w:val="16"/>
          <w:color w:val="auto"/>
        </w:rPr>
        <w:t>Most state education agencies impose regulatory requirements on educational institutions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within their boundaries. Some states have sought to 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ind w:left="340" w:right="899" w:firstLine="373"/>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60" w:lineRule="exact"/>
        <w:rPr>
          <w:sz w:val="20"/>
          <w:szCs w:val="20"/>
          <w:color w:val="auto"/>
        </w:rPr>
      </w:pPr>
    </w:p>
    <w:p>
      <w:pPr>
        <w:ind w:left="340" w:right="999" w:firstLine="373"/>
        <w:spacing w:after="0" w:line="276" w:lineRule="auto"/>
        <w:rPr>
          <w:sz w:val="20"/>
          <w:szCs w:val="20"/>
          <w:color w:val="auto"/>
        </w:rPr>
      </w:pPr>
      <w:r>
        <w:rPr>
          <w:rFonts w:ascii="Arial" w:cs="Arial" w:eastAsia="Arial" w:hAnsi="Arial"/>
          <w:sz w:val="17"/>
          <w:szCs w:val="17"/>
          <w:color w:val="auto"/>
        </w:rPr>
        <w:t xml:space="preserve">If any of the following risks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and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and Supplementary Data, </w:t>
      </w:r>
      <w:r>
        <w:rPr>
          <w:rFonts w:ascii="Arial" w:cs="Arial" w:eastAsia="Arial" w:hAnsi="Arial"/>
          <w:sz w:val="17"/>
          <w:szCs w:val="17"/>
          <w:color w:val="auto"/>
        </w:rPr>
        <w:t>including the related Notes to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the Regulation of Our Industry</w:t>
      </w:r>
    </w:p>
    <w:p>
      <w:pPr>
        <w:spacing w:after="0" w:line="202" w:lineRule="exact"/>
        <w:rPr>
          <w:sz w:val="20"/>
          <w:szCs w:val="20"/>
          <w:color w:val="auto"/>
        </w:rPr>
      </w:pPr>
    </w:p>
    <w:p>
      <w:pPr>
        <w:ind w:left="340" w:right="879"/>
        <w:spacing w:after="0" w:line="308" w:lineRule="auto"/>
        <w:rPr>
          <w:sz w:val="20"/>
          <w:szCs w:val="20"/>
          <w:color w:val="auto"/>
        </w:rPr>
      </w:pPr>
      <w:r>
        <w:rPr>
          <w:rFonts w:ascii="Arial" w:cs="Arial" w:eastAsia="Arial" w:hAnsi="Arial"/>
          <w:sz w:val="17"/>
          <w:szCs w:val="17"/>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06"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For our fiscal years ended December 31, 2007 and 2008, we derived cash receipts equal to approximately 70.2% and 74.4%, respectively, of our net revenue from tuition financed under federal student financial aid programs, which are administered by the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140"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51" w:lineRule="exact"/>
        <w:rPr>
          <w:sz w:val="20"/>
          <w:szCs w:val="20"/>
          <w:color w:val="auto"/>
        </w:rPr>
      </w:pPr>
    </w:p>
    <w:p>
      <w:pPr>
        <w:ind w:left="340" w:right="799"/>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41"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firstLine="373"/>
        <w:spacing w:after="0" w:line="284" w:lineRule="auto"/>
        <w:rPr>
          <w:sz w:val="20"/>
          <w:szCs w:val="20"/>
          <w:color w:val="auto"/>
        </w:rPr>
      </w:pPr>
      <w:r>
        <w:rPr>
          <w:rFonts w:ascii="Arial" w:cs="Arial" w:eastAsia="Arial" w:hAnsi="Arial"/>
          <w:sz w:val="16"/>
          <w:szCs w:val="16"/>
          <w:color w:val="auto"/>
        </w:rPr>
        <w:t xml:space="preserve">Our most recent recertification, which was issued on a provisional basis in May 2005 after an extended review by the Department of Education following the change in control that occurred in February 2004, 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See Item 1, </w:t>
      </w:r>
      <w:r>
        <w:rPr>
          <w:rFonts w:ascii="Arial" w:cs="Arial" w:eastAsia="Arial" w:hAnsi="Arial"/>
          <w:sz w:val="16"/>
          <w:szCs w:val="16"/>
          <w:i w:val="1"/>
          <w:iCs w:val="1"/>
          <w:color w:val="auto"/>
        </w:rPr>
        <w:t>Business — Regulation — Regulation of Federal Student</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Aid Programs — Eligibility and certification procedures</w:t>
      </w:r>
      <w:r>
        <w:rPr>
          <w:rFonts w:ascii="Arial" w:cs="Arial" w:eastAsia="Arial" w:hAnsi="Arial"/>
          <w:sz w:val="16"/>
          <w:szCs w:val="16"/>
          <w:color w:val="auto"/>
        </w:rPr>
        <w:t>. There can be no assurance that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recertify us while the investigation by the Office of Inspector General of the Department of Education is being conducted, while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is pending, or at all,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155" w:lineRule="exact"/>
        <w:rPr>
          <w:sz w:val="20"/>
          <w:szCs w:val="20"/>
          <w:color w:val="auto"/>
        </w:rPr>
      </w:pPr>
    </w:p>
    <w:p>
      <w:pPr>
        <w:ind w:left="340" w:right="779"/>
        <w:spacing w:after="0" w:line="264" w:lineRule="auto"/>
        <w:rPr>
          <w:sz w:val="20"/>
          <w:szCs w:val="20"/>
          <w:color w:val="auto"/>
        </w:rPr>
      </w:pPr>
      <w:r>
        <w:rPr>
          <w:rFonts w:ascii="Arial" w:cs="Arial" w:eastAsia="Arial" w:hAnsi="Arial"/>
          <w:sz w:val="18"/>
          <w:szCs w:val="18"/>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141" w:lineRule="exact"/>
        <w:rPr>
          <w:sz w:val="20"/>
          <w:szCs w:val="20"/>
          <w:color w:val="auto"/>
        </w:rPr>
      </w:pPr>
    </w:p>
    <w:p>
      <w:pPr>
        <w:ind w:left="340" w:right="619" w:firstLine="373"/>
        <w:spacing w:after="0" w:line="269" w:lineRule="auto"/>
        <w:rPr>
          <w:sz w:val="20"/>
          <w:szCs w:val="20"/>
          <w:color w:val="auto"/>
        </w:rPr>
      </w:pPr>
      <w:r>
        <w:rPr>
          <w:rFonts w:ascii="Arial" w:cs="Arial" w:eastAsia="Arial" w:hAnsi="Arial"/>
          <w:sz w:val="17"/>
          <w:szCs w:val="17"/>
          <w:color w:val="auto"/>
        </w:rPr>
        <w:t xml:space="preserve">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Item 1, </w:t>
      </w:r>
      <w:r>
        <w:rPr>
          <w:rFonts w:ascii="Arial" w:cs="Arial" w:eastAsia="Arial" w:hAnsi="Arial"/>
          <w:sz w:val="17"/>
          <w:szCs w:val="17"/>
          <w:i w:val="1"/>
          <w:iCs w:val="1"/>
          <w:color w:val="auto"/>
        </w:rPr>
        <w:t>Business — Regulation — Regulation of Federal Student Financial Aid Programs —</w:t>
      </w:r>
      <w:r>
        <w:rPr>
          <w:rFonts w:ascii="Arial" w:cs="Arial" w:eastAsia="Arial" w:hAnsi="Arial"/>
          <w:sz w:val="17"/>
          <w:szCs w:val="17"/>
          <w:color w:val="auto"/>
        </w:rPr>
        <w:t xml:space="preserve"> </w:t>
      </w:r>
      <w:r>
        <w:rPr>
          <w:rFonts w:ascii="Arial" w:cs="Arial" w:eastAsia="Arial" w:hAnsi="Arial"/>
          <w:sz w:val="17"/>
          <w:szCs w:val="17"/>
          <w:i w:val="1"/>
          <w:iCs w:val="1"/>
          <w:color w:val="auto"/>
        </w:rPr>
        <w:t>Incentive compensation rule</w:t>
      </w:r>
      <w:r>
        <w:rPr>
          <w:rFonts w:ascii="Arial" w:cs="Arial" w:eastAsia="Arial" w:hAnsi="Arial"/>
          <w:sz w:val="17"/>
          <w:szCs w:val="17"/>
          <w:color w:val="auto"/>
        </w:rPr>
        <w:t>.</w:t>
      </w:r>
    </w:p>
    <w:p>
      <w:pPr>
        <w:spacing w:after="0" w:line="139" w:lineRule="exact"/>
        <w:rPr>
          <w:sz w:val="20"/>
          <w:szCs w:val="20"/>
          <w:color w:val="auto"/>
        </w:rPr>
      </w:pPr>
    </w:p>
    <w:p>
      <w:pPr>
        <w:ind w:left="340" w:right="619" w:firstLine="373"/>
        <w:spacing w:after="0" w:line="257" w:lineRule="auto"/>
        <w:rPr>
          <w:sz w:val="20"/>
          <w:szCs w:val="20"/>
          <w:color w:val="auto"/>
        </w:rPr>
      </w:pPr>
      <w:r>
        <w:rPr>
          <w:rFonts w:ascii="Arial" w:cs="Arial" w:eastAsia="Arial" w:hAnsi="Arial"/>
          <w:sz w:val="18"/>
          <w:szCs w:val="18"/>
          <w:color w:val="auto"/>
        </w:rPr>
        <w:t>We are cooperating with the Office of Inspector General to facilitate its investigation and are nearing completion of our rolling responsive document production, which commenced in September 2008. We cannot presently predict the ultimate outcome of the investigation or any liability or other sanctions that may result. The outcome of the Office of Inspector General investigation may depend in part on information contained in the materials we produce or any information or testimony that may be provided by former employees or other third parties.</w:t>
      </w:r>
    </w:p>
    <w:p>
      <w:pPr>
        <w:spacing w:after="0" w:line="161" w:lineRule="exact"/>
        <w:rPr>
          <w:sz w:val="20"/>
          <w:szCs w:val="20"/>
          <w:color w:val="auto"/>
        </w:rPr>
      </w:pPr>
    </w:p>
    <w:p>
      <w:pPr>
        <w:ind w:left="340" w:right="619" w:firstLine="373"/>
        <w:spacing w:after="0" w:line="272" w:lineRule="auto"/>
        <w:rPr>
          <w:sz w:val="20"/>
          <w:szCs w:val="20"/>
          <w:color w:val="auto"/>
        </w:rPr>
      </w:pPr>
      <w:r>
        <w:rPr>
          <w:rFonts w:ascii="Arial" w:cs="Arial" w:eastAsia="Arial" w:hAnsi="Arial"/>
          <w:sz w:val="17"/>
          <w:szCs w:val="17"/>
          <w:color w:val="auto"/>
        </w:rPr>
        <w:t xml:space="preserve">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Item 1, </w:t>
      </w:r>
      <w:r>
        <w:rPr>
          <w:rFonts w:ascii="Arial" w:cs="Arial" w:eastAsia="Arial" w:hAnsi="Arial"/>
          <w:sz w:val="17"/>
          <w:szCs w:val="17"/>
          <w:i w:val="1"/>
          <w:iCs w:val="1"/>
          <w:color w:val="auto"/>
        </w:rPr>
        <w:t>Business — Regulation — Regulation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Federal Student Financial Aid Programs — Potential effect of regulatory violations</w:t>
      </w:r>
      <w:r>
        <w:rPr>
          <w:rFonts w:ascii="Arial" w:cs="Arial" w:eastAsia="Arial" w:hAnsi="Arial"/>
          <w:sz w:val="17"/>
          <w:szCs w:val="17"/>
          <w:color w:val="auto"/>
        </w:rPr>
        <w:t>. Any such fine or other sanction could</w:t>
      </w:r>
      <w:r>
        <w:rPr>
          <w:rFonts w:ascii="Arial" w:cs="Arial" w:eastAsia="Arial" w:hAnsi="Arial"/>
          <w:sz w:val="17"/>
          <w:szCs w:val="17"/>
          <w:i w:val="1"/>
          <w:iCs w:val="1"/>
          <w:color w:val="auto"/>
        </w:rPr>
        <w:t xml:space="preserve"> </w:t>
      </w:r>
      <w:r>
        <w:rPr>
          <w:rFonts w:ascii="Arial" w:cs="Arial" w:eastAsia="Arial" w:hAnsi="Arial"/>
          <w:sz w:val="17"/>
          <w:szCs w:val="17"/>
          <w:color w:val="auto"/>
        </w:rPr>
        <w:t>damage our reputation and impose significant costs on us, which could have a material adverse effect on our business, prospects,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79"/>
        <w:spacing w:after="0" w:line="264" w:lineRule="auto"/>
        <w:rPr>
          <w:sz w:val="20"/>
          <w:szCs w:val="20"/>
          <w:color w:val="auto"/>
        </w:rPr>
      </w:pPr>
      <w:r>
        <w:rPr>
          <w:rFonts w:ascii="Arial" w:cs="Arial" w:eastAsia="Arial" w:hAnsi="Arial"/>
          <w:sz w:val="18"/>
          <w:szCs w:val="18"/>
          <w:b w:val="1"/>
          <w:bCs w:val="1"/>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154"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Item 1, </w:t>
      </w:r>
      <w:r>
        <w:rPr>
          <w:rFonts w:ascii="Arial" w:cs="Arial" w:eastAsia="Arial" w:hAnsi="Arial"/>
          <w:sz w:val="16"/>
          <w:szCs w:val="16"/>
          <w:i w:val="1"/>
          <w:iCs w:val="1"/>
          <w:color w:val="auto"/>
        </w:rPr>
        <w:t>Business —Regulation — Regulation of Federal Student Financial Aid Programs — Incentive compensation rule</w:t>
      </w:r>
      <w:r>
        <w:rPr>
          <w:rFonts w:ascii="Arial" w:cs="Arial" w:eastAsia="Arial" w:hAnsi="Arial"/>
          <w:sz w:val="16"/>
          <w:szCs w:val="16"/>
          <w:color w:val="auto"/>
        </w:rPr>
        <w:t xml:space="preserv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While our motion to dismiss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denied, we plan to vigorously contest the lawsuit.</w:t>
      </w:r>
    </w:p>
    <w:p>
      <w:pPr>
        <w:spacing w:after="0" w:line="135"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was initially filed under seal in August 2007 and was unsealed and served on us following the government’s decision not to intervene at that time.</w:t>
      </w:r>
    </w:p>
    <w:p>
      <w:pPr>
        <w:spacing w:after="0" w:line="127" w:lineRule="exact"/>
        <w:rPr>
          <w:sz w:val="20"/>
          <w:szCs w:val="20"/>
          <w:color w:val="auto"/>
        </w:rPr>
      </w:pPr>
    </w:p>
    <w:p>
      <w:pPr>
        <w:ind w:left="340" w:right="639" w:firstLine="373"/>
        <w:spacing w:after="0" w:line="257"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case or any liability that might result.</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59"/>
        <w:spacing w:after="0" w:line="277" w:lineRule="auto"/>
        <w:rPr>
          <w:sz w:val="20"/>
          <w:szCs w:val="20"/>
          <w:color w:val="auto"/>
        </w:rPr>
      </w:pPr>
      <w:r>
        <w:rPr>
          <w:rFonts w:ascii="Arial" w:cs="Arial" w:eastAsia="Arial" w:hAnsi="Arial"/>
          <w:sz w:val="18"/>
          <w:szCs w:val="18"/>
          <w:b w:val="1"/>
          <w:bCs w:val="1"/>
          <w:i w:val="1"/>
          <w:iCs w:val="1"/>
          <w:color w:val="auto"/>
        </w:rPr>
        <w:t>Congress may change the eligibility standards or reduce funding for the Title IV programs, which could reduce our student population, revenue, and profit margin.</w:t>
      </w:r>
    </w:p>
    <w:p>
      <w:pPr>
        <w:spacing w:after="0" w:line="143" w:lineRule="exact"/>
        <w:rPr>
          <w:sz w:val="20"/>
          <w:szCs w:val="20"/>
          <w:color w:val="auto"/>
        </w:rPr>
      </w:pPr>
    </w:p>
    <w:p>
      <w:pPr>
        <w:ind w:left="340" w:right="619" w:firstLine="373"/>
        <w:spacing w:after="0" w:line="288" w:lineRule="auto"/>
        <w:rPr>
          <w:sz w:val="20"/>
          <w:szCs w:val="20"/>
          <w:color w:val="auto"/>
        </w:rPr>
      </w:pPr>
      <w:r>
        <w:rPr>
          <w:rFonts w:ascii="Arial" w:cs="Arial" w:eastAsia="Arial" w:hAnsi="Arial"/>
          <w:sz w:val="16"/>
          <w:szCs w:val="16"/>
          <w:color w:val="auto"/>
        </w:rPr>
        <w:t xml:space="preserve">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Item 1, </w:t>
      </w:r>
      <w:r>
        <w:rPr>
          <w:rFonts w:ascii="Arial" w:cs="Arial" w:eastAsia="Arial" w:hAnsi="Arial"/>
          <w:sz w:val="16"/>
          <w:szCs w:val="16"/>
          <w:i w:val="1"/>
          <w:iCs w:val="1"/>
          <w:color w:val="auto"/>
        </w:rPr>
        <w:t>Business —Regulation — Regulation of Federal Student Financial Aid Programs</w:t>
      </w:r>
      <w:r>
        <w:rPr>
          <w:rFonts w:ascii="Arial" w:cs="Arial" w:eastAsia="Arial" w:hAnsi="Arial"/>
          <w:sz w:val="16"/>
          <w:szCs w:val="16"/>
          <w:color w:val="auto"/>
        </w:rPr>
        <w:t>. In addition, Congress must determine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 decrease our student enrollment. Such a decrease in our enrollment could have a material adverse effect on us. Congressional action could also require us to modify our practices in ways that could increase our administrative and regulatory costs.</w:t>
      </w:r>
    </w:p>
    <w:p>
      <w:pPr>
        <w:spacing w:after="0" w:line="129" w:lineRule="exact"/>
        <w:rPr>
          <w:sz w:val="20"/>
          <w:szCs w:val="20"/>
          <w:color w:val="auto"/>
        </w:rPr>
      </w:pPr>
    </w:p>
    <w:p>
      <w:pPr>
        <w:ind w:left="340" w:right="559"/>
        <w:spacing w:after="0" w:line="264" w:lineRule="auto"/>
        <w:rPr>
          <w:sz w:val="20"/>
          <w:szCs w:val="20"/>
          <w:color w:val="auto"/>
        </w:rPr>
      </w:pPr>
      <w:r>
        <w:rPr>
          <w:rFonts w:ascii="Arial" w:cs="Arial" w:eastAsia="Arial" w:hAnsi="Arial"/>
          <w:sz w:val="18"/>
          <w:szCs w:val="18"/>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41" w:lineRule="exact"/>
        <w:rPr>
          <w:sz w:val="20"/>
          <w:szCs w:val="20"/>
          <w:color w:val="auto"/>
        </w:rPr>
      </w:pPr>
    </w:p>
    <w:p>
      <w:pPr>
        <w:ind w:left="340" w:right="619" w:firstLine="373"/>
        <w:spacing w:after="0" w:line="267" w:lineRule="auto"/>
        <w:rPr>
          <w:sz w:val="20"/>
          <w:szCs w:val="20"/>
          <w:color w:val="auto"/>
        </w:rPr>
      </w:pPr>
      <w:r>
        <w:rPr>
          <w:rFonts w:ascii="Arial" w:cs="Arial" w:eastAsia="Arial" w:hAnsi="Arial"/>
          <w:sz w:val="17"/>
          <w:szCs w:val="17"/>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079"/>
        <w:spacing w:after="0" w:line="264" w:lineRule="auto"/>
        <w:rPr>
          <w:sz w:val="20"/>
          <w:szCs w:val="20"/>
          <w:color w:val="auto"/>
        </w:rPr>
      </w:pPr>
      <w:r>
        <w:rPr>
          <w:rFonts w:ascii="Arial" w:cs="Arial" w:eastAsia="Arial" w:hAnsi="Arial"/>
          <w:sz w:val="18"/>
          <w:szCs w:val="18"/>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54"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w:t>
      </w:r>
    </w:p>
    <w:p>
      <w:pPr>
        <w:spacing w:after="0" w:line="141" w:lineRule="exact"/>
        <w:rPr>
          <w:sz w:val="20"/>
          <w:szCs w:val="20"/>
          <w:color w:val="auto"/>
        </w:rPr>
      </w:pPr>
    </w:p>
    <w:p>
      <w:pPr>
        <w:ind w:left="340" w:right="619"/>
        <w:spacing w:after="0" w:line="308" w:lineRule="auto"/>
        <w:rPr>
          <w:sz w:val="20"/>
          <w:szCs w:val="20"/>
          <w:color w:val="auto"/>
        </w:rPr>
      </w:pPr>
      <w:r>
        <w:rPr>
          <w:rFonts w:ascii="Arial" w:cs="Arial" w:eastAsia="Arial" w:hAnsi="Arial"/>
          <w:sz w:val="17"/>
          <w:szCs w:val="17"/>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06" w:lineRule="exact"/>
        <w:rPr>
          <w:sz w:val="20"/>
          <w:szCs w:val="20"/>
          <w:color w:val="auto"/>
        </w:rPr>
      </w:pPr>
    </w:p>
    <w:p>
      <w:pPr>
        <w:ind w:left="340" w:right="619" w:firstLine="373"/>
        <w:spacing w:after="0" w:line="285" w:lineRule="auto"/>
        <w:rPr>
          <w:sz w:val="20"/>
          <w:szCs w:val="20"/>
          <w:color w:val="auto"/>
        </w:rPr>
      </w:pPr>
      <w:r>
        <w:rPr>
          <w:rFonts w:ascii="Arial" w:cs="Arial" w:eastAsia="Arial" w:hAnsi="Arial"/>
          <w:sz w:val="16"/>
          <w:szCs w:val="16"/>
          <w:color w:val="auto"/>
        </w:rPr>
        <w:t xml:space="preserve">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See Item 1, </w:t>
      </w:r>
      <w:r>
        <w:rPr>
          <w:rFonts w:ascii="Arial" w:cs="Arial" w:eastAsia="Arial" w:hAnsi="Arial"/>
          <w:sz w:val="16"/>
          <w:szCs w:val="16"/>
          <w:i w:val="1"/>
          <w:iCs w:val="1"/>
          <w:color w:val="auto"/>
        </w:rPr>
        <w:t>Business — Regulation —</w:t>
      </w:r>
      <w:r>
        <w:rPr>
          <w:rFonts w:ascii="Arial" w:cs="Arial" w:eastAsia="Arial" w:hAnsi="Arial"/>
          <w:sz w:val="16"/>
          <w:szCs w:val="16"/>
          <w:color w:val="auto"/>
        </w:rPr>
        <w:t xml:space="preserve"> </w:t>
      </w:r>
      <w:r>
        <w:rPr>
          <w:rFonts w:ascii="Arial" w:cs="Arial" w:eastAsia="Arial" w:hAnsi="Arial"/>
          <w:sz w:val="16"/>
          <w:szCs w:val="16"/>
          <w:i w:val="1"/>
          <w:iCs w:val="1"/>
          <w:color w:val="auto"/>
        </w:rPr>
        <w:t>Accreditation</w:t>
      </w:r>
      <w:r>
        <w:rPr>
          <w:rFonts w:ascii="Arial" w:cs="Arial" w:eastAsia="Arial" w:hAnsi="Arial"/>
          <w:sz w:val="16"/>
          <w:szCs w:val="16"/>
          <w:color w:val="auto"/>
        </w:rPr>
        <w:t>. In February 2009, we filed a monitoring report with the Higher Learning Commission addressing our progress in</w:t>
      </w:r>
      <w:r>
        <w:rPr>
          <w:rFonts w:ascii="Arial" w:cs="Arial" w:eastAsia="Arial" w:hAnsi="Arial"/>
          <w:sz w:val="16"/>
          <w:szCs w:val="16"/>
          <w:i w:val="1"/>
          <w:iCs w:val="1"/>
          <w:color w:val="auto"/>
        </w:rPr>
        <w:t xml:space="preserve"> </w:t>
      </w:r>
      <w:r>
        <w:rPr>
          <w:rFonts w:ascii="Arial" w:cs="Arial" w:eastAsia="Arial" w:hAnsi="Arial"/>
          <w:sz w:val="16"/>
          <w:szCs w:val="16"/>
          <w:color w:val="auto"/>
        </w:rPr>
        <w:t>resolving these deficiencies. If we fail to resolve the Higher Learning Commission’s concerns, the Higher Learning Commission could ask for another monitoring report, send a team to confirm progress in addressing the deficiencies, or determine that we are not making adequate progress in addressing the Higher Learning Commission’s concerns. If we fail to satisfy any of the Higher Learning Commission’s standards, or fail to address the deficiencies noted in our last review,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do not maintain our state authorization in Arizona, we may not operate or participate in the Title IV programs.</w:t>
      </w:r>
    </w:p>
    <w:p>
      <w:pPr>
        <w:spacing w:after="0" w:line="196" w:lineRule="exact"/>
        <w:rPr>
          <w:sz w:val="20"/>
          <w:szCs w:val="20"/>
          <w:color w:val="auto"/>
        </w:rPr>
      </w:pPr>
    </w:p>
    <w:p>
      <w:pPr>
        <w:ind w:left="340" w:right="679" w:firstLine="373"/>
        <w:spacing w:after="0" w:line="290" w:lineRule="auto"/>
        <w:rPr>
          <w:sz w:val="20"/>
          <w:szCs w:val="20"/>
          <w:color w:val="auto"/>
        </w:rPr>
      </w:pPr>
      <w:r>
        <w:rPr>
          <w:rFonts w:ascii="Arial" w:cs="Arial" w:eastAsia="Arial" w:hAnsi="Arial"/>
          <w:sz w:val="16"/>
          <w:szCs w:val="16"/>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spacing w:after="0" w:line="264" w:lineRule="auto"/>
        <w:rPr>
          <w:sz w:val="20"/>
          <w:szCs w:val="20"/>
          <w:color w:val="auto"/>
        </w:rPr>
      </w:pPr>
      <w:r>
        <w:rPr>
          <w:rFonts w:ascii="Arial" w:cs="Arial" w:eastAsia="Arial" w:hAnsi="Arial"/>
          <w:sz w:val="18"/>
          <w:szCs w:val="18"/>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154" w:lineRule="exact"/>
        <w:rPr>
          <w:sz w:val="20"/>
          <w:szCs w:val="20"/>
          <w:color w:val="auto"/>
        </w:rPr>
      </w:pPr>
    </w:p>
    <w:p>
      <w:pPr>
        <w:ind w:left="340" w:right="599" w:firstLine="373"/>
        <w:spacing w:after="0" w:line="290" w:lineRule="auto"/>
        <w:rPr>
          <w:sz w:val="20"/>
          <w:szCs w:val="20"/>
          <w:color w:val="auto"/>
        </w:rPr>
      </w:pPr>
      <w:r>
        <w:rPr>
          <w:rFonts w:ascii="Arial" w:cs="Arial" w:eastAsia="Arial" w:hAnsi="Arial"/>
          <w:sz w:val="16"/>
          <w:szCs w:val="16"/>
          <w:color w:val="auto"/>
        </w:rPr>
        <w:t>The cumulative impact of recent regulatory and market developments and conditions, including the widespread disruption in the credit and financial markets,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that legislation:</w:t>
      </w:r>
    </w:p>
    <w:p>
      <w:pPr>
        <w:spacing w:after="0" w:line="126" w:lineRule="exact"/>
        <w:rPr>
          <w:sz w:val="20"/>
          <w:szCs w:val="20"/>
          <w:color w:val="auto"/>
        </w:rPr>
      </w:pPr>
    </w:p>
    <w:p>
      <w:pPr>
        <w:ind w:left="1420" w:right="699" w:hanging="345"/>
        <w:spacing w:after="0" w:line="277" w:lineRule="auto"/>
        <w:tabs>
          <w:tab w:leader="none" w:pos="14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authorizes the Department of Education to purchase Title IV loans from lenders, thereby providing capital to the lenders to enable them to continue making Title IV loans to students; and</w:t>
      </w:r>
    </w:p>
    <w:p>
      <w:pPr>
        <w:spacing w:after="0" w:line="129" w:lineRule="exact"/>
        <w:rPr>
          <w:rFonts w:ascii="Arial" w:cs="Arial" w:eastAsia="Arial" w:hAnsi="Arial"/>
          <w:sz w:val="18"/>
          <w:szCs w:val="18"/>
          <w:b w:val="1"/>
          <w:bCs w:val="1"/>
          <w:color w:val="auto"/>
        </w:rPr>
      </w:pPr>
    </w:p>
    <w:p>
      <w:pPr>
        <w:ind w:left="1420" w:right="579" w:hanging="345"/>
        <w:spacing w:after="0" w:line="264" w:lineRule="auto"/>
        <w:tabs>
          <w:tab w:leader="none" w:pos="14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154" w:lineRule="exact"/>
        <w:rPr>
          <w:sz w:val="20"/>
          <w:szCs w:val="20"/>
          <w:color w:val="auto"/>
        </w:rPr>
      </w:pPr>
    </w:p>
    <w:p>
      <w:pPr>
        <w:jc w:val="both"/>
        <w:ind w:left="340" w:right="819"/>
        <w:spacing w:after="0" w:line="259" w:lineRule="auto"/>
        <w:rPr>
          <w:sz w:val="20"/>
          <w:szCs w:val="20"/>
          <w:color w:val="auto"/>
        </w:rPr>
      </w:pPr>
      <w:r>
        <w:rPr>
          <w:rFonts w:ascii="Arial" w:cs="Arial" w:eastAsia="Arial" w:hAnsi="Arial"/>
          <w:sz w:val="18"/>
          <w:szCs w:val="18"/>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increase in interest rates could adversely affect our ability to attract and retain students.</w:t>
      </w:r>
    </w:p>
    <w:p>
      <w:pPr>
        <w:spacing w:after="0" w:line="185"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 xml:space="preserve">For our fiscal years ended December 31, 2007 and 2008 we derived cash receipts equal to approximately 70.2% and 74.4%,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Item 1A, </w:t>
      </w:r>
      <w:r>
        <w:rPr>
          <w:rFonts w:ascii="Arial" w:cs="Arial" w:eastAsia="Arial" w:hAnsi="Arial"/>
          <w:sz w:val="16"/>
          <w:szCs w:val="16"/>
          <w:i w:val="1"/>
          <w:iCs w:val="1"/>
          <w:color w:val="auto"/>
        </w:rPr>
        <w:t>Risk Factors — We may lose our eligibility to participate in the Title IV programs if our student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loan default rates are too high, </w:t>
      </w:r>
      <w:r>
        <w:rPr>
          <w:rFonts w:ascii="Arial" w:cs="Arial" w:eastAsia="Arial" w:hAnsi="Arial"/>
          <w:sz w:val="16"/>
          <w:szCs w:val="16"/>
          <w:color w:val="auto"/>
        </w:rPr>
        <w:t>for further information.</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99"/>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143"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132" w:lineRule="exact"/>
        <w:rPr>
          <w:sz w:val="20"/>
          <w:szCs w:val="20"/>
          <w:color w:val="auto"/>
        </w:rPr>
      </w:pPr>
    </w:p>
    <w:p>
      <w:pPr>
        <w:ind w:left="340" w:right="779" w:firstLine="373"/>
        <w:spacing w:after="0" w:line="290" w:lineRule="auto"/>
        <w:rPr>
          <w:sz w:val="20"/>
          <w:szCs w:val="20"/>
          <w:color w:val="auto"/>
        </w:rPr>
      </w:pPr>
      <w:r>
        <w:rPr>
          <w:rFonts w:ascii="Arial" w:cs="Arial" w:eastAsia="Arial" w:hAnsi="Arial"/>
          <w:sz w:val="16"/>
          <w:szCs w:val="16"/>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12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39" w:lineRule="exact"/>
        <w:rPr>
          <w:sz w:val="20"/>
          <w:szCs w:val="20"/>
          <w:color w:val="auto"/>
        </w:rPr>
      </w:pPr>
    </w:p>
    <w:p>
      <w:pPr>
        <w:ind w:left="340" w:right="699"/>
        <w:spacing w:after="0" w:line="342" w:lineRule="auto"/>
        <w:rPr>
          <w:sz w:val="20"/>
          <w:szCs w:val="20"/>
          <w:color w:val="auto"/>
        </w:rPr>
      </w:pPr>
      <w:r>
        <w:rPr>
          <w:rFonts w:ascii="Arial" w:cs="Arial" w:eastAsia="Arial" w:hAnsi="Arial"/>
          <w:sz w:val="16"/>
          <w:szCs w:val="16"/>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83"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spacing w:after="0" w:line="327" w:lineRule="auto"/>
        <w:rPr>
          <w:sz w:val="20"/>
          <w:szCs w:val="20"/>
          <w:color w:val="auto"/>
        </w:rPr>
      </w:pPr>
      <w:r>
        <w:rPr>
          <w:rFonts w:ascii="Arial" w:cs="Arial" w:eastAsia="Arial" w:hAnsi="Arial"/>
          <w:sz w:val="15"/>
          <w:szCs w:val="15"/>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113"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In recent years, the Attorney General of the State of Arizona requested extensive documentation from us and other institutions in Arizona concerning student loan practices, and we provided testimony in response to a subpoena from the Attorney General of the State of Arizona about such practices. In 2008, without admitting any wrongdoing, we agreed with the Attorney General of the State of Arizona to conclude its investigation of us by executing a Letter of Assurance, whereby we agreed to conduct referrals of students to lenders in accordance with our existing policies or any new policies promulgated by the State of Arizona in the future and to reimburse the state for the costs of its investigation in the amount of approximately $20,000.</w:t>
      </w:r>
    </w:p>
    <w:p>
      <w:pPr>
        <w:spacing w:after="0" w:line="134"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As a result of the increased scrutiny of student loan programs,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142" w:lineRule="exact"/>
        <w:rPr>
          <w:sz w:val="20"/>
          <w:szCs w:val="20"/>
          <w:color w:val="auto"/>
        </w:rPr>
      </w:pPr>
    </w:p>
    <w:p>
      <w:pPr>
        <w:ind w:left="340" w:right="559"/>
        <w:spacing w:after="0" w:line="259"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160" w:lineRule="exact"/>
        <w:rPr>
          <w:sz w:val="20"/>
          <w:szCs w:val="20"/>
          <w:color w:val="auto"/>
        </w:rPr>
      </w:pPr>
    </w:p>
    <w:p>
      <w:pPr>
        <w:ind w:left="340" w:right="599" w:firstLine="373"/>
        <w:spacing w:after="0" w:line="289" w:lineRule="auto"/>
        <w:rPr>
          <w:sz w:val="20"/>
          <w:szCs w:val="20"/>
          <w:color w:val="auto"/>
        </w:rPr>
      </w:pPr>
      <w:r>
        <w:rPr>
          <w:rFonts w:ascii="Arial" w:cs="Arial" w:eastAsia="Arial" w:hAnsi="Arial"/>
          <w:sz w:val="16"/>
          <w:szCs w:val="16"/>
          <w:color w:val="auto"/>
        </w:rPr>
        <w:t xml:space="preserve">Because we operate in a highly regulated industry, we are subject to program reviews, audits, investigations, claims of non-compliance, and lawsuits by government agencies, regulatory agencies, students,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we believe is focused on the manner in which we have compensated our enrollment counselors and managers, and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brought</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spacing w:after="0" w:line="269" w:lineRule="auto"/>
        <w:rPr>
          <w:sz w:val="20"/>
          <w:szCs w:val="20"/>
          <w:color w:val="auto"/>
        </w:rPr>
      </w:pPr>
      <w:r>
        <w:rPr>
          <w:rFonts w:ascii="Arial" w:cs="Arial" w:eastAsia="Arial" w:hAnsi="Arial"/>
          <w:sz w:val="17"/>
          <w:szCs w:val="17"/>
          <w:color w:val="auto"/>
        </w:rPr>
        <w:t xml:space="preserve">by a former employee alleging violations in the same area. See Item 1, </w:t>
      </w:r>
      <w:r>
        <w:rPr>
          <w:rFonts w:ascii="Arial" w:cs="Arial" w:eastAsia="Arial" w:hAnsi="Arial"/>
          <w:sz w:val="17"/>
          <w:szCs w:val="17"/>
          <w:i w:val="1"/>
          <w:iCs w:val="1"/>
          <w:color w:val="auto"/>
        </w:rPr>
        <w:t>Business — Regulation — Regulation of Federal Student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Aid Programs — Incentive compensation rule; </w:t>
      </w:r>
      <w:r>
        <w:rPr>
          <w:rFonts w:ascii="Arial" w:cs="Arial" w:eastAsia="Arial" w:hAnsi="Arial"/>
          <w:sz w:val="17"/>
          <w:szCs w:val="17"/>
          <w:color w:val="auto"/>
        </w:rPr>
        <w:t>Item 1A,</w:t>
      </w:r>
      <w:r>
        <w:rPr>
          <w:rFonts w:ascii="Arial" w:cs="Arial" w:eastAsia="Arial" w:hAnsi="Arial"/>
          <w:sz w:val="17"/>
          <w:szCs w:val="17"/>
          <w:i w:val="1"/>
          <w:iCs w:val="1"/>
          <w:color w:val="auto"/>
        </w:rPr>
        <w:t xml:space="preserve"> Risk Factors — The Office of Inspector General of the Department of Education has commenced an investigation of Grand Canyon University, which is ongoing and which may result in fines, penalties, other sanctions, and damage to our reputation in the industry; </w:t>
      </w:r>
      <w:r>
        <w:rPr>
          <w:rFonts w:ascii="Arial" w:cs="Arial" w:eastAsia="Arial" w:hAnsi="Arial"/>
          <w:sz w:val="17"/>
          <w:szCs w:val="17"/>
          <w:color w:val="auto"/>
        </w:rPr>
        <w:t>Item 1A,</w:t>
      </w:r>
      <w:r>
        <w:rPr>
          <w:rFonts w:ascii="Arial" w:cs="Arial" w:eastAsia="Arial" w:hAnsi="Arial"/>
          <w:sz w:val="17"/>
          <w:szCs w:val="17"/>
          <w:i w:val="1"/>
          <w:iCs w:val="1"/>
          <w:color w:val="auto"/>
        </w:rPr>
        <w:t xml:space="preserve"> Risk Factors — We were recently notified that a qui tam lawsuit has been filed against us alleging, among other things, that we have improperly compensated certain of our enrollment counselors, and we may incur liability, be subject to sanctions, or experience damage to our reputation as a result of this lawsuit; </w:t>
      </w:r>
      <w:r>
        <w:rPr>
          <w:rFonts w:ascii="Arial" w:cs="Arial" w:eastAsia="Arial" w:hAnsi="Arial"/>
          <w:sz w:val="17"/>
          <w:szCs w:val="17"/>
          <w:color w:val="auto"/>
        </w:rPr>
        <w:t>and Item 3,</w:t>
      </w:r>
      <w:r>
        <w:rPr>
          <w:rFonts w:ascii="Arial" w:cs="Arial" w:eastAsia="Arial" w:hAnsi="Arial"/>
          <w:sz w:val="17"/>
          <w:szCs w:val="17"/>
          <w:i w:val="1"/>
          <w:iCs w:val="1"/>
          <w:color w:val="auto"/>
        </w:rPr>
        <w:t xml:space="preserve"> Legal Proceedings</w:t>
      </w:r>
      <w:r>
        <w:rPr>
          <w:rFonts w:ascii="Arial" w:cs="Arial" w:eastAsia="Arial" w:hAnsi="Arial"/>
          <w:sz w:val="17"/>
          <w:szCs w:val="17"/>
          <w:color w:val="auto"/>
        </w:rPr>
        <w:t>. Claims and lawsuits brought against us, even if they are without merit,</w:t>
      </w:r>
      <w:r>
        <w:rPr>
          <w:rFonts w:ascii="Arial" w:cs="Arial" w:eastAsia="Arial" w:hAnsi="Arial"/>
          <w:sz w:val="17"/>
          <w:szCs w:val="17"/>
          <w:i w:val="1"/>
          <w:iCs w:val="1"/>
          <w:color w:val="auto"/>
        </w:rPr>
        <w:t xml:space="preserve"> </w:t>
      </w:r>
      <w:r>
        <w:rPr>
          <w:rFonts w:ascii="Arial" w:cs="Arial" w:eastAsia="Arial" w:hAnsi="Arial"/>
          <w:sz w:val="17"/>
          <w:szCs w:val="17"/>
          <w:color w:val="auto"/>
        </w:rPr>
        <w:t>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56" w:lineRule="exact"/>
        <w:rPr>
          <w:sz w:val="20"/>
          <w:szCs w:val="20"/>
          <w:color w:val="auto"/>
        </w:rPr>
      </w:pPr>
    </w:p>
    <w:p>
      <w:pPr>
        <w:ind w:left="340" w:right="679"/>
        <w:spacing w:after="0" w:line="264"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141"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27" w:lineRule="exact"/>
        <w:rPr>
          <w:sz w:val="20"/>
          <w:szCs w:val="20"/>
          <w:color w:val="auto"/>
        </w:rPr>
      </w:pPr>
    </w:p>
    <w:p>
      <w:pPr>
        <w:ind w:left="340" w:right="799"/>
        <w:spacing w:after="0" w:line="277" w:lineRule="auto"/>
        <w:rPr>
          <w:sz w:val="20"/>
          <w:szCs w:val="20"/>
          <w:color w:val="auto"/>
        </w:rPr>
      </w:pPr>
      <w:r>
        <w:rPr>
          <w:rFonts w:ascii="Arial" w:cs="Arial" w:eastAsia="Arial" w:hAnsi="Arial"/>
          <w:sz w:val="18"/>
          <w:szCs w:val="18"/>
          <w:b w:val="1"/>
          <w:bCs w:val="1"/>
          <w:i w:val="1"/>
          <w:iCs w:val="1"/>
          <w:color w:val="auto"/>
        </w:rPr>
        <w:t>If our students were unable to obtain private loans from third-party lenders, our business could be adversely affected given our increasing reliance on such lenders as a source of net revenue.</w:t>
      </w:r>
    </w:p>
    <w:p>
      <w:pPr>
        <w:spacing w:after="0" w:line="143" w:lineRule="exact"/>
        <w:rPr>
          <w:sz w:val="20"/>
          <w:szCs w:val="20"/>
          <w:color w:val="auto"/>
        </w:rPr>
      </w:pPr>
    </w:p>
    <w:p>
      <w:pPr>
        <w:ind w:left="340" w:right="639" w:firstLine="373"/>
        <w:spacing w:after="0" w:line="286" w:lineRule="auto"/>
        <w:rPr>
          <w:sz w:val="20"/>
          <w:szCs w:val="20"/>
          <w:color w:val="auto"/>
        </w:rPr>
      </w:pPr>
      <w:r>
        <w:rPr>
          <w:rFonts w:ascii="Arial" w:cs="Arial" w:eastAsia="Arial" w:hAnsi="Arial"/>
          <w:sz w:val="16"/>
          <w:szCs w:val="16"/>
          <w:color w:val="auto"/>
        </w:rPr>
        <w:t>During the fiscal year ended December 31, 2008, private loans to students at our school represented approximately 2.9% of our revenue (calculated on a cash basis) as compared to 5.1% of revenue in fiscal 2007 and 2.5% of revenue in fiscal 2006.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059"/>
        <w:spacing w:after="0" w:line="264"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54"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28" w:lineRule="exact"/>
        <w:rPr>
          <w:sz w:val="20"/>
          <w:szCs w:val="20"/>
          <w:color w:val="auto"/>
        </w:rPr>
      </w:pPr>
    </w:p>
    <w:p>
      <w:pPr>
        <w:jc w:val="both"/>
        <w:ind w:left="340" w:right="699" w:firstLine="373"/>
        <w:spacing w:after="0" w:line="279" w:lineRule="auto"/>
        <w:rPr>
          <w:sz w:val="20"/>
          <w:szCs w:val="20"/>
          <w:color w:val="auto"/>
        </w:rPr>
      </w:pPr>
      <w:r>
        <w:rPr>
          <w:rFonts w:ascii="Arial" w:cs="Arial" w:eastAsia="Arial" w:hAnsi="Arial"/>
          <w:sz w:val="17"/>
          <w:szCs w:val="17"/>
          <w:color w:val="auto"/>
        </w:rPr>
        <w:t>In connection with our initial public offering, which we completed in November 2008, we submitted a description of the offering to the Department of Education, including a description of a voting agreement that certain of our stockholders entered into upon completion of the public offering. Based on this description, the Department of Education concluded that the offering did not result in a change in control under the Department of Education’s regulations.</w:t>
      </w:r>
    </w:p>
    <w:p>
      <w:pPr>
        <w:spacing w:after="0" w:line="131" w:lineRule="exact"/>
        <w:rPr>
          <w:sz w:val="20"/>
          <w:szCs w:val="20"/>
          <w:color w:val="auto"/>
        </w:rPr>
      </w:pPr>
    </w:p>
    <w:p>
      <w:pPr>
        <w:ind w:left="340" w:right="679" w:firstLine="373"/>
        <w:spacing w:after="0" w:line="271" w:lineRule="auto"/>
        <w:rPr>
          <w:sz w:val="20"/>
          <w:szCs w:val="20"/>
          <w:color w:val="auto"/>
        </w:rPr>
      </w:pPr>
      <w:r>
        <w:rPr>
          <w:rFonts w:ascii="Arial" w:cs="Arial" w:eastAsia="Arial" w:hAnsi="Arial"/>
          <w:sz w:val="17"/>
          <w:szCs w:val="17"/>
          <w:color w:val="auto"/>
        </w:rPr>
        <w:t>The Higher Learning Commission considered our initial public offering to be a change in control under its policies. While we obtained the Higher Learning Commission’s approval to consummate the offering, as a result of its determination that the public offering constituted a change in control, the Higher Learning Commission informed us that it will conduct a site visit in March 2009 to confirm the appropriateness of the approval and to evaluate whether we continue to meet the Higher Learning Commission’s eligibility criteria. We cannot predict whether the Higher Learning Commission will impose any limitations or conditions on us, or identify any compliance issues related to us in the context of the change in control process, that could result in our loss of accreditation. Any such loss of accreditation would result in our loss of eligibility to participate in the Title IV programs and cause a significant decline in our student enrollments.</w:t>
      </w:r>
    </w:p>
    <w:p>
      <w:pPr>
        <w:spacing w:after="0" w:line="152" w:lineRule="exact"/>
        <w:rPr>
          <w:sz w:val="20"/>
          <w:szCs w:val="20"/>
          <w:color w:val="auto"/>
        </w:rPr>
      </w:pPr>
    </w:p>
    <w:p>
      <w:pPr>
        <w:ind w:left="340" w:right="719" w:firstLine="373"/>
        <w:spacing w:after="0" w:line="254" w:lineRule="auto"/>
        <w:rPr>
          <w:sz w:val="20"/>
          <w:szCs w:val="20"/>
          <w:color w:val="auto"/>
        </w:rPr>
      </w:pPr>
      <w:r>
        <w:rPr>
          <w:rFonts w:ascii="Arial" w:cs="Arial" w:eastAsia="Arial" w:hAnsi="Arial"/>
          <w:sz w:val="18"/>
          <w:szCs w:val="18"/>
          <w:color w:val="auto"/>
        </w:rPr>
        <w:t>In addition, we notified the Arizona State Board for Private Postsecondary Education of our initial public offering and, based on our communications with that agency, we do not believe that our initial public offering constituted a change in control under Arizona law. We also notified other accrediting commissions and state agencies, as we believed necessary, of our initial public offering and the reasons why we believed the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has advised us that it concluded that the offering constituted a change in control under its policies or that it required us to take any further action.</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143"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w:t>
      </w:r>
    </w:p>
    <w:p>
      <w:pPr>
        <w:spacing w:after="0" w:line="147"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 xml:space="preserve">As described in Item 1A, </w:t>
      </w:r>
      <w:r>
        <w:rPr>
          <w:rFonts w:ascii="Arial" w:cs="Arial" w:eastAsia="Arial" w:hAnsi="Arial"/>
          <w:sz w:val="16"/>
          <w:szCs w:val="16"/>
          <w:i w:val="1"/>
          <w:iCs w:val="1"/>
          <w:color w:val="auto"/>
        </w:rPr>
        <w:t>Risk Factors — The Office of Inspector General of the Department of Education has commenced</w:t>
      </w:r>
      <w:r>
        <w:rPr>
          <w:rFonts w:ascii="Arial" w:cs="Arial" w:eastAsia="Arial" w:hAnsi="Arial"/>
          <w:sz w:val="16"/>
          <w:szCs w:val="16"/>
          <w:color w:val="auto"/>
        </w:rPr>
        <w:t xml:space="preserve"> </w:t>
      </w:r>
      <w:r>
        <w:rPr>
          <w:rFonts w:ascii="Arial" w:cs="Arial" w:eastAsia="Arial" w:hAnsi="Arial"/>
          <w:sz w:val="16"/>
          <w:szCs w:val="16"/>
          <w:i w:val="1"/>
          <w:iCs w:val="1"/>
          <w:color w:val="auto"/>
        </w:rPr>
        <w:t>an investigation of Grand Canyon University, which is ongoing and which may result in fines, penalties, other sanctions, and damage to our reputation in the industry</w:t>
      </w:r>
      <w:r>
        <w:rPr>
          <w:rFonts w:ascii="Arial" w:cs="Arial" w:eastAsia="Arial" w:hAnsi="Arial"/>
          <w:sz w:val="16"/>
          <w:szCs w:val="16"/>
          <w:color w:val="auto"/>
        </w:rPr>
        <w:t>, and in Item 1,</w:t>
      </w:r>
      <w:r>
        <w:rPr>
          <w:rFonts w:ascii="Arial" w:cs="Arial" w:eastAsia="Arial" w:hAnsi="Arial"/>
          <w:sz w:val="16"/>
          <w:szCs w:val="16"/>
          <w:i w:val="1"/>
          <w:iCs w:val="1"/>
          <w:color w:val="auto"/>
        </w:rPr>
        <w:t xml:space="preserve"> Business — Regulation — Regulation of Federal Student Financial Aid Programs — Incentive compensation rule</w:t>
      </w:r>
      <w:r>
        <w:rPr>
          <w:rFonts w:ascii="Arial" w:cs="Arial" w:eastAsia="Arial" w:hAnsi="Arial"/>
          <w:sz w:val="16"/>
          <w:szCs w:val="16"/>
          <w:color w:val="auto"/>
        </w:rPr>
        <w:t>, we are currently subject to an investigation by the Department of Education’s Office</w:t>
      </w:r>
      <w:r>
        <w:rPr>
          <w:rFonts w:ascii="Arial" w:cs="Arial" w:eastAsia="Arial" w:hAnsi="Arial"/>
          <w:sz w:val="16"/>
          <w:szCs w:val="16"/>
          <w:i w:val="1"/>
          <w:iCs w:val="1"/>
          <w:color w:val="auto"/>
        </w:rPr>
        <w:t xml:space="preserve"> </w:t>
      </w:r>
      <w:r>
        <w:rPr>
          <w:rFonts w:ascii="Arial" w:cs="Arial" w:eastAsia="Arial" w:hAnsi="Arial"/>
          <w:sz w:val="16"/>
          <w:szCs w:val="16"/>
          <w:color w:val="auto"/>
        </w:rPr>
        <w:t>of Inspector General, which we believe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by current or former employees alleging violations of this prohibition. See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—A qui tam lawsuit has been filed against us alleging, among other things, that we have improperly compensated certain of our enrollment counselors, and we may incur liability, be subject to sanctions, or experience damage to our reputation as a result of this lawsuit</w:t>
      </w:r>
      <w:r>
        <w:rPr>
          <w:rFonts w:ascii="Arial" w:cs="Arial" w:eastAsia="Arial" w:hAnsi="Arial"/>
          <w:sz w:val="16"/>
          <w:szCs w:val="16"/>
          <w:color w:val="auto"/>
        </w:rPr>
        <w:t>. If the Department of Education determines as a result of the pending investigation that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violated this law, if we are found to be liable in the pending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reputation and our stock price may be negatively affected by the actions of other postsecondary educational institutions.</w:t>
      </w:r>
    </w:p>
    <w:p>
      <w:pPr>
        <w:spacing w:after="0" w:line="233" w:lineRule="exact"/>
        <w:rPr>
          <w:sz w:val="20"/>
          <w:szCs w:val="20"/>
          <w:color w:val="auto"/>
        </w:rPr>
      </w:pPr>
    </w:p>
    <w:p>
      <w:pPr>
        <w:ind w:left="340" w:right="679" w:firstLine="373"/>
        <w:spacing w:after="0" w:line="287" w:lineRule="auto"/>
        <w:rPr>
          <w:sz w:val="20"/>
          <w:szCs w:val="20"/>
          <w:color w:val="auto"/>
        </w:rPr>
      </w:pPr>
      <w:r>
        <w:rPr>
          <w:rFonts w:ascii="Arial" w:cs="Arial" w:eastAsia="Arial" w:hAnsi="Arial"/>
          <w:sz w:val="16"/>
          <w:szCs w:val="16"/>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200" w:lineRule="exact"/>
        <w:rPr>
          <w:sz w:val="20"/>
          <w:szCs w:val="20"/>
          <w:color w:val="auto"/>
        </w:rPr>
      </w:pP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319"/>
        <w:spacing w:after="0" w:line="277" w:lineRule="auto"/>
        <w:rPr>
          <w:sz w:val="20"/>
          <w:szCs w:val="20"/>
          <w:color w:val="auto"/>
        </w:rPr>
      </w:pPr>
      <w:r>
        <w:rPr>
          <w:rFonts w:ascii="Arial" w:cs="Arial" w:eastAsia="Arial" w:hAnsi="Arial"/>
          <w:sz w:val="18"/>
          <w:szCs w:val="18"/>
          <w:b w:val="1"/>
          <w:bCs w:val="1"/>
          <w:i w:val="1"/>
          <w:iCs w:val="1"/>
          <w:color w:val="auto"/>
        </w:rPr>
        <w:t>If the percentage of our revenue that is derived from the Title IV programs is too high, we may lose our eligibility to participate in those programs.</w:t>
      </w:r>
    </w:p>
    <w:p>
      <w:pPr>
        <w:spacing w:after="0" w:line="143"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 Department of Education’s formula that was in effect prior to the August 2008 reauthorization of the Higher Education Act for this test, we have calculated that, for our 2007 and 2008 fiscal years, we derived approximately 74.0% and 78.6%, respectively, of our revenue from the Title IV programs. The August 2008 reauthorization of the Higher Education Act makes significant changes to this revenue requirement, effective upon the date of the law’s enactment. Under the new law, an institution will be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Recent changes in federal law that increased Title IV grant and loan limits, and any additional increases in the future, may result in an increase in the revenues we receive from the Title IV programs. Economic downturns that adversely affect our students’ employment circumstances could also increase their reliance on Title IV programs. These developments could make it more difficult for us to satisfy this requirement. We are currently assessing what impact, if any, the Department of Education’s revised formula and other changes in federal law will have on our 90/10 calculation. Exceeding the 90% threshold and losing our eligibility to participate in the Title IV programs would have a material adverse effect on our business, prospects, financial condition, and results of operations.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lose our eligibility to participate in the Title IV programs if our student loan default rates are too high.</w:t>
      </w:r>
    </w:p>
    <w:p>
      <w:pPr>
        <w:spacing w:after="0" w:line="196"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most institutions’ default rates. The new law also increases the threshold for an institution to lose its eligibility to participate in the relevant Title IV programs from 25% to 30%. These changes to the law take effect for institutions’ cohort default rates for federal fiscal year 2009, which are expected to be calculated and issued by the Department of Education in 2012. Although our cohort default rates have historically been significantly below these levels, we cannot assure you that this will continue to be the case. Any increase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219"/>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143" w:lineRule="exact"/>
        <w:rPr>
          <w:sz w:val="20"/>
          <w:szCs w:val="20"/>
          <w:color w:val="auto"/>
        </w:rPr>
      </w:pPr>
    </w:p>
    <w:p>
      <w:pPr>
        <w:ind w:left="340" w:right="579" w:firstLine="373"/>
        <w:spacing w:after="0" w:line="254" w:lineRule="auto"/>
        <w:rPr>
          <w:sz w:val="20"/>
          <w:szCs w:val="20"/>
          <w:color w:val="auto"/>
        </w:rPr>
      </w:pPr>
      <w:r>
        <w:rPr>
          <w:rFonts w:ascii="Arial" w:cs="Arial" w:eastAsia="Arial" w:hAnsi="Arial"/>
          <w:sz w:val="18"/>
          <w:szCs w:val="18"/>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152" w:lineRule="exact"/>
        <w:rPr>
          <w:sz w:val="20"/>
          <w:szCs w:val="20"/>
          <w:color w:val="auto"/>
        </w:rPr>
      </w:pPr>
    </w:p>
    <w:p>
      <w:pPr>
        <w:ind w:left="340" w:right="839"/>
        <w:spacing w:after="0" w:line="286" w:lineRule="auto"/>
        <w:rPr>
          <w:sz w:val="20"/>
          <w:szCs w:val="20"/>
          <w:color w:val="auto"/>
        </w:rPr>
      </w:pPr>
      <w:r>
        <w:rPr>
          <w:rFonts w:ascii="Arial" w:cs="Arial" w:eastAsia="Arial" w:hAnsi="Arial"/>
          <w:sz w:val="17"/>
          <w:szCs w:val="17"/>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25"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success depends, in part, on the effectiveness of our marketing and advertising programs in recruiting new students.</w:t>
      </w:r>
    </w:p>
    <w:p>
      <w:pPr>
        <w:spacing w:after="0" w:line="208"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160" w:lineRule="exact"/>
        <w:rPr>
          <w:sz w:val="20"/>
          <w:szCs w:val="20"/>
          <w:color w:val="auto"/>
        </w:rPr>
      </w:pPr>
    </w:p>
    <w:p>
      <w:pPr>
        <w:ind w:left="1420" w:right="859" w:hanging="345"/>
        <w:spacing w:after="0" w:line="277" w:lineRule="auto"/>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emergence of more successful competitors;</w:t>
      </w:r>
    </w:p>
    <w:p>
      <w:pPr>
        <w:spacing w:after="0" w:line="184" w:lineRule="exact"/>
        <w:rPr>
          <w:rFonts w:ascii="Arial" w:cs="Arial" w:eastAsia="Arial" w:hAnsi="Arial"/>
          <w:sz w:val="18"/>
          <w:szCs w:val="18"/>
          <w:b w:val="1"/>
          <w:bCs w:val="1"/>
          <w:color w:val="auto"/>
        </w:rPr>
      </w:pPr>
    </w:p>
    <w:p>
      <w:pPr>
        <w:ind w:left="1420" w:right="919" w:hanging="345"/>
        <w:spacing w:after="0" w:line="277" w:lineRule="auto"/>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14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performance problems with our online systems;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failure to maintain institutional and specialized accreditations;</w:t>
      </w:r>
    </w:p>
    <w:p>
      <w:pPr>
        <w:spacing w:after="0" w:line="184" w:lineRule="exact"/>
        <w:rPr>
          <w:rFonts w:ascii="Arial" w:cs="Arial" w:eastAsia="Arial" w:hAnsi="Arial"/>
          <w:sz w:val="18"/>
          <w:szCs w:val="18"/>
          <w:b w:val="1"/>
          <w:bCs w:val="1"/>
          <w:color w:val="auto"/>
        </w:rPr>
      </w:pPr>
    </w:p>
    <w:p>
      <w:pPr>
        <w:ind w:left="1420" w:right="639" w:hanging="345"/>
        <w:spacing w:after="0" w:line="277" w:lineRule="auto"/>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143"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requirements of the education agencies that regulate us which restrict the ways schools can compensate their recruitment personnel;</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increased regulation of online education, including in states in which we do not have a physical presence;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20" w:right="879" w:hanging="345"/>
        <w:spacing w:after="0" w:line="277" w:lineRule="auto"/>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student dissatisfaction with our services and programs;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adverse publicity regarding us, our competitors, or online or for-profit education generally;</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price reductions by competitors that we are unwilling or unable to match;</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 decline in the acceptance of online education;</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an adverse economic or other development that affects job prospects in our core disciplines; and</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a decrease in the perceived or actual economic benefits that students derive from our programs.</w:t>
      </w:r>
    </w:p>
    <w:p>
      <w:pPr>
        <w:spacing w:after="0" w:line="185"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41" w:lineRule="exact"/>
        <w:rPr>
          <w:sz w:val="20"/>
          <w:szCs w:val="20"/>
          <w:color w:val="auto"/>
        </w:rPr>
      </w:pPr>
    </w:p>
    <w:p>
      <w:pPr>
        <w:ind w:left="340" w:right="859"/>
        <w:spacing w:after="0" w:line="277" w:lineRule="auto"/>
        <w:rPr>
          <w:sz w:val="20"/>
          <w:szCs w:val="20"/>
          <w:color w:val="auto"/>
        </w:rPr>
      </w:pPr>
      <w:r>
        <w:rPr>
          <w:rFonts w:ascii="Arial" w:cs="Arial" w:eastAsia="Arial" w:hAnsi="Arial"/>
          <w:sz w:val="18"/>
          <w:szCs w:val="18"/>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143" w:lineRule="exact"/>
        <w:rPr>
          <w:sz w:val="20"/>
          <w:szCs w:val="20"/>
          <w:color w:val="auto"/>
        </w:rPr>
      </w:pPr>
    </w:p>
    <w:p>
      <w:pPr>
        <w:ind w:left="340" w:right="559" w:firstLine="373"/>
        <w:spacing w:after="0" w:line="254" w:lineRule="auto"/>
        <w:rPr>
          <w:sz w:val="20"/>
          <w:szCs w:val="20"/>
          <w:color w:val="auto"/>
        </w:rPr>
      </w:pPr>
      <w:r>
        <w:rPr>
          <w:rFonts w:ascii="Arial" w:cs="Arial" w:eastAsia="Arial" w:hAnsi="Arial"/>
          <w:sz w:val="18"/>
          <w:szCs w:val="18"/>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operate in a highly competitive industry, and competitors with greater resources could harm our business.</w:t>
      </w:r>
    </w:p>
    <w:p>
      <w:pPr>
        <w:spacing w:after="0" w:line="196" w:lineRule="exact"/>
        <w:rPr>
          <w:sz w:val="20"/>
          <w:szCs w:val="20"/>
          <w:color w:val="auto"/>
        </w:rPr>
      </w:pPr>
    </w:p>
    <w:p>
      <w:pPr>
        <w:ind w:left="340" w:right="619" w:firstLine="373"/>
        <w:spacing w:after="0" w:line="268" w:lineRule="auto"/>
        <w:rPr>
          <w:sz w:val="20"/>
          <w:szCs w:val="20"/>
          <w:color w:val="auto"/>
        </w:rPr>
      </w:pPr>
      <w:r>
        <w:rPr>
          <w:rFonts w:ascii="Arial" w:cs="Arial" w:eastAsia="Arial" w:hAnsi="Arial"/>
          <w:sz w:val="17"/>
          <w:szCs w:val="17"/>
          <w:color w:val="auto"/>
        </w:rPr>
        <w:t xml:space="preserve">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Item 1,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Competition </w:t>
      </w:r>
      <w:r>
        <w:rPr>
          <w:rFonts w:ascii="Arial" w:cs="Arial" w:eastAsia="Arial" w:hAnsi="Arial"/>
          <w:sz w:val="17"/>
          <w:szCs w:val="17"/>
          <w:color w:val="auto"/>
        </w:rPr>
        <w:t>for further information.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could have a material adverse effect on our ability to attract and retain students.</w:t>
      </w:r>
    </w:p>
    <w:p>
      <w:pPr>
        <w:spacing w:after="0" w:line="143" w:lineRule="exact"/>
        <w:rPr>
          <w:sz w:val="20"/>
          <w:szCs w:val="20"/>
          <w:color w:val="auto"/>
        </w:rPr>
      </w:pPr>
    </w:p>
    <w:p>
      <w:pPr>
        <w:ind w:left="340" w:right="619" w:firstLine="373"/>
        <w:spacing w:after="0" w:line="287" w:lineRule="auto"/>
        <w:rPr>
          <w:sz w:val="20"/>
          <w:szCs w:val="20"/>
          <w:color w:val="auto"/>
        </w:rPr>
      </w:pPr>
      <w:r>
        <w:rPr>
          <w:rFonts w:ascii="Arial" w:cs="Arial" w:eastAsia="Arial" w:hAnsi="Arial"/>
          <w:sz w:val="16"/>
          <w:szCs w:val="16"/>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28" w:lineRule="exact"/>
        <w:rPr>
          <w:sz w:val="20"/>
          <w:szCs w:val="20"/>
          <w:color w:val="auto"/>
        </w:rPr>
      </w:pPr>
    </w:p>
    <w:p>
      <w:pPr>
        <w:ind w:left="340" w:right="859"/>
        <w:spacing w:after="0" w:line="342" w:lineRule="auto"/>
        <w:rPr>
          <w:sz w:val="20"/>
          <w:szCs w:val="20"/>
          <w:color w:val="auto"/>
        </w:rPr>
      </w:pPr>
      <w:r>
        <w:rPr>
          <w:rFonts w:ascii="Arial" w:cs="Arial" w:eastAsia="Arial" w:hAnsi="Arial"/>
          <w:sz w:val="16"/>
          <w:szCs w:val="16"/>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83"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December 31, 2008, we offered 61 fully online programs, 17 of which we introduced in 2007, 12 of which we introduced in 2008, including our first doctoral degree program, and many of which were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53" w:lineRule="exact"/>
        <w:rPr>
          <w:sz w:val="20"/>
          <w:szCs w:val="20"/>
          <w:color w:val="auto"/>
        </w:rPr>
      </w:pPr>
    </w:p>
    <w:p>
      <w:pPr>
        <w:ind w:left="340" w:right="719" w:firstLine="373"/>
        <w:spacing w:after="0" w:line="291" w:lineRule="auto"/>
        <w:rPr>
          <w:sz w:val="20"/>
          <w:szCs w:val="20"/>
          <w:color w:val="auto"/>
        </w:rPr>
      </w:pPr>
      <w:r>
        <w:rPr>
          <w:rFonts w:ascii="Arial" w:cs="Arial" w:eastAsia="Arial" w:hAnsi="Arial"/>
          <w:sz w:val="16"/>
          <w:szCs w:val="16"/>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27" w:lineRule="exact"/>
        <w:rPr>
          <w:sz w:val="20"/>
          <w:szCs w:val="20"/>
          <w:color w:val="auto"/>
        </w:rPr>
      </w:pPr>
    </w:p>
    <w:p>
      <w:pPr>
        <w:jc w:val="both"/>
        <w:ind w:left="340" w:right="859" w:firstLine="373"/>
        <w:spacing w:after="0" w:line="264" w:lineRule="auto"/>
        <w:rPr>
          <w:sz w:val="20"/>
          <w:szCs w:val="20"/>
          <w:color w:val="auto"/>
        </w:rPr>
      </w:pPr>
      <w:r>
        <w:rPr>
          <w:rFonts w:ascii="Arial" w:cs="Arial" w:eastAsia="Arial" w:hAnsi="Arial"/>
          <w:sz w:val="18"/>
          <w:szCs w:val="18"/>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failure to keep pace with changing market needs and technology could harm our ability to attract students.</w:t>
      </w:r>
    </w:p>
    <w:p>
      <w:pPr>
        <w:spacing w:after="0" w:line="210" w:lineRule="exact"/>
        <w:rPr>
          <w:sz w:val="20"/>
          <w:szCs w:val="20"/>
          <w:color w:val="auto"/>
        </w:rPr>
      </w:pPr>
    </w:p>
    <w:p>
      <w:pPr>
        <w:ind w:left="340" w:right="639" w:firstLine="373"/>
        <w:spacing w:after="0" w:line="287"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do not maintain existing, and develop additional, relationships with employers, our future growth may be impaired.</w:t>
      </w:r>
    </w:p>
    <w:p>
      <w:pPr>
        <w:spacing w:after="0" w:line="208" w:lineRule="exact"/>
        <w:rPr>
          <w:sz w:val="20"/>
          <w:szCs w:val="20"/>
          <w:color w:val="auto"/>
        </w:rPr>
      </w:pPr>
    </w:p>
    <w:p>
      <w:pPr>
        <w:ind w:left="340" w:right="559" w:firstLine="373"/>
        <w:spacing w:after="0" w:line="254" w:lineRule="auto"/>
        <w:rPr>
          <w:sz w:val="20"/>
          <w:szCs w:val="20"/>
          <w:color w:val="auto"/>
        </w:rPr>
      </w:pPr>
      <w:r>
        <w:rPr>
          <w:rFonts w:ascii="Arial" w:cs="Arial" w:eastAsia="Arial" w:hAnsi="Arial"/>
          <w:sz w:val="18"/>
          <w:szCs w:val="18"/>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as a result of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185"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98"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39"/>
        <w:spacing w:after="0" w:line="264" w:lineRule="auto"/>
        <w:rPr>
          <w:sz w:val="20"/>
          <w:szCs w:val="20"/>
          <w:color w:val="auto"/>
        </w:rPr>
      </w:pPr>
      <w:r>
        <w:rPr>
          <w:rFonts w:ascii="Arial" w:cs="Arial" w:eastAsia="Arial" w:hAnsi="Arial"/>
          <w:sz w:val="18"/>
          <w:szCs w:val="18"/>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54"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34"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37" w:lineRule="exact"/>
        <w:rPr>
          <w:sz w:val="20"/>
          <w:szCs w:val="20"/>
          <w:color w:val="auto"/>
        </w:rPr>
      </w:pPr>
    </w:p>
    <w:p>
      <w:pPr>
        <w:jc w:val="both"/>
        <w:ind w:left="340" w:right="599" w:firstLine="373"/>
        <w:spacing w:after="0" w:line="291" w:lineRule="auto"/>
        <w:rPr>
          <w:sz w:val="20"/>
          <w:szCs w:val="20"/>
          <w:color w:val="auto"/>
        </w:rPr>
      </w:pPr>
      <w:r>
        <w:rPr>
          <w:rFonts w:ascii="Arial" w:cs="Arial" w:eastAsia="Arial" w:hAnsi="Arial"/>
          <w:sz w:val="16"/>
          <w:szCs w:val="16"/>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99"/>
        <w:spacing w:after="0" w:line="264"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54"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37" w:lineRule="exact"/>
        <w:rPr>
          <w:sz w:val="20"/>
          <w:szCs w:val="20"/>
          <w:color w:val="auto"/>
        </w:rPr>
      </w:pPr>
    </w:p>
    <w:p>
      <w:pPr>
        <w:ind w:left="340" w:right="659" w:firstLine="373"/>
        <w:spacing w:after="0" w:line="302" w:lineRule="auto"/>
        <w:rPr>
          <w:sz w:val="20"/>
          <w:szCs w:val="20"/>
          <w:color w:val="auto"/>
        </w:rPr>
      </w:pPr>
      <w:r>
        <w:rPr>
          <w:rFonts w:ascii="Arial" w:cs="Arial" w:eastAsia="Arial" w:hAnsi="Arial"/>
          <w:sz w:val="16"/>
          <w:szCs w:val="16"/>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14"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48" w:lineRule="exact"/>
        <w:rPr>
          <w:sz w:val="20"/>
          <w:szCs w:val="20"/>
          <w:color w:val="auto"/>
        </w:rPr>
      </w:pPr>
    </w:p>
    <w:p>
      <w:pPr>
        <w:ind w:left="340" w:right="919"/>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market with rapid technological change, and we may not have the resources needed to compete successfully.</w:t>
      </w:r>
    </w:p>
    <w:p>
      <w:pPr>
        <w:spacing w:after="0" w:line="130" w:lineRule="exact"/>
        <w:rPr>
          <w:sz w:val="20"/>
          <w:szCs w:val="20"/>
          <w:color w:val="auto"/>
        </w:rPr>
      </w:pPr>
    </w:p>
    <w:p>
      <w:pPr>
        <w:ind w:left="340" w:right="599" w:firstLine="373"/>
        <w:spacing w:after="0" w:line="271" w:lineRule="auto"/>
        <w:rPr>
          <w:sz w:val="20"/>
          <w:szCs w:val="20"/>
          <w:color w:val="auto"/>
        </w:rPr>
      </w:pPr>
      <w:r>
        <w:rPr>
          <w:rFonts w:ascii="Arial" w:cs="Arial" w:eastAsia="Arial" w:hAnsi="Arial"/>
          <w:sz w:val="17"/>
          <w:szCs w:val="17"/>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At present we derive a significant portion of our revenues and operating income from our graduate programs.</w:t>
      </w:r>
    </w:p>
    <w:p>
      <w:pPr>
        <w:spacing w:after="0" w:line="210"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color w:val="auto"/>
        </w:rPr>
        <w:t>As of December 31, 2008, approximately 53% of our students were graduate students, which includes master’s and doctoral students. This percentage has declined in recent periods, and we anticipate that this percentage will continue to decline over time, due to our recent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i w:val="1"/>
          <w:iCs w:val="1"/>
          <w:color w:val="auto"/>
        </w:rPr>
        <w:t>We may incur liability for the unauthorized duplication or distribution of class materials posted online for class discussions.</w:t>
      </w:r>
    </w:p>
    <w:p>
      <w:pPr>
        <w:spacing w:after="0" w:line="221" w:lineRule="exact"/>
        <w:rPr>
          <w:sz w:val="20"/>
          <w:szCs w:val="20"/>
          <w:color w:val="auto"/>
        </w:rPr>
      </w:pPr>
    </w:p>
    <w:p>
      <w:pPr>
        <w:ind w:left="340" w:right="739" w:firstLine="373"/>
        <w:spacing w:after="0" w:line="255"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53" w:lineRule="exact"/>
        <w:rPr>
          <w:sz w:val="20"/>
          <w:szCs w:val="20"/>
          <w:color w:val="auto"/>
        </w:rPr>
      </w:pPr>
    </w:p>
    <w:p>
      <w:pPr>
        <w:ind w:left="340" w:right="659"/>
        <w:spacing w:after="0" w:line="286" w:lineRule="auto"/>
        <w:rPr>
          <w:sz w:val="20"/>
          <w:szCs w:val="20"/>
          <w:color w:val="auto"/>
        </w:rPr>
      </w:pPr>
      <w:r>
        <w:rPr>
          <w:rFonts w:ascii="Arial" w:cs="Arial" w:eastAsia="Arial" w:hAnsi="Arial"/>
          <w:sz w:val="17"/>
          <w:szCs w:val="17"/>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spacing w:after="0" w:line="125" w:lineRule="exact"/>
        <w:rPr>
          <w:sz w:val="20"/>
          <w:szCs w:val="20"/>
          <w:color w:val="auto"/>
        </w:rPr>
      </w:pPr>
    </w:p>
    <w:p>
      <w:pPr>
        <w:ind w:left="340" w:right="559" w:firstLine="373"/>
        <w:spacing w:after="0" w:line="291" w:lineRule="auto"/>
        <w:rPr>
          <w:sz w:val="20"/>
          <w:szCs w:val="20"/>
          <w:color w:val="auto"/>
        </w:rPr>
      </w:pPr>
      <w:r>
        <w:rPr>
          <w:rFonts w:ascii="Arial" w:cs="Arial" w:eastAsia="Arial" w:hAnsi="Arial"/>
          <w:sz w:val="16"/>
          <w:szCs w:val="16"/>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 and other fluctuations in our results of operations could adversely affect the trading price of our common stock.</w:t>
      </w:r>
    </w:p>
    <w:p>
      <w:pPr>
        <w:spacing w:after="0" w:line="208"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38" w:lineRule="exact"/>
        <w:rPr>
          <w:sz w:val="20"/>
          <w:szCs w:val="20"/>
          <w:color w:val="auto"/>
        </w:rPr>
      </w:pPr>
    </w:p>
    <w:p>
      <w:pPr>
        <w:ind w:left="340" w:right="739"/>
        <w:spacing w:after="0" w:line="264" w:lineRule="auto"/>
        <w:rPr>
          <w:sz w:val="20"/>
          <w:szCs w:val="20"/>
          <w:color w:val="auto"/>
        </w:rPr>
      </w:pPr>
      <w:r>
        <w:rPr>
          <w:rFonts w:ascii="Arial" w:cs="Arial" w:eastAsia="Arial" w:hAnsi="Arial"/>
          <w:sz w:val="18"/>
          <w:szCs w:val="18"/>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154"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 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79"/>
        <w:spacing w:after="0" w:line="277" w:lineRule="auto"/>
        <w:rPr>
          <w:sz w:val="20"/>
          <w:szCs w:val="20"/>
          <w:color w:val="auto"/>
        </w:rPr>
      </w:pPr>
      <w:r>
        <w:rPr>
          <w:rFonts w:ascii="Arial" w:cs="Arial" w:eastAsia="Arial" w:hAnsi="Arial"/>
          <w:sz w:val="18"/>
          <w:szCs w:val="18"/>
          <w:b w:val="1"/>
          <w:bCs w:val="1"/>
          <w:i w:val="1"/>
          <w:iCs w:val="1"/>
          <w:color w:val="auto"/>
        </w:rPr>
        <w:t>Our current success and future growth depend on the continued acceptance of the Internet and the corresponding growth in users seeking educational services on the Internet.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business relies in part on the Internet for its success. A number of factors could inhibit the continued acceptance of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Internet and adversely affect our profitability, including:</w:t>
      </w:r>
    </w:p>
    <w:p>
      <w:pPr>
        <w:spacing w:after="0" w:line="170" w:lineRule="exact"/>
        <w:rPr>
          <w:sz w:val="20"/>
          <w:szCs w:val="20"/>
          <w:color w:val="auto"/>
        </w:rPr>
      </w:pPr>
    </w:p>
    <w:p>
      <w:pPr>
        <w:ind w:left="1420" w:hanging="345"/>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inadequate Internet infrastructure;</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security and privacy concerns;</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unavailability of cost-effective Internet service and other technological factors; and</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changes in government regulation of Internet use.</w:t>
      </w:r>
    </w:p>
    <w:p>
      <w:pPr>
        <w:spacing w:after="0" w:line="185"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If Internet use decreases, or if the number of Internet users seeking educational services on the Internet does not increase, our business may not grow as planned.</w:t>
      </w:r>
    </w:p>
    <w:p>
      <w:pPr>
        <w:spacing w:after="0" w:line="143" w:lineRule="exact"/>
        <w:rPr>
          <w:sz w:val="20"/>
          <w:szCs w:val="20"/>
          <w:color w:val="auto"/>
        </w:rPr>
      </w:pPr>
    </w:p>
    <w:p>
      <w:pPr>
        <w:ind w:left="340" w:right="1139"/>
        <w:spacing w:after="0" w:line="277"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30"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37" w:lineRule="exact"/>
        <w:rPr>
          <w:sz w:val="20"/>
          <w:szCs w:val="20"/>
          <w:color w:val="auto"/>
        </w:rPr>
      </w:pPr>
    </w:p>
    <w:p>
      <w:pPr>
        <w:ind w:left="340" w:right="779"/>
        <w:spacing w:after="0" w:line="277" w:lineRule="auto"/>
        <w:rPr>
          <w:sz w:val="20"/>
          <w:szCs w:val="20"/>
          <w:color w:val="auto"/>
        </w:rPr>
      </w:pPr>
      <w:r>
        <w:rPr>
          <w:rFonts w:ascii="Arial" w:cs="Arial" w:eastAsia="Arial" w:hAnsi="Arial"/>
          <w:sz w:val="18"/>
          <w:szCs w:val="18"/>
          <w:b w:val="1"/>
          <w:bCs w:val="1"/>
          <w:i w:val="1"/>
          <w:iCs w:val="1"/>
          <w:color w:val="auto"/>
        </w:rPr>
        <w:t>A reclassification of our online faculty by federal or state authorities from independent contractor to employee status could materially increase our costs.</w:t>
      </w:r>
    </w:p>
    <w:p>
      <w:pPr>
        <w:spacing w:after="0" w:line="143" w:lineRule="exact"/>
        <w:rPr>
          <w:sz w:val="20"/>
          <w:szCs w:val="20"/>
          <w:color w:val="auto"/>
        </w:rPr>
      </w:pPr>
    </w:p>
    <w:p>
      <w:pPr>
        <w:ind w:left="340" w:right="639" w:firstLine="373"/>
        <w:spacing w:after="0" w:line="286" w:lineRule="auto"/>
        <w:rPr>
          <w:sz w:val="20"/>
          <w:szCs w:val="20"/>
          <w:color w:val="auto"/>
        </w:rPr>
      </w:pPr>
      <w:r>
        <w:rPr>
          <w:rFonts w:ascii="Arial" w:cs="Arial" w:eastAsia="Arial" w:hAnsi="Arial"/>
          <w:sz w:val="16"/>
          <w:szCs w:val="16"/>
          <w:color w:val="auto"/>
        </w:rPr>
        <w:t>A majority of our faculty at December 31, 2008 were online faculty, whom we have historically treated as independent contractors. Because we have historically classified our online faculty as independent contractors, we have not withheld federal or state income or other employment-related taxes, made federal or state unemployment tax or Federal Insurance Contributions Act, or FICA, payments or provided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We believe that, under existing interpretations, federal or state authorities may challenge our classification and assert that our online faculty members be classified as employees, and we have undertaken a review of this matter to determine whether our practices should change. In the event that we did determine to, or were otherwise required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2008, we estimate our additional tax, workers’ compensation insurance, and payroll processing payments would have been approximately $0.9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incur significant costs complying with the Americans with Disabilities Act and similar laws.</w:t>
      </w:r>
    </w:p>
    <w:p>
      <w:pPr>
        <w:spacing w:after="0" w:line="198"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141" w:lineRule="exact"/>
        <w:rPr>
          <w:sz w:val="20"/>
          <w:szCs w:val="20"/>
          <w:color w:val="auto"/>
        </w:rPr>
      </w:pPr>
    </w:p>
    <w:p>
      <w:pPr>
        <w:ind w:left="340" w:right="879"/>
        <w:spacing w:after="0" w:line="277" w:lineRule="auto"/>
        <w:rPr>
          <w:sz w:val="20"/>
          <w:szCs w:val="20"/>
          <w:color w:val="auto"/>
        </w:rPr>
      </w:pPr>
      <w:r>
        <w:rPr>
          <w:rFonts w:ascii="Arial" w:cs="Arial" w:eastAsia="Arial" w:hAnsi="Arial"/>
          <w:sz w:val="18"/>
          <w:szCs w:val="18"/>
          <w:b w:val="1"/>
          <w:bCs w:val="1"/>
          <w:i w:val="1"/>
          <w:iCs w:val="1"/>
          <w:color w:val="auto"/>
        </w:rPr>
        <w:t>Our failure to comply with environmental laws and regulations governing our activities could result in financial penalties and other costs.</w:t>
      </w:r>
    </w:p>
    <w:p>
      <w:pPr>
        <w:spacing w:after="0" w:line="130" w:lineRule="exact"/>
        <w:rPr>
          <w:sz w:val="20"/>
          <w:szCs w:val="20"/>
          <w:color w:val="auto"/>
        </w:rPr>
      </w:pPr>
    </w:p>
    <w:p>
      <w:pPr>
        <w:ind w:left="340" w:right="599" w:firstLine="373"/>
        <w:spacing w:after="0" w:line="272" w:lineRule="auto"/>
        <w:rPr>
          <w:sz w:val="20"/>
          <w:szCs w:val="20"/>
          <w:color w:val="auto"/>
        </w:rPr>
      </w:pPr>
      <w:r>
        <w:rPr>
          <w:rFonts w:ascii="Arial" w:cs="Arial" w:eastAsia="Arial" w:hAnsi="Arial"/>
          <w:sz w:val="17"/>
          <w:szCs w:val="17"/>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51" w:lineRule="exact"/>
        <w:rPr>
          <w:sz w:val="20"/>
          <w:szCs w:val="20"/>
          <w:color w:val="auto"/>
        </w:rPr>
      </w:pPr>
    </w:p>
    <w:p>
      <w:pPr>
        <w:ind w:left="340" w:right="699"/>
        <w:spacing w:after="0" w:line="277" w:lineRule="auto"/>
        <w:rPr>
          <w:sz w:val="20"/>
          <w:szCs w:val="20"/>
          <w:color w:val="auto"/>
        </w:rPr>
      </w:pPr>
      <w:r>
        <w:rPr>
          <w:rFonts w:ascii="Arial" w:cs="Arial" w:eastAsia="Arial" w:hAnsi="Arial"/>
          <w:sz w:val="18"/>
          <w:szCs w:val="18"/>
          <w:b w:val="1"/>
          <w:bCs w:val="1"/>
          <w:i w:val="1"/>
          <w:iCs w:val="1"/>
          <w:color w:val="auto"/>
        </w:rPr>
        <w:t>If we expand in the future into new markets outside the United States, we would be subject to risks inherent in non-domestic operations.</w:t>
      </w:r>
    </w:p>
    <w:p>
      <w:pPr>
        <w:spacing w:after="0" w:line="130" w:lineRule="exact"/>
        <w:rPr>
          <w:sz w:val="20"/>
          <w:szCs w:val="20"/>
          <w:color w:val="auto"/>
        </w:rPr>
      </w:pPr>
    </w:p>
    <w:p>
      <w:pPr>
        <w:ind w:left="340" w:right="599" w:firstLine="373"/>
        <w:spacing w:after="0" w:line="259" w:lineRule="auto"/>
        <w:rPr>
          <w:sz w:val="20"/>
          <w:szCs w:val="20"/>
          <w:color w:val="auto"/>
        </w:rPr>
      </w:pPr>
      <w:r>
        <w:rPr>
          <w:rFonts w:ascii="Arial" w:cs="Arial" w:eastAsia="Arial" w:hAnsi="Arial"/>
          <w:sz w:val="18"/>
          <w:szCs w:val="18"/>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failure to obtain additional capital in the future could adversely affect our ability to grow.</w:t>
      </w:r>
    </w:p>
    <w:p>
      <w:pPr>
        <w:spacing w:after="0" w:line="198"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We believe that funds from operations, cash on hand,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not able to integrate acquired schools, our business could be harmed.</w:t>
      </w:r>
    </w:p>
    <w:p>
      <w:pPr>
        <w:spacing w:after="0" w:line="198" w:lineRule="exact"/>
        <w:rPr>
          <w:sz w:val="20"/>
          <w:szCs w:val="20"/>
          <w:color w:val="auto"/>
        </w:rPr>
      </w:pPr>
    </w:p>
    <w:p>
      <w:pPr>
        <w:ind w:left="340" w:right="1199" w:firstLine="373"/>
        <w:spacing w:after="0" w:line="277" w:lineRule="auto"/>
        <w:rPr>
          <w:sz w:val="20"/>
          <w:szCs w:val="20"/>
          <w:color w:val="auto"/>
        </w:rPr>
      </w:pPr>
      <w:r>
        <w:rPr>
          <w:rFonts w:ascii="Arial" w:cs="Arial" w:eastAsia="Arial" w:hAnsi="Arial"/>
          <w:sz w:val="18"/>
          <w:szCs w:val="18"/>
          <w:color w:val="auto"/>
        </w:rPr>
        <w:t>From time to time, we may pursue acquisitions of other schools. Integrating acquired operations into our institution involves significant risks and uncertainties, including:</w:t>
      </w:r>
    </w:p>
    <w:p>
      <w:pPr>
        <w:spacing w:after="0" w:line="130" w:lineRule="exact"/>
        <w:rPr>
          <w:sz w:val="20"/>
          <w:szCs w:val="20"/>
          <w:color w:val="auto"/>
        </w:rPr>
      </w:pPr>
    </w:p>
    <w:p>
      <w:pPr>
        <w:ind w:left="1420" w:hanging="345"/>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inability to maintain uniform standards, controls, policies, and procedures;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distraction of management’s attention from normal business operations during the integration process;</w:t>
      </w:r>
    </w:p>
    <w:p>
      <w:pPr>
        <w:spacing w:after="0" w:line="198" w:lineRule="exact"/>
        <w:rPr>
          <w:rFonts w:ascii="Arial" w:cs="Arial" w:eastAsia="Arial" w:hAnsi="Arial"/>
          <w:sz w:val="18"/>
          <w:szCs w:val="18"/>
          <w:b w:val="1"/>
          <w:bCs w:val="1"/>
          <w:color w:val="auto"/>
        </w:rPr>
      </w:pPr>
    </w:p>
    <w:p>
      <w:pPr>
        <w:ind w:left="1420" w:right="559" w:hanging="345"/>
        <w:spacing w:after="0" w:line="264" w:lineRule="auto"/>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140"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expenses associated with the integration efforts; and</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unidentified issues not discovered in our due diligence process, including legal contingencies.</w:t>
      </w:r>
    </w:p>
    <w:p>
      <w:pPr>
        <w:spacing w:after="0" w:line="198"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color w:val="auto"/>
        </w:rPr>
        <w:t>If we complete one or more acquisitions and are unable to integrate acquired operations successfully, our business could suffer.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89" w:lineRule="exact"/>
        <w:rPr>
          <w:sz w:val="20"/>
          <w:szCs w:val="20"/>
          <w:color w:val="auto"/>
        </w:rPr>
      </w:pPr>
    </w:p>
    <w:p>
      <w:pPr>
        <w:jc w:val="both"/>
        <w:ind w:left="340" w:right="739"/>
        <w:spacing w:after="0" w:line="312" w:lineRule="auto"/>
        <w:rPr>
          <w:sz w:val="20"/>
          <w:szCs w:val="20"/>
          <w:color w:val="auto"/>
        </w:rPr>
      </w:pPr>
      <w:r>
        <w:rPr>
          <w:rFonts w:ascii="Arial" w:cs="Arial" w:eastAsia="Arial" w:hAnsi="Arial"/>
          <w:sz w:val="16"/>
          <w:szCs w:val="16"/>
          <w:b w:val="1"/>
          <w:bCs w:val="1"/>
          <w:i w:val="1"/>
          <w:iCs w:val="1"/>
          <w:color w:val="auto"/>
        </w:rPr>
        <w:t>Our executive officers, directors, and principal existing stockholders own a large percentage of our voting stock, which may allow them to collectively control substantially all matters requiring stockholder approval and, in the case of certain of our principal stockholders, will have other unique rights that may afford them access to our management.</w:t>
      </w:r>
    </w:p>
    <w:p>
      <w:pPr>
        <w:spacing w:after="0" w:line="120"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Our directors, executive officers, and principal existing stockholders beneficially own approximately 31.6 million shares, or 69%, of our common stock as of December 31, 2008. Our directors and executive officers beneficially own in the aggregate approximately 29.7 million shares, or 65%, of our common stock as of December 31, 2008. In addition, pursuant to a voting agreement entered into among Brent Richardson, Chris Richardson, and certain of our existing stockholders, the Richardsons have voting control over approximately 43% or our common stock. Accordingly, the Richardsons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w:t>
      </w:r>
    </w:p>
    <w:p>
      <w:pPr>
        <w:spacing w:after="0" w:line="132" w:lineRule="exact"/>
        <w:rPr>
          <w:sz w:val="20"/>
          <w:szCs w:val="20"/>
          <w:color w:val="auto"/>
        </w:rPr>
      </w:pPr>
    </w:p>
    <w:p>
      <w:pPr>
        <w:ind w:left="340" w:right="619"/>
        <w:spacing w:after="0" w:line="277" w:lineRule="auto"/>
        <w:rPr>
          <w:sz w:val="20"/>
          <w:szCs w:val="20"/>
          <w:color w:val="auto"/>
        </w:rPr>
      </w:pPr>
      <w:r>
        <w:rPr>
          <w:rFonts w:ascii="Arial" w:cs="Arial" w:eastAsia="Arial" w:hAnsi="Arial"/>
          <w:sz w:val="18"/>
          <w:szCs w:val="18"/>
          <w:b w:val="1"/>
          <w:bCs w:val="1"/>
          <w:i w:val="1"/>
          <w:iCs w:val="1"/>
          <w:color w:val="auto"/>
        </w:rPr>
        <w:t>We are incurring increased costs as a result of being a public company, and the requirements of being a public company may divert management attention from our business.</w:t>
      </w:r>
    </w:p>
    <w:p>
      <w:pPr>
        <w:spacing w:after="0" w:line="130"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We have operated as a public company since November 19, 2008. As a public company, we incur significant legal, accounting and other expenses that we did not incur as a private company. In addition, we are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w:t>
      </w: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59"/>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143"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53" w:lineRule="exact"/>
        <w:rPr>
          <w:sz w:val="20"/>
          <w:szCs w:val="20"/>
          <w:color w:val="auto"/>
        </w:rPr>
      </w:pPr>
    </w:p>
    <w:p>
      <w:pPr>
        <w:jc w:val="both"/>
        <w:ind w:left="340" w:right="579"/>
        <w:spacing w:after="0" w:line="264" w:lineRule="auto"/>
        <w:rPr>
          <w:sz w:val="20"/>
          <w:szCs w:val="20"/>
          <w:color w:val="auto"/>
        </w:rPr>
      </w:pPr>
      <w:r>
        <w:rPr>
          <w:rFonts w:ascii="Arial" w:cs="Arial" w:eastAsia="Arial" w:hAnsi="Arial"/>
          <w:sz w:val="18"/>
          <w:szCs w:val="18"/>
          <w:b w:val="1"/>
          <w:bCs w:val="1"/>
          <w:i w:val="1"/>
          <w:iCs w:val="1"/>
          <w:color w:val="auto"/>
        </w:rPr>
        <w:t>A substantial potion of our outstanding common stock will soon be released from restrictions on resale and may be sold in the public market in the near future. Future sales of shares by existing stockholders may cause the market price of shares of our common stock to decline.</w:t>
      </w:r>
    </w:p>
    <w:p>
      <w:pPr>
        <w:spacing w:after="0" w:line="141"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If our existing stockholders, directors or executive officers sell a substantial number of shares of our common stock in the public market, or are perceived by the public market as intending to sell, the trading price of our common stock could decline significantly. As of December 31, 2008, approximately 33.4 million shares (excluding shares issuable upon the exercise of vested options that would be subject to this lock up), or approximately 73.4% of our outstanding shares at that date, are subject to lock-up agreements entered into by our directors, executive officers, and stockholders with the underwriters in connection with our initial public offering. Upon expiration of the lock-up period, which will occur on or around May 19, 2009, approximately</w:t>
      </w:r>
    </w:p>
    <w:p>
      <w:pPr>
        <w:spacing w:after="0" w:line="5" w:lineRule="exact"/>
        <w:rPr>
          <w:sz w:val="20"/>
          <w:szCs w:val="20"/>
          <w:color w:val="auto"/>
        </w:rPr>
      </w:pPr>
    </w:p>
    <w:p>
      <w:pPr>
        <w:ind w:left="340" w:right="559"/>
        <w:spacing w:after="0" w:line="254" w:lineRule="auto"/>
        <w:rPr>
          <w:sz w:val="20"/>
          <w:szCs w:val="20"/>
          <w:color w:val="auto"/>
        </w:rPr>
      </w:pPr>
      <w:r>
        <w:rPr>
          <w:rFonts w:ascii="Arial" w:cs="Arial" w:eastAsia="Arial" w:hAnsi="Arial"/>
          <w:sz w:val="18"/>
          <w:szCs w:val="18"/>
          <w:color w:val="auto"/>
        </w:rPr>
        <w:t>12.3 million additional shares of common stock may be eligible for sale in the public market without restriction, and up to approximately 21.0 million shares of common stock (excluding shares issuable upon the exercise of vested options that would be subject to this lock up), held by affiliates may become eligible for sale, subject to the restrictions under Rule 144 of the Securities Act of 1933, as amended, or the Securities Act.</w:t>
      </w:r>
    </w:p>
    <w:p>
      <w:pPr>
        <w:spacing w:after="0" w:line="163" w:lineRule="exact"/>
        <w:rPr>
          <w:sz w:val="20"/>
          <w:szCs w:val="20"/>
          <w:color w:val="auto"/>
        </w:rPr>
      </w:pPr>
    </w:p>
    <w:p>
      <w:pPr>
        <w:ind w:left="340" w:right="959"/>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06"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019"/>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43"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48" w:lineRule="exact"/>
        <w:rPr>
          <w:sz w:val="20"/>
          <w:szCs w:val="20"/>
          <w:color w:val="auto"/>
        </w:rPr>
      </w:pPr>
    </w:p>
    <w:p>
      <w:pPr>
        <w:ind w:left="340" w:right="1159"/>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as a result returns on an investment in our common stock may be volatile.</w:t>
      </w:r>
    </w:p>
    <w:p>
      <w:pPr>
        <w:spacing w:after="0" w:line="130"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market price of our common stock could fluctuate significantly for various reasons, which include:</w:t>
      </w:r>
    </w:p>
    <w:p>
      <w:pPr>
        <w:spacing w:after="0" w:line="185" w:lineRule="exact"/>
        <w:rPr>
          <w:sz w:val="20"/>
          <w:szCs w:val="20"/>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our quarterly or annual earnings or earnings of other companies in our industry;</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the public’s reaction to our press releases, our other public announcements, and our filings with the SEC;</w:t>
      </w:r>
    </w:p>
    <w:p>
      <w:pPr>
        <w:spacing w:after="0" w:line="209" w:lineRule="exact"/>
        <w:rPr>
          <w:rFonts w:ascii="Arial" w:cs="Arial" w:eastAsia="Arial" w:hAnsi="Arial"/>
          <w:sz w:val="17"/>
          <w:szCs w:val="17"/>
          <w:b w:val="1"/>
          <w:bCs w:val="1"/>
          <w:color w:val="auto"/>
        </w:rPr>
      </w:pPr>
    </w:p>
    <w:p>
      <w:pPr>
        <w:ind w:left="1420" w:right="1039" w:hanging="345"/>
        <w:spacing w:after="0" w:line="277"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changes in our number of enrolled students;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new laws or regulations or new interpretations of laws or regulations applicable to our business;</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seasonal variations in our student population;</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availability and cost of Title IV funds, other student financial aid, and private loans;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failure to maintain or keep in good standing our regulatory approvals and accreditations;</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changes in accounting standards, policies, guidance, interpretations, or principles;</w:t>
      </w:r>
    </w:p>
    <w:p>
      <w:pPr>
        <w:spacing w:after="0" w:line="184" w:lineRule="exact"/>
        <w:rPr>
          <w:rFonts w:ascii="Arial" w:cs="Arial" w:eastAsia="Arial" w:hAnsi="Arial"/>
          <w:sz w:val="18"/>
          <w:szCs w:val="18"/>
          <w:b w:val="1"/>
          <w:bCs w:val="1"/>
          <w:color w:val="auto"/>
        </w:rPr>
      </w:pPr>
    </w:p>
    <w:p>
      <w:pPr>
        <w:ind w:left="1420" w:right="879" w:hanging="345"/>
        <w:spacing w:after="0" w:line="277"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1420" w:hanging="345"/>
        <w:spacing w:after="0"/>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an adverse economic or other development that affects job prospects in our core disciplines;</w:t>
      </w:r>
    </w:p>
    <w:p>
      <w:pPr>
        <w:spacing w:after="0" w:line="184" w:lineRule="exact"/>
        <w:rPr>
          <w:rFonts w:ascii="Arial" w:cs="Arial" w:eastAsia="Arial" w:hAnsi="Arial"/>
          <w:sz w:val="18"/>
          <w:szCs w:val="18"/>
          <w:b w:val="1"/>
          <w:bCs w:val="1"/>
          <w:color w:val="auto"/>
        </w:rPr>
      </w:pPr>
    </w:p>
    <w:p>
      <w:pPr>
        <w:ind w:left="1420" w:right="639" w:hanging="345"/>
        <w:spacing w:after="0" w:line="259"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qui tam action regarding the manner in which we have compensated our enrollment personnel; and</w:t>
      </w:r>
    </w:p>
    <w:p>
      <w:pPr>
        <w:spacing w:after="0" w:line="146"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sales of common stock by our directors, executive officers, and significant stockholders.</w:t>
      </w:r>
    </w:p>
    <w:p>
      <w:pPr>
        <w:spacing w:after="0" w:line="198"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148"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Seasonal and other fluctuations in our results of operations could adversely affect the trading price of our common stock.</w:t>
      </w:r>
    </w:p>
    <w:p>
      <w:pPr>
        <w:spacing w:after="0" w:line="233" w:lineRule="exact"/>
        <w:rPr>
          <w:sz w:val="20"/>
          <w:szCs w:val="20"/>
          <w:color w:val="auto"/>
        </w:rPr>
      </w:pPr>
    </w:p>
    <w:p>
      <w:pPr>
        <w:ind w:left="340" w:right="639" w:firstLine="373"/>
        <w:spacing w:after="0" w:line="270" w:lineRule="auto"/>
        <w:rPr>
          <w:sz w:val="20"/>
          <w:szCs w:val="20"/>
          <w:color w:val="auto"/>
        </w:rPr>
      </w:pPr>
      <w:r>
        <w:rPr>
          <w:rFonts w:ascii="Arial" w:cs="Arial" w:eastAsia="Arial" w:hAnsi="Arial"/>
          <w:sz w:val="17"/>
          <w:szCs w:val="17"/>
          <w:color w:val="auto"/>
        </w:rPr>
        <w:t>Our results in any quarter may not indicate the results we may achieve in any subsequent quarter or for the full year. Our revenues and operating results normally fluctuate as a result of seasonal variations in our business, principally due to changes in enrollment and term starts. Student population varies as a result of new enrollments, graduations and student attrition. While our number of enrolled students has grown substantially year over year, the number of enrolled students has been proportionally greatest in the fourth quarter of each respective year. A significant portion of our infrastructure costs do not vary proportionately with fluctuations in revenues. We expect quarterly fluctuations in operating results to continue as a result of seasonal enrollment patterns. Such patterns may change, however, as a result of new program introductions and increased enrollments of students. These fluctuations may result in volatility in our results of operations and/or have an adverse effect on the market price of our common stock.</w:t>
      </w:r>
    </w:p>
    <w:p>
      <w:pPr>
        <w:spacing w:after="0" w:line="141" w:lineRule="exact"/>
        <w:rPr>
          <w:sz w:val="20"/>
          <w:szCs w:val="20"/>
          <w:color w:val="auto"/>
        </w:rPr>
      </w:pPr>
    </w:p>
    <w:p>
      <w:pPr>
        <w:ind w:left="340" w:right="699"/>
        <w:spacing w:after="0" w:line="264" w:lineRule="auto"/>
        <w:rPr>
          <w:sz w:val="20"/>
          <w:szCs w:val="20"/>
          <w:color w:val="auto"/>
        </w:rPr>
      </w:pPr>
      <w:r>
        <w:rPr>
          <w:rFonts w:ascii="Arial" w:cs="Arial" w:eastAsia="Arial" w:hAnsi="Arial"/>
          <w:sz w:val="18"/>
          <w:szCs w:val="18"/>
          <w:b w:val="1"/>
          <w:bCs w:val="1"/>
          <w:i w:val="1"/>
          <w:iCs w:val="1"/>
          <w:color w:val="auto"/>
        </w:rPr>
        <w:t>If we fail to maintain proper and effective disclosure controls and procedures and internal controls over financial reporting, our ability to produce accurate financial statements could be impaired, which could adversely affect our stock price, our ability to operate our business and investors’ views of us.</w:t>
      </w:r>
    </w:p>
    <w:p>
      <w:pPr>
        <w:spacing w:after="0" w:line="141" w:lineRule="exact"/>
        <w:rPr>
          <w:sz w:val="20"/>
          <w:szCs w:val="20"/>
          <w:color w:val="auto"/>
        </w:rPr>
      </w:pPr>
    </w:p>
    <w:p>
      <w:pPr>
        <w:ind w:left="340" w:right="639" w:firstLine="373"/>
        <w:spacing w:after="0" w:line="291" w:lineRule="auto"/>
        <w:rPr>
          <w:sz w:val="20"/>
          <w:szCs w:val="20"/>
          <w:color w:val="auto"/>
        </w:rPr>
      </w:pPr>
      <w:r>
        <w:rPr>
          <w:rFonts w:ascii="Arial" w:cs="Arial" w:eastAsia="Arial" w:hAnsi="Arial"/>
          <w:sz w:val="16"/>
          <w:szCs w:val="16"/>
          <w:color w:val="auto"/>
        </w:rPr>
        <w:t>Ensuring that we have adequate disclosure controls and procedures, including internal controls over financial reporting, in place so that we can produce accurate financial statements on a timely basis is a costly and time-consuming effort that needs to be re-evaluated frequently. We are continuing the process of documenting, reviewing and, if appropriate, improving our internal controls and procedures as we will eventually be subject to the requirements of Section 404 of the Sarbanes-Oxley Act, which will require annual management assessments of the effectiveness of our internal controls over financial reporting and a report by our independent auditors addressing these assessments. We will be required to comply with the internal controls evaluation and certification requirements of Section 404 of the Sarbanes-Oxley Act by no later than the end of our 2009 fiscal year.</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99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their evaluations of our stock, the price of our stock could decline.</w:t>
      </w:r>
    </w:p>
    <w:p>
      <w:pPr>
        <w:spacing w:after="0" w:line="143" w:lineRule="exact"/>
        <w:rPr>
          <w:sz w:val="20"/>
          <w:szCs w:val="20"/>
          <w:color w:val="auto"/>
        </w:rPr>
      </w:pPr>
    </w:p>
    <w:p>
      <w:pPr>
        <w:ind w:left="340" w:right="919" w:firstLine="373"/>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company, we could lose visibility in the market for our stock, which in turn could cause our stock price to decline.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89" w:lineRule="exact"/>
        <w:rPr>
          <w:sz w:val="20"/>
          <w:szCs w:val="20"/>
          <w:color w:val="auto"/>
        </w:rPr>
      </w:pPr>
    </w:p>
    <w:p>
      <w:pPr>
        <w:ind w:left="340" w:right="559" w:firstLine="373"/>
        <w:spacing w:after="0" w:line="289" w:lineRule="auto"/>
        <w:rPr>
          <w:sz w:val="20"/>
          <w:szCs w:val="20"/>
          <w:color w:val="auto"/>
        </w:rPr>
      </w:pPr>
      <w:r>
        <w:rPr>
          <w:rFonts w:ascii="Arial" w:cs="Arial" w:eastAsia="Arial" w:hAnsi="Arial"/>
          <w:sz w:val="16"/>
          <w:szCs w:val="16"/>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 We lease the campus under a lease that expires in 2024. Renewal terms under this lease allow for us to extend the current lease for up to four additional five-year terms. We also lease two additional facilities for employees, one in Utah and one in Arizona. In late December 2008, we obtained additional capacity at three new Arizona locations to accommodate our growth plans beyond 2009 and may add one additional facility during the next twelve months.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ind w:left="340" w:right="639" w:firstLine="373"/>
        <w:spacing w:after="0" w:line="284" w:lineRule="auto"/>
        <w:rPr>
          <w:sz w:val="20"/>
          <w:szCs w:val="20"/>
          <w:color w:val="auto"/>
        </w:rPr>
      </w:pPr>
      <w:r>
        <w:rPr>
          <w:rFonts w:ascii="Arial" w:cs="Arial" w:eastAsia="Arial" w:hAnsi="Arial"/>
          <w:sz w:val="16"/>
          <w:szCs w:val="16"/>
          <w:color w:val="auto"/>
        </w:rPr>
        <w:t>On February 28, 2007, we filed a complaint against SunGard Higher Education Managed Services Inc. (“SunGard”)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a technology services agreement between the parties. In response, SunGard moved to stay the litigation and compel arbitration. The court granted the motion to stay, and compelled the parties to arbitrate. SunGard then filed its own claims in the arbitration alleging breach of the parties’ technology services agreement. Following discovery, the arbitration hearing occurred in late May 2008 and final arguments were heard in July 2008. We sought approximately</w:t>
      </w:r>
    </w:p>
    <w:p>
      <w:pPr>
        <w:spacing w:after="0" w:line="3" w:lineRule="exact"/>
        <w:rPr>
          <w:sz w:val="20"/>
          <w:szCs w:val="20"/>
          <w:color w:val="auto"/>
        </w:rPr>
      </w:pPr>
    </w:p>
    <w:p>
      <w:pPr>
        <w:ind w:left="340" w:right="639"/>
        <w:spacing w:after="0" w:line="288" w:lineRule="auto"/>
        <w:rPr>
          <w:sz w:val="20"/>
          <w:szCs w:val="20"/>
          <w:color w:val="auto"/>
        </w:rPr>
      </w:pPr>
      <w:r>
        <w:rPr>
          <w:rFonts w:ascii="Arial" w:cs="Arial" w:eastAsia="Arial" w:hAnsi="Arial"/>
          <w:sz w:val="16"/>
          <w:szCs w:val="16"/>
          <w:color w:val="auto"/>
        </w:rPr>
        <w:t>$1.4 million from SunGard, and SunGard counterclaimed for approximately $2.5 million. On October 22, 2008, the arbitration panel issued a Final Award finding for SunGard on its breach of contract claim and also finding for us on our breach of contract, breach of the duty of good faith and fair dealing, and conversion counterclaims. Both parties were awarded damages with a net award to SunGard in the amount of approximately $250,000 plus interest. The arbitration panel also held that each party would be responsible for its own attorneys’ fees and that the parties would equally share the arbitration costs. On January 14, 2009, we entered into a settlement agreement with SunGard regarding payment of the arbitration award and effecting a mutual release between the parties regarding all claims that were brought, or could have been brought, in the litigation and related arbitration.</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On August 14, 2008, the Office of Inspector General of the United States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We are cooperating with the Office of Inspector General to facilitate its investigation and are nearing completion of our rolling responsive document production, which commenced in September 2008. We cannot presently predict the ultimate outcome of the investigation or any liability or other sanctions that may result.</w:t>
      </w:r>
    </w:p>
    <w:p>
      <w:pPr>
        <w:spacing w:after="0" w:line="166" w:lineRule="exact"/>
        <w:rPr>
          <w:sz w:val="20"/>
          <w:szCs w:val="20"/>
          <w:color w:val="auto"/>
        </w:rPr>
      </w:pPr>
    </w:p>
    <w:p>
      <w:pPr>
        <w:ind w:left="340" w:right="619" w:firstLine="373"/>
        <w:spacing w:after="0" w:line="285"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While our motion to dismiss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denied, we plan to vigorously contest the lawsuit.</w:t>
      </w:r>
    </w:p>
    <w:p>
      <w:pPr>
        <w:spacing w:after="0" w:line="137" w:lineRule="exact"/>
        <w:rPr>
          <w:sz w:val="20"/>
          <w:szCs w:val="20"/>
          <w:color w:val="auto"/>
        </w:rPr>
      </w:pPr>
    </w:p>
    <w:p>
      <w:pPr>
        <w:ind w:left="340" w:right="659" w:firstLine="373"/>
        <w:spacing w:after="0" w:line="255"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litigation or any liability or other sanctions that may result. It is possible that, during the course of the litigation, other information may be discovered that would adversely affect the outcome of the litigation.</w:t>
      </w:r>
    </w:p>
    <w:p>
      <w:pPr>
        <w:spacing w:after="0" w:line="153"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89" w:lineRule="exact"/>
        <w:rPr>
          <w:sz w:val="20"/>
          <w:szCs w:val="20"/>
          <w:color w:val="auto"/>
        </w:rPr>
      </w:pPr>
    </w:p>
    <w:p>
      <w:pPr>
        <w:ind w:left="340" w:right="679" w:firstLine="373"/>
        <w:spacing w:after="0" w:line="257" w:lineRule="auto"/>
        <w:rPr>
          <w:sz w:val="20"/>
          <w:szCs w:val="20"/>
          <w:color w:val="auto"/>
        </w:rPr>
      </w:pPr>
      <w:r>
        <w:rPr>
          <w:rFonts w:ascii="Arial" w:cs="Arial" w:eastAsia="Arial" w:hAnsi="Arial"/>
          <w:sz w:val="18"/>
          <w:szCs w:val="18"/>
          <w:color w:val="auto"/>
        </w:rPr>
        <w:t>On November 12, 2008, in connection with our initial public offering of common stock, stockholders representing more than a majority of the issued and outstanding voting power of our capital stock consented in writing to an amendment of the terms of our formerly authorized Series C preferred stock to clarify the terms upon which such series would convert to common stock upon our initial public offering, and also to approve our amended and restated certificate of incorporation that became in effect following our initial public offering.</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40" w:right="959"/>
        <w:spacing w:after="0" w:line="456"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1" w:lineRule="exact"/>
        <w:rPr>
          <w:sz w:val="20"/>
          <w:szCs w:val="20"/>
          <w:color w:val="auto"/>
        </w:rPr>
      </w:pPr>
    </w:p>
    <w:p>
      <w:pPr>
        <w:ind w:left="340" w:right="739" w:firstLine="373"/>
        <w:spacing w:after="0" w:line="302" w:lineRule="auto"/>
        <w:rPr>
          <w:sz w:val="20"/>
          <w:szCs w:val="20"/>
          <w:color w:val="auto"/>
        </w:rPr>
      </w:pPr>
      <w:r>
        <w:rPr>
          <w:rFonts w:ascii="Arial" w:cs="Arial" w:eastAsia="Arial" w:hAnsi="Arial"/>
          <w:sz w:val="16"/>
          <w:szCs w:val="16"/>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27" w:lineRule="exact"/>
        <w:rPr>
          <w:sz w:val="20"/>
          <w:szCs w:val="20"/>
          <w:color w:val="auto"/>
        </w:rPr>
      </w:pPr>
    </w:p>
    <w:p>
      <w:pPr>
        <w:ind w:left="340" w:right="779" w:firstLine="373"/>
        <w:spacing w:after="0" w:line="264" w:lineRule="auto"/>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 between November 20, 2008, the day we began trading on the Nasdaq Global Market in connection with our initial public offering of common stock, and the end of the 2008 fiscal year.</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Low</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9.49</w:t>
            </w: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left="340" w:right="819" w:firstLine="373"/>
        <w:spacing w:after="0" w:line="264" w:lineRule="auto"/>
        <w:rPr>
          <w:sz w:val="20"/>
          <w:szCs w:val="20"/>
          <w:color w:val="auto"/>
        </w:rPr>
      </w:pPr>
      <w:r>
        <w:rPr>
          <w:rFonts w:ascii="Arial" w:cs="Arial" w:eastAsia="Arial" w:hAnsi="Arial"/>
          <w:sz w:val="18"/>
          <w:szCs w:val="18"/>
          <w:color w:val="auto"/>
        </w:rPr>
        <w:t>As of December 31, 2008, there were approximately 20 registered holders of record of common stock. A substantially greater number of holders of common stock are “street name” or beneficial holders, whose shares are held of record by banks, brokers and other financial institutions.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left="340" w:right="619" w:firstLine="373"/>
        <w:spacing w:after="0" w:line="287" w:lineRule="auto"/>
        <w:rPr>
          <w:sz w:val="20"/>
          <w:szCs w:val="20"/>
          <w:color w:val="auto"/>
        </w:rPr>
      </w:pPr>
      <w:r>
        <w:rPr>
          <w:rFonts w:ascii="Arial" w:cs="Arial" w:eastAsia="Arial" w:hAnsi="Arial"/>
          <w:sz w:val="16"/>
          <w:szCs w:val="16"/>
          <w:color w:val="auto"/>
        </w:rPr>
        <w:t>On November 19, 2008, our registration statement for our initial public offering of common stock became effective. In the initial public offering, we sold 10,500,000 shares of common stock at a price to the public of $12.00 per share, before underwriting discounts and commissions. On November 26, 2008, the underwriters elected to exercise in full their option to purchase an additional 1,575,000 shares at the initial public offering price to cover over-allotments. Aggregate net proceeds to us were approximately $134.8 million, after deducting underwriting discounts and commissions and before offering expenses. On September 26, 2008, our Board of Directors approved the payment of a special distribution to our stockholders of record immediately prior to the initial public offering to be paid from the proceeds of the initial public offering (including any proceeds resulting from sales of shares pursuant to the exercise of the over-allotment option) in the amount of 75% of the gross offering proceeds. On November 25, 2008, we distributed $94.5 million in the initial public offering and, on December 3, 2008, we distributed an additional $14.2 million in connection with the underwriters’ exercise of their over-allotment option. The special distribution was paid on an as converted basis to our common and preferred shareholders of record as of November 18, 2008.</w:t>
      </w:r>
    </w:p>
    <w:p>
      <w:pPr>
        <w:spacing w:after="0" w:line="132" w:lineRule="exact"/>
        <w:rPr>
          <w:sz w:val="20"/>
          <w:szCs w:val="20"/>
          <w:color w:val="auto"/>
        </w:rPr>
      </w:pPr>
    </w:p>
    <w:p>
      <w:pPr>
        <w:ind w:left="340" w:right="1079" w:firstLine="373"/>
        <w:spacing w:after="0" w:line="277"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the past three fiscal years, we have issued the following securities that were not registered under the Securities Act: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Preferred Stock</w:t>
      </w:r>
    </w:p>
    <w:p>
      <w:pPr>
        <w:spacing w:after="0" w:line="185" w:lineRule="exact"/>
        <w:rPr>
          <w:sz w:val="20"/>
          <w:szCs w:val="20"/>
          <w:color w:val="auto"/>
        </w:rPr>
      </w:pPr>
    </w:p>
    <w:p>
      <w:pPr>
        <w:ind w:left="340" w:right="639" w:firstLine="373"/>
        <w:spacing w:after="0" w:line="297" w:lineRule="auto"/>
        <w:rPr>
          <w:sz w:val="20"/>
          <w:szCs w:val="20"/>
          <w:color w:val="auto"/>
        </w:rPr>
      </w:pPr>
      <w:r>
        <w:rPr>
          <w:rFonts w:ascii="Arial" w:cs="Arial" w:eastAsia="Arial" w:hAnsi="Arial"/>
          <w:sz w:val="16"/>
          <w:szCs w:val="16"/>
          <w:color w:val="auto"/>
        </w:rPr>
        <w:t>On March 31, 2005, we sold $14.0 million aggregate principal amount of notes to the Endeavour Entities. On August 24, 2005, we sold 5,953 shares of our newly designated Series A convertible preferred stock at a purchase price of $3,233.67 per share, or $19.3 million total, of which 4,948 shares were sold to the Endeavour Entities and 1,005 shares were sold to 220 GCU, L.P. A substantial portion of the purchase price paid by the Endeavour Entities was paid through the contributions to us of notes that were previously issued to the Endeavour Entities. The sales were made in reliance on Section 4(2) of the Securities Act.</w:t>
      </w:r>
    </w:p>
    <w:p>
      <w:pPr>
        <w:spacing w:after="0" w:line="131"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color w:val="auto"/>
        </w:rPr>
        <w:t>On December 31, 2005, we issued 2,163 shares of our newly designated Series B 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which is owned, in part, by Brent Richardson, our Executive Chairman, and Christopher Richardson, our General Counsel and a member of our Board of Directors. The sales were made in reliance on Section 4(2) of the Securities Act.</w:t>
      </w:r>
    </w:p>
    <w:p>
      <w:pPr>
        <w:spacing w:after="0" w:line="118" w:lineRule="exact"/>
        <w:rPr>
          <w:sz w:val="20"/>
          <w:szCs w:val="20"/>
          <w:color w:val="auto"/>
        </w:rPr>
      </w:pPr>
    </w:p>
    <w:p>
      <w:pPr>
        <w:ind w:left="340" w:right="679" w:firstLine="373"/>
        <w:spacing w:after="0" w:line="255" w:lineRule="auto"/>
        <w:rPr>
          <w:sz w:val="20"/>
          <w:szCs w:val="20"/>
          <w:color w:val="auto"/>
        </w:rPr>
      </w:pPr>
      <w:r>
        <w:rPr>
          <w:rFonts w:ascii="Arial" w:cs="Arial" w:eastAsia="Arial" w:hAnsi="Arial"/>
          <w:sz w:val="18"/>
          <w:szCs w:val="18"/>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and 935 shares were sold to third parties. The purchase price payable by Rich Crow Enterprises for its shares of Series C preferred stock was paid in part by the exchange of the 865 outstanding shares of Series B preferred stock it purchased in 2006. The sales were made in reliance on Rule 506 of Regulation D promulgated under the Securities Act.</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Common Stock</w:t>
      </w:r>
    </w:p>
    <w:p>
      <w:pPr>
        <w:spacing w:after="0" w:line="198" w:lineRule="exact"/>
        <w:rPr>
          <w:sz w:val="20"/>
          <w:szCs w:val="20"/>
          <w:color w:val="auto"/>
        </w:rPr>
      </w:pPr>
    </w:p>
    <w:p>
      <w:pPr>
        <w:ind w:left="340" w:right="679" w:firstLine="373"/>
        <w:spacing w:after="0" w:line="273" w:lineRule="auto"/>
        <w:rPr>
          <w:sz w:val="20"/>
          <w:szCs w:val="20"/>
          <w:color w:val="auto"/>
        </w:rPr>
      </w:pPr>
      <w:r>
        <w:rPr>
          <w:rFonts w:ascii="Arial" w:cs="Arial" w:eastAsia="Arial" w:hAnsi="Arial"/>
          <w:sz w:val="17"/>
          <w:szCs w:val="17"/>
          <w:color w:val="auto"/>
        </w:rPr>
        <w:t>In November 2008, we issued, in reliance on Section 4(2) of the Securities Act, 909,348 shares of our common stock upon the exercise of a warrant that was issued in June 2004. The exercise price of the warrant was approximately $0.58 per share, or $526,316 in the aggregate. Also in November 2008, we granted, pursuant to our equity incentive plan, 109,329 shares of our common stock to our Chief Executive Officer. This grant was made immediately after the effectiveness of the registration statement for our initial public offering, in reliance on Section 4(2) of the Securities Act, and was valued at a price per share of $12.00, which was the initial public offering price of our common stock.</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Proceeds from our Initial Public Offering</w:t>
      </w:r>
    </w:p>
    <w:p>
      <w:pPr>
        <w:spacing w:after="0" w:line="189" w:lineRule="exact"/>
        <w:rPr>
          <w:sz w:val="20"/>
          <w:szCs w:val="20"/>
          <w:color w:val="auto"/>
        </w:rPr>
      </w:pPr>
    </w:p>
    <w:p>
      <w:pPr>
        <w:ind w:left="340" w:right="639" w:firstLine="373"/>
        <w:spacing w:after="0" w:line="271" w:lineRule="auto"/>
        <w:rPr>
          <w:sz w:val="20"/>
          <w:szCs w:val="20"/>
          <w:color w:val="auto"/>
        </w:rPr>
      </w:pPr>
      <w:r>
        <w:rPr>
          <w:rFonts w:ascii="Arial" w:cs="Arial" w:eastAsia="Arial" w:hAnsi="Arial"/>
          <w:sz w:val="17"/>
          <w:szCs w:val="17"/>
          <w:color w:val="auto"/>
        </w:rPr>
        <w:t>In November 2008, we completed an initial public offering of our common stock pursuant to a registration statement on Form S-1 (File No. 333-150876) that was declared effective by the SEC on November 19, 2008. We sold 10,500,000 shares of common stock in the offering, and granted the underwriters an over-allotment option to purchase an additional 1,575,000 shares, which option was exercised on November 26, 2008. Credit Suisse and Merrill Lynch &amp; Co. acted as co book-running managers. The shares were sold at a price to the public of $12.00 per share. The aggregate gross proceeds of the shares offered and sold by us, including in connection with the exercise of the over-allotment option, totaled $144.9 million. In connection with the offering, we paid an aggregate of $16.1 million in expense, consisting of $10.1 million in underwriting discounts and commissions to the underwriters, and other expenses totaling $6.0 million.</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39" w:firstLine="373"/>
        <w:spacing w:after="0" w:line="272" w:lineRule="auto"/>
        <w:rPr>
          <w:sz w:val="20"/>
          <w:szCs w:val="20"/>
          <w:color w:val="auto"/>
        </w:rPr>
      </w:pPr>
      <w:r>
        <w:rPr>
          <w:rFonts w:ascii="Arial" w:cs="Arial" w:eastAsia="Arial" w:hAnsi="Arial"/>
          <w:sz w:val="17"/>
          <w:szCs w:val="17"/>
          <w:color w:val="auto"/>
        </w:rPr>
        <w:t>After deducting the underwriting discounts and commissions and the other offering expenses, we received net proceeds from our initial public offering of approximately $128.8 million. We used $108.7 million of the proceeds to pay the special distribution described above to our shareholders of record as of November 18, 2008. The remaining $20.1 million of net proceeds from the offering will be used for general corporate purposes. Of the $108.7 million special distribution paid with the net proceeds from the offering, $92.7 million was paid in respect of shares of our capital stock over which our directors and executive officers, and persons known to us to beneficially own 10% or more of our outstanding capital stock in each case at the time of payment, were deemed to exercise sale or shared voting or investment power.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jc w:val="both"/>
        <w:ind w:left="340" w:right="999" w:firstLine="373"/>
        <w:spacing w:after="0" w:line="264" w:lineRule="auto"/>
        <w:rPr>
          <w:sz w:val="20"/>
          <w:szCs w:val="20"/>
          <w:color w:val="auto"/>
        </w:rPr>
      </w:pPr>
      <w:r>
        <w:rPr>
          <w:rFonts w:ascii="Arial" w:cs="Arial" w:eastAsia="Arial" w:hAnsi="Arial"/>
          <w:sz w:val="18"/>
          <w:szCs w:val="18"/>
          <w:color w:val="auto"/>
        </w:rPr>
        <w:t xml:space="preserve">The information required by Item 201(d) of Regulation S-K is provided under Item 12, </w:t>
      </w:r>
      <w:r>
        <w:rPr>
          <w:rFonts w:ascii="Arial" w:cs="Arial" w:eastAsia="Arial" w:hAnsi="Arial"/>
          <w:sz w:val="18"/>
          <w:szCs w:val="18"/>
          <w:i w:val="1"/>
          <w:iCs w:val="1"/>
          <w:color w:val="auto"/>
        </w:rPr>
        <w:t>Security Ownership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Beneficial Owners and Management and Related Stockholder Matters</w:t>
      </w:r>
      <w:r>
        <w:rPr>
          <w:rFonts w:ascii="Arial" w:cs="Arial" w:eastAsia="Arial" w:hAnsi="Arial"/>
          <w:sz w:val="18"/>
          <w:szCs w:val="18"/>
          <w:color w:val="auto"/>
        </w:rPr>
        <w:t>, “Equity Compensation Plan Information,”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Purchases of Equity Securities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Company Stock Performance</w:t>
      </w:r>
    </w:p>
    <w:p>
      <w:pPr>
        <w:spacing w:after="0" w:line="189" w:lineRule="exact"/>
        <w:rPr>
          <w:sz w:val="20"/>
          <w:szCs w:val="20"/>
          <w:color w:val="auto"/>
        </w:rPr>
      </w:pPr>
    </w:p>
    <w:p>
      <w:pPr>
        <w:ind w:left="340" w:right="639" w:firstLine="373"/>
        <w:spacing w:after="0" w:line="273" w:lineRule="auto"/>
        <w:rPr>
          <w:sz w:val="20"/>
          <w:szCs w:val="20"/>
          <w:color w:val="auto"/>
        </w:rPr>
      </w:pPr>
      <w:r>
        <w:rPr>
          <w:rFonts w:ascii="Arial" w:cs="Arial" w:eastAsia="Arial" w:hAnsi="Arial"/>
          <w:sz w:val="17"/>
          <w:szCs w:val="17"/>
          <w:color w:val="auto"/>
        </w:rPr>
        <w:t>The following graph compares the cumulative 2-month return of holders of our common stock with the cumulative total returns of the S&amp;P 500 Index, the NASDAQ Composite index, and a customized peer group of four companies that includes: Capella Education Company, American Public Education, Inc., Apollo Group Inc., and Strayer Education Inc. This chart assumes that an investment of $100 was made in our common stock, in the index, and in the peer group on November 20, 2008 and that all dividends paid by us (other than the special distribution) and such companies were reinvested, and tracks the relative performance of such investments through December 31, 2008.</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Among Grand Canyon Education, Inc., The S&amp;P 500 Index,</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NASDAQ Composite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125730</wp:posOffset>
            </wp:positionV>
            <wp:extent cx="4605020" cy="31127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0502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80" w:right="1459" w:hanging="348"/>
        <w:spacing w:after="0" w:line="27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invested on 11/20/08 in stock &amp; 10/31/08 in index-including reinvestment of dividends. Fiscal year ending December 31.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Copyright © 2009 S&amp;P, a division of The McGraw-Hill Companies Inc. All rights reserved.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11/20/08</w:t>
            </w:r>
          </w:p>
        </w:tc>
        <w:tc>
          <w:tcPr>
            <w:tcW w:w="380" w:type="dxa"/>
            <w:vAlign w:val="bottom"/>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11/08</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20"/>
                <w:szCs w:val="20"/>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Grand Canyon Education, Inc.</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125.23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158.48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S&amp;P 500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92.83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93.81</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92.23</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Peer Group</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115.66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112.62</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Copyright © 2009 Standard &amp; Poor’s, a division of The McGraw-Hill Companies Inc. All rights reserved.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(www.researchdatagroup.com/S&amp;P.htm)</w:t>
      </w:r>
    </w:p>
    <w:p>
      <w:pPr>
        <w:spacing w:after="0" w:line="184" w:lineRule="exact"/>
        <w:rPr>
          <w:sz w:val="20"/>
          <w:szCs w:val="20"/>
          <w:color w:val="auto"/>
        </w:rPr>
      </w:pPr>
    </w:p>
    <w:p>
      <w:pPr>
        <w:ind w:left="340" w:right="559" w:firstLine="373"/>
        <w:spacing w:after="0" w:line="312" w:lineRule="auto"/>
        <w:rPr>
          <w:sz w:val="20"/>
          <w:szCs w:val="20"/>
          <w:color w:val="auto"/>
        </w:rPr>
      </w:pPr>
      <w:r>
        <w:rPr>
          <w:rFonts w:ascii="Arial" w:cs="Arial" w:eastAsia="Arial" w:hAnsi="Arial"/>
          <w:sz w:val="16"/>
          <w:szCs w:val="16"/>
          <w:color w:val="auto"/>
        </w:rPr>
        <w:t>The information contained in the performance graph shall not be deemed “soliciting material” or to be “filed” with the Securities and Exchange Commission nor shall such information be deemed incorporated by reference into any future filing under the Securities Act or the Exchange Act, except to the extent that we specifically incorporate it by reference into such filing.</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and Other Data</w:t>
      </w:r>
    </w:p>
    <w:p>
      <w:pPr>
        <w:spacing w:after="0" w:line="202" w:lineRule="exact"/>
        <w:rPr>
          <w:sz w:val="20"/>
          <w:szCs w:val="20"/>
          <w:color w:val="auto"/>
        </w:rPr>
      </w:pPr>
    </w:p>
    <w:p>
      <w:pPr>
        <w:ind w:left="340" w:right="1780" w:firstLine="373"/>
        <w:spacing w:after="0" w:line="288" w:lineRule="auto"/>
        <w:rPr>
          <w:sz w:val="20"/>
          <w:szCs w:val="20"/>
          <w:color w:val="auto"/>
        </w:rPr>
      </w:pPr>
      <w:r>
        <w:rPr>
          <w:rFonts w:ascii="Arial" w:cs="Arial" w:eastAsia="Arial" w:hAnsi="Arial"/>
          <w:sz w:val="16"/>
          <w:szCs w:val="16"/>
          <w:color w:val="auto"/>
        </w:rPr>
        <w:t xml:space="preserve">The following selected financial and other data should be read in conjunction with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and Item 7,</w:t>
      </w:r>
      <w:r>
        <w:rPr>
          <w:rFonts w:ascii="Arial" w:cs="Arial" w:eastAsia="Arial" w:hAnsi="Arial"/>
          <w:sz w:val="16"/>
          <w:szCs w:val="16"/>
          <w:i w:val="1"/>
          <w:iCs w:val="1"/>
          <w:color w:val="auto"/>
        </w:rPr>
        <w:t xml:space="preserve"> Management’s Discussion and Analysis of Financial Condition and Results of Operations</w:t>
      </w:r>
      <w:r>
        <w:rPr>
          <w:rFonts w:ascii="Arial" w:cs="Arial" w:eastAsia="Arial" w:hAnsi="Arial"/>
          <w:sz w:val="16"/>
          <w:szCs w:val="16"/>
          <w:color w:val="auto"/>
        </w:rPr>
        <w:t>, to</w:t>
      </w:r>
      <w:r>
        <w:rPr>
          <w:rFonts w:ascii="Arial" w:cs="Arial" w:eastAsia="Arial" w:hAnsi="Arial"/>
          <w:sz w:val="16"/>
          <w:szCs w:val="16"/>
          <w:i w:val="1"/>
          <w:iCs w:val="1"/>
          <w:color w:val="auto"/>
        </w:rPr>
        <w:t xml:space="preserve"> </w:t>
      </w:r>
      <w:r>
        <w:rPr>
          <w:rFonts w:ascii="Arial" w:cs="Arial" w:eastAsia="Arial" w:hAnsi="Arial"/>
          <w:sz w:val="16"/>
          <w:szCs w:val="16"/>
          <w:color w:val="auto"/>
        </w:rPr>
        <w:t>fully understand factors that may affect the comparability of the information presented below. The selected statement of operations and other data, excluding period end enrollment, for the years ended December 31, 2006, 2007, and 2008, and the selected balance sheet data as of December 31, 2007 and 2008, have been derived from our audited financial statements, included herein. The selected statement of operations and other data, excluding period end enrollment, for the year ended December 31, 2005 have been derived from our audited financial statements for such year which are not included herein.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herein. Our historical results are not necessarily indicative of our results for any future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February 2, 2004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5"/>
            <w:vMerge w:val="restart"/>
          </w:tcPr>
          <w:p>
            <w:pPr>
              <w:jc w:val="right"/>
              <w:ind w:right="420"/>
              <w:spacing w:after="0"/>
              <w:rPr>
                <w:sz w:val="20"/>
                <w:szCs w:val="20"/>
                <w:color w:val="auto"/>
              </w:rPr>
            </w:pPr>
            <w:r>
              <w:rPr>
                <w:rFonts w:ascii="Arial" w:cs="Arial" w:eastAsia="Arial" w:hAnsi="Arial"/>
                <w:sz w:val="18"/>
                <w:szCs w:val="18"/>
                <w:b w:val="1"/>
                <w:bCs w:val="1"/>
                <w:color w:val="auto"/>
                <w:w w:val="89"/>
              </w:rPr>
              <w:t>Year Ended December 31,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2004</w:t>
            </w:r>
            <w:r>
              <w:rPr>
                <w:rFonts w:ascii="Arial" w:cs="Arial" w:eastAsia="Arial" w:hAnsi="Arial"/>
                <w:sz w:val="15"/>
                <w:szCs w:val="15"/>
                <w:b w:val="1"/>
                <w:bCs w:val="1"/>
                <w:color w:val="auto"/>
                <w:w w:val="92"/>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2005</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25,629</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51,793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72,111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99,326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161,309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Instructional costs and services</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19,705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28,063</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31,287</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39,050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54,450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promotional</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14,047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20,093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35,148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65,551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10,828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12,968</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15,011</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17,001</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26,825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to former owner</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20" w:type="dxa"/>
            <w:vAlign w:val="bottom"/>
          </w:tcPr>
          <w:p>
            <w:pPr>
              <w:ind w:left="40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56,697</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69,069</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94,981</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148,512</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(3,098)</w:t>
            </w:r>
          </w:p>
        </w:tc>
        <w:tc>
          <w:tcPr>
            <w:tcW w:w="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(2,827)</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(2,975)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10,540</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income available (loss</w:t>
            </w: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attributable) to common</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(16,212)</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(4,286)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5,747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Shares used in computing earnings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(loss) per common share</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18,470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18,853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18,923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18,470</w:t>
            </w:r>
          </w:p>
        </w:tc>
        <w:tc>
          <w:tcPr>
            <w:tcW w:w="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36,858</w:t>
            </w:r>
          </w:p>
        </w:tc>
        <w:tc>
          <w:tcPr>
            <w:tcW w:w="2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35,143</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33,430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2"/>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69</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w w:val="92"/>
              </w:rPr>
              <w:t>February 2, 2004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10"/>
            <w:vMerge w:val="restart"/>
          </w:tcPr>
          <w:p>
            <w:pPr>
              <w:jc w:val="right"/>
              <w:ind w:right="340"/>
              <w:spacing w:after="0"/>
              <w:rPr>
                <w:sz w:val="20"/>
                <w:szCs w:val="20"/>
                <w:color w:val="auto"/>
              </w:rPr>
            </w:pPr>
            <w:r>
              <w:rPr>
                <w:rFonts w:ascii="Arial" w:cs="Arial" w:eastAsia="Arial" w:hAnsi="Arial"/>
                <w:sz w:val="18"/>
                <w:szCs w:val="18"/>
                <w:b w:val="1"/>
                <w:bCs w:val="1"/>
                <w:color w:val="auto"/>
                <w:w w:val="89"/>
              </w:rPr>
              <w:t>Year Ended December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20" w:type="dxa"/>
            <w:vAlign w:val="bottom"/>
          </w:tcPr>
          <w:p>
            <w:pPr>
              <w:spacing w:after="0"/>
              <w:rPr>
                <w:sz w:val="19"/>
                <w:szCs w:val="19"/>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to December 31,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10"/>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2004</w:t>
            </w:r>
            <w:r>
              <w:rPr>
                <w:rFonts w:ascii="Arial" w:cs="Arial" w:eastAsia="Arial" w:hAnsi="Arial"/>
                <w:sz w:val="15"/>
                <w:szCs w:val="15"/>
                <w:b w:val="1"/>
                <w:bCs w:val="1"/>
                <w:color w:val="auto"/>
                <w:w w:val="92"/>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4"/>
              </w:rPr>
              <w:t>2005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Capital expenditures</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24,376</w:t>
            </w:r>
          </w:p>
        </w:tc>
        <w:tc>
          <w:tcPr>
            <w:tcW w:w="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7,406</w:t>
            </w:r>
          </w:p>
        </w:tc>
        <w:tc>
          <w:tcPr>
            <w:tcW w:w="1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(13,503)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9,074</w:t>
            </w:r>
          </w:p>
        </w:tc>
        <w:tc>
          <w:tcPr>
            <w:tcW w:w="12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11,723</w:t>
            </w:r>
          </w:p>
        </w:tc>
        <w:tc>
          <w:tcPr>
            <w:tcW w:w="1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25,675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Period end enrollment: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0"/>
              <w:spacing w:after="0"/>
              <w:rPr>
                <w:sz w:val="20"/>
                <w:szCs w:val="20"/>
                <w:color w:val="auto"/>
              </w:rPr>
            </w:pPr>
            <w:r>
              <w:rPr>
                <w:rFonts w:ascii="Arial" w:cs="Arial" w:eastAsia="Arial" w:hAnsi="Arial"/>
                <w:sz w:val="18"/>
                <w:szCs w:val="18"/>
                <w:color w:val="auto"/>
              </w:rPr>
              <w:t>Online</w:t>
            </w:r>
          </w:p>
        </w:tc>
        <w:tc>
          <w:tcPr>
            <w:tcW w:w="6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3,141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6,212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12,497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21,955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Ground</w:t>
            </w:r>
          </w:p>
        </w:tc>
        <w:tc>
          <w:tcPr>
            <w:tcW w:w="6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w w:val="99"/>
              </w:rPr>
              <w:t>As of December 31,</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spacing w:after="0"/>
              <w:rPr>
                <w:sz w:val="18"/>
                <w:szCs w:val="18"/>
                <w:color w:val="auto"/>
              </w:rPr>
            </w:pP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8"/>
                <w:szCs w:val="18"/>
                <w:color w:val="auto"/>
                <w:w w:val="93"/>
              </w:rPr>
              <w:t>3,476</w:t>
            </w:r>
          </w:p>
        </w:tc>
        <w:tc>
          <w:tcPr>
            <w:tcW w:w="68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544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11,535</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18,930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investments —</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8"/>
                <w:szCs w:val="18"/>
                <w:color w:val="auto"/>
              </w:rPr>
            </w:pPr>
          </w:p>
        </w:tc>
        <w:tc>
          <w:tcPr>
            <w:tcW w:w="1220" w:type="dxa"/>
            <w:vAlign w:val="bottom"/>
            <w:gridSpan w:val="7"/>
          </w:tcPr>
          <w:p>
            <w:pPr>
              <w:jc w:val="right"/>
              <w:ind w:right="100"/>
              <w:spacing w:after="0"/>
              <w:rPr>
                <w:sz w:val="20"/>
                <w:szCs w:val="20"/>
                <w:color w:val="auto"/>
              </w:rPr>
            </w:pPr>
            <w:r>
              <w:rPr>
                <w:rFonts w:ascii="Arial" w:cs="Arial" w:eastAsia="Arial" w:hAnsi="Arial"/>
                <w:sz w:val="18"/>
                <w:szCs w:val="18"/>
                <w:color w:val="auto"/>
              </w:rPr>
              <w:t>30,892</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51,859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61,232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88,568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116,990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Capital lease obligations (including short-term)</w:t>
            </w:r>
          </w:p>
        </w:tc>
        <w:tc>
          <w:tcPr>
            <w:tcW w:w="122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24,360</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24,789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29,228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rPr>
              <w:t>Other indebtedness (including short-term</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0"/>
              <w:spacing w:after="0"/>
              <w:rPr>
                <w:sz w:val="20"/>
                <w:szCs w:val="20"/>
                <w:color w:val="auto"/>
              </w:rPr>
            </w:pPr>
            <w:r>
              <w:rPr>
                <w:rFonts w:ascii="Arial" w:cs="Arial" w:eastAsia="Arial" w:hAnsi="Arial"/>
                <w:sz w:val="18"/>
                <w:szCs w:val="18"/>
                <w:color w:val="auto"/>
              </w:rPr>
              <w:t>indebtedness)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4,511</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2,635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2,462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2,408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21,390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31,948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color w:val="auto"/>
                <w:w w:val="95"/>
              </w:rPr>
              <w:t xml:space="preserve">Total stockholders’/members’ (deficit) equity </w:t>
            </w:r>
            <w:r>
              <w:rPr>
                <w:rFonts w:ascii="Arial" w:cs="Arial" w:eastAsia="Arial" w:hAnsi="Arial"/>
                <w:sz w:val="15"/>
                <w:szCs w:val="15"/>
                <w:color w:val="auto"/>
                <w:w w:val="95"/>
              </w:rPr>
              <w:t>(2)</w:t>
            </w:r>
          </w:p>
        </w:tc>
        <w:tc>
          <w:tcPr>
            <w:tcW w:w="1220" w:type="dxa"/>
            <w:vAlign w:val="bottom"/>
            <w:gridSpan w:val="7"/>
          </w:tcPr>
          <w:p>
            <w:pPr>
              <w:jc w:val="right"/>
              <w:ind w:right="40"/>
              <w:spacing w:after="0"/>
              <w:rPr>
                <w:sz w:val="20"/>
                <w:szCs w:val="20"/>
                <w:color w:val="auto"/>
              </w:rPr>
            </w:pPr>
            <w:r>
              <w:rPr>
                <w:rFonts w:ascii="Arial" w:cs="Arial" w:eastAsia="Arial" w:hAnsi="Arial"/>
                <w:sz w:val="18"/>
                <w:szCs w:val="18"/>
                <w:color w:val="auto"/>
              </w:rPr>
              <w:t>(7,645)</w:t>
            </w:r>
          </w:p>
        </w:tc>
        <w:tc>
          <w:tcPr>
            <w:tcW w:w="1100" w:type="dxa"/>
            <w:vAlign w:val="bottom"/>
            <w:gridSpan w:val="5"/>
          </w:tcPr>
          <w:p>
            <w:pPr>
              <w:jc w:val="right"/>
              <w:ind w:right="20"/>
              <w:spacing w:after="0"/>
              <w:rPr>
                <w:sz w:val="20"/>
                <w:szCs w:val="20"/>
                <w:color w:val="auto"/>
              </w:rPr>
            </w:pPr>
            <w:r>
              <w:rPr>
                <w:rFonts w:ascii="Arial" w:cs="Arial" w:eastAsia="Arial" w:hAnsi="Arial"/>
                <w:sz w:val="18"/>
                <w:szCs w:val="18"/>
                <w:color w:val="auto"/>
              </w:rPr>
              <w:t>(12,111)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(11,723)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(10,386)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53,590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80" w:right="679" w:hanging="348"/>
        <w:spacing w:after="0" w:line="259"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38" w:lineRule="exact"/>
        <w:rPr>
          <w:rFonts w:ascii="Arial" w:cs="Arial" w:eastAsia="Arial" w:hAnsi="Arial"/>
          <w:sz w:val="18"/>
          <w:szCs w:val="18"/>
          <w:color w:val="auto"/>
        </w:rPr>
      </w:pPr>
    </w:p>
    <w:p>
      <w:pPr>
        <w:ind w:left="680" w:right="719" w:hanging="348"/>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August 24, 2005, we converted from a limited liability company to a taxable corporation. For all periods subsequent to such date, we have been subject to corporate-level U.S. federal and state income taxes.</w:t>
      </w:r>
    </w:p>
    <w:p>
      <w:pPr>
        <w:spacing w:after="0" w:line="21" w:lineRule="exact"/>
        <w:rPr>
          <w:rFonts w:ascii="Arial" w:cs="Arial" w:eastAsia="Arial" w:hAnsi="Arial"/>
          <w:sz w:val="18"/>
          <w:szCs w:val="18"/>
          <w:color w:val="auto"/>
        </w:rPr>
      </w:pPr>
    </w:p>
    <w:p>
      <w:pPr>
        <w:ind w:left="680" w:right="579" w:hanging="348"/>
        <w:spacing w:after="0" w:line="272"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Item 7,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 xml:space="preserve"> Factors affecting comparability </w:t>
      </w:r>
      <w:r>
        <w:rPr>
          <w:rFonts w:ascii="Arial" w:cs="Arial" w:eastAsia="Arial" w:hAnsi="Arial"/>
          <w:sz w:val="17"/>
          <w:szCs w:val="17"/>
          <w:color w:val="auto"/>
        </w:rPr>
        <w:t>—</w:t>
      </w:r>
      <w:r>
        <w:rPr>
          <w:rFonts w:ascii="Arial" w:cs="Arial" w:eastAsia="Arial" w:hAnsi="Arial"/>
          <w:sz w:val="17"/>
          <w:szCs w:val="17"/>
          <w:i w:val="1"/>
          <w:iCs w:val="1"/>
          <w:color w:val="auto"/>
        </w:rPr>
        <w:t xml:space="preserve"> Settlement with former owner</w:t>
      </w:r>
      <w:r>
        <w:rPr>
          <w:rFonts w:ascii="Arial" w:cs="Arial" w:eastAsia="Arial" w:hAnsi="Arial"/>
          <w:sz w:val="17"/>
          <w:szCs w:val="17"/>
          <w:color w:val="auto"/>
        </w:rPr>
        <w:t>, and Note 2 to our financial statements that are included in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 (ii) management fees and expenses that are no longer paid; (iii) contributions made to Arizona school</w:t>
      </w:r>
      <w:r>
        <w:rPr>
          <w:rFonts w:ascii="Arial" w:cs="Arial" w:eastAsia="Arial" w:hAnsi="Arial"/>
          <w:sz w:val="17"/>
          <w:szCs w:val="17"/>
          <w:i w:val="1"/>
          <w:iCs w:val="1"/>
          <w:color w:val="auto"/>
        </w:rPr>
        <w:t xml:space="preserve"> </w:t>
      </w:r>
      <w:r>
        <w:rPr>
          <w:rFonts w:ascii="Arial" w:cs="Arial" w:eastAsia="Arial" w:hAnsi="Arial"/>
          <w:sz w:val="17"/>
          <w:szCs w:val="17"/>
          <w:color w:val="auto"/>
        </w:rPr>
        <w:t>tuition organizations in lieu of payments of state income taxes; and (iv) share-based compensation.</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firstLine="373"/>
        <w:spacing w:after="0" w:line="254" w:lineRule="auto"/>
        <w:rPr>
          <w:sz w:val="20"/>
          <w:szCs w:val="20"/>
          <w:color w:val="auto"/>
        </w:rPr>
      </w:pPr>
      <w:r>
        <w:rPr>
          <w:rFonts w:ascii="Arial" w:cs="Arial" w:eastAsia="Arial" w:hAnsi="Arial"/>
          <w:sz w:val="18"/>
          <w:szCs w:val="18"/>
          <w:color w:val="auto"/>
        </w:rPr>
        <w:t>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royalty expenses paid to our former owner and share-based compensation are not considered reflective of our core operating performance.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management uses Adjusted EBITDA:</w:t>
      </w:r>
    </w:p>
    <w:p>
      <w:pPr>
        <w:spacing w:after="0" w:line="185" w:lineRule="exact"/>
        <w:rPr>
          <w:sz w:val="20"/>
          <w:szCs w:val="20"/>
          <w:color w:val="auto"/>
        </w:rPr>
      </w:pPr>
    </w:p>
    <w:p>
      <w:pPr>
        <w:ind w:left="1420" w:hanging="345"/>
        <w:spacing w:after="0"/>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 developing our internal budgets and strategic plan;</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as a measurement of operating performance;</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as a factor in evaluating the performance of our management for compensation purposes; and</w:t>
      </w:r>
    </w:p>
    <w:p>
      <w:pPr>
        <w:spacing w:after="0" w:line="184" w:lineRule="exact"/>
        <w:rPr>
          <w:rFonts w:ascii="Arial" w:cs="Arial" w:eastAsia="Arial" w:hAnsi="Arial"/>
          <w:sz w:val="18"/>
          <w:szCs w:val="18"/>
          <w:b w:val="1"/>
          <w:bCs w:val="1"/>
          <w:color w:val="auto"/>
        </w:rPr>
      </w:pPr>
    </w:p>
    <w:p>
      <w:pPr>
        <w:jc w:val="both"/>
        <w:ind w:left="1420" w:right="579" w:hanging="345"/>
        <w:spacing w:after="0" w:line="286" w:lineRule="auto"/>
        <w:tabs>
          <w:tab w:leader="none" w:pos="142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25" w:lineRule="exact"/>
        <w:rPr>
          <w:sz w:val="20"/>
          <w:szCs w:val="20"/>
          <w:color w:val="auto"/>
        </w:rPr>
      </w:pPr>
    </w:p>
    <w:p>
      <w:pPr>
        <w:ind w:left="340" w:right="619"/>
        <w:spacing w:after="0" w:line="255" w:lineRule="auto"/>
        <w:rPr>
          <w:sz w:val="20"/>
          <w:szCs w:val="20"/>
          <w:color w:val="auto"/>
        </w:rPr>
      </w:pPr>
      <w:r>
        <w:rPr>
          <w:rFonts w:ascii="Arial" w:cs="Arial" w:eastAsia="Arial" w:hAnsi="Arial"/>
          <w:sz w:val="18"/>
          <w:szCs w:val="18"/>
          <w:color w:val="auto"/>
        </w:rPr>
        <w:t xml:space="preserve">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1,803</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2,257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3,855</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5,095</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7,645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17,892</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(c)</w:t>
            </w:r>
          </w:p>
        </w:tc>
        <w:tc>
          <w:tcPr>
            <w:tcW w:w="18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(d)</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4,991</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25,675</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80" w:right="619" w:hanging="348"/>
        <w:spacing w:after="0" w:line="273" w:lineRule="auto"/>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Item 7,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 xml:space="preserve"> Factors affecting comparability </w:t>
      </w:r>
      <w:r>
        <w:rPr>
          <w:rFonts w:ascii="Arial" w:cs="Arial" w:eastAsia="Arial" w:hAnsi="Arial"/>
          <w:sz w:val="17"/>
          <w:szCs w:val="17"/>
          <w:color w:val="auto"/>
        </w:rPr>
        <w:t>—</w:t>
      </w:r>
      <w:r>
        <w:rPr>
          <w:rFonts w:ascii="Arial" w:cs="Arial" w:eastAsia="Arial" w:hAnsi="Arial"/>
          <w:sz w:val="17"/>
          <w:szCs w:val="17"/>
          <w:i w:val="1"/>
          <w:iCs w:val="1"/>
          <w:color w:val="auto"/>
        </w:rPr>
        <w:t xml:space="preserve"> Settlement with former owner</w:t>
      </w:r>
      <w:r>
        <w:rPr>
          <w:rFonts w:ascii="Arial" w:cs="Arial" w:eastAsia="Arial" w:hAnsi="Arial"/>
          <w:sz w:val="17"/>
          <w:szCs w:val="17"/>
          <w:color w:val="auto"/>
        </w:rPr>
        <w:t>, and Note 2 to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that are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80" w:right="679" w:hanging="348"/>
        <w:spacing w:after="0" w:line="25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management fees and expenses of $0.3 million, $0.3 million, and $0.4 million for the years ended December 31, 2006, 2007, and 2008, respectively, to the general partner of Endeavour Capital Fund IV, L.P., one of our significant stockholders, and an aggregate of $0.7 million for the years ended December 31, 2006, to an entity affiliated with a former director and another affiliated with a significant stockholder, in each case following their investment in us. The agreements relating to these arrangements have all terminated.</w:t>
      </w:r>
    </w:p>
    <w:p>
      <w:pPr>
        <w:spacing w:after="0" w:line="39" w:lineRule="exact"/>
        <w:rPr>
          <w:rFonts w:ascii="Arial" w:cs="Arial" w:eastAsia="Arial" w:hAnsi="Arial"/>
          <w:sz w:val="18"/>
          <w:szCs w:val="18"/>
          <w:color w:val="auto"/>
        </w:rPr>
      </w:pPr>
    </w:p>
    <w:p>
      <w:pPr>
        <w:ind w:left="680" w:right="599" w:hanging="348"/>
        <w:spacing w:after="0" w:line="276"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Reflects contributions made to various Arizona school tuition organizations to assist with funding for education. In connection with such contributions made we received a dollar-for-dollar state income tax credit, which resulted in a reduction in our effective income tax rate to 36.6% for the year ended December 31, 2008. Had this payment not been made our effective tax rate would have been 40.8%. Such contributions are viewed by our management to be made in lieu of payments of state income taxes and are therefore excluded from evaluation of our core operating performance.</w:t>
      </w:r>
    </w:p>
    <w:p>
      <w:pPr>
        <w:spacing w:after="0" w:line="23" w:lineRule="exact"/>
        <w:rPr>
          <w:rFonts w:ascii="Arial" w:cs="Arial" w:eastAsia="Arial" w:hAnsi="Arial"/>
          <w:sz w:val="17"/>
          <w:szCs w:val="17"/>
          <w:color w:val="auto"/>
        </w:rPr>
      </w:pPr>
    </w:p>
    <w:p>
      <w:pPr>
        <w:ind w:left="680" w:right="739" w:hanging="348"/>
        <w:spacing w:after="0" w:line="259"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share based compensation expense recorded in the fourth quarter of 2008, $1.3 million of which relates to stock granted to our new Chief Executive Officer in connection with our initial public offering and $3.7 million of which relates to share-based compensation for stock options granted to employees and directors in connection with our initial public offering of common stock.</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89" w:lineRule="exact"/>
        <w:rPr>
          <w:sz w:val="20"/>
          <w:szCs w:val="20"/>
          <w:color w:val="auto"/>
        </w:rPr>
      </w:pPr>
    </w:p>
    <w:p>
      <w:pPr>
        <w:ind w:left="340" w:right="659" w:firstLine="373"/>
        <w:spacing w:after="0" w:line="273" w:lineRule="auto"/>
        <w:rPr>
          <w:sz w:val="20"/>
          <w:szCs w:val="20"/>
          <w:color w:val="auto"/>
        </w:rPr>
      </w:pPr>
      <w:r>
        <w:rPr>
          <w:rFonts w:ascii="Arial" w:cs="Arial" w:eastAsia="Arial" w:hAnsi="Arial"/>
          <w:sz w:val="17"/>
          <w:szCs w:val="17"/>
          <w:color w:val="auto"/>
        </w:rPr>
        <w:t xml:space="preserve">The following discussion and analysis of our financial condition and results of operations should be read in conjunction with our financial statements and related notes that appear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w:t>
      </w:r>
      <w:r>
        <w:rPr>
          <w:rFonts w:ascii="Arial" w:cs="Arial" w:eastAsia="Arial" w:hAnsi="Arial"/>
          <w:sz w:val="17"/>
          <w:szCs w:val="17"/>
          <w:i w:val="1"/>
          <w:iCs w:val="1"/>
          <w:color w:val="auto"/>
        </w:rPr>
        <w:t>Forward-Looking Statements</w:t>
      </w:r>
      <w:r>
        <w:rPr>
          <w:rFonts w:ascii="Arial" w:cs="Arial" w:eastAsia="Arial" w:hAnsi="Arial"/>
          <w:sz w:val="17"/>
          <w:szCs w:val="17"/>
          <w:color w:val="auto"/>
        </w:rPr>
        <w: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Overview</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are a regionally accredited provider of online postsecondary education services focused on offering graduate and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undergraduate degree programs in our core disciplines of education, business, and healthcare. In addition to our online programs,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offer ground programs at our traditional campus in Phoenix, Arizona and onsite at the facilities of employers. At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31, 2008, we had approximately 24,600 students an increase of 67.0% over 14,800 students at December 31, 2007. At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31, 2008, 89.1% of students were enrolled in our online programs, with 52.9% pursuing master’s or doctoral degrees.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Since we acquired Grand Canyon University in February 2004, we have enhanced our senior management team, expanded our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online platform, increased our program offerings, and initiated a marketing and branding effort to further differentiate us in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markets in which we operate. We have also made investments to enhance our student and technology support services. We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believe the changes we have instituted, combined with our management expertise, provide a platform that will support continued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enrollment and revenue growth.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fiscal year 2008, we experienced the following significant events:</w:t>
      </w:r>
    </w:p>
    <w:p>
      <w:pPr>
        <w:spacing w:after="0" w:line="198" w:lineRule="exact"/>
        <w:rPr>
          <w:sz w:val="20"/>
          <w:szCs w:val="20"/>
          <w:color w:val="auto"/>
        </w:rPr>
      </w:pPr>
    </w:p>
    <w:p>
      <w:pPr>
        <w:ind w:left="1420" w:right="659" w:hanging="345"/>
        <w:spacing w:after="0" w:line="269" w:lineRule="auto"/>
        <w:tabs>
          <w:tab w:leader="none" w:pos="1420" w:val="left"/>
        </w:tabs>
        <w:numPr>
          <w:ilvl w:val="0"/>
          <w:numId w:val="36"/>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Initial Public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 On November 19, 2008, our registration statement for our initial public offering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became effective. In the initial public offering, we sold 10,500,000 shares of common stock at a price to the public of $12.00 per share, before underwriting discounts and commissions. On November 26, 2008, the underwriters’ elected to exercise in full the underwriters’ option to purchase, and we sold, an additional 1,575,000 shares at the initial public offering price to cover over-allotments. The aggregate gross proceeds of the shares offered and sold by us, including in connection with the underwriters’ exercise of the over-allotment option, totaled $144.9 million. We used $108.7 million of the proceeds to pay a special distribution on an as converted basis to the common and preferred shareholders of record as of November 18, 2008, $10.1 million to pay underwriting discounts and commissions, and $6.0 million to pay other expenses in connection with the offering. The remaining $20.1 million of net proceeds from the offering will be used for general corporate purposes.</w:t>
      </w:r>
    </w:p>
    <w:p>
      <w:pPr>
        <w:spacing w:after="0" w:line="142" w:lineRule="exact"/>
        <w:rPr>
          <w:rFonts w:ascii="Arial" w:cs="Arial" w:eastAsia="Arial" w:hAnsi="Arial"/>
          <w:sz w:val="17"/>
          <w:szCs w:val="17"/>
          <w:b w:val="1"/>
          <w:bCs w:val="1"/>
          <w:color w:val="auto"/>
        </w:rPr>
      </w:pPr>
    </w:p>
    <w:p>
      <w:pPr>
        <w:ind w:left="1420" w:right="719" w:hanging="345"/>
        <w:spacing w:after="0" w:line="288" w:lineRule="auto"/>
        <w:tabs>
          <w:tab w:leader="none" w:pos="1420" w:val="left"/>
        </w:tabs>
        <w:numPr>
          <w:ilvl w:val="0"/>
          <w:numId w:val="36"/>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Enrollment, Net Revenue and Operating Income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 We achieved 67.0% growth in enrollment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December 31, 2008 as compared to fiscal year ended December 31, 2007, which was the primary factor contributing to a 62.4% increase in net revenue over the same period. In addition, we increased tuition for students in our online and professional studies programs by 5.0% to 5.3% for our 2008-09 academic year, as compared to 2.6% to 4.2% for the prior academic year. Tuition for our traditional ground programs increased 11.2% for our 2008-09 academic year, as compared to 16.0% for the prior academic year. The enrollment and tuition price increases were partially offset by the continuing mix shift towards online programs, which have a lower tuition price per credit hour and with respect to which our online students take fewer credit hours per semester than our traditional ground students. Operating income was $12.8 million for the fiscal year ended December 31, 2008, an increase of 194.5% over the $4.3 million in operating income for 2007.</w:t>
      </w:r>
    </w:p>
    <w:p>
      <w:pPr>
        <w:spacing w:after="0" w:line="128" w:lineRule="exact"/>
        <w:rPr>
          <w:rFonts w:ascii="Arial" w:cs="Arial" w:eastAsia="Arial" w:hAnsi="Arial"/>
          <w:sz w:val="16"/>
          <w:szCs w:val="16"/>
          <w:b w:val="1"/>
          <w:bCs w:val="1"/>
          <w:color w:val="auto"/>
        </w:rPr>
      </w:pPr>
    </w:p>
    <w:p>
      <w:pPr>
        <w:ind w:left="1420" w:right="559" w:hanging="345"/>
        <w:spacing w:after="0" w:line="286" w:lineRule="auto"/>
        <w:tabs>
          <w:tab w:leader="none" w:pos="1420" w:val="left"/>
        </w:tabs>
        <w:numPr>
          <w:ilvl w:val="0"/>
          <w:numId w:val="36"/>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OIG Investigation and Qui Tam Law Suit</w:t>
      </w:r>
      <w:r>
        <w:rPr>
          <w:rFonts w:ascii="Arial" w:cs="Arial" w:eastAsia="Arial" w:hAnsi="Arial"/>
          <w:sz w:val="16"/>
          <w:szCs w:val="16"/>
          <w:i w:val="1"/>
          <w:iCs w:val="1"/>
          <w:color w:val="auto"/>
        </w:rPr>
        <w:t xml:space="preserve"> </w:t>
      </w:r>
      <w:r>
        <w:rPr>
          <w:rFonts w:ascii="Arial" w:cs="Arial" w:eastAsia="Arial" w:hAnsi="Arial"/>
          <w:sz w:val="16"/>
          <w:szCs w:val="16"/>
          <w:color w:val="auto"/>
        </w:rPr>
        <w:t>— In recent years, several for-profit education companies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faced with 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brought by current or former employees alleging that their institution had made impermissible incentive payments to admissions employees. The employees bringing such lawsuits typically seek, for themselves and for the federal government, substantial financial penalties against the subject company. In this regard, 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lawsuit alleges, among other things, that we have improperly compensated certain of our enrollment counselors in violation of the Title IV law governing compensation of such employees, and as a result, improperly received Title IV program funds. See Item 1A, </w:t>
      </w:r>
      <w:r>
        <w:rPr>
          <w:rFonts w:ascii="Arial" w:cs="Arial" w:eastAsia="Arial" w:hAnsi="Arial"/>
          <w:sz w:val="16"/>
          <w:szCs w:val="16"/>
          <w:i w:val="1"/>
          <w:iCs w:val="1"/>
          <w:color w:val="auto"/>
        </w:rPr>
        <w:t>Risk Factors — We were recently notified that a qui</w:t>
      </w:r>
      <w:r>
        <w:rPr>
          <w:rFonts w:ascii="Arial" w:cs="Arial" w:eastAsia="Arial" w:hAnsi="Arial"/>
          <w:sz w:val="16"/>
          <w:szCs w:val="16"/>
          <w:color w:val="auto"/>
        </w:rPr>
        <w:t xml:space="preserve"> </w:t>
      </w:r>
      <w:r>
        <w:rPr>
          <w:rFonts w:ascii="Arial" w:cs="Arial" w:eastAsia="Arial" w:hAnsi="Arial"/>
          <w:sz w:val="16"/>
          <w:szCs w:val="16"/>
          <w:i w:val="1"/>
          <w:iCs w:val="1"/>
          <w:color w:val="auto"/>
        </w:rPr>
        <w:t>tam lawsuit has been filed against us alleging, among other things, that we have improperly compensated certain of our enrollment counselors, and we may incur liability, be subject to sanctions, or experience damage</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20" w:right="559"/>
        <w:spacing w:after="0" w:line="268" w:lineRule="auto"/>
        <w:rPr>
          <w:sz w:val="20"/>
          <w:szCs w:val="20"/>
          <w:color w:val="auto"/>
        </w:rPr>
      </w:pPr>
      <w:r>
        <w:rPr>
          <w:rFonts w:ascii="Arial" w:cs="Arial" w:eastAsia="Arial" w:hAnsi="Arial"/>
          <w:sz w:val="17"/>
          <w:szCs w:val="17"/>
          <w:i w:val="1"/>
          <w:iCs w:val="1"/>
          <w:color w:val="auto"/>
        </w:rPr>
        <w:t>to our reputation as a result of this lawsuit</w:t>
      </w:r>
      <w:r>
        <w:rPr>
          <w:rFonts w:ascii="Arial" w:cs="Arial" w:eastAsia="Arial" w:hAnsi="Arial"/>
          <w:sz w:val="17"/>
          <w:szCs w:val="17"/>
          <w:color w:val="auto"/>
        </w:rPr>
        <w:t>, Item 1,</w:t>
      </w:r>
      <w:r>
        <w:rPr>
          <w:rFonts w:ascii="Arial" w:cs="Arial" w:eastAsia="Arial" w:hAnsi="Arial"/>
          <w:sz w:val="17"/>
          <w:szCs w:val="17"/>
          <w:i w:val="1"/>
          <w:iCs w:val="1"/>
          <w:color w:val="auto"/>
        </w:rPr>
        <w:t xml:space="preserve"> Business — Legal Proceedings</w:t>
      </w:r>
      <w:r>
        <w:rPr>
          <w:rFonts w:ascii="Arial" w:cs="Arial" w:eastAsia="Arial" w:hAnsi="Arial"/>
          <w:sz w:val="17"/>
          <w:szCs w:val="17"/>
          <w:color w:val="auto"/>
        </w:rPr>
        <w:t>; Item 1,</w:t>
      </w:r>
      <w:r>
        <w:rPr>
          <w:rFonts w:ascii="Arial" w:cs="Arial" w:eastAsia="Arial" w:hAnsi="Arial"/>
          <w:sz w:val="17"/>
          <w:szCs w:val="17"/>
          <w:i w:val="1"/>
          <w:iCs w:val="1"/>
          <w:color w:val="auto"/>
        </w:rPr>
        <w:t xml:space="preserve"> Business — Regulation — Regulation of Federal Student Financial Aid Programs — Incentive compensation rule</w:t>
      </w:r>
      <w:r>
        <w:rPr>
          <w:rFonts w:ascii="Arial" w:cs="Arial" w:eastAsia="Arial" w:hAnsi="Arial"/>
          <w:sz w:val="17"/>
          <w:szCs w:val="17"/>
          <w:color w:val="auto"/>
        </w:rPr>
        <w:t>; and Item 3,</w:t>
      </w:r>
      <w:r>
        <w:rPr>
          <w:rFonts w:ascii="Arial" w:cs="Arial" w:eastAsia="Arial" w:hAnsi="Arial"/>
          <w:sz w:val="17"/>
          <w:szCs w:val="17"/>
          <w:i w:val="1"/>
          <w:iCs w:val="1"/>
          <w:color w:val="auto"/>
        </w:rPr>
        <w:t xml:space="preserve"> Legal Proceedings</w:t>
      </w:r>
      <w:r>
        <w:rPr>
          <w:rFonts w:ascii="Arial" w:cs="Arial" w:eastAsia="Arial" w:hAnsi="Arial"/>
          <w:sz w:val="17"/>
          <w:szCs w:val="17"/>
          <w:color w:val="auto"/>
        </w:rPr>
        <w:t>. Further, on August 14, 2008, the Office of Inspector General of the Department of Education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served an administrative subpoena on Grand Canyon University requiring us to provide certain records and information related to performance reviews and salary adjustments for all of our enrollment counselors and managers from January 1, 2004 to the present. See Item 1A, </w:t>
      </w:r>
      <w:r>
        <w:rPr>
          <w:rFonts w:ascii="Arial" w:cs="Arial" w:eastAsia="Arial" w:hAnsi="Arial"/>
          <w:sz w:val="17"/>
          <w:szCs w:val="17"/>
          <w:i w:val="1"/>
          <w:iCs w:val="1"/>
          <w:color w:val="auto"/>
        </w:rPr>
        <w:t>Risk Factors — The Office of Inspector General of</w:t>
      </w:r>
      <w:r>
        <w:rPr>
          <w:rFonts w:ascii="Arial" w:cs="Arial" w:eastAsia="Arial" w:hAnsi="Arial"/>
          <w:sz w:val="17"/>
          <w:szCs w:val="17"/>
          <w:color w:val="auto"/>
        </w:rPr>
        <w:t xml:space="preserve"> </w:t>
      </w:r>
      <w:r>
        <w:rPr>
          <w:rFonts w:ascii="Arial" w:cs="Arial" w:eastAsia="Arial" w:hAnsi="Arial"/>
          <w:sz w:val="17"/>
          <w:szCs w:val="17"/>
          <w:i w:val="1"/>
          <w:iCs w:val="1"/>
          <w:color w:val="auto"/>
        </w:rPr>
        <w:t>the Department of Education has commenced an investigation of Grand Canyon University, which is ongoing and which may result in fines, penalties, other sanctions, and damage to our reputation in the industry</w:t>
      </w:r>
      <w:r>
        <w:rPr>
          <w:rFonts w:ascii="Arial" w:cs="Arial" w:eastAsia="Arial" w:hAnsi="Arial"/>
          <w:sz w:val="17"/>
          <w:szCs w:val="17"/>
          <w:color w:val="auto"/>
        </w:rPr>
        <w:t>; Item 1,</w:t>
      </w:r>
      <w:r>
        <w:rPr>
          <w:rFonts w:ascii="Arial" w:cs="Arial" w:eastAsia="Arial" w:hAnsi="Arial"/>
          <w:sz w:val="17"/>
          <w:szCs w:val="17"/>
          <w:i w:val="1"/>
          <w:iCs w:val="1"/>
          <w:color w:val="auto"/>
        </w:rPr>
        <w:t xml:space="preserve"> Business — Regulation — Regulation of Federal Student Financial Aid Programs — Incentive compensation rule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Item 3,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These matters remain ongoing. If it were determined that any of our compensation practices violated the incentive compensation law, we could be subject to substantial monetary liabilities, fines, and other sanctions or could suffer an adverse outcome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any of which could have a material adverse effect on our business, prospects, financial condition and results of operations and could adversely affect our stock price.</w:t>
      </w:r>
    </w:p>
    <w:p>
      <w:pPr>
        <w:spacing w:after="0" w:line="158" w:lineRule="exact"/>
        <w:rPr>
          <w:sz w:val="20"/>
          <w:szCs w:val="20"/>
          <w:color w:val="auto"/>
        </w:rPr>
      </w:pPr>
    </w:p>
    <w:p>
      <w:pPr>
        <w:ind w:left="1420" w:right="659" w:hanging="345"/>
        <w:spacing w:after="0" w:line="287" w:lineRule="auto"/>
        <w:tabs>
          <w:tab w:leader="none" w:pos="1420" w:val="left"/>
        </w:tabs>
        <w:numPr>
          <w:ilvl w:val="0"/>
          <w:numId w:val="37"/>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Changes in Executive Management Team</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July 1, 2008, we hired Brian Mueller, Stan Meyer and Dan</w:t>
      </w:r>
      <w:r>
        <w:rPr>
          <w:rFonts w:ascii="Arial" w:cs="Arial" w:eastAsia="Arial" w:hAnsi="Arial"/>
          <w:sz w:val="16"/>
          <w:szCs w:val="16"/>
          <w:i w:val="1"/>
          <w:iCs w:val="1"/>
          <w:color w:val="auto"/>
        </w:rPr>
        <w:t xml:space="preserve"> </w:t>
      </w:r>
      <w:r>
        <w:rPr>
          <w:rFonts w:ascii="Arial" w:cs="Arial" w:eastAsia="Arial" w:hAnsi="Arial"/>
          <w:sz w:val="16"/>
          <w:szCs w:val="16"/>
          <w:color w:val="auto"/>
        </w:rPr>
        <w:t>Bachus to serve as our Chief Executive Officer, Executive Vice President, and Chief Financial Officer, respectively. Mr. Mueller has been involved in the education industry for over 25 years, most recently as the president of Apollo Group, Inc., a for-profit, postsecondary education company and the parent company of the University of Phoenix. Mr. Meyer also has over 25 years of experience in the education industry, most recently served as the executive vice president of marketing and enrollment for Apollo Group, Inc. Mr. Bachus, who is a certified public accountant, has worked in the education industry for approximately seven years, including as the chief accounting officer and controller for Apollo Group, Inc. This team, together with our other senior officers, possesses extensive experience in the management and operation of publicly-traded for-profit, postsecondary education companies, as well as other educational services businesses, including in the areas of marketing, recruiting, and retaining students pursuing online and other distance education degree offerings.</w:t>
      </w:r>
    </w:p>
    <w:p>
      <w:pPr>
        <w:spacing w:after="0" w:line="132" w:lineRule="exact"/>
        <w:rPr>
          <w:rFonts w:ascii="Arial" w:cs="Arial" w:eastAsia="Arial" w:hAnsi="Arial"/>
          <w:sz w:val="16"/>
          <w:szCs w:val="16"/>
          <w:b w:val="1"/>
          <w:bCs w:val="1"/>
          <w:color w:val="auto"/>
        </w:rPr>
      </w:pPr>
    </w:p>
    <w:p>
      <w:pPr>
        <w:ind w:left="1420" w:right="639" w:hanging="345"/>
        <w:spacing w:after="0" w:line="254"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Share-Based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In the fourth quarter of 2008, we recognized $3.7 million in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 conjunction with grants of 710,494 fully vested options and 2,594,583 time vested options to purchase shares of our common stock to our employees and directors in connection with our initial public offering, which options were granted with an exercise price equal to the initial public offering price of $12.00 per share. We also recognized $1.3 million in compensation expense, which is reflected in general and administrative expense, in conjunction with the grant of 109,329 shares of common stock to our Chief Executive Officer in connection with our initial public offering, which shares were valued at the initial public offering price of $12.00 per share.</w:t>
      </w: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financial metrics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85"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124"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 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52"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126" w:lineRule="exact"/>
        <w:rPr>
          <w:sz w:val="20"/>
          <w:szCs w:val="20"/>
          <w:color w:val="auto"/>
        </w:rPr>
      </w:pPr>
    </w:p>
    <w:p>
      <w:pPr>
        <w:ind w:left="340" w:right="579" w:firstLine="373"/>
        <w:spacing w:after="0" w:line="308" w:lineRule="auto"/>
        <w:rPr>
          <w:sz w:val="20"/>
          <w:szCs w:val="20"/>
          <w:color w:val="auto"/>
        </w:rPr>
      </w:pPr>
      <w:r>
        <w:rPr>
          <w:rFonts w:ascii="Arial" w:cs="Arial" w:eastAsia="Arial" w:hAnsi="Arial"/>
          <w:sz w:val="17"/>
          <w:szCs w:val="17"/>
          <w:color w:val="auto"/>
        </w:rPr>
        <w:t>The following is a summary of our student enrollment at December 31, 2006, 2007, and 2008 (which included less than 150 students pursuing non-degree certificates in each period)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16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 of Students</w:t>
            </w: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3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 of Students</w:t>
            </w: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3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 of Students</w:t>
            </w: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16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Master’s degree</w:t>
            </w:r>
            <w:r>
              <w:rPr>
                <w:rFonts w:ascii="Arial" w:cs="Arial" w:eastAsia="Arial" w:hAnsi="Arial"/>
                <w:sz w:val="15"/>
                <w:szCs w:val="15"/>
                <w:color w:val="auto"/>
              </w:rPr>
              <w:t>(1)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Bachelor’s degree</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2,850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5,598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11,605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2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10,662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14,754</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16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2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2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3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 of Students</w:t>
            </w:r>
          </w:p>
        </w:tc>
        <w:tc>
          <w:tcPr>
            <w:tcW w:w="800" w:type="dxa"/>
            <w:vAlign w:val="bottom"/>
          </w:tcPr>
          <w:p>
            <w:pPr>
              <w:spacing w:after="0"/>
              <w:rPr>
                <w:sz w:val="20"/>
                <w:szCs w:val="20"/>
                <w:color w:val="auto"/>
              </w:rPr>
            </w:pPr>
            <w:r>
              <w:rPr>
                <w:rFonts w:ascii="Arial" w:cs="Arial" w:eastAsia="Arial" w:hAnsi="Arial"/>
                <w:sz w:val="18"/>
                <w:szCs w:val="18"/>
                <w:b w:val="1"/>
                <w:bCs w:val="1"/>
                <w:color w:val="auto"/>
                <w:w w:val="90"/>
              </w:rPr>
              <w:t>% of Total</w:t>
            </w:r>
          </w:p>
        </w:tc>
        <w:tc>
          <w:tcPr>
            <w:tcW w:w="16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2,256</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2,257</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2,681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2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14,754</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Includes 56 students pursuing doctoral degrees at December 31, 2008.</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Includes our traditional ground students, as well as our professional students.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151" w:lineRule="exact"/>
        <w:rPr>
          <w:sz w:val="20"/>
          <w:szCs w:val="20"/>
          <w:color w:val="auto"/>
        </w:rPr>
      </w:pPr>
    </w:p>
    <w:p>
      <w:pPr>
        <w:ind w:left="340" w:right="599" w:firstLine="373"/>
        <w:spacing w:after="0" w:line="254" w:lineRule="auto"/>
        <w:rPr>
          <w:sz w:val="20"/>
          <w:szCs w:val="20"/>
          <w:color w:val="auto"/>
        </w:rPr>
      </w:pPr>
      <w:r>
        <w:rPr>
          <w:rFonts w:ascii="Arial" w:cs="Arial" w:eastAsia="Arial" w:hAnsi="Arial"/>
          <w:sz w:val="18"/>
          <w:szCs w:val="18"/>
          <w:color w:val="auto"/>
        </w:rPr>
        <w:t>Based on current tuition rates, tuition for a full program would equate to approximately $15,000 for an online master’s program, approximately $47,000 for a full four-year online bachelor’s program, and 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 program is reduced to the extent credits are transferred from other institutions. Additionally, tuition is reduced for some of our students by scholarships. For the years ended December 31, 2006, 2007 and 2008, revenue was reduced by approximately $8.0 million, $10.3 million and $18.4 million, respectively, as a result of scholarships that we offered to our students.</w:t>
      </w:r>
    </w:p>
    <w:p>
      <w:pPr>
        <w:spacing w:after="0" w:line="152"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149"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We derive a majority of our net revenue from tuition financed by the Title IV programs. For the years ended December 31, 2006, 2007 and 2008, we derived cash receipts equal to approximately 67.9%, 70.2% and 74.4%, respectively, of our net revenue from Title IV programs. Our students also rely on scholarships, personal savings, private loans, and employer tuition reimbursements to pay a portion of their tuition and related expenses. During fiscal 2008, payments derived from private loans constituted approximately 2.9% of our net revenue. Third party lenders independently determine whether a loan to a student is classified as subprime, and, based on these determinations, we derived no payments from subprime loans during the year ended December 31, 2008.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98"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i w:val="1"/>
          <w:iCs w:val="1"/>
          <w:color w:val="auto"/>
        </w:rPr>
        <w:t>Instructional cost and services</w:t>
      </w:r>
      <w:r>
        <w:rPr>
          <w:rFonts w:ascii="Arial" w:cs="Arial" w:eastAsia="Arial" w:hAnsi="Arial"/>
          <w:sz w:val="17"/>
          <w:szCs w:val="17"/>
          <w:color w:val="auto"/>
        </w:rPr>
        <w:t>. Instructional cost and services consist primarily of costs related to the administration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our educational programs. This expense category 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expect instructional costs and services as a percentage of tuition and other net revenue to continue to decline as we leverage our support services that are in place over a larger tuition and enrollment base.</w:t>
      </w:r>
    </w:p>
    <w:p>
      <w:pPr>
        <w:spacing w:after="0" w:line="138"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i w:val="1"/>
          <w:iCs w:val="1"/>
          <w:color w:val="auto"/>
        </w:rPr>
        <w:t>Selling and promotional</w:t>
      </w:r>
      <w:r>
        <w:rPr>
          <w:rFonts w:ascii="Arial" w:cs="Arial" w:eastAsia="Arial" w:hAnsi="Arial"/>
          <w:sz w:val="17"/>
          <w:szCs w:val="17"/>
          <w:color w:val="auto"/>
        </w:rPr>
        <w:t>. Selling and promotional expenses include salaries and benefits of personnel engaged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recruitment, and retention of students, as well as 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 As a result of the removal of our growth restrictions in October 2006, we more than quadrupled the number of our enrollment counselors between December 31, 2006 and December 31, 2008 in an effort to increase our recruiting activities and enroll prospective students. We intend to continue to increase the number of our enrollment counselors in these centers to increase enrollment and enhance student retention, and to lease additional space in the future.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147" w:lineRule="exact"/>
        <w:rPr>
          <w:sz w:val="20"/>
          <w:szCs w:val="20"/>
          <w:color w:val="auto"/>
        </w:rPr>
      </w:pPr>
    </w:p>
    <w:p>
      <w:pPr>
        <w:ind w:left="340" w:right="759" w:firstLine="373"/>
        <w:spacing w:after="0" w:line="255" w:lineRule="auto"/>
        <w:rPr>
          <w:sz w:val="20"/>
          <w:szCs w:val="20"/>
          <w:color w:val="auto"/>
        </w:rPr>
      </w:pPr>
      <w:r>
        <w:rPr>
          <w:rFonts w:ascii="Arial" w:cs="Arial" w:eastAsia="Arial" w:hAnsi="Arial"/>
          <w:sz w:val="18"/>
          <w:szCs w:val="18"/>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2006, 2007, and 2008, we expensed approximately $3.7 million, $4.3 million, and $5.9 million, respectively, pursuant to these arrangements. As we increase our internal recruiting, marketing, and enrollment staff, we expect this revenue share as a proportion of total revenue to decline.</w:t>
      </w:r>
    </w:p>
    <w:p>
      <w:pPr>
        <w:spacing w:after="0" w:line="166" w:lineRule="exact"/>
        <w:rPr>
          <w:sz w:val="20"/>
          <w:szCs w:val="20"/>
          <w:color w:val="auto"/>
        </w:rPr>
      </w:pPr>
    </w:p>
    <w:p>
      <w:pPr>
        <w:ind w:left="340" w:right="599" w:firstLine="373"/>
        <w:spacing w:after="0" w:line="27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include salaries, benefits, and share-based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employees engaged in corporate management, finance, human resources, facilities, compliance, and other corporate functions. General and administrative expenses also include bad debt expense and an allocation of depreciation, amortization, rent and occupancy costs attributable to general and administrative functions.</w:t>
      </w:r>
    </w:p>
    <w:p>
      <w:pPr>
        <w:spacing w:after="0" w:line="131"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i w:val="1"/>
          <w:iCs w:val="1"/>
          <w:color w:val="auto"/>
        </w:rPr>
        <w:t>Royalty to former owner</w:t>
      </w:r>
      <w:r>
        <w:rPr>
          <w:rFonts w:ascii="Arial" w:cs="Arial" w:eastAsia="Arial" w:hAnsi="Arial"/>
          <w:sz w:val="18"/>
          <w:szCs w:val="18"/>
          <w:color w:val="auto"/>
        </w:rPr>
        <w:t>. In connection with our February 2004 acquisition of the assets of Grand Canyon University by</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of our current stockholders, we entered into a royalty fee arrangement with the former owner in which we agreed to pay a stated percentage of cash revenue generated by our online programs. For the years ended December 31, 2006, 2007, and 2008, we expensed $2.7 million, $3.8 million, and $1.7 million, respectively, in connection with this arrangement. This arrangement has been terminated, as discussed below.</w:t>
      </w:r>
    </w:p>
    <w:p>
      <w:pPr>
        <w:spacing w:after="0" w:line="148" w:lineRule="exact"/>
        <w:rPr>
          <w:sz w:val="20"/>
          <w:szCs w:val="20"/>
          <w:color w:val="auto"/>
        </w:rPr>
      </w:pPr>
    </w:p>
    <w:p>
      <w:pPr>
        <w:ind w:left="340" w:right="1339" w:firstLine="373"/>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primarily of interest charges on our capital lease obligations and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balances of our notes payable and line of credit.</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202"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color w:val="auto"/>
        </w:rPr>
        <w:t>We have set forth below selected factors that we believe have had, or can be expected to have, a significant effect on the comparability of recent or future results of operations:</w:t>
      </w:r>
    </w:p>
    <w:p>
      <w:pPr>
        <w:spacing w:after="0" w:line="130" w:lineRule="exact"/>
        <w:rPr>
          <w:sz w:val="20"/>
          <w:szCs w:val="20"/>
          <w:color w:val="auto"/>
        </w:rPr>
      </w:pPr>
    </w:p>
    <w:p>
      <w:pPr>
        <w:ind w:left="340" w:right="659" w:firstLine="373"/>
        <w:spacing w:after="0" w:line="269" w:lineRule="auto"/>
        <w:rPr>
          <w:sz w:val="20"/>
          <w:szCs w:val="20"/>
          <w:color w:val="auto"/>
        </w:rPr>
      </w:pPr>
      <w:r>
        <w:rPr>
          <w:rFonts w:ascii="Arial" w:cs="Arial" w:eastAsia="Arial" w:hAnsi="Arial"/>
          <w:sz w:val="17"/>
          <w:szCs w:val="17"/>
          <w:b w:val="1"/>
          <w:bCs w:val="1"/>
          <w:i w:val="1"/>
          <w:iCs w:val="1"/>
          <w:color w:val="auto"/>
        </w:rPr>
        <w:t>Public company expenses</w:t>
      </w:r>
      <w:r>
        <w:rPr>
          <w:rFonts w:ascii="Arial" w:cs="Arial" w:eastAsia="Arial" w:hAnsi="Arial"/>
          <w:sz w:val="17"/>
          <w:szCs w:val="17"/>
          <w:color w:val="auto"/>
        </w:rPr>
        <w:t>. In November 2008, we completed an initial public offering of shares of our common stock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are listed for trading on the Nasdaq Global Market. As a result, we will now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has made it more expensive for us to obtain director and officer liability insurance. We estimate that incremental annual public company costs will be between $3.0 million and $4.0 million in fiscal 2009.</w:t>
      </w:r>
    </w:p>
    <w:p>
      <w:pPr>
        <w:spacing w:after="0" w:line="142"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b w:val="1"/>
          <w:bCs w:val="1"/>
          <w:i w:val="1"/>
          <w:iCs w:val="1"/>
          <w:color w:val="auto"/>
        </w:rPr>
        <w:t>Settlement with former owner</w:t>
      </w:r>
      <w:r>
        <w:rPr>
          <w:rFonts w:ascii="Arial" w:cs="Arial" w:eastAsia="Arial" w:hAnsi="Arial"/>
          <w:sz w:val="16"/>
          <w:szCs w:val="16"/>
          <w:color w:val="auto"/>
        </w:rPr>
        <w:t>. To resolve a dispute with our former owner arising from our acquisition of Grand Canyon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University and subsequent lease of our campus, we entered into a standstill agreement in September 2007 pursuant to which we agreed with the former owner to stay all pending legal proceedings 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(i) the satisfaction in full of all past and future royalties due to the former owner under a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 Most of the amounts payable to the former owner under the royalty arrangement in 2005, and all of the amounts payable in 2006 and 2007, were accrued and not paid due to the dispute. A portion of the settlement payments has been treated as a prepaid royalty asset that will be amortized over 20 years at approximately $0.3 million per year, which differs from the historical royalty expense.</w:t>
      </w:r>
    </w:p>
    <w:p>
      <w:pPr>
        <w:spacing w:after="0" w:line="145" w:lineRule="exact"/>
        <w:rPr>
          <w:sz w:val="20"/>
          <w:szCs w:val="20"/>
          <w:color w:val="auto"/>
        </w:rPr>
      </w:pPr>
    </w:p>
    <w:p>
      <w:pPr>
        <w:ind w:left="340" w:right="559" w:firstLine="373"/>
        <w:spacing w:after="0" w:line="254" w:lineRule="auto"/>
        <w:rPr>
          <w:sz w:val="20"/>
          <w:szCs w:val="20"/>
          <w:color w:val="auto"/>
        </w:rPr>
      </w:pPr>
      <w:r>
        <w:rPr>
          <w:rFonts w:ascii="Arial" w:cs="Arial" w:eastAsia="Arial" w:hAnsi="Arial"/>
          <w:sz w:val="18"/>
          <w:szCs w:val="18"/>
          <w:b w:val="1"/>
          <w:bCs w:val="1"/>
          <w:i w:val="1"/>
          <w:iCs w:val="1"/>
          <w:color w:val="auto"/>
        </w:rPr>
        <w:t>Management fees and expenses</w:t>
      </w:r>
      <w:r>
        <w:rPr>
          <w:rFonts w:ascii="Arial" w:cs="Arial" w:eastAsia="Arial" w:hAnsi="Arial"/>
          <w:sz w:val="18"/>
          <w:szCs w:val="18"/>
          <w:color w:val="auto"/>
        </w:rPr>
        <w:t>. In connection with an August 2005 investment in us led by the Endeavour Entities,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professional services agreement with the Endeavour Entities’ general partner. Concurrent with the completion of the public offering, the professional services agreement terminated by its terms. For the years ended December 31, 2006, 2007, and 2008, we incurred $0.3 million, $0.3 million, and $0.4 million, respectively, in fees and expenses under this agreement. In addition, through December 31, 2006, we were party to two additional professional services agreements, one with an entity affiliated with a former director and another affiliated with a then significant stockholder, both of which terminated in accordance with their respective terms in 2006. For the years ended December 31, 2006, we paid an aggregate of $0.7 million under these agreements.</w:t>
      </w:r>
    </w:p>
    <w:p>
      <w:pPr>
        <w:spacing w:after="0" w:line="152" w:lineRule="exact"/>
        <w:rPr>
          <w:sz w:val="20"/>
          <w:szCs w:val="20"/>
          <w:color w:val="auto"/>
        </w:rPr>
      </w:pPr>
    </w:p>
    <w:p>
      <w:pPr>
        <w:ind w:left="340" w:right="559" w:firstLine="373"/>
        <w:spacing w:after="0" w:line="293" w:lineRule="auto"/>
        <w:rPr>
          <w:sz w:val="20"/>
          <w:szCs w:val="20"/>
          <w:color w:val="auto"/>
        </w:rPr>
      </w:pPr>
      <w:r>
        <w:rPr>
          <w:rFonts w:ascii="Arial" w:cs="Arial" w:eastAsia="Arial" w:hAnsi="Arial"/>
          <w:sz w:val="16"/>
          <w:szCs w:val="16"/>
          <w:b w:val="1"/>
          <w:bCs w:val="1"/>
          <w:i w:val="1"/>
          <w:iCs w:val="1"/>
          <w:color w:val="auto"/>
        </w:rPr>
        <w:t>Share-based and other executive compensation</w:t>
      </w:r>
      <w:r>
        <w:rPr>
          <w:rFonts w:ascii="Arial" w:cs="Arial" w:eastAsia="Arial" w:hAnsi="Arial"/>
          <w:sz w:val="16"/>
          <w:szCs w:val="16"/>
          <w:color w:val="auto"/>
        </w:rPr>
        <w:t>. Prior to becoming a public company, we had not granted or issued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stock-based compensation. Accordingly, we had not recognized any stock-based compensation expense in prior periods. On November 19, 2008, in connection with our initial public offering, we made substantial awards to our directors, officers, and employees, including certain grants to our new Chief Executive Officer and to other employees that were fully vested upon grant. As a result, we expensed share-based compensation expenses in the fourth quarter of 2008 totaling $5.0 million and will expense $14.3 million of unrecognized share-based compensation cost over a weighted average period of 4.9 years related to these grants.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19" w:firstLine="373"/>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 and tax expense</w:t>
      </w:r>
      <w:r>
        <w:rPr>
          <w:rFonts w:ascii="Arial" w:cs="Arial" w:eastAsia="Arial" w:hAnsi="Arial"/>
          <w:sz w:val="18"/>
          <w:szCs w:val="18"/>
          <w:color w:val="auto"/>
        </w:rPr>
        <w:t>. In July 2008, we hired a new Chief Executive Officer,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Executive Vice President, and have since hired other financial, accounting, and administrative personnel. Accordingly, compensation expenses, as reflected in our general and administrative expenses, are higher beginning in the third quarter of 2008.</w:t>
      </w:r>
    </w:p>
    <w:p>
      <w:pPr>
        <w:spacing w:after="0" w:line="160" w:lineRule="exact"/>
        <w:rPr>
          <w:sz w:val="20"/>
          <w:szCs w:val="20"/>
          <w:color w:val="auto"/>
        </w:rPr>
      </w:pPr>
    </w:p>
    <w:p>
      <w:pPr>
        <w:ind w:left="340" w:right="859" w:firstLine="373"/>
        <w:spacing w:after="0" w:line="286" w:lineRule="auto"/>
        <w:rPr>
          <w:sz w:val="20"/>
          <w:szCs w:val="20"/>
          <w:color w:val="auto"/>
        </w:rPr>
      </w:pPr>
      <w:r>
        <w:rPr>
          <w:rFonts w:ascii="Arial" w:cs="Arial" w:eastAsia="Arial" w:hAnsi="Arial"/>
          <w:sz w:val="17"/>
          <w:szCs w:val="17"/>
          <w:color w:val="auto"/>
        </w:rPr>
        <w:t xml:space="preserve">In connection with the Office of Inspector General investigation and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we incurred increased legal expenses associated with responding to and/or defending such matters, including $1.0 million in the fourth quarter of 2008 as compared to the approximately $0.2 million in legal expenses incurred in the fourth quarter of 2007.</w:t>
      </w:r>
    </w:p>
    <w:p>
      <w:pPr>
        <w:spacing w:after="0" w:line="125" w:lineRule="exact"/>
        <w:rPr>
          <w:sz w:val="20"/>
          <w:szCs w:val="20"/>
          <w:color w:val="auto"/>
        </w:rPr>
      </w:pPr>
    </w:p>
    <w:p>
      <w:pPr>
        <w:ind w:left="340" w:right="719" w:firstLine="373"/>
        <w:spacing w:after="0" w:line="257" w:lineRule="auto"/>
        <w:rPr>
          <w:sz w:val="20"/>
          <w:szCs w:val="20"/>
          <w:color w:val="auto"/>
        </w:rPr>
      </w:pPr>
      <w:r>
        <w:rPr>
          <w:rFonts w:ascii="Arial" w:cs="Arial" w:eastAsia="Arial" w:hAnsi="Arial"/>
          <w:sz w:val="18"/>
          <w:szCs w:val="18"/>
          <w:color w:val="auto"/>
        </w:rPr>
        <w:t>In addition, we contributed $0.8 million to Arizona school tuition organizations in lieu of state income taxes during the fourth quarter of 2008, for which we received a dollar-for-dollar tax credit. These contributions were classified as a general and administrative expense and resulted in higher operating expenses and a lower effective tax rate. Had these payments not been made our effective tax rate for the year ended December 31, 2008 would have been 40.8% rather than 36.6%. The effective tax rate for the year ended December 31, 2007 was 40.0%.</w:t>
      </w:r>
    </w:p>
    <w:p>
      <w:pPr>
        <w:spacing w:after="0" w:line="148"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b w:val="1"/>
          <w:bCs w:val="1"/>
          <w:i w:val="1"/>
          <w:iCs w:val="1"/>
          <w:color w:val="auto"/>
        </w:rPr>
        <w:t>License agreement</w:t>
      </w:r>
      <w:r>
        <w:rPr>
          <w:rFonts w:ascii="Arial" w:cs="Arial" w:eastAsia="Arial" w:hAnsi="Arial"/>
          <w:sz w:val="16"/>
          <w:szCs w:val="16"/>
          <w:color w:val="auto"/>
        </w:rPr>
        <w:t>. In June 2004, we entered into a license agreement with Blanchard Education, LLC (“Blanchard”)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our use of the Ken Blanchard name for our College of Business. The license agreement remains in effect (unless terminated earlier) until February 6, 2016. Under the terms of that agreement, we agreed to pay Blanchard royalties and to issue to Blanchard up to 909,348 shares of common stock, with the actual number of shares to be issued to be contingent upon our achievement of stated enrollment levels in the College of Business programs during the term of the agreement. On December 31, 2006, it became probable that Blanchard would earn 182,600 shares under this agreement associated with the first enrollment threshold and, during the third quarter 2007, those 182,600 shares were earned due to the enrollment threshold being met. On May 9, 2008, the terms of the agreement were amended, pursuant to which Blanchard was issued a total of 365,200 shares of common stock in full settlement of all shares owed and contingently owed under this agreement. Thus, an additional 182,600 shares became earned on that date and all remaining performance conditions based on enrollment thresholds were terminated. The shares issued were valued at the 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left="340" w:right="599" w:firstLine="373"/>
        <w:spacing w:after="0" w:line="290" w:lineRule="auto"/>
        <w:rPr>
          <w:sz w:val="20"/>
          <w:szCs w:val="20"/>
          <w:color w:val="auto"/>
        </w:rPr>
      </w:pPr>
      <w:r>
        <w:rPr>
          <w:rFonts w:ascii="Arial" w:cs="Arial" w:eastAsia="Arial" w:hAnsi="Arial"/>
          <w:sz w:val="16"/>
          <w:szCs w:val="16"/>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79" w:firstLine="373"/>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financial statements:</w:t>
      </w:r>
    </w:p>
    <w:p>
      <w:pPr>
        <w:spacing w:after="0" w:line="143" w:lineRule="exact"/>
        <w:rPr>
          <w:sz w:val="20"/>
          <w:szCs w:val="20"/>
          <w:color w:val="auto"/>
        </w:rPr>
      </w:pPr>
    </w:p>
    <w:p>
      <w:pPr>
        <w:ind w:left="340" w:right="579" w:firstLine="373"/>
        <w:spacing w:after="0" w:line="271"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 Tuition revenue is recognized monthly over the applicable period of instruction. Deferred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student deposits in any period represent the 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7"/>
          <w:szCs w:val="17"/>
          <w:i w:val="1"/>
          <w:iCs w:val="1"/>
          <w:color w:val="auto"/>
        </w:rPr>
        <w:t>Revenue Recognition in Financial Statements</w:t>
      </w:r>
      <w:r>
        <w:rPr>
          <w:rFonts w:ascii="Arial" w:cs="Arial" w:eastAsia="Arial" w:hAnsi="Arial"/>
          <w:sz w:val="17"/>
          <w:szCs w:val="17"/>
          <w:color w:val="auto"/>
        </w:rPr>
        <w:t>. Generally, if a student withdraws prior to the end of the third week of a semester, we refund all or a portion of tuition already paid pursuant to our refund policy, which generally results in a reduction in deferred revenue and student deposits.</w:t>
      </w:r>
    </w:p>
    <w:p>
      <w:pPr>
        <w:spacing w:after="0" w:line="138"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b w:val="1"/>
          <w:bCs w:val="1"/>
          <w:i w:val="1"/>
          <w:iCs w:val="1"/>
          <w:color w:val="auto"/>
        </w:rPr>
        <w:t>Allowance for doubtful accounts</w:t>
      </w:r>
      <w:r>
        <w:rPr>
          <w:rFonts w:ascii="Arial" w:cs="Arial" w:eastAsia="Arial" w:hAnsi="Arial"/>
          <w:sz w:val="17"/>
          <w:szCs w:val="17"/>
          <w:color w:val="auto"/>
        </w:rPr>
        <w:t>. Bad debt expense is recorded as a general and administrative expense. We record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allowance for doubtful accounts for estimated losses 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at the time the account 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Commencing in the second half of 2008, we began writing off existing and new doubtful accounts no later than one year after the revenue is generated, which will likely result in a significant reduction in our accounts receivable and related allowances. We believe our reserves are adequate to cover any write offs we may make.</w:t>
      </w:r>
    </w:p>
    <w:p>
      <w:pPr>
        <w:spacing w:after="0" w:line="137" w:lineRule="exact"/>
        <w:rPr>
          <w:sz w:val="20"/>
          <w:szCs w:val="20"/>
          <w:color w:val="auto"/>
        </w:rPr>
      </w:pPr>
    </w:p>
    <w:p>
      <w:pPr>
        <w:jc w:val="both"/>
        <w:ind w:left="340" w:right="659" w:firstLine="373"/>
        <w:spacing w:after="0" w:line="276" w:lineRule="auto"/>
        <w:rPr>
          <w:sz w:val="20"/>
          <w:szCs w:val="20"/>
          <w:color w:val="auto"/>
        </w:rPr>
      </w:pPr>
      <w:r>
        <w:rPr>
          <w:rFonts w:ascii="Arial" w:cs="Arial" w:eastAsia="Arial" w:hAnsi="Arial"/>
          <w:sz w:val="17"/>
          <w:szCs w:val="17"/>
          <w:b w:val="1"/>
          <w:bCs w:val="1"/>
          <w:i w:val="1"/>
          <w:iCs w:val="1"/>
          <w:color w:val="auto"/>
        </w:rPr>
        <w:t>Long-Lived Assets</w:t>
      </w:r>
      <w:r>
        <w:rPr>
          <w:rFonts w:ascii="Arial" w:cs="Arial" w:eastAsia="Arial" w:hAnsi="Arial"/>
          <w:sz w:val="17"/>
          <w:szCs w:val="17"/>
          <w:color w:val="auto"/>
        </w:rPr>
        <w:t>. We evaluate the recoverability of our long-lived assets for impairment whenever events or changes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6"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On August 24, 2005, we converted from a limited liability company to a corporation. For all periods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subsequent to such date, we have been and will continue to be subject to corporate-level U.S. federal and state income taxes. Effective January 1, 2008, we adopted FASB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FIN 48 prescribes a more-likely-than-not threshold for financial statement recognition and measurement of a tax position taken or expected to be taken in a tax return. We account for income taxes as prescribed by Statement of Financial Accounting Standards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(“SFAS No. 109”). SFAS No. 109 prescribes the use of the asset and liability method to compute the differences between the tax basis of assets and liabilities 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9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3"/>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27.9</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7"/>
        </w:trPr>
        <w:tc>
          <w:tcPr>
            <w:tcW w:w="5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Operating income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23"/>
        </w:trPr>
        <w:tc>
          <w:tcPr>
            <w:tcW w:w="55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7"/>
        </w:trPr>
        <w:tc>
          <w:tcPr>
            <w:tcW w:w="5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r>
      <w:tr>
        <w:trPr>
          <w:trHeight w:val="20"/>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2008 Compared to Year Ended December 31, 2007</w:t>
      </w:r>
    </w:p>
    <w:p>
      <w:pPr>
        <w:spacing w:after="0" w:line="185"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year ended December 31, 2008 was $161.3 million, an increase of $62.0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62.4%, as compared to net revenue of $99.3 million for the year ended December 31,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67.0% between December 31, 2007 and 2008, as we were able to continue our growth and increase our recruitment, marketing, and enrollment operations following the elimination of the Department of Education’s growth restrictions in October 2006. The year over year increase in enrollment exceeded the year over year increase in revenue due to the continuing mix shift towards online programs, which have a lower tuition price per credit hour and with respect to which our online students take fewer credit hours per semester than our traditional ground students.</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year ended December 31,</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2008 were $54.5 million, an increase of $15.4 million, or 39.4%, as compared to instructional cost and services expenses of</w:t>
      </w:r>
    </w:p>
    <w:p>
      <w:pPr>
        <w:spacing w:after="0" w:line="21" w:lineRule="exact"/>
        <w:rPr>
          <w:sz w:val="20"/>
          <w:szCs w:val="20"/>
          <w:color w:val="auto"/>
        </w:rPr>
      </w:pPr>
    </w:p>
    <w:p>
      <w:pPr>
        <w:ind w:left="340" w:right="659"/>
        <w:spacing w:after="0" w:line="281" w:lineRule="auto"/>
        <w:rPr>
          <w:sz w:val="20"/>
          <w:szCs w:val="20"/>
          <w:color w:val="auto"/>
        </w:rPr>
      </w:pPr>
      <w:r>
        <w:rPr>
          <w:rFonts w:ascii="Arial" w:cs="Arial" w:eastAsia="Arial" w:hAnsi="Arial"/>
          <w:sz w:val="16"/>
          <w:szCs w:val="16"/>
          <w:color w:val="auto"/>
        </w:rPr>
        <w:t>$39.1 million for the year ended December 31, 2007. This increase was primarily due to increases in instructional compensation and related expenses, faculty compensation, share-based compensation, depreciation and amortization, occupancy and other miscellaneous instructional costs and services of $4.9 million, $4.2 million, $1.7 million, $1.3 million, $0.8 million, and</w:t>
      </w:r>
    </w:p>
    <w:p>
      <w:pPr>
        <w:spacing w:after="0" w:line="2" w:lineRule="exact"/>
        <w:rPr>
          <w:sz w:val="20"/>
          <w:szCs w:val="20"/>
          <w:color w:val="auto"/>
        </w:rPr>
      </w:pPr>
    </w:p>
    <w:p>
      <w:pPr>
        <w:ind w:left="340" w:right="599"/>
        <w:spacing w:after="0" w:line="252" w:lineRule="auto"/>
        <w:rPr>
          <w:sz w:val="20"/>
          <w:szCs w:val="20"/>
          <w:color w:val="auto"/>
        </w:rPr>
      </w:pPr>
      <w:r>
        <w:rPr>
          <w:rFonts w:ascii="Arial" w:cs="Arial" w:eastAsia="Arial" w:hAnsi="Arial"/>
          <w:sz w:val="18"/>
          <w:szCs w:val="18"/>
          <w:color w:val="auto"/>
        </w:rPr>
        <w:t>$2.5 million, respectively. These increases are primarily attributable to the increased headcount (both staff and faculty) needed to provide student instruction and support services as a result of the increase in enrollments. Our instructional cost and services expenses as a percentage of net revenue decreased by 5.5% to 33.8% for the year ended December 31, 2008, as compared to 39.3% for the year ended December 31, 2007. This decrease was a result of the continued shift of our student population to online programs and our ability to leverage the relatively fixed cost structure of our campus-based facilities and ground faculty across an increasing revenue base, as well as increased class size, partially offset by share-based compensation, which represented 1.1% of net revenue in 2008.</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Selling and promotional expenses</w:t>
      </w:r>
      <w:r>
        <w:rPr>
          <w:rFonts w:ascii="Arial" w:cs="Arial" w:eastAsia="Arial" w:hAnsi="Arial"/>
          <w:sz w:val="18"/>
          <w:szCs w:val="18"/>
          <w:color w:val="auto"/>
        </w:rPr>
        <w:t>. Our selling and promotional expenses for the year ended December 31, 2008 were</w:t>
      </w:r>
    </w:p>
    <w:p>
      <w:pPr>
        <w:spacing w:after="0" w:line="23" w:lineRule="exact"/>
        <w:rPr>
          <w:sz w:val="20"/>
          <w:szCs w:val="20"/>
          <w:color w:val="auto"/>
        </w:rPr>
      </w:pPr>
    </w:p>
    <w:p>
      <w:pPr>
        <w:ind w:left="340" w:right="619"/>
        <w:spacing w:after="0" w:line="284" w:lineRule="auto"/>
        <w:rPr>
          <w:sz w:val="20"/>
          <w:szCs w:val="20"/>
          <w:color w:val="auto"/>
        </w:rPr>
      </w:pPr>
      <w:r>
        <w:rPr>
          <w:rFonts w:ascii="Arial" w:cs="Arial" w:eastAsia="Arial" w:hAnsi="Arial"/>
          <w:sz w:val="16"/>
          <w:szCs w:val="16"/>
          <w:color w:val="auto"/>
        </w:rPr>
        <w:t>$65.5 million, an increase of $30.4 million, or 86.5%, as compared to selling and promotional expenses of $35.1 million for the year ended December 31, 2007. This increase was primarily due to increases in selling and promotional employee compensation and related expenses, advertising, revenue sharing expense, share-based compensation, and other selling and promotional related costs of $17.5 million, $8.3 million, $1.6 million, $1.3 million and $1.7 million, respectively. These increases were driven by a substantial expansion in our marketing efforts following the removal of our growth restrictions by the Department of Education, which resulted in an increase in recruitment, marketing, and enrollment staffing, and expenses related to our revenue sharing arrangement. Our selling and promotional expenses as a percentage of net revenue increased by 5.2% to 40.6% for the year ended December 31, 2008, from 35.4% for the year ended December 31, 2007. This increase occurred as a result of a significant increase in the number of our enrollment counselors to increase our efforts to enroll prospective students and also increased lead purchases to support the additional enrollment counselors.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plan to reduce selling and promotional expenses as a percentage of net revenue in the future. In addition share-based compensation represented 0.8% of net revenue in 2008.</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2008 were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$26.8 million, an increase of $9.8 million, or 57.8%, as compared to general and administrative expenses of $17.0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year ended December 31, 2007. This increase was primarily due to increases in bad debt expense;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share-based compensation; legal, audit and corporate insurance; contributions to Arizona school tuition organization in lieu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state income taxes; and other general and administrative expenses of $2.2 million, $2.0 million, $1.9 million, $1.7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$0.8 million and $1.2 million, respectively. Bad debt expense increased to $8.5 million for the year ended December 31, 2008</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$6.3 million for the year ended December 31, 2007 as a result of an increase in net revenue. Employee compensation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increased primarily as a result of the additions in July 2008 to our executive management team and the hiring of other personnel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needed to operate as a public company. The increase in legal, audit, and corporate insurance is primarily related to legal costs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associated with the Sungard matter, as well as costs incurred related to the OIG investigation and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See Item 3,</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 The other general and administrative expense increase was attributable to expenditures made to continue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support the growth of our business. Our general and administrative expenses as a percentage of net revenue decreased by 0.5% to</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16.6% for the year ended December 31, 2008, from 17.1% for the year ended December 31, 2007, primarily due to a decrease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bad debt expense as a percentage of net revenue between periods from 6.3% of net revenue during 2007 to 5.3% of net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during 2008 and our ability to leverage our fixed infrastructure over higher net revenue, partially offset by share-based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compensation, which represented 1.2% of net revenue in 2008. The improvement in bad debt expense as a percentage of net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is primarily due to an improvement in our aging between periods and an increased revenue base.</w:t>
      </w:r>
    </w:p>
    <w:p>
      <w:pPr>
        <w:spacing w:after="0" w:line="170"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i w:val="1"/>
          <w:iCs w:val="1"/>
          <w:color w:val="auto"/>
        </w:rPr>
        <w:t>Royalty to former owner</w:t>
      </w:r>
      <w:r>
        <w:rPr>
          <w:rFonts w:ascii="Arial" w:cs="Arial" w:eastAsia="Arial" w:hAnsi="Arial"/>
          <w:sz w:val="16"/>
          <w:szCs w:val="16"/>
          <w:color w:val="auto"/>
        </w:rPr>
        <w:t>. In connection with our royalty fee arrangement with the former owner related to online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we incurred royalty expenses for the year ended December 31, 2008 of $1.7 million, a decrease of $2.1 million, or 55.4%, as compared to royalty expenses incurred of $3.8 million for the year ended December 31, 2007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1.0% for the year ended December 31, 2008 from 3.8% for the year ended December 31, 2007.</w:t>
      </w: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679" w:firstLine="373"/>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2008 was $2.9 million, a decrease of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$3.0 million for the year ended December 31, 2007, as the average level of borrowings remained fairly consistent between periods.</w:t>
      </w:r>
    </w:p>
    <w:p>
      <w:pPr>
        <w:spacing w:after="0" w:line="154"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Our interest income for the year ended December 31, 2008 was $0.6 million, a decrease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$1.2 million for the year ended December 31, 2007, as a result of decreased interest rates and lower levels of cash and cash equivalents in most of 2008.</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2008 was $3.8 million, an increase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$2.8 million from $1.0 million for the year ended December 31, 2007. This increase was primarily attributable to increased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before income taxes, partially offset by a reduction in our effective tax rate as a result of our $0.8 million in contributions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made to various Arizona school tuition organizations in lieu of the payment of state income taxes. These contributions resulted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state income tax credit, which reduced our effective income tax rate in 2008 to 36.6% compared to 40.0% in 2007.</w:t>
      </w:r>
    </w:p>
    <w:p>
      <w:pPr>
        <w:spacing w:after="0" w:line="170" w:lineRule="exact"/>
        <w:rPr>
          <w:sz w:val="20"/>
          <w:szCs w:val="20"/>
          <w:color w:val="auto"/>
        </w:rPr>
      </w:pPr>
    </w:p>
    <w:p>
      <w:pPr>
        <w:jc w:val="center"/>
        <w:ind w:right="479"/>
        <w:spacing w:after="0"/>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2008 was $6.7 million, an increase of $5.2 million, or</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338.2%, as compared to net income of $1.5 million for the year ended December 31, 2007, due to the factors discussed above.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185" w:lineRule="exact"/>
        <w:rPr>
          <w:sz w:val="20"/>
          <w:szCs w:val="20"/>
          <w:color w:val="auto"/>
        </w:rPr>
      </w:pPr>
    </w:p>
    <w:p>
      <w:pPr>
        <w:ind w:left="340" w:right="779" w:firstLine="373"/>
        <w:spacing w:after="0" w:line="255" w:lineRule="auto"/>
        <w:rPr>
          <w:sz w:val="20"/>
          <w:szCs w:val="20"/>
          <w:color w:val="auto"/>
        </w:rPr>
      </w:pPr>
      <w:r>
        <w:rPr>
          <w:rFonts w:ascii="Arial" w:cs="Arial" w:eastAsia="Arial" w:hAnsi="Arial"/>
          <w:sz w:val="18"/>
          <w:szCs w:val="18"/>
          <w:i w:val="1"/>
          <w:iCs w:val="1"/>
          <w:color w:val="auto"/>
        </w:rPr>
        <w:t>Net revenue</w:t>
      </w:r>
      <w:r>
        <w:rPr>
          <w:rFonts w:ascii="Arial" w:cs="Arial" w:eastAsia="Arial" w:hAnsi="Arial"/>
          <w:sz w:val="18"/>
          <w:szCs w:val="18"/>
          <w:color w:val="auto"/>
        </w:rPr>
        <w:t>. Our net revenue for the year ended December 31, 2007 was $99.3 million, an increase of $27.2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37.7%, as compared to net revenue of $72.1 million for the 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 compared to 2006, as we were able to continue our growth and increase our recruitment, marketing, and enrollment operations following the elimination of the Department of Education’s growth restrictions in October 2006.</w:t>
      </w:r>
    </w:p>
    <w:p>
      <w:pPr>
        <w:spacing w:after="0" w:line="149" w:lineRule="exact"/>
        <w:rPr>
          <w:sz w:val="20"/>
          <w:szCs w:val="20"/>
          <w:color w:val="auto"/>
        </w:rPr>
      </w:pPr>
    </w:p>
    <w:p>
      <w:pPr>
        <w:ind w:left="340" w:right="939" w:firstLine="373"/>
        <w:spacing w:after="0" w:line="291"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were $39.1 million, an increase of $7.8 million, or 24.8%, as compared to instructional cost and services expenses of</w:t>
      </w:r>
    </w:p>
    <w:p>
      <w:pPr>
        <w:ind w:left="340" w:right="659"/>
        <w:spacing w:after="0" w:line="269" w:lineRule="auto"/>
        <w:rPr>
          <w:sz w:val="20"/>
          <w:szCs w:val="20"/>
          <w:color w:val="auto"/>
        </w:rPr>
      </w:pPr>
      <w:r>
        <w:rPr>
          <w:rFonts w:ascii="Arial" w:cs="Arial" w:eastAsia="Arial" w:hAnsi="Arial"/>
          <w:sz w:val="17"/>
          <w:szCs w:val="17"/>
          <w:color w:val="auto"/>
        </w:rPr>
        <w:t>$31.3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 of net revenue decreased by 4.1% to 39.3% for the year ended December 31, 2007, as compared to 43.4%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Selling and promotional expenses</w:t>
      </w:r>
      <w:r>
        <w:rPr>
          <w:rFonts w:ascii="Arial" w:cs="Arial" w:eastAsia="Arial" w:hAnsi="Arial"/>
          <w:sz w:val="18"/>
          <w:szCs w:val="18"/>
          <w:color w:val="auto"/>
        </w:rPr>
        <w:t>. Our selling and promotional expenses for the year ended December 31, 2007 were</w:t>
      </w:r>
    </w:p>
    <w:p>
      <w:pPr>
        <w:spacing w:after="0" w:line="23" w:lineRule="exact"/>
        <w:rPr>
          <w:sz w:val="20"/>
          <w:szCs w:val="20"/>
          <w:color w:val="auto"/>
        </w:rPr>
      </w:pPr>
    </w:p>
    <w:p>
      <w:pPr>
        <w:ind w:left="340" w:right="639"/>
        <w:spacing w:after="0" w:line="268" w:lineRule="auto"/>
        <w:rPr>
          <w:sz w:val="20"/>
          <w:szCs w:val="20"/>
          <w:color w:val="auto"/>
        </w:rPr>
      </w:pPr>
      <w:r>
        <w:rPr>
          <w:rFonts w:ascii="Arial" w:cs="Arial" w:eastAsia="Arial" w:hAnsi="Arial"/>
          <w:sz w:val="17"/>
          <w:szCs w:val="17"/>
          <w:color w:val="auto"/>
        </w:rPr>
        <w:t>$35.1 million, an increase of $15.1 million, or 74.9%, as compared to selling and promotional expenses of $20.1 million for the year ended December 31, 2006. This increase was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7.5% to 35.4% for the year ended December 31, 2007, from 27.9%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153" w:lineRule="exact"/>
        <w:rPr>
          <w:sz w:val="20"/>
          <w:szCs w:val="20"/>
          <w:color w:val="auto"/>
        </w:rPr>
      </w:pPr>
    </w:p>
    <w:p>
      <w:pPr>
        <w:jc w:val="both"/>
        <w:ind w:left="340" w:right="599" w:firstLine="373"/>
        <w:spacing w:after="0" w:line="28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2007 were</w:t>
      </w:r>
      <w:r>
        <w:rPr>
          <w:rFonts w:ascii="Arial" w:cs="Arial" w:eastAsia="Arial" w:hAnsi="Arial"/>
          <w:sz w:val="16"/>
          <w:szCs w:val="16"/>
          <w:i w:val="1"/>
          <w:iCs w:val="1"/>
          <w:color w:val="auto"/>
        </w:rPr>
        <w:t xml:space="preserve"> </w:t>
      </w:r>
      <w:r>
        <w:rPr>
          <w:rFonts w:ascii="Arial" w:cs="Arial" w:eastAsia="Arial" w:hAnsi="Arial"/>
          <w:sz w:val="16"/>
          <w:szCs w:val="16"/>
          <w:color w:val="auto"/>
        </w:rPr>
        <w:t>$17.0 million, an increase of $2.0 million, or 13.3%, as compared to general and administrative expenses of $15.0 million for the year ended December 31, 2006. Bad debt expense increased to $6.3 million for the year ended December 31, 2007 from</w:t>
      </w:r>
    </w:p>
    <w:p>
      <w:pPr>
        <w:ind w:left="340" w:right="559"/>
        <w:spacing w:after="0" w:line="253" w:lineRule="auto"/>
        <w:rPr>
          <w:sz w:val="20"/>
          <w:szCs w:val="20"/>
          <w:color w:val="auto"/>
        </w:rPr>
      </w:pPr>
      <w:r>
        <w:rPr>
          <w:rFonts w:ascii="Arial" w:cs="Arial" w:eastAsia="Arial" w:hAnsi="Arial"/>
          <w:sz w:val="18"/>
          <w:szCs w:val="18"/>
          <w:color w:val="auto"/>
        </w:rPr>
        <w:t>$4.7 million for the year ended December 31, 2006 primarily as a result of a proportional increase in net revenue. The general and administrative expense increase was also attributable to expenditures made to continue to support the growth of our business. Our general and administrative expenses as a percentage of net revenue decreased by 3.7% to 17.1% for the year ended December 31, 2007, from 20.8% for the year ended December 31, 2006, as we benefited from leveraging our prior infrastructure investments over a larger enrollment and revenue base.</w:t>
      </w:r>
    </w:p>
    <w:p>
      <w:pPr>
        <w:spacing w:after="0" w:line="151" w:lineRule="exact"/>
        <w:rPr>
          <w:sz w:val="20"/>
          <w:szCs w:val="20"/>
          <w:color w:val="auto"/>
        </w:rPr>
      </w:pPr>
    </w:p>
    <w:p>
      <w:pPr>
        <w:ind w:left="340" w:right="679" w:firstLine="373"/>
        <w:spacing w:after="0" w:line="257" w:lineRule="auto"/>
        <w:rPr>
          <w:sz w:val="20"/>
          <w:szCs w:val="20"/>
          <w:color w:val="auto"/>
        </w:rPr>
      </w:pPr>
      <w:r>
        <w:rPr>
          <w:rFonts w:ascii="Arial" w:cs="Arial" w:eastAsia="Arial" w:hAnsi="Arial"/>
          <w:sz w:val="18"/>
          <w:szCs w:val="18"/>
          <w:i w:val="1"/>
          <w:iCs w:val="1"/>
          <w:color w:val="auto"/>
        </w:rPr>
        <w:t>Royalty to former owner</w:t>
      </w:r>
      <w:r>
        <w:rPr>
          <w:rFonts w:ascii="Arial" w:cs="Arial" w:eastAsia="Arial" w:hAnsi="Arial"/>
          <w:sz w:val="18"/>
          <w:szCs w:val="18"/>
          <w:color w:val="auto"/>
        </w:rPr>
        <w:t>. In connection with our royalty fee arrangement with the former owner related to online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we incurred royalty expenses for the year ended December 31, 2007 of $3.8 million, an 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148" w:lineRule="exact"/>
        <w:rPr>
          <w:sz w:val="20"/>
          <w:szCs w:val="20"/>
          <w:color w:val="auto"/>
        </w:rPr>
      </w:pPr>
    </w:p>
    <w:p>
      <w:pPr>
        <w:ind w:left="340" w:right="579" w:firstLine="373"/>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year ended December 31, 2007 was $3.0 million, an increase of $0.2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$2.8 million for the year ended December 31, 2006 due to a higher average level of borrowings in 2007.</w:t>
      </w:r>
    </w:p>
    <w:p>
      <w:pPr>
        <w:spacing w:after="0" w:line="143" w:lineRule="exact"/>
        <w:rPr>
          <w:sz w:val="20"/>
          <w:szCs w:val="20"/>
          <w:color w:val="auto"/>
        </w:rPr>
      </w:pPr>
    </w:p>
    <w:p>
      <w:pPr>
        <w:jc w:val="both"/>
        <w:ind w:left="340" w:right="879" w:firstLine="373"/>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for the year ended December 31, 2007 was $1.2 million, an increase of $0.3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28.5%, from $0.9 million for the year ended December 31, 2006, as a result of increased levels of cash and cash equivalents, offset by slightly lower interest rates.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2007 was $1.0 million, an increase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$0.5 million, or 92.1%, from $0.5 million for the year ended December 31, 2006. This increase was primarily attributable to</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increased income before income taxes, partially offset by a decrease in our effective income tax rate to 40.0% from 46.9%.</w:t>
      </w:r>
    </w:p>
    <w:p>
      <w:pPr>
        <w:spacing w:after="0" w:line="182"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2007 was $1.5 million, an increase of $0.9 million, or</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155.2%, as compared to net income of $0.6 million for the year ended December 31, 2006, due to the factors discussed above.</w:t>
      </w: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 in net revenue, resulting in higher operating income in the first and fourth quarters relative to other quarters. We expect quarterly fluctuation in operating results to continue as a result of these seasonal patterns.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89" w:lineRule="exact"/>
        <w:rPr>
          <w:sz w:val="20"/>
          <w:szCs w:val="20"/>
          <w:color w:val="auto"/>
        </w:rPr>
      </w:pPr>
    </w:p>
    <w:p>
      <w:pPr>
        <w:ind w:left="340" w:right="639" w:firstLine="373"/>
        <w:spacing w:after="0" w:line="273"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We financed our operating activities and capital expenditures during the years ended December 31, 2006, 2007,</w:t>
      </w:r>
      <w:r>
        <w:rPr>
          <w:rFonts w:ascii="Arial" w:cs="Arial" w:eastAsia="Arial" w:hAnsi="Arial"/>
          <w:sz w:val="17"/>
          <w:szCs w:val="17"/>
          <w:i w:val="1"/>
          <w:iCs w:val="1"/>
          <w:color w:val="auto"/>
        </w:rPr>
        <w:t xml:space="preserve"> </w:t>
      </w:r>
      <w:r>
        <w:rPr>
          <w:rFonts w:ascii="Arial" w:cs="Arial" w:eastAsia="Arial" w:hAnsi="Arial"/>
          <w:sz w:val="17"/>
          <w:szCs w:val="17"/>
          <w:color w:val="auto"/>
        </w:rPr>
        <w:t>and 2008 primarily through cash provided by operating activities several private placements of securities, and, in 2008, from net proceeds of $20.1 million, net of $108.7 million of a special distribution, from our initial public offering of common stock. Our unrestricted cash, cash equivalents, and marketable securities were $11.5 million, $18.9 million, and $35.2 million at December 31, 2006, 2007 and 2008, respectively. Our restricted cash, cash equivalents and investments at December 31, 2006, 2007, and 2008 were $5.9 million, $7.6 million and $5.6 million, respectively.</w:t>
      </w:r>
    </w:p>
    <w:p>
      <w:pPr>
        <w:spacing w:after="0" w:line="151" w:lineRule="exact"/>
        <w:rPr>
          <w:sz w:val="20"/>
          <w:szCs w:val="20"/>
          <w:color w:val="auto"/>
        </w:rPr>
      </w:pPr>
    </w:p>
    <w:p>
      <w:pPr>
        <w:ind w:left="340" w:right="599" w:firstLine="373"/>
        <w:spacing w:after="0" w:line="308" w:lineRule="auto"/>
        <w:rPr>
          <w:sz w:val="20"/>
          <w:szCs w:val="20"/>
          <w:color w:val="auto"/>
        </w:rPr>
      </w:pPr>
      <w:r>
        <w:rPr>
          <w:rFonts w:ascii="Arial" w:cs="Arial" w:eastAsia="Arial" w:hAnsi="Arial"/>
          <w:sz w:val="17"/>
          <w:szCs w:val="17"/>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106"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126" w:lineRule="exact"/>
        <w:rPr>
          <w:sz w:val="20"/>
          <w:szCs w:val="20"/>
          <w:color w:val="auto"/>
        </w:rPr>
      </w:pPr>
    </w:p>
    <w:p>
      <w:pPr>
        <w:jc w:val="both"/>
        <w:ind w:left="340" w:right="819" w:firstLine="373"/>
        <w:spacing w:after="0" w:line="286"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year ended December 31, 2008 was $10.2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the payment of $19.5 million that was made to our former owner in April 2008 to satisfy in full all past royalties due under the royalty agreement and the elimination of the existing obligation to pay royalties for online student revenues in perpetuity, net cash provided by operating activities for the year ended December 31, 2008 would have been $22.5 million. Net cash provided by operating activities for the year ended December 31, 2007 was $7.1 million. Our operating cash flows were affected by our dispute with our former owner; as previously discussed, during 2007 we accrued $3.8 million of royalties payable to our former owner and funded a $3.0 million deposit in connection with a preliminary settlement of that dispute with our former owner. Excluding the accrual and payment to our former owner, net cash provided by operating activities for the year ended December 31, 2007 would have been $6.3 million. Our tax payments exceeded our tax expense as our $5.0 million of income taxes paid represented a majority of our 2006 and 2007 tax obligations.</w:t>
      </w:r>
    </w:p>
    <w:p>
      <w:pPr>
        <w:spacing w:after="0" w:line="137" w:lineRule="exact"/>
        <w:rPr>
          <w:sz w:val="20"/>
          <w:szCs w:val="20"/>
          <w:color w:val="auto"/>
        </w:rPr>
      </w:pPr>
    </w:p>
    <w:p>
      <w:pPr>
        <w:jc w:val="both"/>
        <w:ind w:left="340" w:right="619" w:firstLine="373"/>
        <w:spacing w:after="0" w:line="288" w:lineRule="auto"/>
        <w:rPr>
          <w:sz w:val="20"/>
          <w:szCs w:val="20"/>
          <w:color w:val="auto"/>
        </w:rPr>
      </w:pPr>
      <w:r>
        <w:rPr>
          <w:rFonts w:ascii="Arial" w:cs="Arial" w:eastAsia="Arial" w:hAnsi="Arial"/>
          <w:sz w:val="16"/>
          <w:szCs w:val="16"/>
          <w:color w:val="auto"/>
        </w:rPr>
        <w:t>Net cash provided by operating activities for the year ended December 31, 2006 was $6.8 million. As previously discussed, we accrued $2.7 million of royalties payable to our former owner during fiscal year 2006. Excluding the accrued royalties to our former owner, net cash provided by operating activities for the year ended December 31, 2006 would have been $4.1 million.</w:t>
      </w:r>
    </w:p>
    <w:p>
      <w:pPr>
        <w:jc w:val="both"/>
        <w:ind w:left="340" w:right="639"/>
        <w:spacing w:after="0" w:line="261" w:lineRule="auto"/>
        <w:rPr>
          <w:sz w:val="20"/>
          <w:szCs w:val="20"/>
          <w:color w:val="auto"/>
        </w:rPr>
      </w:pPr>
      <w:r>
        <w:rPr>
          <w:rFonts w:ascii="Arial" w:cs="Arial" w:eastAsia="Arial" w:hAnsi="Arial"/>
          <w:sz w:val="18"/>
          <w:szCs w:val="18"/>
          <w:color w:val="auto"/>
        </w:rPr>
        <w:t>Our tax expense exceeded our income taxes paid as a significant portion of our income tax payable for fiscal year 2006 was paid in early 2007.</w:t>
      </w:r>
    </w:p>
    <w:p>
      <w:pPr>
        <w:spacing w:after="0" w:line="143" w:lineRule="exact"/>
        <w:rPr>
          <w:sz w:val="20"/>
          <w:szCs w:val="20"/>
          <w:color w:val="auto"/>
        </w:rPr>
      </w:pPr>
    </w:p>
    <w:p>
      <w:pPr>
        <w:ind w:left="340" w:right="599" w:firstLine="373"/>
        <w:spacing w:after="0" w:line="289"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provided by (used in) investing activities was $5.9 million, $(9.0) million, and $(6.3)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years ended December 31, 2006, 2007, and 2008, respectively. Our cash used in investing activities is primarily related to the purchase of property, and equipment, leasehold improvements, and changes in restricted cash and cash equivalents.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$2.4 million, $7.4 million and $8.4 million for the years ended December 31, 2006, 2007, and 2008, respectively. A majority of our historical capital expenditures have been related to our ground campus in Phoenix, Arizona. Our online business does not require significant capital expenditures. We will continue to invest in the ground campus, and in computer equipment and office furniture and fixtures to support our increasing employee headcounts.</w:t>
      </w:r>
    </w:p>
    <w:p>
      <w:pPr>
        <w:spacing w:after="0" w:line="140" w:lineRule="exact"/>
        <w:rPr>
          <w:sz w:val="20"/>
          <w:szCs w:val="20"/>
          <w:color w:val="auto"/>
        </w:rPr>
      </w:pPr>
    </w:p>
    <w:p>
      <w:pPr>
        <w:ind w:left="340" w:right="639" w:firstLine="373"/>
        <w:spacing w:after="0" w:line="279"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provided by (used in) financing activities was $(1.7) million, $9.3 million, and $12.3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years ended December 31, 2006, 2007, and 2008, respectively. During these periods, principal payments on notes payable, capital lease obligations and our line of credit were offset by private placements of securities to our stockholders, amounts drawn on our line of credit and the net proceeds from our initial public offering of common stock.</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40" w:right="799" w:firstLine="373"/>
        <w:spacing w:after="0" w:line="277" w:lineRule="auto"/>
        <w:rPr>
          <w:sz w:val="20"/>
          <w:szCs w:val="20"/>
          <w:color w:val="auto"/>
        </w:rPr>
      </w:pPr>
      <w:r>
        <w:rPr>
          <w:rFonts w:ascii="Arial" w:cs="Arial" w:eastAsia="Arial" w:hAnsi="Arial"/>
          <w:sz w:val="18"/>
          <w:szCs w:val="18"/>
          <w:color w:val="auto"/>
        </w:rPr>
        <w:t>The following table sets forth, as of December 31, 2008,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w w:val="90"/>
              </w:rPr>
              <w:t>Payments Due by Period</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More than</w:t>
            </w:r>
          </w:p>
        </w:tc>
        <w:tc>
          <w:tcPr>
            <w:tcW w:w="8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 Year</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1-3 Years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3-5 Years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5 Years</w:t>
            </w:r>
          </w:p>
        </w:tc>
        <w:tc>
          <w:tcPr>
            <w:tcW w:w="80" w:type="dxa"/>
            <w:vAlign w:val="bottom"/>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r>
              <w:rPr>
                <w:rFonts w:ascii="Arial" w:cs="Arial" w:eastAsia="Arial" w:hAnsi="Arial"/>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1059" w:hanging="348"/>
        <w:spacing w:after="0" w:line="325"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See Note 8, “Notes Payable and Capital Lease Obligations,” to our financial statements, included in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for a discussion of our long term debt and capital lease obligations.</w:t>
      </w:r>
    </w:p>
    <w:p>
      <w:pPr>
        <w:spacing w:after="0" w:line="1" w:lineRule="exact"/>
        <w:rPr>
          <w:rFonts w:ascii="Arial" w:cs="Arial" w:eastAsia="Arial" w:hAnsi="Arial"/>
          <w:sz w:val="16"/>
          <w:szCs w:val="16"/>
          <w:color w:val="auto"/>
        </w:rPr>
      </w:pPr>
    </w:p>
    <w:p>
      <w:pPr>
        <w:ind w:left="680" w:right="759" w:hanging="348"/>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See Note 9, “Commitments and Contingencies,” to our financial statements, included in Item 8,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The foregoing obligations exclude potential royalty payments to Blanchard Education, LLC under our license agreement, the amounts of which are contingent on tuition revenue from certain of our business programs.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340" w:right="939" w:firstLine="373"/>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Discussion</w:t>
      </w:r>
    </w:p>
    <w:p>
      <w:pPr>
        <w:spacing w:after="0" w:line="202" w:lineRule="exact"/>
        <w:rPr>
          <w:sz w:val="20"/>
          <w:szCs w:val="20"/>
          <w:color w:val="auto"/>
        </w:rPr>
      </w:pPr>
    </w:p>
    <w:p>
      <w:pPr>
        <w:ind w:left="340" w:right="599" w:firstLine="373"/>
        <w:spacing w:after="0" w:line="279" w:lineRule="auto"/>
        <w:rPr>
          <w:sz w:val="20"/>
          <w:szCs w:val="20"/>
          <w:color w:val="auto"/>
        </w:rPr>
      </w:pPr>
      <w:r>
        <w:rPr>
          <w:rFonts w:ascii="Arial" w:cs="Arial" w:eastAsia="Arial" w:hAnsi="Arial"/>
          <w:sz w:val="17"/>
          <w:szCs w:val="17"/>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31"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 xml:space="preserve">We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above and in Note 2 to our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 (ii) management fees and expenses that are no longer paid, (iii) contributions made to Arizona school tuition organizations in lieu of the payment of state income taxes, and (iv) share-based compensation.</w:t>
      </w:r>
    </w:p>
    <w:p>
      <w:pPr>
        <w:spacing w:after="0" w:line="153"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royalty expenses paid to our former owner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739" w:firstLine="373"/>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161" w:lineRule="exact"/>
        <w:rPr>
          <w:sz w:val="20"/>
          <w:szCs w:val="20"/>
          <w:color w:val="auto"/>
        </w:rPr>
      </w:pPr>
    </w:p>
    <w:p>
      <w:pPr>
        <w:ind w:left="1420" w:hanging="345"/>
        <w:spacing w:after="0"/>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interest expense, or the cash requirements necessary to service interest or principal payments on our indebtedness;</w:t>
      </w:r>
    </w:p>
    <w:p>
      <w:pPr>
        <w:spacing w:after="0" w:line="221" w:lineRule="exact"/>
        <w:rPr>
          <w:rFonts w:ascii="Arial" w:cs="Arial" w:eastAsia="Arial" w:hAnsi="Arial"/>
          <w:sz w:val="16"/>
          <w:szCs w:val="16"/>
          <w:b w:val="1"/>
          <w:bCs w:val="1"/>
          <w:color w:val="auto"/>
        </w:rPr>
      </w:pPr>
    </w:p>
    <w:p>
      <w:pPr>
        <w:ind w:left="1420" w:hanging="345"/>
        <w:spacing w:after="0"/>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84" w:lineRule="exact"/>
        <w:rPr>
          <w:rFonts w:ascii="Arial" w:cs="Arial" w:eastAsia="Arial" w:hAnsi="Arial"/>
          <w:sz w:val="18"/>
          <w:szCs w:val="18"/>
          <w:b w:val="1"/>
          <w:bCs w:val="1"/>
          <w:color w:val="auto"/>
        </w:rPr>
      </w:pPr>
    </w:p>
    <w:p>
      <w:pPr>
        <w:jc w:val="both"/>
        <w:ind w:left="1420" w:right="659" w:hanging="345"/>
        <w:spacing w:after="0" w:line="259" w:lineRule="auto"/>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(i) royalties to our prior owner, including amortization of royalties prepaid in connection with our settlement, (ii) management fees and expenses that were payable until completion of our public offering, (iii) contributions to Arizona school tuition organizations in lieu of the payment of state income taxes; and (iv) share-based compensation.</w:t>
      </w:r>
    </w:p>
    <w:p>
      <w:pPr>
        <w:spacing w:after="0" w:line="146"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Annual Report on Form 10-K.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1,803</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2,257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3,855</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5,095</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7,645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17,892</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(c)</w:t>
            </w:r>
          </w:p>
        </w:tc>
        <w:tc>
          <w:tcPr>
            <w:tcW w:w="18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(d)</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4,991</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25,675</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619" w:hanging="348"/>
        <w:spacing w:after="0" w:line="25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Note 2 to our financial statements included in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80" w:right="579" w:hanging="348"/>
        <w:spacing w:after="0" w:line="302"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management fees and expenses of $0.3 million, $0.3 million, and $0.4 million for the years ended December 31, 2006, 2007, and 2008, respectively, to the general partner of the Endeavour Entities, and an aggregate of $0.7 million for the year ended December 31, 2006, to an entity affiliated with a former director and another affiliated with a then significant stockholder following their investment in us. The agreements relating to these arrangements have all terminated.</w:t>
      </w:r>
    </w:p>
    <w:p>
      <w:pPr>
        <w:spacing w:after="0" w:line="5" w:lineRule="exact"/>
        <w:rPr>
          <w:rFonts w:ascii="Arial" w:cs="Arial" w:eastAsia="Arial" w:hAnsi="Arial"/>
          <w:sz w:val="16"/>
          <w:szCs w:val="16"/>
          <w:color w:val="auto"/>
        </w:rPr>
      </w:pPr>
    </w:p>
    <w:p>
      <w:pPr>
        <w:ind w:left="680" w:right="599" w:hanging="348"/>
        <w:spacing w:after="0" w:line="276"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Reflects contributions made to various Arizona school tuition organizations to assist with funding for education. In connection with such contributions made we received a dollar-for-dollare state income tax credit, which resulted in a reduction in our effective income tax rate to 36.6% for the year ended December 31, 2008. Had this payment not been made our effective tax rate would have been 40.8%. Such contributions are viewed by our management to be made in lieu of payments of state income taxes and are therefore excluded from evaluation of our core operating performance.</w:t>
      </w:r>
    </w:p>
    <w:p>
      <w:pPr>
        <w:spacing w:after="0" w:line="23" w:lineRule="exact"/>
        <w:rPr>
          <w:rFonts w:ascii="Arial" w:cs="Arial" w:eastAsia="Arial" w:hAnsi="Arial"/>
          <w:sz w:val="17"/>
          <w:szCs w:val="17"/>
          <w:color w:val="auto"/>
        </w:rPr>
      </w:pPr>
    </w:p>
    <w:p>
      <w:pPr>
        <w:ind w:left="680" w:right="739" w:hanging="348"/>
        <w:spacing w:after="0" w:line="259"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share based compensation expense recorded in the fourth quarter of 2008, $1.3 million of which relates to stock granted to our new Chief Executive Officer in connection with our initial public offering and $3.7 million of which relates to share-based compensation for stock options granted to employees and directors in connection with our initial public offering.</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See Note 2, Significant Accounting Policies, in Item 8, </w:t>
      </w:r>
      <w:r>
        <w:rPr>
          <w:rFonts w:ascii="Arial" w:cs="Arial" w:eastAsia="Arial" w:hAnsi="Arial"/>
          <w:sz w:val="18"/>
          <w:szCs w:val="18"/>
          <w:i w:val="1"/>
          <w:iCs w:val="1"/>
          <w:color w:val="auto"/>
        </w:rPr>
        <w:t>Financial Statements and Supplementary Data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340" w:right="719" w:firstLine="373"/>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2007, or 2008. There can be no assurance that future inflation will not have an adverse impact on our operating results and financial condition.</w:t>
      </w:r>
    </w:p>
    <w:p>
      <w:pPr>
        <w:spacing w:after="0" w:line="141"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We have no derivative financial instruments or derivative commodity instruments. We invest cash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operating requirements in short term certificates of deposit and money market instruments in multiple financial institutions.</w:t>
      </w:r>
    </w:p>
    <w:p>
      <w:pPr>
        <w:spacing w:after="0" w:line="141"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by investing excess funds in cash equivalents and AAA rated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December 31, 2008,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70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060" w:type="dxa"/>
            <w:vAlign w:val="bottom"/>
            <w:gridSpan w:val="11"/>
          </w:tcPr>
          <w:p>
            <w:pPr>
              <w:ind w:left="34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8700" w:type="dxa"/>
            <w:vAlign w:val="bottom"/>
            <w:gridSpan w:val="10"/>
            <w:vMerge w:val="restart"/>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Report of Independent Registered Public Accounting Firm</w:t>
              </w:r>
            </w:hyperlink>
          </w:p>
        </w:tc>
        <w:tc>
          <w:tcPr>
            <w:tcW w:w="520" w:type="dxa"/>
            <w:vAlign w:val="bottom"/>
            <w:gridSpan w:val="2"/>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700" w:type="dxa"/>
            <w:vAlign w:val="bottom"/>
            <w:gridSpan w:val="10"/>
            <w:vMerge w:val="continue"/>
          </w:tcPr>
          <w:p>
            <w:pPr>
              <w:spacing w:after="0"/>
              <w:rPr>
                <w:sz w:val="14"/>
                <w:szCs w:val="14"/>
                <w:color w:val="auto"/>
              </w:rPr>
            </w:pPr>
          </w:p>
        </w:tc>
        <w:tc>
          <w:tcPr>
            <w:tcW w:w="500" w:type="dxa"/>
            <w:vAlign w:val="bottom"/>
            <w:tcBorders>
              <w:top w:val="single" w:sz="8" w:color="auto"/>
            </w:tcBorders>
          </w:tcPr>
          <w:p>
            <w:pPr>
              <w:ind w:left="340"/>
              <w:spacing w:after="0" w:line="169" w:lineRule="exact"/>
              <w:rPr>
                <w:sz w:val="20"/>
                <w:szCs w:val="20"/>
                <w:color w:val="auto"/>
              </w:rPr>
            </w:pPr>
            <w:r>
              <w:rPr>
                <w:rFonts w:ascii="Arial" w:cs="Arial" w:eastAsia="Arial" w:hAnsi="Arial"/>
                <w:sz w:val="17"/>
                <w:szCs w:val="17"/>
                <w:color w:val="auto"/>
                <w:w w:val="73"/>
              </w:rPr>
              <w:t>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8700" w:type="dxa"/>
            <w:vAlign w:val="bottom"/>
            <w:gridSpan w:val="1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Balance Sheets as of December 31, 2007 and 2008</w:t>
              </w:r>
            </w:hyperlink>
          </w:p>
        </w:tc>
        <w:tc>
          <w:tcPr>
            <w:tcW w:w="520" w:type="dxa"/>
            <w:vAlign w:val="bottom"/>
            <w:gridSpan w:val="2"/>
          </w:tcPr>
          <w:p>
            <w:pPr>
              <w:ind w:left="340"/>
              <w:spacing w:after="0"/>
              <w:rPr>
                <w:sz w:val="20"/>
                <w:szCs w:val="20"/>
                <w:color w:val="auto"/>
              </w:rPr>
            </w:pPr>
            <w:r>
              <w:rPr>
                <w:rFonts w:ascii="Arial" w:cs="Arial" w:eastAsia="Arial" w:hAnsi="Arial"/>
                <w:sz w:val="18"/>
                <w:szCs w:val="18"/>
                <w:color w:val="auto"/>
                <w:w w:val="79"/>
              </w:rPr>
              <w:t>92</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8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Statements of Operations for the years ended December 31, 2006, 2007 and 2008</w:t>
              </w:r>
            </w:hyperlink>
          </w:p>
        </w:tc>
        <w:tc>
          <w:tcPr>
            <w:tcW w:w="2860" w:type="dxa"/>
            <w:vAlign w:val="bottom"/>
            <w:gridSpan w:val="3"/>
          </w:tcPr>
          <w:p>
            <w:pPr>
              <w:spacing w:after="0"/>
              <w:rPr>
                <w:sz w:val="24"/>
                <w:szCs w:val="24"/>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w w:val="79"/>
              </w:rPr>
              <w:t>93</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8700" w:type="dxa"/>
            <w:vAlign w:val="bottom"/>
            <w:gridSpan w:val="10"/>
          </w:tcPr>
          <w:p>
            <w:pPr>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Statements of Preferred Stock and Stockholders’ (Deficit) Equity for the years ended December 31, 2006, 2007, and</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2008</w:t>
              </w:r>
            </w:hyperlink>
          </w:p>
        </w:tc>
        <w:tc>
          <w:tcPr>
            <w:tcW w:w="4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ind w:left="340"/>
              <w:spacing w:after="0" w:line="196" w:lineRule="exact"/>
              <w:rPr>
                <w:sz w:val="20"/>
                <w:szCs w:val="20"/>
                <w:color w:val="auto"/>
              </w:rPr>
            </w:pPr>
            <w:r>
              <w:rPr>
                <w:rFonts w:ascii="Arial" w:cs="Arial" w:eastAsia="Arial" w:hAnsi="Arial"/>
                <w:sz w:val="18"/>
                <w:szCs w:val="18"/>
                <w:color w:val="auto"/>
                <w:w w:val="79"/>
              </w:rPr>
              <w:t>94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9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Statements of Cash Flows for the years ended December 31, 2006, 2007, and 2008</w:t>
              </w:r>
            </w:hyperlink>
          </w:p>
        </w:tc>
        <w:tc>
          <w:tcPr>
            <w:tcW w:w="2760" w:type="dxa"/>
            <w:vAlign w:val="bottom"/>
            <w:gridSpan w:val="2"/>
          </w:tcPr>
          <w:p>
            <w:pPr>
              <w:spacing w:after="0"/>
              <w:rPr>
                <w:sz w:val="24"/>
                <w:szCs w:val="24"/>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w w:val="79"/>
              </w:rPr>
              <w:t>95</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8700" w:type="dxa"/>
            <w:vAlign w:val="bottom"/>
            <w:gridSpan w:val="1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Notes to Financial Statements</w:t>
              </w:r>
            </w:hyperlink>
          </w:p>
        </w:tc>
        <w:tc>
          <w:tcPr>
            <w:tcW w:w="520" w:type="dxa"/>
            <w:vAlign w:val="bottom"/>
            <w:gridSpan w:val="2"/>
          </w:tcPr>
          <w:p>
            <w:pPr>
              <w:ind w:left="340"/>
              <w:spacing w:after="0"/>
              <w:rPr>
                <w:sz w:val="20"/>
                <w:szCs w:val="20"/>
                <w:color w:val="auto"/>
              </w:rPr>
            </w:pPr>
            <w:r>
              <w:rPr>
                <w:rFonts w:ascii="Arial" w:cs="Arial" w:eastAsia="Arial" w:hAnsi="Arial"/>
                <w:sz w:val="18"/>
                <w:szCs w:val="18"/>
                <w:color w:val="auto"/>
                <w:w w:val="79"/>
              </w:rPr>
              <w:t>96</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Grand Canyon Education, Inc.</w:t>
      </w:r>
    </w:p>
    <w:p>
      <w:pPr>
        <w:spacing w:after="0" w:line="170" w:lineRule="exact"/>
        <w:rPr>
          <w:sz w:val="20"/>
          <w:szCs w:val="20"/>
          <w:color w:val="auto"/>
        </w:rPr>
      </w:pPr>
    </w:p>
    <w:p>
      <w:pPr>
        <w:ind w:left="340" w:right="719" w:firstLine="373"/>
        <w:spacing w:after="0" w:line="302" w:lineRule="auto"/>
        <w:rPr>
          <w:sz w:val="20"/>
          <w:szCs w:val="20"/>
          <w:color w:val="auto"/>
        </w:rPr>
      </w:pPr>
      <w:r>
        <w:rPr>
          <w:rFonts w:ascii="Arial" w:cs="Arial" w:eastAsia="Arial" w:hAnsi="Arial"/>
          <w:sz w:val="16"/>
          <w:szCs w:val="16"/>
          <w:color w:val="auto"/>
        </w:rPr>
        <w:t>We have audited the accompanying balance sheets of Grand Canyon Education, Inc. (the “Company”) as of December 31, 2007 and 2008, and the related statements of operations, preferred stock and stockholders’ (deficit)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114"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5" w:lineRule="exact"/>
        <w:rPr>
          <w:sz w:val="20"/>
          <w:szCs w:val="20"/>
          <w:color w:val="auto"/>
        </w:rPr>
      </w:pPr>
    </w:p>
    <w:p>
      <w:pPr>
        <w:ind w:left="340" w:right="599" w:firstLine="373"/>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Grand Canyon Education, Inc. at December 31, 2007 and 2008, and the results of its operations and its cash flows for each of the three years in the period ended December 31, 2008, in conformity with U.S. generally accepted accounting principles.</w:t>
      </w:r>
    </w:p>
    <w:p>
      <w:pPr>
        <w:spacing w:after="0" w:line="10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19, 2009</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72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1"/>
              </w:rPr>
              <w:t>Grand Canyon Education,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87"/>
              </w:rPr>
              <w:t>Balance Sheets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thousands, except share data)</w:t>
            </w:r>
          </w:p>
        </w:tc>
        <w:tc>
          <w:tcPr>
            <w:tcW w:w="3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jc w:val="center"/>
              <w:ind w:left="1350"/>
              <w:spacing w:after="0"/>
              <w:rPr>
                <w:sz w:val="20"/>
                <w:szCs w:val="20"/>
                <w:color w:val="auto"/>
              </w:rPr>
            </w:pPr>
            <w:r>
              <w:rPr>
                <w:rFonts w:ascii="Arial" w:cs="Arial" w:eastAsia="Arial" w:hAnsi="Arial"/>
                <w:sz w:val="18"/>
                <w:szCs w:val="18"/>
                <w:b w:val="1"/>
                <w:bCs w:val="1"/>
                <w:color w:val="auto"/>
                <w:w w:val="92"/>
              </w:rPr>
              <w:t>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18,930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4,280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$12,158 and $6,356 at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December 31, 2007 and 2008</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7,114</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6,001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4,640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33,849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Restricted cash and investments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3,298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2,941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Deposit with former owner</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88,568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180" w:type="dxa"/>
            <w:vAlign w:val="bottom"/>
            <w:gridSpan w:val="6"/>
            <w:shd w:val="clear" w:color="auto" w:fill="CCEEFF"/>
          </w:tcPr>
          <w:p>
            <w:pPr>
              <w:jc w:val="center"/>
              <w:ind w:left="10"/>
              <w:spacing w:after="0"/>
              <w:rPr>
                <w:sz w:val="20"/>
                <w:szCs w:val="20"/>
                <w:color w:val="auto"/>
              </w:rPr>
            </w:pPr>
            <w:r>
              <w:rPr>
                <w:rFonts w:ascii="Arial" w:cs="Arial" w:eastAsia="Arial" w:hAnsi="Arial"/>
                <w:sz w:val="18"/>
                <w:szCs w:val="18"/>
                <w:b w:val="1"/>
                <w:bCs w:val="1"/>
                <w:color w:val="auto"/>
              </w:rPr>
              <w:t>LIABILITIES, PREFERRED STOCK AND STOCKHOLDERS’ (DEFICIT) EQUITY: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6,893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Deferred revenue and student deposits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10,369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Royalty payable to former owner</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Due to related parties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Line of credit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1,150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28,078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Notes payable, less current portion and other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A convertible preferred stock, $0.01 par value: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spacing w:after="0" w:line="201" w:lineRule="exact"/>
              <w:rPr>
                <w:sz w:val="20"/>
                <w:szCs w:val="20"/>
                <w:color w:val="auto"/>
              </w:rPr>
            </w:pPr>
            <w:r>
              <w:rPr>
                <w:rFonts w:ascii="Arial" w:cs="Arial" w:eastAsia="Arial" w:hAnsi="Arial"/>
                <w:sz w:val="18"/>
                <w:szCs w:val="18"/>
                <w:color w:val="auto"/>
              </w:rPr>
              <w:t>Authorized — 9,700 and 0 shares at December 31, 2007 and 2008, respectively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w w:val="92"/>
              </w:rPr>
              <w:t>Issued and outstanding — 5,953 and 0 shares at December 31, 2007 and 2008, respectively</w:t>
            </w: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18,610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B 12% convertible preferred stock, $0.01 par value: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spacing w:after="0" w:line="201" w:lineRule="exact"/>
              <w:rPr>
                <w:sz w:val="20"/>
                <w:szCs w:val="20"/>
                <w:color w:val="auto"/>
              </w:rPr>
            </w:pPr>
            <w:r>
              <w:rPr>
                <w:rFonts w:ascii="Arial" w:cs="Arial" w:eastAsia="Arial" w:hAnsi="Arial"/>
                <w:sz w:val="18"/>
                <w:szCs w:val="18"/>
                <w:color w:val="auto"/>
              </w:rPr>
              <w:t>Authorized — 2,200 and 0 shares at December 31, 2007 and 2008, respectively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Issued and outstanding — 0 shares at December 31, 2007 and 2008</w:t>
            </w:r>
          </w:p>
        </w:tc>
        <w:tc>
          <w:tcPr>
            <w:tcW w:w="200" w:type="dxa"/>
            <w:vAlign w:val="bottom"/>
          </w:tcPr>
          <w:p>
            <w:pPr>
              <w:spacing w:after="0"/>
              <w:rPr>
                <w:sz w:val="20"/>
                <w:szCs w:val="20"/>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convertible preferred stock, $0.01 par value: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spacing w:after="0" w:line="201" w:lineRule="exact"/>
              <w:rPr>
                <w:sz w:val="20"/>
                <w:szCs w:val="20"/>
                <w:color w:val="auto"/>
              </w:rPr>
            </w:pPr>
            <w:r>
              <w:rPr>
                <w:rFonts w:ascii="Arial" w:cs="Arial" w:eastAsia="Arial" w:hAnsi="Arial"/>
                <w:sz w:val="18"/>
                <w:szCs w:val="18"/>
                <w:color w:val="auto"/>
              </w:rPr>
              <w:t>Authorized — 3,900 and 0 shares at December 31, 2007 and 2008, respectively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w w:val="92"/>
              </w:rPr>
              <w:t>Issued and outstanding — 3,829 and 0 shares at December 31, 2007 and 2008, respectively</w:t>
            </w: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13,338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(deficit) equity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$0.01 par value, 10,000,000 shares authorized; 0 shares issued and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outstanding at December 31, 2007 and 2008</w:t>
            </w:r>
          </w:p>
        </w:tc>
        <w:tc>
          <w:tcPr>
            <w:tcW w:w="200" w:type="dxa"/>
            <w:vAlign w:val="bottom"/>
          </w:tcPr>
          <w:p>
            <w:pPr>
              <w:spacing w:after="0"/>
              <w:rPr>
                <w:sz w:val="20"/>
                <w:szCs w:val="20"/>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100,000,000 shares authorized; 19,036,050 and</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45,465,160 shares issued and outstanding at December 31, 2007 and 2008, respectively</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7,719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64,808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(18,374)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(10,386)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preferred stock and stockholders’ (deficit) equity</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88,568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219"/>
          </w:cols>
          <w:pgMar w:left="240" w:top="405" w:right="1440" w:bottom="919"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19"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60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90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w w:val="91"/>
              </w:rPr>
              <w:t>Grand Canyon Education, Inc.</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89"/>
              </w:rPr>
              <w:t>Statements of Operations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00" w:type="dxa"/>
            <w:vAlign w:val="bottom"/>
            <w:vMerge w:val="restart"/>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40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72,111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99,326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161,309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31,287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39,050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54,450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8"/>
              </w:rPr>
              <w:t>Selling and promotional, including $3,742 in 2006, $4,293 in 2007 and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$5,895 in 2008, to related parties</w:t>
            </w:r>
          </w:p>
        </w:tc>
        <w:tc>
          <w:tcPr>
            <w:tcW w:w="2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20,093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35,148</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65,551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17,001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Royalty to former owner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3,782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94,981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148,512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Preferred dividends</w:t>
            </w:r>
          </w:p>
        </w:tc>
        <w:tc>
          <w:tcPr>
            <w:tcW w:w="2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income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vMerge w:val="continue"/>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18,923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35,143</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of Preferred Stock and Stockholders’ (Deficit) Equity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thousands, except share data)</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135"/>
        </w:trPr>
        <w:tc>
          <w:tcPr>
            <w:tcW w:w="18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1"/>
                <w:szCs w:val="11"/>
                <w:b w:val="1"/>
                <w:bCs w:val="1"/>
                <w:color w:val="auto"/>
                <w:w w:val="92"/>
              </w:rPr>
              <w:t>Preferred Stock</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1"/>
                <w:szCs w:val="11"/>
                <w:b w:val="1"/>
                <w:bCs w:val="1"/>
                <w:color w:val="auto"/>
                <w:w w:val="92"/>
              </w:rPr>
              <w:t>Stockholders’ (Deficit) Equity</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1320" w:type="dxa"/>
            <w:vAlign w:val="bottom"/>
            <w:gridSpan w:val="5"/>
          </w:tcPr>
          <w:p>
            <w:pPr>
              <w:jc w:val="right"/>
              <w:ind w:right="220"/>
              <w:spacing w:after="0" w:line="122" w:lineRule="exact"/>
              <w:rPr>
                <w:sz w:val="20"/>
                <w:szCs w:val="20"/>
                <w:color w:val="auto"/>
              </w:rPr>
            </w:pPr>
            <w:r>
              <w:rPr>
                <w:rFonts w:ascii="Arial" w:cs="Arial" w:eastAsia="Arial" w:hAnsi="Arial"/>
                <w:sz w:val="11"/>
                <w:szCs w:val="11"/>
                <w:b w:val="1"/>
                <w:bCs w:val="1"/>
                <w:color w:val="auto"/>
              </w:rPr>
              <w:t>Series A Convertible</w:t>
            </w:r>
          </w:p>
        </w:tc>
        <w:tc>
          <w:tcPr>
            <w:tcW w:w="1300" w:type="dxa"/>
            <w:vAlign w:val="bottom"/>
            <w:gridSpan w:val="5"/>
          </w:tcPr>
          <w:p>
            <w:pPr>
              <w:jc w:val="right"/>
              <w:ind w:right="220"/>
              <w:spacing w:after="0" w:line="122" w:lineRule="exact"/>
              <w:rPr>
                <w:sz w:val="20"/>
                <w:szCs w:val="20"/>
                <w:color w:val="auto"/>
              </w:rPr>
            </w:pPr>
            <w:r>
              <w:rPr>
                <w:rFonts w:ascii="Arial" w:cs="Arial" w:eastAsia="Arial" w:hAnsi="Arial"/>
                <w:sz w:val="11"/>
                <w:szCs w:val="11"/>
                <w:b w:val="1"/>
                <w:bCs w:val="1"/>
                <w:color w:val="auto"/>
                <w:w w:val="98"/>
              </w:rPr>
              <w:t>Series B Convertible</w:t>
            </w:r>
          </w:p>
        </w:tc>
        <w:tc>
          <w:tcPr>
            <w:tcW w:w="920" w:type="dxa"/>
            <w:vAlign w:val="bottom"/>
            <w:gridSpan w:val="5"/>
          </w:tcPr>
          <w:p>
            <w:pPr>
              <w:jc w:val="right"/>
              <w:ind w:right="320"/>
              <w:spacing w:after="0" w:line="122" w:lineRule="exact"/>
              <w:rPr>
                <w:sz w:val="20"/>
                <w:szCs w:val="20"/>
                <w:color w:val="auto"/>
              </w:rPr>
            </w:pPr>
            <w:r>
              <w:rPr>
                <w:rFonts w:ascii="Arial" w:cs="Arial" w:eastAsia="Arial" w:hAnsi="Arial"/>
                <w:sz w:val="11"/>
                <w:szCs w:val="11"/>
                <w:b w:val="1"/>
                <w:bCs w:val="1"/>
                <w:color w:val="auto"/>
              </w:rPr>
              <w:t>Series 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w w:val="89"/>
              </w:rPr>
              <w:t>Additional</w:t>
            </w:r>
          </w:p>
        </w:tc>
        <w:tc>
          <w:tcPr>
            <w:tcW w:w="40" w:type="dxa"/>
            <w:vAlign w:val="bottom"/>
          </w:tcPr>
          <w:p>
            <w:pPr>
              <w:spacing w:after="0"/>
              <w:rPr>
                <w:sz w:val="10"/>
                <w:szCs w:val="10"/>
                <w:color w:val="auto"/>
              </w:rPr>
            </w:pPr>
          </w:p>
        </w:tc>
        <w:tc>
          <w:tcPr>
            <w:tcW w:w="7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rPr>
              <w:t>Preferred Stock</w:t>
            </w:r>
          </w:p>
        </w:tc>
        <w:tc>
          <w:tcPr>
            <w:tcW w:w="130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rPr>
              <w:t>Preferred Stock</w:t>
            </w:r>
          </w:p>
        </w:tc>
        <w:tc>
          <w:tcPr>
            <w:tcW w:w="920" w:type="dxa"/>
            <w:vAlign w:val="bottom"/>
            <w:gridSpan w:val="5"/>
          </w:tcPr>
          <w:p>
            <w:pPr>
              <w:jc w:val="right"/>
              <w:ind w:right="140"/>
              <w:spacing w:after="0"/>
              <w:rPr>
                <w:sz w:val="20"/>
                <w:szCs w:val="20"/>
                <w:color w:val="auto"/>
              </w:rPr>
            </w:pPr>
            <w:r>
              <w:rPr>
                <w:rFonts w:ascii="Arial" w:cs="Arial" w:eastAsia="Arial" w:hAnsi="Arial"/>
                <w:sz w:val="11"/>
                <w:szCs w:val="11"/>
                <w:b w:val="1"/>
                <w:bCs w:val="1"/>
                <w:color w:val="auto"/>
                <w:w w:val="92"/>
              </w:rPr>
              <w:t>Preferred Stock</w:t>
            </w:r>
          </w:p>
        </w:tc>
        <w:tc>
          <w:tcPr>
            <w:tcW w:w="900" w:type="dxa"/>
            <w:vAlign w:val="bottom"/>
            <w:gridSpan w:val="3"/>
          </w:tcPr>
          <w:p>
            <w:pPr>
              <w:ind w:left="180"/>
              <w:spacing w:after="0"/>
              <w:rPr>
                <w:sz w:val="20"/>
                <w:szCs w:val="20"/>
                <w:color w:val="auto"/>
              </w:rPr>
            </w:pPr>
            <w:r>
              <w:rPr>
                <w:rFonts w:ascii="Arial" w:cs="Arial" w:eastAsia="Arial" w:hAnsi="Arial"/>
                <w:sz w:val="11"/>
                <w:szCs w:val="11"/>
                <w:b w:val="1"/>
                <w:bCs w:val="1"/>
                <w:color w:val="auto"/>
                <w:w w:val="86"/>
              </w:rPr>
              <w:t>Common Stock</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Paid-in</w:t>
            </w:r>
          </w:p>
        </w:tc>
        <w:tc>
          <w:tcPr>
            <w:tcW w:w="8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Comprehensive</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20" w:type="dxa"/>
            <w:vAlign w:val="bottom"/>
          </w:tcPr>
          <w:p>
            <w:pPr>
              <w:spacing w:after="0"/>
              <w:rPr>
                <w:sz w:val="10"/>
                <w:szCs w:val="10"/>
                <w:color w:val="auto"/>
              </w:rPr>
            </w:pPr>
          </w:p>
        </w:tc>
        <w:tc>
          <w:tcPr>
            <w:tcW w:w="440" w:type="dxa"/>
            <w:vAlign w:val="bottom"/>
            <w:tcBorders>
              <w:top w:val="single" w:sz="8" w:color="auto"/>
              <w:bottom w:val="single" w:sz="8" w:color="auto"/>
            </w:tcBorders>
          </w:tcPr>
          <w:p>
            <w:pPr>
              <w:ind w:left="80"/>
              <w:spacing w:after="0" w:line="115" w:lineRule="exact"/>
              <w:rPr>
                <w:sz w:val="20"/>
                <w:szCs w:val="20"/>
                <w:color w:val="auto"/>
              </w:rPr>
            </w:pPr>
            <w:r>
              <w:rPr>
                <w:rFonts w:ascii="Arial" w:cs="Arial" w:eastAsia="Arial" w:hAnsi="Arial"/>
                <w:sz w:val="11"/>
                <w:szCs w:val="11"/>
                <w:b w:val="1"/>
                <w:bCs w:val="1"/>
                <w:color w:val="auto"/>
                <w:w w:val="92"/>
              </w:rPr>
              <w:t>Shares</w:t>
            </w: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97"/>
              </w:rPr>
              <w:t>Shares</w:t>
            </w:r>
          </w:p>
        </w:tc>
        <w:tc>
          <w:tcPr>
            <w:tcW w:w="28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3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81"/>
              </w:rPr>
              <w:t>Shares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0"/>
                <w:szCs w:val="10"/>
                <w:color w:val="auto"/>
              </w:rPr>
            </w:pPr>
          </w:p>
        </w:tc>
        <w:tc>
          <w:tcPr>
            <w:tcW w:w="520" w:type="dxa"/>
            <w:vAlign w:val="bottom"/>
            <w:tcBorders>
              <w:top w:val="single" w:sz="8" w:color="auto"/>
              <w:bottom w:val="single" w:sz="8" w:color="auto"/>
            </w:tcBorders>
          </w:tcPr>
          <w:p>
            <w:pPr>
              <w:ind w:left="100"/>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87"/>
              </w:rPr>
              <w:t>Par Value</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8"/>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Balance at December 31, 2005</w:t>
            </w:r>
          </w:p>
        </w:tc>
        <w:tc>
          <w:tcPr>
            <w:tcW w:w="740" w:type="dxa"/>
            <w:vAlign w:val="bottom"/>
            <w:gridSpan w:val="2"/>
            <w:shd w:val="clear" w:color="auto" w:fill="CCEEFF"/>
          </w:tcPr>
          <w:p>
            <w:pPr>
              <w:jc w:val="right"/>
              <w:ind w:right="300"/>
              <w:spacing w:after="0" w:line="115" w:lineRule="exact"/>
              <w:rPr>
                <w:sz w:val="20"/>
                <w:szCs w:val="20"/>
                <w:color w:val="auto"/>
              </w:rPr>
            </w:pPr>
            <w:r>
              <w:rPr>
                <w:rFonts w:ascii="Arial" w:cs="Arial" w:eastAsia="Arial" w:hAnsi="Arial"/>
                <w:sz w:val="11"/>
                <w:szCs w:val="11"/>
                <w:color w:val="auto"/>
              </w:rPr>
              <w:t>5,953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18,610</w:t>
            </w:r>
          </w:p>
        </w:tc>
        <w:tc>
          <w:tcPr>
            <w:tcW w:w="720" w:type="dxa"/>
            <w:vAlign w:val="bottom"/>
            <w:gridSpan w:val="2"/>
            <w:shd w:val="clear" w:color="auto" w:fill="CCEEFF"/>
          </w:tcPr>
          <w:p>
            <w:pPr>
              <w:jc w:val="right"/>
              <w:ind w:right="280"/>
              <w:spacing w:after="0" w:line="115" w:lineRule="exact"/>
              <w:rPr>
                <w:sz w:val="20"/>
                <w:szCs w:val="20"/>
                <w:color w:val="auto"/>
              </w:rPr>
            </w:pPr>
            <w:r>
              <w:rPr>
                <w:rFonts w:ascii="Arial" w:cs="Arial" w:eastAsia="Arial" w:hAnsi="Arial"/>
                <w:sz w:val="11"/>
                <w:szCs w:val="11"/>
                <w:color w:val="auto"/>
              </w:rPr>
              <w:t>2,163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6,980</w:t>
            </w:r>
          </w:p>
        </w:tc>
        <w:tc>
          <w:tcPr>
            <w:tcW w:w="42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w w:val="90"/>
              </w:rPr>
              <w:t>18,853,450</w:t>
            </w:r>
          </w:p>
        </w:tc>
        <w:tc>
          <w:tcPr>
            <w:tcW w:w="3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w w:val="76"/>
              </w:rPr>
              <w:t>189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8,198</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(20,498)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
              <w:spacing w:after="0" w:line="115" w:lineRule="exact"/>
              <w:rPr>
                <w:sz w:val="20"/>
                <w:szCs w:val="20"/>
                <w:color w:val="auto"/>
              </w:rPr>
            </w:pPr>
            <w:r>
              <w:rPr>
                <w:rFonts w:ascii="Arial" w:cs="Arial" w:eastAsia="Arial" w:hAnsi="Arial"/>
                <w:sz w:val="11"/>
                <w:szCs w:val="11"/>
                <w:color w:val="auto"/>
                <w:w w:val="97"/>
              </w:rPr>
              <w:t>(12,111)</w:t>
            </w:r>
          </w:p>
        </w:tc>
        <w:tc>
          <w:tcPr>
            <w:tcW w:w="0" w:type="dxa"/>
            <w:vAlign w:val="bottom"/>
          </w:tcPr>
          <w:p>
            <w:pPr>
              <w:spacing w:after="0"/>
              <w:rPr>
                <w:sz w:val="1"/>
                <w:szCs w:val="1"/>
                <w:color w:val="auto"/>
              </w:rPr>
            </w:pPr>
          </w:p>
        </w:tc>
      </w:tr>
      <w:tr>
        <w:trPr>
          <w:trHeight w:val="122"/>
        </w:trPr>
        <w:tc>
          <w:tcPr>
            <w:tcW w:w="182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2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598</w:t>
            </w:r>
          </w:p>
        </w:tc>
        <w:tc>
          <w:tcPr>
            <w:tcW w:w="60" w:type="dxa"/>
            <w:vAlign w:val="bottom"/>
          </w:tcPr>
          <w:p>
            <w:pPr>
              <w:spacing w:after="0"/>
              <w:rPr>
                <w:sz w:val="10"/>
                <w:szCs w:val="10"/>
                <w:color w:val="auto"/>
              </w:rPr>
            </w:pPr>
          </w:p>
        </w:tc>
        <w:tc>
          <w:tcPr>
            <w:tcW w:w="4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598</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7"/>
              </w:rPr>
              <w:t>Unrealized gains on available-for-sale</w:t>
            </w: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securities, net of taxes of $23</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20"/>
                <w:szCs w:val="20"/>
                <w:color w:val="auto"/>
              </w:rPr>
            </w:pPr>
            <w:r>
              <w:rPr>
                <w:rFonts w:ascii="Arial" w:cs="Arial" w:eastAsia="Arial" w:hAnsi="Arial"/>
                <w:sz w:val="11"/>
                <w:szCs w:val="11"/>
                <w:color w:val="auto"/>
              </w:rPr>
              <w:t>Comprehensive income</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633</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Redemption of Series B Convertible</w:t>
            </w: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Preferred Stock</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(1,298)</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820" w:type="dxa"/>
            <w:vAlign w:val="bottom"/>
          </w:tcPr>
          <w:p>
            <w:pPr>
              <w:spacing w:after="0" w:line="122" w:lineRule="exact"/>
              <w:rPr>
                <w:sz w:val="20"/>
                <w:szCs w:val="20"/>
                <w:color w:val="auto"/>
              </w:rPr>
            </w:pPr>
            <w:r>
              <w:rPr>
                <w:rFonts w:ascii="Arial" w:cs="Arial" w:eastAsia="Arial" w:hAnsi="Arial"/>
                <w:sz w:val="11"/>
                <w:szCs w:val="11"/>
                <w:color w:val="auto"/>
              </w:rPr>
              <w:t>Value assigned to Blanchard shares</w:t>
            </w:r>
          </w:p>
        </w:tc>
        <w:tc>
          <w:tcPr>
            <w:tcW w:w="7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2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282</w:t>
            </w:r>
          </w:p>
        </w:tc>
        <w:tc>
          <w:tcPr>
            <w:tcW w:w="4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Dividend on Series B Convertible</w:t>
            </w: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Preferred Stock</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(527)</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(527)</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1"/>
                <w:szCs w:val="11"/>
                <w:color w:val="auto"/>
              </w:rPr>
              <w:t>Balance at December 31, 2006</w:t>
            </w: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20" w:type="dxa"/>
            <w:vAlign w:val="bottom"/>
            <w:vMerge w:val="continue"/>
          </w:tcPr>
          <w:p>
            <w:pPr>
              <w:spacing w:after="0"/>
              <w:rPr>
                <w:sz w:val="11"/>
                <w:szCs w:val="1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5,953</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18,610</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865</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2,780</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w w:val="90"/>
              </w:rPr>
              <w:t>18,853,450</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w w:val="76"/>
              </w:rPr>
              <w:t>189</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7,953</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(19,900)</w:t>
            </w:r>
          </w:p>
        </w:tc>
        <w:tc>
          <w:tcPr>
            <w:tcW w:w="60" w:type="dxa"/>
            <w:vAlign w:val="bottom"/>
          </w:tcPr>
          <w:p>
            <w:pPr>
              <w:spacing w:after="0"/>
              <w:rPr>
                <w:sz w:val="11"/>
                <w:szCs w:val="1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(11,723)</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7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1,526</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1,526</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w w:val="97"/>
              </w:rPr>
              <w:t>Unrealized gains on available-for-sale</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20" w:type="dxa"/>
            <w:vAlign w:val="bottom"/>
          </w:tcPr>
          <w:p>
            <w:pPr>
              <w:ind w:left="200"/>
              <w:spacing w:after="0"/>
              <w:rPr>
                <w:sz w:val="20"/>
                <w:szCs w:val="20"/>
                <w:color w:val="auto"/>
              </w:rPr>
            </w:pPr>
            <w:r>
              <w:rPr>
                <w:rFonts w:ascii="Arial" w:cs="Arial" w:eastAsia="Arial" w:hAnsi="Arial"/>
                <w:sz w:val="11"/>
                <w:szCs w:val="11"/>
                <w:color w:val="auto"/>
              </w:rPr>
              <w:t>securities, net of taxes of $30</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Comprehensive income</w:t>
            </w: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1,570</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rPr>
              <w:t>Conversion of Series B Convertible</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20" w:type="dxa"/>
            <w:vAlign w:val="bottom"/>
          </w:tcPr>
          <w:p>
            <w:pPr>
              <w:ind w:left="200"/>
              <w:spacing w:after="0" w:line="122" w:lineRule="exact"/>
              <w:rPr>
                <w:sz w:val="20"/>
                <w:szCs w:val="20"/>
                <w:color w:val="auto"/>
              </w:rPr>
            </w:pPr>
            <w:r>
              <w:rPr>
                <w:rFonts w:ascii="Arial" w:cs="Arial" w:eastAsia="Arial" w:hAnsi="Arial"/>
                <w:sz w:val="11"/>
                <w:szCs w:val="11"/>
                <w:color w:val="auto"/>
              </w:rPr>
              <w:t>Preferred Stock to Series C</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200"/>
              <w:spacing w:after="0"/>
              <w:rPr>
                <w:sz w:val="20"/>
                <w:szCs w:val="20"/>
                <w:color w:val="auto"/>
              </w:rPr>
            </w:pPr>
            <w:r>
              <w:rPr>
                <w:rFonts w:ascii="Arial" w:cs="Arial" w:eastAsia="Arial" w:hAnsi="Arial"/>
                <w:sz w:val="11"/>
                <w:szCs w:val="11"/>
                <w:color w:val="auto"/>
              </w:rPr>
              <w:t>Preferred Stock</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(865)</w:t>
            </w:r>
          </w:p>
        </w:tc>
        <w:tc>
          <w:tcPr>
            <w:tcW w:w="14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(2,780)</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800</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2,780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0"/>
              </w:rPr>
              <w:t>Payment of amounts due to related party</w:t>
            </w: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with Series C Preferred Stock</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34</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w w:val="91"/>
              </w:rPr>
              <w:t>Issuance of Series C Preferred Stock for</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200"/>
              <w:spacing w:after="0"/>
              <w:rPr>
                <w:sz w:val="20"/>
                <w:szCs w:val="20"/>
                <w:color w:val="auto"/>
              </w:rPr>
            </w:pPr>
            <w:r>
              <w:rPr>
                <w:rFonts w:ascii="Arial" w:cs="Arial" w:eastAsia="Arial" w:hAnsi="Arial"/>
                <w:sz w:val="11"/>
                <w:szCs w:val="11"/>
                <w:color w:val="auto"/>
                <w:w w:val="96"/>
              </w:rPr>
              <w:t>cash, net of issuance costs of $36</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2,995</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10,409</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Blanchard shares</w:t>
            </w:r>
          </w:p>
        </w:tc>
        <w:tc>
          <w:tcPr>
            <w:tcW w:w="7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182,600</w:t>
            </w:r>
          </w:p>
        </w:tc>
        <w:tc>
          <w:tcPr>
            <w:tcW w:w="30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115</w:t>
            </w: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rPr>
              <w:t>Dividend on Series B Convertible</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200"/>
              <w:spacing w:after="0"/>
              <w:rPr>
                <w:sz w:val="20"/>
                <w:szCs w:val="20"/>
                <w:color w:val="auto"/>
              </w:rPr>
            </w:pPr>
            <w:r>
              <w:rPr>
                <w:rFonts w:ascii="Arial" w:cs="Arial" w:eastAsia="Arial" w:hAnsi="Arial"/>
                <w:sz w:val="11"/>
                <w:szCs w:val="11"/>
                <w:color w:val="auto"/>
              </w:rPr>
              <w:t>Preferred Stock</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(320)</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(320)</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Accretion of Series C Preferred Stock</w:t>
            </w: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Dividend</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1"/>
                <w:szCs w:val="11"/>
                <w:color w:val="auto"/>
              </w:rPr>
              <w:t>Balance at December 31, 2007</w:t>
            </w: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20" w:type="dxa"/>
            <w:vAlign w:val="bottom"/>
            <w:vMerge w:val="continue"/>
          </w:tcPr>
          <w:p>
            <w:pPr>
              <w:spacing w:after="0"/>
              <w:rPr>
                <w:sz w:val="11"/>
                <w:szCs w:val="1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5,953</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18,610</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3,829</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13,338</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w w:val="90"/>
              </w:rPr>
              <w:t>19,036,050</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w w:val="76"/>
              </w:rPr>
              <w:t>190</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7,719</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(18,374)</w:t>
            </w:r>
          </w:p>
        </w:tc>
        <w:tc>
          <w:tcPr>
            <w:tcW w:w="60" w:type="dxa"/>
            <w:vAlign w:val="bottom"/>
          </w:tcPr>
          <w:p>
            <w:pPr>
              <w:spacing w:after="0"/>
              <w:rPr>
                <w:sz w:val="11"/>
                <w:szCs w:val="1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(10,386)</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7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6,685</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6,685</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w w:val="95"/>
              </w:rPr>
              <w:t>Unrealized losses on available for-sale</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20" w:type="dxa"/>
            <w:vAlign w:val="bottom"/>
          </w:tcPr>
          <w:p>
            <w:pPr>
              <w:ind w:left="200"/>
              <w:spacing w:after="0"/>
              <w:rPr>
                <w:sz w:val="20"/>
                <w:szCs w:val="20"/>
                <w:color w:val="auto"/>
              </w:rPr>
            </w:pPr>
            <w:r>
              <w:rPr>
                <w:rFonts w:ascii="Arial" w:cs="Arial" w:eastAsia="Arial" w:hAnsi="Arial"/>
                <w:sz w:val="11"/>
                <w:szCs w:val="11"/>
                <w:color w:val="auto"/>
              </w:rPr>
              <w:t>securities, net of taxes of $42</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Comprehensive income</w:t>
            </w:r>
          </w:p>
        </w:tc>
        <w:tc>
          <w:tcPr>
            <w:tcW w:w="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6,622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rPr>
              <w:t>Undeclared dividends on Series C</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200"/>
              <w:spacing w:after="0"/>
              <w:rPr>
                <w:sz w:val="20"/>
                <w:szCs w:val="20"/>
                <w:color w:val="auto"/>
              </w:rPr>
            </w:pPr>
            <w:r>
              <w:rPr>
                <w:rFonts w:ascii="Arial" w:cs="Arial" w:eastAsia="Arial" w:hAnsi="Arial"/>
                <w:sz w:val="11"/>
                <w:szCs w:val="11"/>
                <w:color w:val="auto"/>
              </w:rPr>
              <w:t>Preferred Stock</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938</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(938)</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(938)</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Blanchard shares</w:t>
            </w:r>
          </w:p>
        </w:tc>
        <w:tc>
          <w:tcPr>
            <w:tcW w:w="7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182,600</w:t>
            </w:r>
          </w:p>
        </w:tc>
        <w:tc>
          <w:tcPr>
            <w:tcW w:w="30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2,994</w:t>
            </w: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2,996</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rPr>
              <w:t>Cancellation of IAS warrant, net of</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200"/>
              <w:spacing w:after="0"/>
              <w:rPr>
                <w:sz w:val="20"/>
                <w:szCs w:val="20"/>
                <w:color w:val="auto"/>
              </w:rPr>
            </w:pPr>
            <w:r>
              <w:rPr>
                <w:rFonts w:ascii="Arial" w:cs="Arial" w:eastAsia="Arial" w:hAnsi="Arial"/>
                <w:sz w:val="11"/>
                <w:szCs w:val="11"/>
                <w:color w:val="auto"/>
              </w:rPr>
              <w:t>$2,316 deferred taxes</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(3,684)</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rPr>
              <w:t>(3,684)</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of warrant</w:t>
            </w:r>
          </w:p>
        </w:tc>
        <w:tc>
          <w:tcPr>
            <w:tcW w:w="7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909,348</w:t>
            </w:r>
          </w:p>
        </w:tc>
        <w:tc>
          <w:tcPr>
            <w:tcW w:w="30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517</w:t>
            </w: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526</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rPr>
              <w:t>Conversion of Series A and Series C</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20" w:type="dxa"/>
            <w:vAlign w:val="bottom"/>
          </w:tcPr>
          <w:p>
            <w:pPr>
              <w:ind w:left="200"/>
              <w:spacing w:after="0" w:line="122" w:lineRule="exact"/>
              <w:rPr>
                <w:sz w:val="20"/>
                <w:szCs w:val="20"/>
                <w:color w:val="auto"/>
              </w:rPr>
            </w:pPr>
            <w:r>
              <w:rPr>
                <w:rFonts w:ascii="Arial" w:cs="Arial" w:eastAsia="Arial" w:hAnsi="Arial"/>
                <w:sz w:val="11"/>
                <w:szCs w:val="11"/>
                <w:color w:val="auto"/>
              </w:rPr>
              <w:t>Convertible Preferred Stock to</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200"/>
              <w:spacing w:after="0"/>
              <w:rPr>
                <w:sz w:val="20"/>
                <w:szCs w:val="20"/>
                <w:color w:val="auto"/>
              </w:rPr>
            </w:pPr>
            <w:r>
              <w:rPr>
                <w:rFonts w:ascii="Arial" w:cs="Arial" w:eastAsia="Arial" w:hAnsi="Arial"/>
                <w:sz w:val="11"/>
                <w:szCs w:val="11"/>
                <w:color w:val="auto"/>
              </w:rPr>
              <w:t>Common Stock</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(5,953)</w:t>
            </w:r>
          </w:p>
        </w:tc>
        <w:tc>
          <w:tcPr>
            <w:tcW w:w="6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(18,610)</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(3,829)</w:t>
            </w:r>
          </w:p>
        </w:tc>
        <w:tc>
          <w:tcPr>
            <w:tcW w:w="60" w:type="dxa"/>
            <w:vAlign w:val="bottom"/>
          </w:tcPr>
          <w:p>
            <w:pPr>
              <w:spacing w:after="0"/>
              <w:rPr>
                <w:sz w:val="11"/>
                <w:szCs w:val="1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w w:val="87"/>
              </w:rPr>
              <w:t>(14,276)</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w w:val="90"/>
              </w:rPr>
              <w:t>13,103,511</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w w:val="76"/>
              </w:rPr>
              <w:t>131</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32,755</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32,886</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2"/>
              </w:rPr>
              <w:t>Stock issued in initial public offering, net</w:t>
            </w: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of issuance costs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0"/>
              </w:rPr>
              <w:t>12,075,000</w:t>
            </w:r>
          </w:p>
        </w:tc>
        <w:tc>
          <w:tcPr>
            <w:tcW w:w="3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76"/>
              </w:rPr>
              <w:t>121</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128,635</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5"/>
              </w:rPr>
              <w:t>128,756</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w w:val="92"/>
              </w:rPr>
              <w:t>Special distribution to stockholders from</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200"/>
              <w:spacing w:after="0"/>
              <w:rPr>
                <w:sz w:val="20"/>
                <w:szCs w:val="20"/>
                <w:color w:val="auto"/>
              </w:rPr>
            </w:pPr>
            <w:r>
              <w:rPr>
                <w:rFonts w:ascii="Arial" w:cs="Arial" w:eastAsia="Arial" w:hAnsi="Arial"/>
                <w:sz w:val="11"/>
                <w:szCs w:val="11"/>
                <w:color w:val="auto"/>
              </w:rPr>
              <w:t>initial public offering proceeds</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(108,675)</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1"/>
                <w:szCs w:val="11"/>
                <w:color w:val="auto"/>
                <w:w w:val="84"/>
              </w:rPr>
              <w:t>(108,675)</w:t>
            </w:r>
          </w:p>
        </w:tc>
        <w:tc>
          <w:tcPr>
            <w:tcW w:w="0" w:type="dxa"/>
            <w:vAlign w:val="bottom"/>
          </w:tcPr>
          <w:p>
            <w:pPr>
              <w:spacing w:after="0"/>
              <w:rPr>
                <w:sz w:val="1"/>
                <w:szCs w:val="1"/>
                <w:color w:val="auto"/>
              </w:rPr>
            </w:pPr>
          </w:p>
        </w:tc>
      </w:tr>
      <w:tr>
        <w:trPr>
          <w:trHeight w:val="112"/>
        </w:trPr>
        <w:tc>
          <w:tcPr>
            <w:tcW w:w="1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Restricted stock granted to Chief</w:t>
            </w: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Executive Officer</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109,329</w:t>
            </w:r>
          </w:p>
        </w:tc>
        <w:tc>
          <w:tcPr>
            <w:tcW w:w="3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1,310</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1,311</w:t>
            </w:r>
          </w:p>
        </w:tc>
        <w:tc>
          <w:tcPr>
            <w:tcW w:w="0" w:type="dxa"/>
            <w:vAlign w:val="bottom"/>
          </w:tcPr>
          <w:p>
            <w:pPr>
              <w:spacing w:after="0"/>
              <w:rPr>
                <w:sz w:val="1"/>
                <w:szCs w:val="1"/>
                <w:color w:val="auto"/>
              </w:rPr>
            </w:pPr>
          </w:p>
        </w:tc>
      </w:tr>
      <w:tr>
        <w:trPr>
          <w:trHeight w:val="122"/>
        </w:trPr>
        <w:tc>
          <w:tcPr>
            <w:tcW w:w="1820" w:type="dxa"/>
            <w:vAlign w:val="bottom"/>
          </w:tcPr>
          <w:p>
            <w:pPr>
              <w:spacing w:after="0" w:line="122" w:lineRule="exact"/>
              <w:rPr>
                <w:sz w:val="20"/>
                <w:szCs w:val="20"/>
                <w:color w:val="auto"/>
              </w:rPr>
            </w:pPr>
            <w:r>
              <w:rPr>
                <w:rFonts w:ascii="Arial" w:cs="Arial" w:eastAsia="Arial" w:hAnsi="Arial"/>
                <w:sz w:val="11"/>
                <w:szCs w:val="11"/>
                <w:color w:val="auto"/>
              </w:rPr>
              <w:t>Share-based compensation</w:t>
            </w:r>
          </w:p>
        </w:tc>
        <w:tc>
          <w:tcPr>
            <w:tcW w:w="7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2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3,563</w:t>
            </w:r>
          </w:p>
        </w:tc>
        <w:tc>
          <w:tcPr>
            <w:tcW w:w="4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3,563</w:t>
            </w:r>
          </w:p>
        </w:tc>
        <w:tc>
          <w:tcPr>
            <w:tcW w:w="0" w:type="dxa"/>
            <w:vAlign w:val="bottom"/>
          </w:tcPr>
          <w:p>
            <w:pPr>
              <w:spacing w:after="0"/>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Exercise of stock options</w:t>
            </w:r>
          </w:p>
        </w:tc>
        <w:tc>
          <w:tcPr>
            <w:tcW w:w="7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49,322</w:t>
            </w:r>
          </w:p>
        </w:tc>
        <w:tc>
          <w:tcPr>
            <w:tcW w:w="30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591</w:t>
            </w:r>
          </w:p>
        </w:tc>
        <w:tc>
          <w:tcPr>
            <w:tcW w:w="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592</w:t>
            </w:r>
          </w:p>
        </w:tc>
        <w:tc>
          <w:tcPr>
            <w:tcW w:w="0" w:type="dxa"/>
            <w:vAlign w:val="bottom"/>
          </w:tcPr>
          <w:p>
            <w:pPr>
              <w:spacing w:after="0"/>
              <w:rPr>
                <w:sz w:val="1"/>
                <w:szCs w:val="1"/>
                <w:color w:val="auto"/>
              </w:rPr>
            </w:pPr>
          </w:p>
        </w:tc>
      </w:tr>
      <w:tr>
        <w:trPr>
          <w:trHeight w:val="112"/>
        </w:trPr>
        <w:tc>
          <w:tcPr>
            <w:tcW w:w="1820" w:type="dxa"/>
            <w:vAlign w:val="bottom"/>
          </w:tcPr>
          <w:p>
            <w:pPr>
              <w:spacing w:after="0" w:line="112" w:lineRule="exact"/>
              <w:rPr>
                <w:sz w:val="20"/>
                <w:szCs w:val="20"/>
                <w:color w:val="auto"/>
              </w:rPr>
            </w:pPr>
            <w:r>
              <w:rPr>
                <w:rFonts w:ascii="Arial" w:cs="Arial" w:eastAsia="Arial" w:hAnsi="Arial"/>
                <w:sz w:val="11"/>
                <w:szCs w:val="11"/>
                <w:color w:val="auto"/>
              </w:rPr>
              <w:t>Excess tax benefit from share-based</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20" w:type="dxa"/>
            <w:vAlign w:val="bottom"/>
          </w:tcPr>
          <w:p>
            <w:pPr>
              <w:ind w:left="200"/>
              <w:spacing w:after="0"/>
              <w:rPr>
                <w:sz w:val="20"/>
                <w:szCs w:val="20"/>
                <w:color w:val="auto"/>
              </w:rPr>
            </w:pPr>
            <w:r>
              <w:rPr>
                <w:rFonts w:ascii="Arial" w:cs="Arial" w:eastAsia="Arial" w:hAnsi="Arial"/>
                <w:sz w:val="11"/>
                <w:szCs w:val="11"/>
                <w:color w:val="auto"/>
              </w:rPr>
              <w:t>compensation</w:t>
            </w:r>
          </w:p>
        </w:tc>
        <w:tc>
          <w:tcPr>
            <w:tcW w:w="7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2008</w:t>
            </w:r>
          </w:p>
        </w:tc>
        <w:tc>
          <w:tcPr>
            <w:tcW w:w="7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90"/>
              </w:rPr>
              <w:t>45,465,160</w:t>
            </w:r>
          </w:p>
        </w:tc>
        <w:tc>
          <w:tcPr>
            <w:tcW w:w="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76"/>
              </w:rPr>
              <w:t>455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64,808</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(11,689)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53,590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60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90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w w:val="91"/>
              </w:rPr>
              <w:t>Grand Canyon Education, Inc.</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87"/>
              </w:rPr>
              <w:t>Statements of Cash Flows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vMerge w:val="restart"/>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40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1,526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Provision for bad debts</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4,664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6,257</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(2,148)</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(1,656)</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(8,573)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1,663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2,280</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(2,294)</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Deferred revenue and student deposits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Prepaid royalties to former owner</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Royalty payable to former owner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Deposit with former owner</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9,045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Repayment on line of credit</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line of credit and other debt obligations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Repurchase of Institute Warrant</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Repayment of Institute Note 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Net proceeds from issuance of preferred stock</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4,684</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Redemptions of preferred stock</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(4,200)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Dividends on preferred stock</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128,756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Payment of special distribution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(108,675)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Proceeds from exercise of warrant</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9,301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10,991</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7,395</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11,535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18,930</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Cash paid during the year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2,645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paid during the year for 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4,964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w w:val="93"/>
              </w:rPr>
              <w:t>Supplemental disclosure of non-cash investing and financing activities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Issuance of Series B and Series C convertible preferred stock for notes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receivable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w w:val="95"/>
              </w:rPr>
              <w:t>Receipt of marketable securities for Series B convertible preferred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Issuance of Series C convertible preferred stock for settlement of</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balances owed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Value assigned to Blanchard shares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Assumption of future obligations under gift annuities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Deferred tax on repurchase of Institute Warrant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Conversion of Series A and Series C convertible preferred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32,886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219"/>
          </w:cols>
          <w:pgMar w:left="240" w:top="405" w:right="1440" w:bottom="0" w:gutter="0" w:footer="0" w:header="0"/>
        </w:sectPr>
      </w:pPr>
    </w:p>
    <w:bookmarkStart w:id="97" w:name="page98"/>
    <w:bookmarkEnd w:id="97"/>
    <w:p>
      <w:pPr>
        <w:ind w:left="370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w:t>
      </w:r>
    </w:p>
    <w:p>
      <w:pPr>
        <w:spacing w:after="0" w:line="161" w:lineRule="exact"/>
        <w:rPr>
          <w:sz w:val="20"/>
          <w:szCs w:val="20"/>
          <w:color w:val="auto"/>
        </w:rPr>
      </w:pPr>
    </w:p>
    <w:p>
      <w:pPr>
        <w:ind w:left="340" w:right="639" w:firstLine="373"/>
        <w:spacing w:after="0" w:line="279" w:lineRule="auto"/>
        <w:rPr>
          <w:sz w:val="20"/>
          <w:szCs w:val="20"/>
          <w:color w:val="auto"/>
        </w:rPr>
      </w:pPr>
      <w:r>
        <w:rPr>
          <w:rFonts w:ascii="Arial" w:cs="Arial" w:eastAsia="Arial" w:hAnsi="Arial"/>
          <w:sz w:val="17"/>
          <w:szCs w:val="17"/>
          <w:color w:val="auto"/>
        </w:rPr>
        <w:t>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131" w:lineRule="exact"/>
        <w:rPr>
          <w:sz w:val="20"/>
          <w:szCs w:val="20"/>
          <w:color w:val="auto"/>
        </w:rPr>
      </w:pPr>
    </w:p>
    <w:p>
      <w:pPr>
        <w:ind w:left="340" w:right="799" w:firstLine="373"/>
        <w:spacing w:after="0" w:line="312" w:lineRule="auto"/>
        <w:rPr>
          <w:sz w:val="20"/>
          <w:szCs w:val="20"/>
          <w:color w:val="auto"/>
        </w:rPr>
      </w:pPr>
      <w:r>
        <w:rPr>
          <w:rFonts w:ascii="Arial" w:cs="Arial" w:eastAsia="Arial" w:hAnsi="Arial"/>
          <w:sz w:val="16"/>
          <w:szCs w:val="16"/>
          <w:color w:val="auto"/>
        </w:rPr>
        <w:t>Except as otherwise indicated, all information presented in the accompanying financial statements has been adjusted to reflect the 1,826 for one split of common stock and conversion of formerly outstanding shares of preferred stock into common stock, both of which occurred in connection with the Company’s initial public offering of common stock.</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Formation and Transactions with Former Owner</w:t>
      </w:r>
    </w:p>
    <w:p>
      <w:pPr>
        <w:spacing w:after="0" w:line="185"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137" w:lineRule="exact"/>
        <w:rPr>
          <w:sz w:val="20"/>
          <w:szCs w:val="20"/>
          <w:color w:val="auto"/>
        </w:rPr>
      </w:pPr>
    </w:p>
    <w:p>
      <w:pPr>
        <w:ind w:left="340" w:right="979" w:firstLine="373"/>
        <w:spacing w:after="0" w:line="286" w:lineRule="auto"/>
        <w:rPr>
          <w:sz w:val="20"/>
          <w:szCs w:val="20"/>
          <w:color w:val="auto"/>
        </w:rPr>
      </w:pPr>
      <w:r>
        <w:rPr>
          <w:rFonts w:ascii="Arial" w:cs="Arial" w:eastAsia="Arial" w:hAnsi="Arial"/>
          <w:sz w:val="17"/>
          <w:szCs w:val="17"/>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139" w:lineRule="exact"/>
        <w:rPr>
          <w:sz w:val="20"/>
          <w:szCs w:val="20"/>
          <w:color w:val="auto"/>
        </w:rPr>
      </w:pPr>
    </w:p>
    <w:p>
      <w:pPr>
        <w:ind w:left="1420" w:hanging="345"/>
        <w:spacing w:after="0"/>
        <w:tabs>
          <w:tab w:leader="none" w:pos="14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$26,750 in cash;</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assumption of a $1,500 note payable to a third party (the “Kirksville Note”);</w:t>
      </w:r>
    </w:p>
    <w:p>
      <w:pPr>
        <w:spacing w:after="0" w:line="144" w:lineRule="exact"/>
        <w:rPr>
          <w:rFonts w:ascii="Arial" w:cs="Arial" w:eastAsia="Arial" w:hAnsi="Arial"/>
          <w:sz w:val="18"/>
          <w:szCs w:val="18"/>
          <w:b w:val="1"/>
          <w:bCs w:val="1"/>
          <w:color w:val="auto"/>
        </w:rPr>
      </w:pPr>
    </w:p>
    <w:p>
      <w:pPr>
        <w:jc w:val="both"/>
        <w:ind w:left="1420" w:right="999" w:hanging="345"/>
        <w:spacing w:after="0" w:line="259" w:lineRule="auto"/>
        <w:tabs>
          <w:tab w:leader="none" w:pos="14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659" w:firstLine="373"/>
        <w:spacing w:after="0" w:line="277" w:lineRule="auto"/>
        <w:rPr>
          <w:sz w:val="20"/>
          <w:szCs w:val="20"/>
          <w:color w:val="auto"/>
        </w:rPr>
      </w:pPr>
      <w:r>
        <w:rPr>
          <w:rFonts w:ascii="Arial" w:cs="Arial" w:eastAsia="Arial" w:hAnsi="Arial"/>
          <w:sz w:val="18"/>
          <w:szCs w:val="18"/>
          <w:color w:val="auto"/>
        </w:rPr>
        <w:t>The value of the warrant was estimated at $420 which approximates 10% of the estimated fair value of the Company at the date of grant and was included as a component of the cost of the campus and related buildings.</w:t>
      </w:r>
    </w:p>
    <w:p>
      <w:pPr>
        <w:spacing w:after="0" w:line="130" w:lineRule="exact"/>
        <w:rPr>
          <w:sz w:val="20"/>
          <w:szCs w:val="20"/>
          <w:color w:val="auto"/>
        </w:rPr>
      </w:pPr>
    </w:p>
    <w:p>
      <w:pPr>
        <w:ind w:left="340" w:right="599" w:firstLine="373"/>
        <w:spacing w:after="0" w:line="302" w:lineRule="auto"/>
        <w:rPr>
          <w:sz w:val="20"/>
          <w:szCs w:val="20"/>
          <w:color w:val="auto"/>
        </w:rPr>
      </w:pPr>
      <w:r>
        <w:rPr>
          <w:rFonts w:ascii="Arial" w:cs="Arial" w:eastAsia="Arial" w:hAnsi="Arial"/>
          <w:sz w:val="16"/>
          <w:szCs w:val="16"/>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127" w:lineRule="exact"/>
        <w:rPr>
          <w:sz w:val="20"/>
          <w:szCs w:val="20"/>
          <w:color w:val="auto"/>
        </w:rPr>
      </w:pPr>
    </w:p>
    <w:p>
      <w:pPr>
        <w:ind w:left="340" w:right="639" w:firstLine="373"/>
        <w:spacing w:after="0" w:line="291" w:lineRule="auto"/>
        <w:rPr>
          <w:sz w:val="20"/>
          <w:szCs w:val="20"/>
          <w:color w:val="auto"/>
        </w:rPr>
      </w:pPr>
      <w:r>
        <w:rPr>
          <w:rFonts w:ascii="Arial" w:cs="Arial" w:eastAsia="Arial" w:hAnsi="Arial"/>
          <w:sz w:val="16"/>
          <w:szCs w:val="16"/>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127" w:lineRule="exact"/>
        <w:rPr>
          <w:sz w:val="20"/>
          <w:szCs w:val="20"/>
          <w:color w:val="auto"/>
        </w:rPr>
      </w:pPr>
    </w:p>
    <w:p>
      <w:pPr>
        <w:ind w:left="340" w:right="639" w:firstLine="373"/>
        <w:spacing w:after="0" w:line="279" w:lineRule="auto"/>
        <w:rPr>
          <w:sz w:val="20"/>
          <w:szCs w:val="20"/>
          <w:color w:val="auto"/>
        </w:rPr>
      </w:pPr>
      <w:r>
        <w:rPr>
          <w:rFonts w:ascii="Arial" w:cs="Arial" w:eastAsia="Arial" w:hAnsi="Arial"/>
          <w:sz w:val="17"/>
          <w:szCs w:val="17"/>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 April 15, 2008, which would serve, in its entirety, as consideration for:</w:t>
      </w:r>
    </w:p>
    <w:p>
      <w:pPr>
        <w:spacing w:after="0" w:line="131" w:lineRule="exact"/>
        <w:rPr>
          <w:sz w:val="20"/>
          <w:szCs w:val="20"/>
          <w:color w:val="auto"/>
        </w:rPr>
      </w:pPr>
    </w:p>
    <w:p>
      <w:pPr>
        <w:ind w:left="1420" w:right="619" w:hanging="345"/>
        <w:spacing w:after="0" w:line="277"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satisfaction in full of all past royalties due to the Institute under the Royalty Agreement and the elimination of the existing obligation to pay royalties for online student revenues in perpetuity;</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repurchase of the Institute Warrant;</w:t>
      </w:r>
    </w:p>
    <w:p>
      <w:pPr>
        <w:spacing w:after="0" w:line="157" w:lineRule="exact"/>
        <w:rPr>
          <w:rFonts w:ascii="Arial" w:cs="Arial" w:eastAsia="Arial" w:hAnsi="Arial"/>
          <w:sz w:val="18"/>
          <w:szCs w:val="18"/>
          <w:b w:val="1"/>
          <w:bCs w:val="1"/>
          <w:color w:val="auto"/>
        </w:rPr>
      </w:pPr>
    </w:p>
    <w:p>
      <w:pPr>
        <w:ind w:left="1420" w:right="739" w:hanging="345"/>
        <w:spacing w:after="0" w:line="277"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acquisition by the Company of the real property and related building located on the Campus that was owned by the Institute and not transferred in connection with the Ancillary Agreement;</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termination of a sublease agreement pursuant to which the Institute leased office space on the Campus;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1420" w:right="739" w:hanging="345"/>
        <w:spacing w:after="0" w:line="277" w:lineRule="auto"/>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assumption by the Company of all future payment obligations in respect to certain gift annuities made to the school by donors prior to the acquisition; and</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satisfaction in full of the $1,250 Institute Loan (including all accrued and unpaid interest thereon).</w:t>
      </w:r>
    </w:p>
    <w:p>
      <w:pPr>
        <w:spacing w:after="0" w:line="198"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April 15, 2008 Settlement of the Standstill Agreement</w:t>
      </w:r>
    </w:p>
    <w:p>
      <w:pPr>
        <w:spacing w:after="0" w:line="185" w:lineRule="exact"/>
        <w:rPr>
          <w:sz w:val="20"/>
          <w:szCs w:val="20"/>
          <w:color w:val="auto"/>
        </w:rPr>
      </w:pPr>
    </w:p>
    <w:p>
      <w:pPr>
        <w:ind w:left="340" w:right="579" w:firstLine="373"/>
        <w:spacing w:after="0" w:line="342" w:lineRule="auto"/>
        <w:rPr>
          <w:sz w:val="20"/>
          <w:szCs w:val="20"/>
          <w:color w:val="auto"/>
        </w:rPr>
      </w:pPr>
      <w:r>
        <w:rPr>
          <w:rFonts w:ascii="Arial" w:cs="Arial" w:eastAsia="Arial" w:hAnsi="Arial"/>
          <w:sz w:val="16"/>
          <w:szCs w:val="16"/>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Payment</w:t>
            </w:r>
          </w:p>
        </w:tc>
        <w:tc>
          <w:tcPr>
            <w:tcW w:w="440" w:type="dxa"/>
            <w:vAlign w:val="bottom"/>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Optional Payment</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7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Payment to be allocated</w:t>
            </w:r>
          </w:p>
        </w:tc>
        <w:tc>
          <w:tcPr>
            <w:tcW w:w="440" w:type="dxa"/>
            <w:vAlign w:val="bottom"/>
            <w:shd w:val="clear" w:color="auto" w:fill="CCEEFF"/>
          </w:tcPr>
          <w:p>
            <w:pPr>
              <w:jc w:val="right"/>
              <w:ind w:right="28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22,500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i w:val="1"/>
                <w:iCs w:val="1"/>
                <w:color w:val="auto"/>
                <w:w w:val="87"/>
              </w:rPr>
              <w:t>1)</w:t>
            </w:r>
          </w:p>
        </w:tc>
        <w:tc>
          <w:tcPr>
            <w:tcW w:w="7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Obligations settled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vMerge w:val="continue"/>
          </w:tcPr>
          <w:p>
            <w:pPr>
              <w:spacing w:after="0"/>
              <w:rPr>
                <w:sz w:val="18"/>
                <w:szCs w:val="18"/>
                <w:color w:val="auto"/>
              </w:rPr>
            </w:pPr>
          </w:p>
        </w:tc>
        <w:tc>
          <w:tcPr>
            <w:tcW w:w="77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royalties due under Royalty Agreement (as of April 15, 2008)</w:t>
            </w:r>
          </w:p>
        </w:tc>
        <w:tc>
          <w:tcPr>
            <w:tcW w:w="440" w:type="dxa"/>
            <w:vAlign w:val="bottom"/>
            <w:shd w:val="clear" w:color="auto" w:fill="CCEEFF"/>
          </w:tcPr>
          <w:p>
            <w:pPr>
              <w:jc w:val="right"/>
              <w:ind w:right="28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780" w:type="dxa"/>
            <w:vAlign w:val="bottom"/>
          </w:tcPr>
          <w:p>
            <w:pPr>
              <w:ind w:left="40"/>
              <w:spacing w:after="0"/>
              <w:rPr>
                <w:sz w:val="20"/>
                <w:szCs w:val="20"/>
                <w:color w:val="auto"/>
              </w:rPr>
            </w:pPr>
            <w:r>
              <w:rPr>
                <w:rFonts w:ascii="Arial" w:cs="Arial" w:eastAsia="Arial" w:hAnsi="Arial"/>
                <w:sz w:val="18"/>
                <w:szCs w:val="18"/>
                <w:color w:val="auto"/>
              </w:rPr>
              <w:t>—Repurchase of Institute Warrant</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Institute Loan, including accrued interest</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780" w:type="dxa"/>
            <w:vAlign w:val="bottom"/>
          </w:tcPr>
          <w:p>
            <w:pPr>
              <w:ind w:left="40"/>
              <w:spacing w:after="0"/>
              <w:rPr>
                <w:sz w:val="20"/>
                <w:szCs w:val="20"/>
                <w:color w:val="auto"/>
              </w:rPr>
            </w:pPr>
            <w:r>
              <w:rPr>
                <w:rFonts w:ascii="Arial" w:cs="Arial" w:eastAsia="Arial" w:hAnsi="Arial"/>
                <w:sz w:val="18"/>
                <w:szCs w:val="18"/>
                <w:color w:val="auto"/>
              </w:rPr>
              <w:t>—Other amounts due to the Institute</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7"/>
              </w:rPr>
              <w:t>2)</w:t>
            </w: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 assumed</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780" w:type="dxa"/>
            <w:vAlign w:val="bottom"/>
          </w:tcPr>
          <w:p>
            <w:pPr>
              <w:ind w:left="40"/>
              <w:spacing w:after="0"/>
              <w:rPr>
                <w:sz w:val="20"/>
                <w:szCs w:val="20"/>
                <w:color w:val="auto"/>
              </w:rPr>
            </w:pPr>
            <w:r>
              <w:rPr>
                <w:rFonts w:ascii="Arial" w:cs="Arial" w:eastAsia="Arial" w:hAnsi="Arial"/>
                <w:sz w:val="18"/>
                <w:szCs w:val="18"/>
                <w:color w:val="auto"/>
              </w:rPr>
              <w:t>—Assumption of gift annuities obligation, at fair value</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7"/>
              </w:rPr>
              <w:t>3)</w:t>
            </w: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Cost to be allocated to assets acquired</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780" w:type="dxa"/>
            <w:vAlign w:val="bottom"/>
          </w:tcPr>
          <w:p>
            <w:pPr>
              <w:ind w:left="40"/>
              <w:spacing w:after="0"/>
              <w:rPr>
                <w:sz w:val="20"/>
                <w:szCs w:val="20"/>
                <w:color w:val="auto"/>
              </w:rPr>
            </w:pPr>
            <w:r>
              <w:rPr>
                <w:rFonts w:ascii="Arial" w:cs="Arial" w:eastAsia="Arial" w:hAnsi="Arial"/>
                <w:sz w:val="18"/>
                <w:szCs w:val="18"/>
                <w:color w:val="auto"/>
              </w:rPr>
              <w:t>—Real property and prepaid royalty asset</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7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fair value estimates</w:t>
            </w:r>
          </w:p>
        </w:tc>
        <w:tc>
          <w:tcPr>
            <w:tcW w:w="440" w:type="dxa"/>
            <w:vAlign w:val="bottom"/>
            <w:shd w:val="clear" w:color="auto" w:fill="CCEEFF"/>
          </w:tcPr>
          <w:p>
            <w:pPr>
              <w:jc w:val="right"/>
              <w:ind w:right="28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22,500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146" w:lineRule="exact"/>
        <w:rPr>
          <w:sz w:val="20"/>
          <w:szCs w:val="20"/>
          <w:color w:val="auto"/>
        </w:rPr>
      </w:pPr>
    </w:p>
    <w:p>
      <w:pPr>
        <w:jc w:val="both"/>
        <w:ind w:left="340" w:right="1239" w:firstLine="373"/>
        <w:spacing w:after="0" w:line="312" w:lineRule="auto"/>
        <w:rPr>
          <w:sz w:val="20"/>
          <w:szCs w:val="20"/>
          <w:color w:val="auto"/>
        </w:rPr>
      </w:pPr>
      <w:r>
        <w:rPr>
          <w:rFonts w:ascii="Arial" w:cs="Arial" w:eastAsia="Arial" w:hAnsi="Arial"/>
          <w:sz w:val="16"/>
          <w:szCs w:val="16"/>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106" w:lineRule="exact"/>
        <w:rPr>
          <w:sz w:val="20"/>
          <w:szCs w:val="20"/>
          <w:color w:val="auto"/>
        </w:rPr>
      </w:pPr>
    </w:p>
    <w:p>
      <w:pPr>
        <w:ind w:left="340" w:right="839" w:firstLine="373"/>
        <w:spacing w:after="0" w:line="302" w:lineRule="auto"/>
        <w:rPr>
          <w:sz w:val="20"/>
          <w:szCs w:val="20"/>
          <w:color w:val="auto"/>
        </w:rPr>
      </w:pPr>
      <w:r>
        <w:rPr>
          <w:rFonts w:ascii="Arial" w:cs="Arial" w:eastAsia="Arial" w:hAnsi="Arial"/>
          <w:sz w:val="16"/>
          <w:szCs w:val="16"/>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6"/>
          <w:szCs w:val="16"/>
          <w:i w:val="1"/>
          <w:iCs w:val="1"/>
          <w:color w:val="auto"/>
        </w:rPr>
        <w:t>i.e</w:t>
      </w:r>
      <w:r>
        <w:rPr>
          <w:rFonts w:ascii="Arial" w:cs="Arial" w:eastAsia="Arial" w:hAnsi="Arial"/>
          <w:sz w:val="16"/>
          <w:szCs w:val="16"/>
          <w:color w:val="auto"/>
        </w:rPr>
        <w:t>., land) and related building acquired from the Institute in the transaction as an asset at the option exercise date and these assets totaling $129 and $24, respectively, have been classified within “Property and Equipment” on the Company’s balance sheet at December 31, 2008.</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jc w:val="both"/>
        <w:ind w:left="340" w:right="1059" w:firstLine="373"/>
        <w:spacing w:after="0" w:line="286" w:lineRule="auto"/>
        <w:rPr>
          <w:sz w:val="20"/>
          <w:szCs w:val="20"/>
          <w:color w:val="auto"/>
        </w:rPr>
      </w:pPr>
      <w:r>
        <w:rPr>
          <w:rFonts w:ascii="Arial" w:cs="Arial" w:eastAsia="Arial" w:hAnsi="Arial"/>
          <w:sz w:val="17"/>
          <w:szCs w:val="17"/>
          <w:color w:val="auto"/>
        </w:rPr>
        <w:t>The $5,920 value of the settlement of future royalty payment obligations to the Institute was determined based on its relative fair value at the option exercise date and is included in the accompanying balance sheet at December 31, 2008 as a “Prepaid Royalty,” and will be amortized on a straight line basis over a period of 20 years.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340" w:right="859" w:firstLine="373"/>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Certain reclassifications of prior year amounts have been made to the prior year balances to conform to the current period.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left="340" w:right="739" w:firstLine="373"/>
        <w:spacing w:after="0" w:line="264" w:lineRule="auto"/>
        <w:rPr>
          <w:sz w:val="20"/>
          <w:szCs w:val="20"/>
          <w:color w:val="auto"/>
        </w:rPr>
      </w:pPr>
      <w:r>
        <w:rPr>
          <w:rFonts w:ascii="Arial" w:cs="Arial" w:eastAsia="Arial" w:hAnsi="Arial"/>
          <w:sz w:val="18"/>
          <w:szCs w:val="18"/>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98" w:lineRule="exact"/>
        <w:rPr>
          <w:sz w:val="20"/>
          <w:szCs w:val="20"/>
          <w:color w:val="auto"/>
        </w:rPr>
      </w:pPr>
    </w:p>
    <w:p>
      <w:pPr>
        <w:ind w:left="340" w:right="579" w:firstLine="373"/>
        <w:spacing w:after="0" w:line="290" w:lineRule="auto"/>
        <w:rPr>
          <w:sz w:val="20"/>
          <w:szCs w:val="20"/>
          <w:color w:val="auto"/>
        </w:rPr>
      </w:pPr>
      <w:r>
        <w:rPr>
          <w:rFonts w:ascii="Arial" w:cs="Arial" w:eastAsia="Arial" w:hAnsi="Arial"/>
          <w:sz w:val="16"/>
          <w:szCs w:val="16"/>
          <w:color w:val="auto"/>
        </w:rPr>
        <w:t>A significant portion of our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These funds are received subsequent to the completion of the authorization and disbursement process for the benefit of the student. The U.S. Department of Education requires Title IV funds collected in advance of student billings to be segregated in a separate cash or cash equivalent account until the students are billed for their portion. We record these amounts as a current asset in restricted cash and cash equivalents. Restricted cash and cash equivalents is excluded from cash and cash equivalents until the cash is no longer restricted. The majority of these funds remain as restricted cash and cash equivalents for an average of 60 to 90 days from the date of receipt.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Investments</w:t>
      </w:r>
    </w:p>
    <w:p>
      <w:pPr>
        <w:spacing w:after="0" w:line="185" w:lineRule="exact"/>
        <w:rPr>
          <w:sz w:val="20"/>
          <w:szCs w:val="20"/>
          <w:color w:val="auto"/>
        </w:rPr>
      </w:pPr>
    </w:p>
    <w:p>
      <w:pPr>
        <w:ind w:left="340" w:right="639" w:firstLine="373"/>
        <w:spacing w:after="0" w:line="270" w:lineRule="auto"/>
        <w:rPr>
          <w:sz w:val="20"/>
          <w:szCs w:val="20"/>
          <w:color w:val="auto"/>
        </w:rPr>
      </w:pPr>
      <w:r>
        <w:rPr>
          <w:rFonts w:ascii="Arial" w:cs="Arial" w:eastAsia="Arial" w:hAnsi="Arial"/>
          <w:sz w:val="17"/>
          <w:szCs w:val="17"/>
          <w:color w:val="auto"/>
        </w:rPr>
        <w:t xml:space="preserve">The Company owns certain marketable securities that are pledged as collateral for a Standby Letter of Credit as further described in Note 4. The Company considers its investments in such marketable securities as available-for-sale securities, in accordance with the provisions of Statement of Financial Accounting Standards (“SFAS”) No. 115, </w:t>
      </w:r>
      <w:r>
        <w:rPr>
          <w:rFonts w:ascii="Arial" w:cs="Arial" w:eastAsia="Arial" w:hAnsi="Arial"/>
          <w:sz w:val="17"/>
          <w:szCs w:val="17"/>
          <w:i w:val="1"/>
          <w:iCs w:val="1"/>
          <w:color w:val="auto"/>
        </w:rPr>
        <w:t>Accounting for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 in Debt and Equity Securities</w:t>
      </w:r>
      <w:r>
        <w:rPr>
          <w:rFonts w:ascii="Arial" w:cs="Arial" w:eastAsia="Arial" w:hAnsi="Arial"/>
          <w:sz w:val="17"/>
          <w:szCs w:val="17"/>
          <w:color w:val="auto"/>
        </w:rPr>
        <w:t>. Available-for-sale investments are carried at fair value as determined by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with unrealized gains and losses, net of tax, 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left="340" w:right="579" w:firstLine="373"/>
        <w:spacing w:after="0" w:line="259" w:lineRule="auto"/>
        <w:rPr>
          <w:sz w:val="20"/>
          <w:szCs w:val="20"/>
          <w:color w:val="auto"/>
        </w:rPr>
      </w:pPr>
      <w:r>
        <w:rPr>
          <w:rFonts w:ascii="Arial" w:cs="Arial" w:eastAsia="Arial" w:hAnsi="Arial"/>
          <w:sz w:val="18"/>
          <w:szCs w:val="18"/>
          <w:color w:val="auto"/>
        </w:rPr>
        <w:t>The carrying value of cash and cash equivalents, accounts receivable, accounts payable, and line of credit approximate their fair value based on the liquidity or the short-term maturities of these instruments. The carrying value of notes payable and capital lease obligations approximate fair value based upon market interest rates available to the Company for debt of similar risk and maturities.</w:t>
      </w:r>
    </w:p>
    <w:p>
      <w:pPr>
        <w:spacing w:after="0" w:line="160" w:lineRule="exact"/>
        <w:rPr>
          <w:sz w:val="20"/>
          <w:szCs w:val="20"/>
          <w:color w:val="auto"/>
        </w:rPr>
      </w:pPr>
    </w:p>
    <w:p>
      <w:pPr>
        <w:ind w:left="340" w:right="679" w:firstLine="373"/>
        <w:spacing w:after="0" w:line="259" w:lineRule="auto"/>
        <w:rPr>
          <w:sz w:val="20"/>
          <w:szCs w:val="20"/>
          <w:color w:val="auto"/>
        </w:rPr>
      </w:pPr>
      <w:r>
        <w:rPr>
          <w:rFonts w:ascii="Arial" w:cs="Arial" w:eastAsia="Arial" w:hAnsi="Arial"/>
          <w:sz w:val="18"/>
          <w:szCs w:val="18"/>
          <w:color w:val="auto"/>
        </w:rPr>
        <w:t xml:space="preserve">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establishes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w:t>
      </w:r>
    </w:p>
    <w:p>
      <w:pPr>
        <w:spacing w:after="0" w:line="146" w:lineRule="exact"/>
        <w:rPr>
          <w:sz w:val="20"/>
          <w:szCs w:val="20"/>
          <w:color w:val="auto"/>
        </w:rPr>
      </w:pPr>
    </w:p>
    <w:p>
      <w:pPr>
        <w:ind w:left="340" w:right="699" w:firstLine="373"/>
        <w:spacing w:after="0" w:line="293" w:lineRule="auto"/>
        <w:rPr>
          <w:sz w:val="20"/>
          <w:szCs w:val="20"/>
          <w:color w:val="auto"/>
        </w:rPr>
      </w:pPr>
      <w:r>
        <w:rPr>
          <w:rFonts w:ascii="Arial" w:cs="Arial" w:eastAsia="Arial" w:hAnsi="Arial"/>
          <w:sz w:val="16"/>
          <w:szCs w:val="16"/>
          <w:color w:val="auto"/>
        </w:rPr>
        <w:t>At December 31, 2008 the fair value of municipal and U.S. agency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The U.S. agency securities are comprised of Fannie Mae and Federal Home Loan Bank bonds. Because these securities held by the Company are investments, assessment of non-performance risk is not applicable as such considerations are only applicable in evaluating the fair value measurements for liabilities.</w:t>
      </w:r>
    </w:p>
    <w:p>
      <w:pPr>
        <w:spacing w:after="0" w:line="124"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The fair value of the prepaid royalty asset related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85"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writes off account receivable balances deemed uncollectible on a regular basis and in 2008 implemented a policy of writing off account receivable balances one year after the revenue is generated.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7"/>
          <w:szCs w:val="17"/>
          <w:i w:val="1"/>
          <w:iCs w:val="1"/>
          <w:color w:val="auto"/>
        </w:rPr>
        <w:t>Capitalization of Interest Costs</w:t>
      </w:r>
      <w:r>
        <w:rPr>
          <w:rFonts w:ascii="Arial" w:cs="Arial" w:eastAsia="Arial" w:hAnsi="Arial"/>
          <w:sz w:val="17"/>
          <w:szCs w:val="17"/>
          <w:color w:val="auto"/>
        </w:rPr>
        <w:t>. The Company used its interest rates on the specific borrowings used to finance the improvements, which approximated 8.7% in 2006, 2007, and 2008 given the amount of the specific debt exceeded the in process value of the project at all times. Interest cost capitalized and incurred in the years ended December 31, 2006, 2007, and 2008 are as follows:</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3,022</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Interest capitalized</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r>
      <w:tr>
        <w:trPr>
          <w:trHeight w:val="20"/>
        </w:trPr>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w:t>
            </w: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959" w:firstLine="373"/>
        <w:spacing w:after="0" w:line="264" w:lineRule="auto"/>
        <w:rPr>
          <w:sz w:val="20"/>
          <w:szCs w:val="20"/>
          <w:color w:val="auto"/>
        </w:rPr>
      </w:pPr>
      <w:r>
        <w:rPr>
          <w:rFonts w:ascii="Arial" w:cs="Arial" w:eastAsia="Arial" w:hAnsi="Arial"/>
          <w:sz w:val="18"/>
          <w:szCs w:val="18"/>
          <w:color w:val="auto"/>
        </w:rPr>
        <w:t>Depreciation is provided using the straight-line method over the estimated useful lives of the assets. Leasehold improvements and furniture and fixtures, computer equipment, and vehicles have estimated useful lives of 10, four, and five years, respectively. Buildings are under 20 year capital leases.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ind w:left="340" w:right="659" w:firstLine="373"/>
        <w:spacing w:after="0" w:line="276" w:lineRule="auto"/>
        <w:rPr>
          <w:sz w:val="20"/>
          <w:szCs w:val="20"/>
          <w:color w:val="auto"/>
        </w:rPr>
      </w:pPr>
      <w:r>
        <w:rPr>
          <w:rFonts w:ascii="Arial" w:cs="Arial" w:eastAsia="Arial" w:hAnsi="Arial"/>
          <w:sz w:val="17"/>
          <w:szCs w:val="17"/>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 xml:space="preserve">Goodwill represents the excess of the cost over the fair market value of net assets acquired, including identified intangible assets. Goodwill is tested annually or more frequently if circumstances indicate potential impairment, by comparing its fair value to its carrying amount as defined by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w:t>
      </w:r>
    </w:p>
    <w:p>
      <w:pPr>
        <w:spacing w:after="0" w:line="141" w:lineRule="exact"/>
        <w:rPr>
          <w:sz w:val="20"/>
          <w:szCs w:val="20"/>
          <w:color w:val="auto"/>
        </w:rPr>
      </w:pPr>
    </w:p>
    <w:p>
      <w:pPr>
        <w:ind w:left="340" w:right="559" w:firstLine="373"/>
        <w:spacing w:after="0" w:line="264" w:lineRule="auto"/>
        <w:rPr>
          <w:sz w:val="20"/>
          <w:szCs w:val="20"/>
          <w:color w:val="auto"/>
        </w:rPr>
      </w:pPr>
      <w:r>
        <w:rPr>
          <w:rFonts w:ascii="Arial" w:cs="Arial" w:eastAsia="Arial" w:hAnsi="Arial"/>
          <w:sz w:val="18"/>
          <w:szCs w:val="18"/>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5" w:lineRule="exact"/>
        <w:rPr>
          <w:sz w:val="20"/>
          <w:szCs w:val="20"/>
          <w:color w:val="auto"/>
        </w:rPr>
      </w:pPr>
    </w:p>
    <w:p>
      <w:pPr>
        <w:ind w:left="340" w:right="659" w:firstLine="373"/>
        <w:spacing w:after="0" w:line="259" w:lineRule="auto"/>
        <w:rPr>
          <w:sz w:val="20"/>
          <w:szCs w:val="20"/>
          <w:color w:val="auto"/>
        </w:rPr>
      </w:pPr>
      <w:r>
        <w:rPr>
          <w:rFonts w:ascii="Arial" w:cs="Arial" w:eastAsia="Arial" w:hAnsi="Arial"/>
          <w:sz w:val="18"/>
          <w:szCs w:val="18"/>
          <w:color w:val="auto"/>
        </w:rPr>
        <w:t xml:space="preserve">The Company applied the provisions of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to measure and recognize compensation expense for share-based payment awards made to employees, consultants and directors, including employee stock options. Prior to the Company’s initial public offering in November 2008, the Company had no share-based awards.</w:t>
      </w:r>
    </w:p>
    <w:p>
      <w:pPr>
        <w:spacing w:after="0" w:line="160" w:lineRule="exact"/>
        <w:rPr>
          <w:sz w:val="20"/>
          <w:szCs w:val="20"/>
          <w:color w:val="auto"/>
        </w:rPr>
      </w:pPr>
    </w:p>
    <w:p>
      <w:pPr>
        <w:ind w:left="340" w:right="659" w:firstLine="373"/>
        <w:spacing w:after="0" w:line="271" w:lineRule="auto"/>
        <w:rPr>
          <w:sz w:val="20"/>
          <w:szCs w:val="20"/>
          <w:color w:val="auto"/>
        </w:rPr>
      </w:pPr>
      <w:r>
        <w:rPr>
          <w:rFonts w:ascii="Arial" w:cs="Arial" w:eastAsia="Arial" w:hAnsi="Arial"/>
          <w:sz w:val="17"/>
          <w:szCs w:val="17"/>
          <w:color w:val="auto"/>
        </w:rPr>
        <w:t>SFAS No. 123(R) requires the Company to calculate the fair value of share-based awards on the date of grant. The Company uses the Black-Scholes-Merton option pricing model to estimate fair value. The option pricing model requires the Company to estimate certain key assumptions such as expected life, volatility, risk free interest rates, and dividend yield to determine the fair value of share-based awards, based on historical information and management judgment. The Company amortizes the share-based compensation expense over the period that the awards are expected to vest, net of estimated forfeiture rates. If the actual forfeitures differ from management estimates, adjustments to compensation expense are recorded. The Company reports cash flows resulting from tax deductions in excess of the compensation cost recognized for those options (excess tax benefits) as financing cash flows.</w:t>
      </w:r>
    </w:p>
    <w:p>
      <w:pPr>
        <w:spacing w:after="0" w:line="138" w:lineRule="exact"/>
        <w:rPr>
          <w:sz w:val="20"/>
          <w:szCs w:val="20"/>
          <w:color w:val="auto"/>
        </w:rPr>
      </w:pPr>
    </w:p>
    <w:p>
      <w:pPr>
        <w:ind w:left="340" w:right="579" w:firstLine="373"/>
        <w:spacing w:after="0" w:line="293" w:lineRule="auto"/>
        <w:rPr>
          <w:sz w:val="20"/>
          <w:szCs w:val="20"/>
          <w:color w:val="auto"/>
        </w:rPr>
      </w:pPr>
      <w:r>
        <w:rPr>
          <w:rFonts w:ascii="Arial" w:cs="Arial" w:eastAsia="Arial" w:hAnsi="Arial"/>
          <w:sz w:val="16"/>
          <w:szCs w:val="16"/>
          <w:color w:val="auto"/>
        </w:rPr>
        <w:t xml:space="preserve">In March 2005, the SEC issued Staff Accounting Bulletin No. 107,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(“SAB 107”), relating to SFAS No. 123(R), and in December 2007, the SEC issued Staff Accounting Bulletin No.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110”). SAB 110 allows companies to continue to use the simplified method, as defined in SAB 107, to estimate the expected term of stock options under certain circumstances. The simplified method for estimating the expected life uses the mid-point between the vesting term and the contractual term of the stock option. The Company has analyzed the circumstances in which the simplified method is allowed and is utilizing the simplified method for stock options granted in November 2008.</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340" w:right="659" w:firstLine="373"/>
        <w:spacing w:after="0" w:line="264" w:lineRule="auto"/>
        <w:rPr>
          <w:sz w:val="20"/>
          <w:szCs w:val="20"/>
          <w:color w:val="auto"/>
        </w:rPr>
      </w:pPr>
      <w:r>
        <w:rPr>
          <w:rFonts w:ascii="Arial" w:cs="Arial" w:eastAsia="Arial" w:hAnsi="Arial"/>
          <w:sz w:val="18"/>
          <w:szCs w:val="18"/>
          <w:color w:val="auto"/>
        </w:rPr>
        <w:t xml:space="preserve">The Company accounts for income taxes as prescribed by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(“SFAS No. 109”). SFAS No. 109 prescribes the use of the asset and liability method to compute the differences between the tax basis of assets and liabilities and the related financial amounts using currently enacted tax laws.</w:t>
      </w:r>
    </w:p>
    <w:p>
      <w:pPr>
        <w:spacing w:after="0" w:line="141"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 xml:space="preserve">Effective January 1, 2008, the Company adopted FASB Interpretation No.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(“FIN 48”). FIN 48 prescribes a more-likely-than-not threshold for financial statement recognition and measurement of a tax position taken or expected to be taken in a tax return. We recognize interest and penalties related to uncertain tax positions in income tax expense. The Company has reserved approximately $299 for FIN 48 liabilities including interest and penalties, which is classified within accrued liabilities on the accompanying balance sheet as of December 31, 2008.</w:t>
      </w:r>
    </w:p>
    <w:p>
      <w:pPr>
        <w:spacing w:after="0" w:line="132" w:lineRule="exact"/>
        <w:rPr>
          <w:sz w:val="20"/>
          <w:szCs w:val="20"/>
          <w:color w:val="auto"/>
        </w:rPr>
      </w:pPr>
    </w:p>
    <w:p>
      <w:pPr>
        <w:ind w:left="340" w:right="639" w:firstLine="373"/>
        <w:spacing w:after="0" w:line="259" w:lineRule="auto"/>
        <w:rPr>
          <w:sz w:val="20"/>
          <w:szCs w:val="20"/>
          <w:color w:val="auto"/>
        </w:rPr>
      </w:pPr>
      <w:r>
        <w:rPr>
          <w:rFonts w:ascii="Arial" w:cs="Arial" w:eastAsia="Arial" w:hAnsi="Arial"/>
          <w:sz w:val="18"/>
          <w:szCs w:val="18"/>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For the years ended December 31, 2006, 2007 and 2008, the Company’s revenue was reduced by approximately $8.0 million, $10.3 million and $18.4 million, respectively, as a result of scholarships that the Company offered to students. If a student withdraws prior to the end of the third week of a semester, the Company will refund all or a portion of tuition already paid pursuant to its refund policy.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7"/>
          <w:szCs w:val="17"/>
          <w:i w:val="1"/>
          <w:iCs w:val="1"/>
          <w:color w:val="auto"/>
        </w:rPr>
        <w:t>Revenue Recognition in Financial Statements</w:t>
      </w:r>
      <w:r>
        <w:rPr>
          <w:rFonts w:ascii="Arial" w:cs="Arial" w:eastAsia="Arial" w:hAnsi="Arial"/>
          <w:sz w:val="17"/>
          <w:szCs w:val="17"/>
          <w:color w:val="auto"/>
        </w:rPr>
        <w:t>. Textbook sales and other revenues are recognized as sales occur or services are performed and represent less than 10% of total revenues.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85" w:lineRule="exact"/>
        <w:rPr>
          <w:sz w:val="20"/>
          <w:szCs w:val="20"/>
          <w:color w:val="auto"/>
        </w:rPr>
      </w:pPr>
    </w:p>
    <w:p>
      <w:pPr>
        <w:ind w:left="340" w:right="699" w:firstLine="373"/>
        <w:spacing w:after="0" w:line="293" w:lineRule="auto"/>
        <w:rPr>
          <w:sz w:val="20"/>
          <w:szCs w:val="20"/>
          <w:color w:val="auto"/>
        </w:rPr>
      </w:pPr>
      <w:r>
        <w:rPr>
          <w:rFonts w:ascii="Arial" w:cs="Arial" w:eastAsia="Arial" w:hAnsi="Arial"/>
          <w:sz w:val="16"/>
          <w:szCs w:val="16"/>
          <w:color w:val="auto"/>
        </w:rPr>
        <w:t>Instructional cost and services consist primarily of costs related to the administration and delivery of the Company’s educational programs. This expense category includes salaries, benefits and share-based compensation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98" w:lineRule="exact"/>
        <w:rPr>
          <w:sz w:val="20"/>
          <w:szCs w:val="20"/>
          <w:color w:val="auto"/>
        </w:rPr>
      </w:pPr>
    </w:p>
    <w:p>
      <w:pPr>
        <w:ind w:left="340" w:right="779" w:firstLine="373"/>
        <w:spacing w:after="0" w:line="293" w:lineRule="auto"/>
        <w:rPr>
          <w:sz w:val="20"/>
          <w:szCs w:val="20"/>
          <w:color w:val="auto"/>
        </w:rPr>
      </w:pPr>
      <w:r>
        <w:rPr>
          <w:rFonts w:ascii="Arial" w:cs="Arial" w:eastAsia="Arial" w:hAnsi="Arial"/>
          <w:sz w:val="16"/>
          <w:szCs w:val="16"/>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and Utah. Selling and promotional costs are expensed as incurred. Advertising costs, which include marketing leads, events, and promotional materials for the years ended December 31, 2006, 2007, and 2008 were $4,674, $10,213, and $18,541, respectively.</w:t>
      </w:r>
    </w:p>
    <w:p>
      <w:pPr>
        <w:spacing w:after="0" w:line="124" w:lineRule="exact"/>
        <w:rPr>
          <w:sz w:val="20"/>
          <w:szCs w:val="20"/>
          <w:color w:val="auto"/>
        </w:rPr>
      </w:pPr>
    </w:p>
    <w:p>
      <w:pPr>
        <w:ind w:left="340" w:right="599" w:firstLine="373"/>
        <w:spacing w:after="0" w:line="297" w:lineRule="auto"/>
        <w:rPr>
          <w:sz w:val="20"/>
          <w:szCs w:val="20"/>
          <w:color w:val="auto"/>
        </w:rPr>
      </w:pPr>
      <w:r>
        <w:rPr>
          <w:rFonts w:ascii="Arial" w:cs="Arial" w:eastAsia="Arial" w:hAnsi="Arial"/>
          <w:sz w:val="16"/>
          <w:szCs w:val="16"/>
          <w:color w:val="auto"/>
        </w:rPr>
        <w:t>The Company is party to revenue share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2006, 2007, and 2008, the Company expensed approximately $3,742, $4,293, and $5,895, respectively, pursuant to these arrangements. As of December 31, 2007 and 2008, $416, and $679, respectively, were due to these related parties.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left="340" w:right="959" w:firstLine="373"/>
        <w:spacing w:after="0" w:line="279"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Royalty to Former Owner</w:t>
      </w:r>
    </w:p>
    <w:p>
      <w:pPr>
        <w:spacing w:after="0" w:line="185" w:lineRule="exact"/>
        <w:rPr>
          <w:sz w:val="20"/>
          <w:szCs w:val="20"/>
          <w:color w:val="auto"/>
        </w:rPr>
      </w:pPr>
    </w:p>
    <w:p>
      <w:pPr>
        <w:ind w:left="340" w:right="599" w:firstLine="373"/>
        <w:spacing w:after="0" w:line="254" w:lineRule="auto"/>
        <w:rPr>
          <w:sz w:val="20"/>
          <w:szCs w:val="20"/>
          <w:color w:val="auto"/>
        </w:rPr>
      </w:pPr>
      <w:r>
        <w:rPr>
          <w:rFonts w:ascii="Arial" w:cs="Arial" w:eastAsia="Arial" w:hAnsi="Arial"/>
          <w:sz w:val="18"/>
          <w:szCs w:val="18"/>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2007, the Company had accrued an aggregate of $7,428,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8"/>
          <w:szCs w:val="18"/>
          <w:i w:val="1"/>
          <w:iCs w:val="1"/>
          <w:color w:val="auto"/>
        </w:rPr>
        <w:t>Formation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with Former Owner</w:t>
      </w:r>
      <w:r>
        <w:rPr>
          <w:rFonts w:ascii="Arial" w:cs="Arial" w:eastAsia="Arial" w:hAnsi="Arial"/>
          <w:sz w:val="18"/>
          <w:szCs w:val="18"/>
          <w:color w:val="auto"/>
        </w:rPr>
        <w:t>. The royalties accrued through April 2008 were applied against the payments made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former owner.</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98" w:lineRule="exact"/>
        <w:rPr>
          <w:sz w:val="20"/>
          <w:szCs w:val="20"/>
          <w:color w:val="auto"/>
        </w:rPr>
      </w:pPr>
    </w:p>
    <w:p>
      <w:pPr>
        <w:ind w:left="340" w:right="699" w:firstLine="373"/>
        <w:spacing w:after="0" w:line="255" w:lineRule="auto"/>
        <w:rPr>
          <w:sz w:val="20"/>
          <w:szCs w:val="20"/>
          <w:color w:val="auto"/>
        </w:rPr>
      </w:pPr>
      <w:r>
        <w:rPr>
          <w:rFonts w:ascii="Arial" w:cs="Arial" w:eastAsia="Arial" w:hAnsi="Arial"/>
          <w:sz w:val="18"/>
          <w:szCs w:val="18"/>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ind w:left="340" w:right="659" w:firstLine="373"/>
        <w:spacing w:after="0" w:line="253" w:lineRule="auto"/>
        <w:rPr>
          <w:sz w:val="20"/>
          <w:szCs w:val="20"/>
          <w:color w:val="auto"/>
        </w:rPr>
      </w:pPr>
      <w:r>
        <w:rPr>
          <w:rFonts w:ascii="Arial" w:cs="Arial" w:eastAsia="Arial" w:hAnsi="Arial"/>
          <w:sz w:val="18"/>
          <w:szCs w:val="18"/>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170" w:lineRule="exact"/>
        <w:rPr>
          <w:sz w:val="20"/>
          <w:szCs w:val="20"/>
          <w:color w:val="auto"/>
        </w:rPr>
      </w:pPr>
    </w:p>
    <w:p>
      <w:pPr>
        <w:ind w:left="340" w:right="759" w:firstLine="373"/>
        <w:spacing w:after="0" w:line="279" w:lineRule="auto"/>
        <w:rPr>
          <w:sz w:val="20"/>
          <w:szCs w:val="20"/>
          <w:color w:val="auto"/>
        </w:rPr>
      </w:pPr>
      <w:r>
        <w:rPr>
          <w:rFonts w:ascii="Arial" w:cs="Arial" w:eastAsia="Arial" w:hAnsi="Arial"/>
          <w:sz w:val="17"/>
          <w:szCs w:val="17"/>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85" w:lineRule="exact"/>
        <w:rPr>
          <w:sz w:val="20"/>
          <w:szCs w:val="20"/>
          <w:color w:val="auto"/>
        </w:rPr>
      </w:pPr>
    </w:p>
    <w:p>
      <w:pPr>
        <w:jc w:val="both"/>
        <w:ind w:left="340" w:right="979" w:firstLine="373"/>
        <w:spacing w:after="0" w:line="264" w:lineRule="auto"/>
        <w:rPr>
          <w:sz w:val="20"/>
          <w:szCs w:val="20"/>
          <w:color w:val="auto"/>
        </w:rPr>
      </w:pPr>
      <w:r>
        <w:rPr>
          <w:rFonts w:ascii="Arial" w:cs="Arial" w:eastAsia="Arial" w:hAnsi="Arial"/>
          <w:sz w:val="18"/>
          <w:szCs w:val="18"/>
          <w:color w:val="auto"/>
        </w:rPr>
        <w:t>The only item of accumulated other comprehensive income relates to unrealized gains and losses on available-for-sale marketable securities at December 31, 2007 and 2008, which totaled $79 (net of taxes of $52) and $16 (net of taxes of $11),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left="340" w:right="679" w:firstLine="373"/>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Initial Public Offering and Special Distribution</w:t>
      </w:r>
    </w:p>
    <w:p>
      <w:pPr>
        <w:spacing w:after="0" w:line="202" w:lineRule="exact"/>
        <w:rPr>
          <w:sz w:val="20"/>
          <w:szCs w:val="20"/>
          <w:color w:val="auto"/>
        </w:rPr>
      </w:pPr>
    </w:p>
    <w:p>
      <w:pPr>
        <w:ind w:left="340" w:right="559" w:firstLine="373"/>
        <w:spacing w:after="0" w:line="291" w:lineRule="auto"/>
        <w:rPr>
          <w:sz w:val="20"/>
          <w:szCs w:val="20"/>
          <w:color w:val="auto"/>
        </w:rPr>
      </w:pPr>
      <w:r>
        <w:rPr>
          <w:rFonts w:ascii="Arial" w:cs="Arial" w:eastAsia="Arial" w:hAnsi="Arial"/>
          <w:sz w:val="16"/>
          <w:szCs w:val="16"/>
          <w:color w:val="auto"/>
        </w:rPr>
        <w:t>In November 2008, the Company completed an intial public offering of common stock. In the initial public offering, the Company sold 10,500,000 shares of common stock at a price to the public of $12.00 per share, before underwriting discounts and commissions. On November 26, 2008, the underwriters’ elected to exercise in full their option to purchase an additional 1,575,000 shares at the initial public offering price to cover over-allotments. Net proceeds to the Company were approximately $134.8 million, after deducting underwriting discounts and commissions and before offering expenses. Upon the closing of the offering, all of the Company’s then outstanding Series A Preferred Stock converted into 10,870,178 shares of common stock and all of the Company’s then outstanding Series C Preferred Stock converted into 2,233,333 shares of common stock.</w:t>
      </w:r>
    </w:p>
    <w:p>
      <w:pPr>
        <w:spacing w:after="0" w:line="127" w:lineRule="exact"/>
        <w:rPr>
          <w:sz w:val="20"/>
          <w:szCs w:val="20"/>
          <w:color w:val="auto"/>
        </w:rPr>
      </w:pPr>
    </w:p>
    <w:p>
      <w:pPr>
        <w:ind w:left="340" w:right="559" w:firstLine="373"/>
        <w:spacing w:after="0" w:line="284" w:lineRule="auto"/>
        <w:rPr>
          <w:sz w:val="20"/>
          <w:szCs w:val="20"/>
          <w:color w:val="auto"/>
        </w:rPr>
      </w:pPr>
      <w:r>
        <w:rPr>
          <w:rFonts w:ascii="Arial" w:cs="Arial" w:eastAsia="Arial" w:hAnsi="Arial"/>
          <w:sz w:val="16"/>
          <w:szCs w:val="16"/>
          <w:color w:val="auto"/>
        </w:rPr>
        <w:t>On September 26, 2008 the Company’s Board of Directors approved the payment of a special distribution to its stockholders of record as of September 26, 2008 to be paid from the proceeds of the initial public offering (including any proceeds resulting from sales of shares pursuant to the underwriters’ exercise of their over-allotment option) in the amount of 75% of the gross offering proceeds. On November 3, 2008, the Company’s Board of Directors approved the revision of the record date for determining those stockholders entitled to receive the possible special distribution described above to November 18, 2008. The Company’s registration statement for the initial public offering became effective on November 19, 2008. On November 25, 2008, the Company distributed $94.5 million, which is equal to 75% of the total gross proceeds from the sale of common stock by the Company in the initial public offering and, on December 3, 2008, the Company distributed</w:t>
      </w:r>
    </w:p>
    <w:p>
      <w:pPr>
        <w:spacing w:after="0" w:line="1" w:lineRule="exact"/>
        <w:rPr>
          <w:sz w:val="20"/>
          <w:szCs w:val="20"/>
          <w:color w:val="auto"/>
        </w:rPr>
      </w:pPr>
    </w:p>
    <w:p>
      <w:pPr>
        <w:jc w:val="both"/>
        <w:ind w:left="340" w:right="759"/>
        <w:spacing w:after="0" w:line="255" w:lineRule="auto"/>
        <w:rPr>
          <w:sz w:val="20"/>
          <w:szCs w:val="20"/>
          <w:color w:val="auto"/>
        </w:rPr>
      </w:pPr>
      <w:r>
        <w:rPr>
          <w:rFonts w:ascii="Arial" w:cs="Arial" w:eastAsia="Arial" w:hAnsi="Arial"/>
          <w:sz w:val="18"/>
          <w:szCs w:val="18"/>
          <w:color w:val="auto"/>
        </w:rPr>
        <w:t>$14.2 million, which is equal to 75% of the total gross proceeds from the sale of common stock by the Company in connection with the underwriters’ exercise of the over-allotment option. The special distribution was paid on an as if converted basis to all common and preferred shareholders of record as of November 18, 2008.</w:t>
      </w: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Restricted Cash and Investments</w:t>
      </w:r>
    </w:p>
    <w:p>
      <w:pPr>
        <w:spacing w:after="0" w:line="189" w:lineRule="exact"/>
        <w:rPr>
          <w:sz w:val="20"/>
          <w:szCs w:val="20"/>
          <w:color w:val="auto"/>
        </w:rPr>
      </w:pPr>
    </w:p>
    <w:p>
      <w:pPr>
        <w:ind w:left="340" w:right="1439" w:firstLine="373"/>
        <w:spacing w:after="0" w:line="277" w:lineRule="auto"/>
        <w:rPr>
          <w:sz w:val="20"/>
          <w:szCs w:val="20"/>
          <w:color w:val="auto"/>
        </w:rPr>
      </w:pPr>
      <w:r>
        <w:rPr>
          <w:rFonts w:ascii="Arial" w:cs="Arial" w:eastAsia="Arial" w:hAnsi="Arial"/>
          <w:sz w:val="18"/>
          <w:szCs w:val="18"/>
          <w:color w:val="auto"/>
        </w:rPr>
        <w:t>The following is a summary of amounts included in restricted cash and investments. The Company considers all investments as available for sale.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89"/>
              </w:rPr>
              <w:t>As of December 31, 2007</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1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4"/>
              </w:rPr>
              <w:t>Gross</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Adjusted</w:t>
            </w: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Gains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(Losses)</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U.S. Agency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3,166</w:t>
            </w:r>
          </w:p>
        </w:tc>
        <w:tc>
          <w:tcPr>
            <w:tcW w:w="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3,298</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89"/>
              </w:rPr>
              <w:t>As of December 31, 2008</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1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4"/>
              </w:rPr>
              <w:t>Gross</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Estimated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Adjusted</w:t>
            </w: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Gains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(Losses)</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The cash flows of the Agency instruments are guaranteed by an agency of the U.S. government while Municipal Securities are backed by the issuing municipality’s credit worthiness. Contractual maturities of the marketable securities at December 31, 2008 are as follows:</w:t>
      </w:r>
    </w:p>
    <w:p>
      <w:pPr>
        <w:sectPr>
          <w:pgSz w:w="11900" w:h="16838" w:orient="portrait"/>
          <w:cols w:equalWidth="0" w:num="1">
            <w:col w:w="10219"/>
          </w:cols>
          <w:pgMar w:left="240" w:top="419" w:right="1440"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in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59258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in one to five years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in five to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59258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after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22860</wp:posOffset>
            </wp:positionV>
            <wp:extent cx="59258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615" w:hanging="615"/>
        <w:spacing w:after="0"/>
        <w:tabs>
          <w:tab w:leader="none" w:pos="6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2,928</w:t>
      </w:r>
    </w:p>
    <w:p>
      <w:pPr>
        <w:spacing w:after="0" w:line="46" w:lineRule="exact"/>
        <w:rPr>
          <w:rFonts w:ascii="Arial" w:cs="Arial" w:eastAsia="Arial" w:hAnsi="Arial"/>
          <w:sz w:val="16"/>
          <w:szCs w:val="16"/>
          <w:color w:val="auto"/>
        </w:rPr>
      </w:pPr>
    </w:p>
    <w:p>
      <w:pPr>
        <w:ind w:left="755"/>
        <w:spacing w:after="0"/>
        <w:rPr>
          <w:rFonts w:ascii="Arial" w:cs="Arial" w:eastAsia="Arial" w:hAnsi="Arial"/>
          <w:sz w:val="16"/>
          <w:szCs w:val="16"/>
          <w:color w:val="auto"/>
        </w:rPr>
      </w:pPr>
      <w:r>
        <w:rPr>
          <w:rFonts w:ascii="Arial" w:cs="Arial" w:eastAsia="Arial" w:hAnsi="Arial"/>
          <w:sz w:val="16"/>
          <w:szCs w:val="16"/>
          <w:color w:val="auto"/>
        </w:rPr>
        <w:t>371</w:t>
      </w:r>
    </w:p>
    <w:p>
      <w:pPr>
        <w:spacing w:after="0" w:line="32" w:lineRule="exact"/>
        <w:rPr>
          <w:rFonts w:ascii="Arial" w:cs="Arial" w:eastAsia="Arial" w:hAnsi="Arial"/>
          <w:sz w:val="16"/>
          <w:szCs w:val="16"/>
          <w:color w:val="auto"/>
        </w:rPr>
      </w:pPr>
    </w:p>
    <w:p>
      <w:pPr>
        <w:ind w:left="755"/>
        <w:spacing w:after="0"/>
        <w:rPr>
          <w:rFonts w:ascii="Arial" w:cs="Arial" w:eastAsia="Arial" w:hAnsi="Arial"/>
          <w:sz w:val="16"/>
          <w:szCs w:val="16"/>
          <w:color w:val="auto"/>
        </w:rPr>
      </w:pPr>
      <w:r>
        <w:rPr>
          <w:rFonts w:ascii="Arial" w:cs="Arial" w:eastAsia="Arial" w:hAnsi="Arial"/>
          <w:sz w:val="16"/>
          <w:szCs w:val="16"/>
          <w:color w:val="auto"/>
        </w:rPr>
        <w:t>104</w:t>
      </w:r>
    </w:p>
    <w:p>
      <w:pPr>
        <w:spacing w:after="0" w:line="32" w:lineRule="exact"/>
        <w:rPr>
          <w:rFonts w:ascii="Arial" w:cs="Arial" w:eastAsia="Arial" w:hAnsi="Arial"/>
          <w:sz w:val="16"/>
          <w:szCs w:val="16"/>
          <w:color w:val="auto"/>
        </w:rPr>
      </w:pPr>
    </w:p>
    <w:p>
      <w:pPr>
        <w:ind w:left="85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515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 w:lineRule="exact"/>
        <w:rPr>
          <w:sz w:val="20"/>
          <w:szCs w:val="20"/>
          <w:color w:val="auto"/>
        </w:rPr>
      </w:pPr>
    </w:p>
    <w:p>
      <w:pPr>
        <w:ind w:left="615" w:hanging="615"/>
        <w:spacing w:after="0"/>
        <w:tabs>
          <w:tab w:leader="none" w:pos="6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3,403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515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6515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5" w:space="720"/>
            <w:col w:w="1675"/>
          </w:cols>
          <w:pgMar w:left="240" w:top="419" w:right="1440" w:bottom="1440" w:gutter="0" w:footer="0" w:header="0"/>
          <w:type w:val="continuous"/>
        </w:sectPr>
      </w:pPr>
    </w:p>
    <w:p>
      <w:pPr>
        <w:spacing w:after="0" w:line="62" w:lineRule="exact"/>
        <w:rPr>
          <w:sz w:val="20"/>
          <w:szCs w:val="20"/>
          <w:color w:val="auto"/>
        </w:rPr>
      </w:pPr>
    </w:p>
    <w:p>
      <w:pPr>
        <w:ind w:left="340" w:right="739" w:firstLine="373"/>
        <w:spacing w:after="0" w:line="312" w:lineRule="auto"/>
        <w:rPr>
          <w:sz w:val="20"/>
          <w:szCs w:val="20"/>
          <w:color w:val="auto"/>
        </w:rPr>
      </w:pPr>
      <w:r>
        <w:rPr>
          <w:rFonts w:ascii="Arial" w:cs="Arial" w:eastAsia="Arial" w:hAnsi="Arial"/>
          <w:sz w:val="16"/>
          <w:szCs w:val="16"/>
          <w:color w:val="auto"/>
        </w:rPr>
        <w:t>Gross realized gains and losses resulting from the sale of available-for-sale securities were $0 for the years ended December 31, 2006 and 2007, and $110 for the year ended December 31, 2008. For the years ended December 31, 2006, 2007, and 2008, the net unrealized gain (loss) on available-for-sale securities were $35, $44, and $(63), net of tax effect, respectively.</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860" w:type="dxa"/>
            <w:vAlign w:val="bottom"/>
          </w:tcPr>
          <w:p>
            <w:pPr>
              <w:ind w:left="360"/>
              <w:spacing w:after="0"/>
              <w:rPr>
                <w:sz w:val="20"/>
                <w:szCs w:val="20"/>
                <w:color w:val="auto"/>
              </w:rPr>
            </w:pPr>
            <w:r>
              <w:rPr>
                <w:rFonts w:ascii="Arial" w:cs="Arial" w:eastAsia="Arial" w:hAnsi="Arial"/>
                <w:sz w:val="18"/>
                <w:szCs w:val="18"/>
                <w:color w:val="auto"/>
              </w:rPr>
              <w:t>Property and equipment consist of the following: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6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Buildings under capital lease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22,283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2,236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1,571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9,515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14,439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2,049</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54,337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(8,362)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(12,938)</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41,399</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80" w:firstLine="373"/>
        <w:spacing w:after="0" w:line="277"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$2,298, $3,270, and $4,592 for the years ended December 31, 2006, 2007, and 2008,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6. Accrued Liabilities</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0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interest</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Tax reserves, non-income tax related</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 48 accrual</w:t>
            </w:r>
          </w:p>
        </w:tc>
        <w:tc>
          <w:tcPr>
            <w:tcW w:w="2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60" w:type="dxa"/>
            <w:vAlign w:val="bottom"/>
            <w:vMerge w:val="restart"/>
          </w:tcPr>
          <w:p>
            <w:pPr>
              <w:jc w:val="right"/>
              <w:ind w:right="1970"/>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Financing Arrangements</w:t>
      </w:r>
    </w:p>
    <w:p>
      <w:pPr>
        <w:spacing w:after="0" w:line="189" w:lineRule="exact"/>
        <w:rPr>
          <w:sz w:val="20"/>
          <w:szCs w:val="20"/>
          <w:color w:val="auto"/>
        </w:rPr>
      </w:pPr>
    </w:p>
    <w:p>
      <w:pPr>
        <w:ind w:left="340" w:right="2000" w:firstLine="373"/>
        <w:spacing w:after="0" w:line="264" w:lineRule="auto"/>
        <w:rPr>
          <w:sz w:val="20"/>
          <w:szCs w:val="20"/>
          <w:color w:val="auto"/>
        </w:rPr>
      </w:pPr>
      <w:r>
        <w:rPr>
          <w:rFonts w:ascii="Arial" w:cs="Arial" w:eastAsia="Arial" w:hAnsi="Arial"/>
          <w:sz w:val="18"/>
          <w:szCs w:val="18"/>
          <w:color w:val="auto"/>
        </w:rPr>
        <w:t>At December 31, 2007, the Company had a line of credit with a bank that provided for borrowings of up to $6,000. As of December 31, 2007, the amount outstanding under this line of credit was $6,000. The line of credit was paid in full in February 2008 and terminated in May 2008.</w:t>
      </w:r>
    </w:p>
    <w:p>
      <w:pPr>
        <w:spacing w:after="0" w:line="154" w:lineRule="exact"/>
        <w:rPr>
          <w:sz w:val="20"/>
          <w:szCs w:val="20"/>
          <w:color w:val="auto"/>
        </w:rPr>
      </w:pPr>
    </w:p>
    <w:p>
      <w:pPr>
        <w:ind w:left="340" w:right="2120" w:firstLine="373"/>
        <w:spacing w:after="0" w:line="264" w:lineRule="auto"/>
        <w:rPr>
          <w:sz w:val="20"/>
          <w:szCs w:val="20"/>
          <w:color w:val="auto"/>
        </w:rPr>
      </w:pPr>
      <w:r>
        <w:rPr>
          <w:rFonts w:ascii="Arial" w:cs="Arial" w:eastAsia="Arial" w:hAnsi="Arial"/>
          <w:sz w:val="18"/>
          <w:szCs w:val="18"/>
          <w:color w:val="auto"/>
        </w:rPr>
        <w:t>In connection with the Spirit Lease, the Company is required to maintain a $2,000 letter of credit in favor of Spirit. The letter of credit is secured by a pledge of certain Company assets that are included in Restricted cash and investments in the accompanying balance sheet.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8. Capital Lease Obligations, Notes Payable, and Other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Capital lease obligations and notes payable consist of the following: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99"/>
              </w:rPr>
              <w:t>As of December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2007</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Arial" w:cs="Arial" w:eastAsia="Arial" w:hAnsi="Arial"/>
                <w:sz w:val="18"/>
                <w:szCs w:val="18"/>
                <w:color w:val="auto"/>
                <w:w w:val="97"/>
              </w:rPr>
              <w:t>Capital lease for buildings (monthly payments of $301 at an implicit interest rate of 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through 2024)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28,451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30,098</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leases for equipment (various leases extending into 2012, with implicit interest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rates ranging from 7.4% to 9.3%, monthly payments totaling $35)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30,509</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8"/>
          </w:tcPr>
          <w:p>
            <w:pPr>
              <w:jc w:val="right"/>
              <w:ind w:right="48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Institute Loan, settled in April 2008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1,250</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Kirksville Note; monthly payments of $20; interest at 3.9% through September 2011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840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5"/>
              </w:rPr>
              <w:t>Various Gift Annuities; quarterly payments of $34 extending through 2018; interest at 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payable for vehicles requiring monthly payments with interest rates ranging from 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11.0% extending into January 2013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2,408</w:t>
            </w: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vMerge w:val="restart"/>
          </w:tcPr>
          <w:p>
            <w:pPr>
              <w:ind w:left="45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2600" w:firstLine="373"/>
        <w:spacing w:after="0" w:line="277" w:lineRule="auto"/>
        <w:rPr>
          <w:sz w:val="20"/>
          <w:szCs w:val="20"/>
          <w:color w:val="auto"/>
        </w:rPr>
      </w:pPr>
      <w:r>
        <w:rPr>
          <w:rFonts w:ascii="Arial" w:cs="Arial" w:eastAsia="Arial" w:hAnsi="Arial"/>
          <w:sz w:val="18"/>
          <w:szCs w:val="18"/>
          <w:color w:val="auto"/>
        </w:rPr>
        <w:t>Long-term deferred rent included in notes payable and other as of December 31, 2007 and 2008 was $0 and $72, respectively.</w:t>
      </w:r>
    </w:p>
    <w:p>
      <w:pPr>
        <w:spacing w:after="0" w:line="130" w:lineRule="exact"/>
        <w:rPr>
          <w:sz w:val="20"/>
          <w:szCs w:val="20"/>
          <w:color w:val="auto"/>
        </w:rPr>
      </w:pPr>
    </w:p>
    <w:p>
      <w:pPr>
        <w:ind w:left="340" w:right="1820" w:firstLine="373"/>
        <w:spacing w:after="0" w:line="269" w:lineRule="auto"/>
        <w:rPr>
          <w:sz w:val="20"/>
          <w:szCs w:val="20"/>
          <w:color w:val="auto"/>
        </w:rPr>
      </w:pPr>
      <w:r>
        <w:rPr>
          <w:rFonts w:ascii="Arial" w:cs="Arial" w:eastAsia="Arial" w:hAnsi="Arial"/>
          <w:sz w:val="17"/>
          <w:szCs w:val="17"/>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7"/>
          <w:szCs w:val="17"/>
          <w:i w:val="1"/>
          <w:iCs w:val="1"/>
          <w:color w:val="auto"/>
        </w:rPr>
        <w:t>Accounting for Leases</w:t>
      </w:r>
      <w:r>
        <w:rPr>
          <w:rFonts w:ascii="Arial" w:cs="Arial" w:eastAsia="Arial" w:hAnsi="Arial"/>
          <w:sz w:val="17"/>
          <w:szCs w:val="17"/>
          <w:color w:val="auto"/>
        </w:rPr>
        <w:t>, the lease of the campus land was treated as an operating lease and the lease of the buildings was treated as a capital lease. The lease includes scheduled bi-annual adjustments based on the lesser of 5.0% or 125% of the change in the Consumer Price Index. The most recent adjustment for this lease occurred in September 2008. Under the original lease terms, Spirit provided an advance to make tenant improvements of $6,250 that were received in 2004 and 2005. Through December 31, 2007 and 2008, the Company had expended $3,963 and $6,250, respectively, of the amounts advanced for approved capital improvement projects. In June 2006, Spirit agreed to provide an additional $5,800 of lease funding for tenant improvements. Through December 31, 2007, the Company has expended $4,350 and utilized $3,589 of the tenant improvement funds. As of December 31, 2008, the Company has expended and utilized $4,350, leaving $1,450 in available funding. The lease provides the Company with an option to purchase the property at the greater of fair value or Spirit’s total investment in the property.</w:t>
      </w:r>
    </w:p>
    <w:p>
      <w:pPr>
        <w:spacing w:after="0" w:line="153" w:lineRule="exact"/>
        <w:rPr>
          <w:sz w:val="20"/>
          <w:szCs w:val="20"/>
          <w:color w:val="auto"/>
        </w:rPr>
      </w:pPr>
    </w:p>
    <w:p>
      <w:pPr>
        <w:ind w:left="340" w:right="2340" w:firstLine="373"/>
        <w:spacing w:after="0" w:line="277" w:lineRule="auto"/>
        <w:rPr>
          <w:sz w:val="20"/>
          <w:szCs w:val="20"/>
          <w:color w:val="auto"/>
        </w:rPr>
      </w:pPr>
      <w:r>
        <w:rPr>
          <w:rFonts w:ascii="Arial" w:cs="Arial" w:eastAsia="Arial" w:hAnsi="Arial"/>
          <w:sz w:val="18"/>
          <w:szCs w:val="18"/>
          <w:color w:val="auto"/>
        </w:rPr>
        <w:t>Payments due under the notes payable and future minimum lease payments under the capital lease obligations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2"/>
              </w:rPr>
              <w:t>December 31, 2008</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Capital Lease</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Obligations</w:t>
            </w:r>
          </w:p>
        </w:tc>
        <w:tc>
          <w:tcPr>
            <w:tcW w:w="36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Notes Payable</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60" w:type="dxa"/>
            <w:vAlign w:val="bottom"/>
            <w:gridSpan w:val="2"/>
            <w:shd w:val="clear" w:color="auto" w:fill="CCEEFF"/>
          </w:tcPr>
          <w:p>
            <w:pPr>
              <w:ind w:left="288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3,829</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2010</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3,756</w:t>
            </w:r>
          </w:p>
        </w:tc>
        <w:tc>
          <w:tcPr>
            <w:tcW w:w="6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3,682</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2012</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3,639</w:t>
            </w:r>
          </w:p>
        </w:tc>
        <w:tc>
          <w:tcPr>
            <w:tcW w:w="6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3,614</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37,943</w:t>
            </w:r>
          </w:p>
        </w:tc>
        <w:tc>
          <w:tcPr>
            <w:tcW w:w="6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551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56,463</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vMerge w:val="restart"/>
          </w:tcPr>
          <w:p>
            <w:pPr>
              <w:spacing w:after="0"/>
              <w:rPr>
                <w:sz w:val="20"/>
                <w:szCs w:val="20"/>
                <w:color w:val="auto"/>
              </w:rPr>
            </w:pPr>
            <w:r>
              <w:rPr>
                <w:rFonts w:ascii="Arial" w:cs="Arial" w:eastAsia="Arial" w:hAnsi="Arial"/>
                <w:sz w:val="18"/>
                <w:szCs w:val="18"/>
                <w:color w:val="auto"/>
              </w:rPr>
              <w:t>Less: Portion representing interest</w:t>
            </w: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25,954</w:t>
            </w: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78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960" w:type="dxa"/>
            <w:vAlign w:val="bottom"/>
            <w:gridSpan w:val="2"/>
            <w:shd w:val="clear" w:color="auto" w:fill="CCEEFF"/>
          </w:tcPr>
          <w:p>
            <w:pPr>
              <w:ind w:left="288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30,509</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80" w:type="dxa"/>
            <w:vAlign w:val="bottom"/>
            <w:vMerge w:val="restart"/>
          </w:tcPr>
          <w:p>
            <w:pPr>
              <w:jc w:val="right"/>
              <w:ind w:right="1780"/>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340" w:right="659" w:firstLine="373"/>
        <w:spacing w:after="0" w:line="342" w:lineRule="auto"/>
        <w:rPr>
          <w:sz w:val="20"/>
          <w:szCs w:val="20"/>
          <w:color w:val="auto"/>
        </w:rPr>
      </w:pPr>
      <w:r>
        <w:rPr>
          <w:rFonts w:ascii="Arial" w:cs="Arial" w:eastAsia="Arial" w:hAnsi="Arial"/>
          <w:sz w:val="16"/>
          <w:szCs w:val="16"/>
          <w:color w:val="auto"/>
        </w:rPr>
        <w:t>The Company leases certain land, buildings and equipment under non-cancelable operating leases expiring at various dates through 2023. Future minimum lease payments under operating leases due each year are as follows at December 31, 2008:</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3,699</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3,444</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3,181</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2,653</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19,254</w:t>
            </w:r>
          </w:p>
        </w:tc>
      </w:tr>
      <w:tr>
        <w:trPr>
          <w:trHeight w:val="27"/>
        </w:trPr>
        <w:tc>
          <w:tcPr>
            <w:tcW w:w="8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35,518</w:t>
            </w:r>
          </w:p>
        </w:tc>
      </w:tr>
      <w:tr>
        <w:trPr>
          <w:trHeight w:val="20"/>
        </w:trPr>
        <w:tc>
          <w:tcPr>
            <w:tcW w:w="8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39" w:firstLine="373"/>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2006, 2007 and 2008 was $2,136, $2,260, and $2,375,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38"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On February 28, 2007, the Company filed a complaint against SunGard Higher Education Managed Services Inc. (“SunGard”)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a technology services agreement between the parties. In response, SunGard moved to stay the litigation and compel arbitration. The court granted the motion to stay, and compelled the parties to arbitrate. SunGard then filed its own claims in the arbitration alleging breach of the parties’ technology services agreement. Following discovery, the arbitration hearing occurred in late May 2008 and final arguments were heard in July 2008. The Company sought approximately $1.4 million from SunGard, and SunGard counterclaimed for approximately $2.5 million. On October 22, 2008, the arbitration panel issued a Final Award finding for SunGard on its breach of contract claim and also finding for the Company on its breach of contract, breach of the duty of good faith and fair dealing, and conversion counterclaims. Both parties were awarded damages with a net award to SunGard in the amount of approximately $255 plus interest. The arbitration panel also held that each party would be responsible for its own attorneys’ fees and that the parties would equally share the arbitration costs. On January 14, 2009, the Company entered into a settlement agreement with SunGard regarding payment of the arbitration award and effecting a mutual release between the parties regarding all claims that were brought, or could have been brought, in the litigation and related arbitration.</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639" w:firstLine="373"/>
        <w:spacing w:after="0" w:line="302" w:lineRule="auto"/>
        <w:rPr>
          <w:sz w:val="20"/>
          <w:szCs w:val="20"/>
          <w:color w:val="auto"/>
        </w:rPr>
      </w:pPr>
      <w:r>
        <w:rPr>
          <w:rFonts w:ascii="Arial" w:cs="Arial" w:eastAsia="Arial" w:hAnsi="Arial"/>
          <w:sz w:val="16"/>
          <w:szCs w:val="16"/>
          <w:color w:val="auto"/>
        </w:rPr>
        <w:t>At December 31, 2007 the Company had reserved approximately $750 for estimated losses related to the SunGard matter, which was classified within accrued liabilities on the accompanying balance sheet. As a result of the SunGard arbitration decision, the Company has reduced its reserve for litigation by $400 in the year ended December 31, 2008, given that there is no further legal recourse for either party and the remaining actions necessary to settle the matters are administrative in nature.</w:t>
      </w:r>
    </w:p>
    <w:p>
      <w:pPr>
        <w:spacing w:after="0" w:line="114"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color w:val="auto"/>
        </w:rPr>
        <w:t>On August 14, 2008, the Office of Inspector General (“OIG”) served an administrative subpoena on the Company requiring it to provide certain records and information related to performance reviews and salary adjustments for all of its enrollment counselors and managers from January 1, 2004 to the present. The Company is cooperating with the Office of Inspector General to facilitate its investigation and is nearing completion of the Company’s rolling responsive document production, which commenced in September 2008. The Company cannot presently predict the ultimate outcome of the investigation or any liability or other sanctions that may result.</w:t>
      </w:r>
    </w:p>
    <w:p>
      <w:pPr>
        <w:spacing w:after="0" w:line="166" w:lineRule="exact"/>
        <w:rPr>
          <w:sz w:val="20"/>
          <w:szCs w:val="20"/>
          <w:color w:val="auto"/>
        </w:rPr>
      </w:pPr>
    </w:p>
    <w:p>
      <w:pPr>
        <w:ind w:left="340" w:right="579" w:firstLine="280"/>
        <w:spacing w:after="0" w:line="267" w:lineRule="auto"/>
        <w:rPr>
          <w:sz w:val="20"/>
          <w:szCs w:val="20"/>
          <w:color w:val="auto"/>
        </w:rPr>
      </w:pPr>
      <w:r>
        <w:rPr>
          <w:rFonts w:ascii="Arial" w:cs="Arial" w:eastAsia="Arial" w:hAnsi="Arial"/>
          <w:sz w:val="17"/>
          <w:szCs w:val="17"/>
          <w:color w:val="auto"/>
        </w:rPr>
        <w:t xml:space="preserve">On September 11, 2008, the Company was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the Company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alleges, among other things, that the Company violated the False Claims Act by knowingly making false statements, and submitting false records or statements, from at least 2001 to the present, to get false or fraudulent claims paid or approved, and asserts that the Company improperly compensated certain of its enrollment counselors in violation of the Title IV law governing compensation of such employees, and as a result, improperly received Title IV program funds. The complaint specifically alleges that some of the Company’s compensation practices with respect to its enrollment personnel, including providing non-cash awards, have violated the Title IV law governing compensation. While the Company believes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the Company’s receipt of Title IV funding, a civil penalty for each violation of the False Claims Act, attorneys’ fees, costs, and interest. A number of similar lawsuits have been filed in recent years against for-profit educational institutions that receive Title IV funds. While the Company’s motion to dismiss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has been denied, the Company plans to vigorously contest the lawsuit.</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1920" w:firstLine="373"/>
        <w:spacing w:after="0" w:line="259" w:lineRule="auto"/>
        <w:rPr>
          <w:sz w:val="20"/>
          <w:szCs w:val="20"/>
          <w:color w:val="auto"/>
        </w:rPr>
      </w:pPr>
      <w:r>
        <w:rPr>
          <w:rFonts w:ascii="Arial" w:cs="Arial" w:eastAsia="Arial" w:hAnsi="Arial"/>
          <w:sz w:val="18"/>
          <w:szCs w:val="18"/>
          <w:color w:val="auto"/>
        </w:rPr>
        <w:t>Based on information available to date, management does not believe that the outcome of this proceeding would have a material adverse effect on the Company’s financial condition, results of operations or cash flows. However, the outcome of this proceeding is uncertain and the Company cannot presently predict the ultimate outcome of this case or any liability or other sanctions that may result.</w:t>
      </w:r>
    </w:p>
    <w:p>
      <w:pPr>
        <w:spacing w:after="0" w:line="146" w:lineRule="exact"/>
        <w:rPr>
          <w:sz w:val="20"/>
          <w:szCs w:val="20"/>
          <w:color w:val="auto"/>
        </w:rPr>
      </w:pPr>
    </w:p>
    <w:p>
      <w:pPr>
        <w:ind w:left="340" w:right="1760" w:firstLine="373"/>
        <w:spacing w:after="0" w:line="264" w:lineRule="auto"/>
        <w:rPr>
          <w:sz w:val="20"/>
          <w:szCs w:val="20"/>
          <w:color w:val="auto"/>
        </w:rPr>
      </w:pPr>
      <w:r>
        <w:rPr>
          <w:rFonts w:ascii="Arial" w:cs="Arial" w:eastAsia="Arial" w:hAnsi="Arial"/>
          <w:sz w:val="18"/>
          <w:szCs w:val="18"/>
          <w:color w:val="auto"/>
        </w:rPr>
        <w:t xml:space="preserve">If it were determined that any of the Company’s compensation practices violated the incentive compensation law, the Company could be subject to substantial monetary liabilities, fines, and other sanctions or could suffer monetary damages if there were to be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w:t>
      </w:r>
    </w:p>
    <w:p>
      <w:pPr>
        <w:spacing w:after="0" w:line="154" w:lineRule="exact"/>
        <w:rPr>
          <w:sz w:val="20"/>
          <w:szCs w:val="20"/>
          <w:color w:val="auto"/>
        </w:rPr>
      </w:pPr>
    </w:p>
    <w:p>
      <w:pPr>
        <w:ind w:left="340" w:right="1780" w:firstLine="373"/>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ind w:left="340" w:right="1860" w:firstLine="373"/>
        <w:spacing w:after="0" w:line="264"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At December 31, 2008, the Company has reserved approximately $710 for tax matters where its ultimate exposure is considered probable and the potential loss can be reasonably estimated.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Earnings Per Share</w:t>
      </w:r>
    </w:p>
    <w:p>
      <w:pPr>
        <w:spacing w:after="0" w:line="189" w:lineRule="exact"/>
        <w:rPr>
          <w:sz w:val="20"/>
          <w:szCs w:val="20"/>
          <w:color w:val="auto"/>
        </w:rPr>
      </w:pPr>
    </w:p>
    <w:p>
      <w:pPr>
        <w:ind w:left="340" w:right="1780" w:firstLine="373"/>
        <w:spacing w:after="0" w:line="293"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11), is also included in the diluted shares computation if enrollment levels have been attained, unless anti-dilutive.</w:t>
      </w:r>
    </w:p>
    <w:p>
      <w:pPr>
        <w:spacing w:after="0" w:line="124" w:lineRule="exact"/>
        <w:rPr>
          <w:sz w:val="20"/>
          <w:szCs w:val="20"/>
          <w:color w:val="auto"/>
        </w:rPr>
      </w:pPr>
    </w:p>
    <w:p>
      <w:pPr>
        <w:ind w:left="340" w:right="2440" w:firstLine="373"/>
        <w:spacing w:after="0" w:line="308" w:lineRule="auto"/>
        <w:rPr>
          <w:sz w:val="20"/>
          <w:szCs w:val="20"/>
          <w:color w:val="auto"/>
        </w:rPr>
      </w:pPr>
      <w:r>
        <w:rPr>
          <w:rFonts w:ascii="Arial" w:cs="Arial" w:eastAsia="Arial" w:hAnsi="Arial"/>
          <w:sz w:val="17"/>
          <w:szCs w:val="17"/>
          <w:color w:val="auto"/>
        </w:rPr>
        <w:t>The table below reflects the calculation of the weighted average number of common shares outstanding, on an as if converted basis, used in computing basic and diluted earnings (loss) per common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3000" w:type="dxa"/>
            <w:vAlign w:val="bottom"/>
            <w:gridSpan w:val="3"/>
          </w:tcPr>
          <w:p>
            <w:pPr>
              <w:jc w:val="right"/>
              <w:ind w:right="380"/>
              <w:spacing w:after="0"/>
              <w:rPr>
                <w:sz w:val="20"/>
                <w:szCs w:val="20"/>
                <w:color w:val="auto"/>
              </w:rPr>
            </w:pPr>
            <w:r>
              <w:rPr>
                <w:rFonts w:ascii="Arial" w:cs="Arial" w:eastAsia="Arial" w:hAnsi="Arial"/>
                <w:sz w:val="18"/>
                <w:szCs w:val="18"/>
                <w:color w:val="auto"/>
              </w:rPr>
              <w:t>18,853,450</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18,922,838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22,184,766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preferred stock</w:t>
            </w:r>
          </w:p>
        </w:tc>
        <w:tc>
          <w:tcPr>
            <w:tcW w:w="3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14,494,788</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12,393,062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9,559,801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Effect of dilutive warrants</w:t>
            </w:r>
          </w:p>
        </w:tc>
        <w:tc>
          <w:tcPr>
            <w:tcW w:w="3000" w:type="dxa"/>
            <w:vAlign w:val="bottom"/>
            <w:gridSpan w:val="3"/>
          </w:tcPr>
          <w:p>
            <w:pPr>
              <w:jc w:val="right"/>
              <w:ind w:right="380"/>
              <w:spacing w:after="0"/>
              <w:rPr>
                <w:sz w:val="20"/>
                <w:szCs w:val="20"/>
                <w:color w:val="auto"/>
              </w:rPr>
            </w:pPr>
            <w:r>
              <w:rPr>
                <w:rFonts w:ascii="Arial" w:cs="Arial" w:eastAsia="Arial" w:hAnsi="Arial"/>
                <w:sz w:val="18"/>
                <w:szCs w:val="18"/>
                <w:color w:val="auto"/>
              </w:rPr>
              <w:t>3,509,572</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3,805,384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1,666,312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contingently issuable common stock</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21,912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1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36,857,810</w:t>
            </w:r>
          </w:p>
        </w:tc>
        <w:tc>
          <w:tcPr>
            <w:tcW w:w="38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35,143,196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33,429,889</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80" w:type="dxa"/>
            <w:vAlign w:val="bottom"/>
            <w:vMerge w:val="restart"/>
          </w:tcPr>
          <w:p>
            <w:pPr>
              <w:jc w:val="right"/>
              <w:ind w:right="810"/>
              <w:spacing w:after="0"/>
              <w:rPr>
                <w:sz w:val="20"/>
                <w:szCs w:val="20"/>
                <w:color w:val="auto"/>
              </w:rPr>
            </w:pPr>
            <w:r>
              <w:rPr>
                <w:rFonts w:ascii="Arial" w:cs="Arial" w:eastAsia="Arial" w:hAnsi="Arial"/>
                <w:sz w:val="18"/>
                <w:szCs w:val="18"/>
                <w:color w:val="auto"/>
              </w:rPr>
              <w:t>112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859" w:firstLine="373"/>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year ended December 31, 2008, approximately 3,247,380 of our stock options outstanding were excluded from the calculation of diluted earnings per share as their inclusion would have been anti-dilutive. These options could be dilutive in the future.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Preferred Stock and Equity Transactions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left="340" w:right="939" w:firstLine="373"/>
        <w:spacing w:after="0" w:line="259" w:lineRule="auto"/>
        <w:rPr>
          <w:sz w:val="20"/>
          <w:szCs w:val="20"/>
          <w:color w:val="auto"/>
        </w:rPr>
      </w:pPr>
      <w:r>
        <w:rPr>
          <w:rFonts w:ascii="Arial" w:cs="Arial" w:eastAsia="Arial" w:hAnsi="Arial"/>
          <w:sz w:val="18"/>
          <w:szCs w:val="18"/>
          <w:color w:val="auto"/>
        </w:rPr>
        <w:t>As of December 31, 2008, the Company had 10,000,000 shares of authorized but unissued and undesignated preferred stock. As of December 31, 2007, the following series of preferred stock had been authorized, all of which were previously repurchased or converted into shares of our common stock in connection with our initial public offering of common stock in November 2008: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98" w:lineRule="exact"/>
        <w:rPr>
          <w:sz w:val="20"/>
          <w:szCs w:val="20"/>
          <w:color w:val="auto"/>
        </w:rPr>
      </w:pPr>
    </w:p>
    <w:p>
      <w:pPr>
        <w:ind w:left="340" w:right="619" w:firstLine="373"/>
        <w:spacing w:after="0" w:line="293" w:lineRule="auto"/>
        <w:rPr>
          <w:sz w:val="20"/>
          <w:szCs w:val="20"/>
          <w:color w:val="auto"/>
        </w:rPr>
      </w:pPr>
      <w:r>
        <w:rPr>
          <w:rFonts w:ascii="Arial" w:cs="Arial" w:eastAsia="Arial" w:hAnsi="Arial"/>
          <w:sz w:val="16"/>
          <w:szCs w:val="16"/>
          <w:color w:val="auto"/>
        </w:rPr>
        <w:t>The Company entered into a Series A convertible preferred stock (the “Series A”) purchase agreement on August 24, 2005. The holders of Series A were entitled to vote and to receive dividends, when and as declared by the board of directors from time to time, in each case on an as-converted to common stock basis. The Series A was originally convertible into common stock on a one for one basis, but, as a result of the stock split that occurred in connection with our initial public offering of common stock, the Series A ultimately converted at a ratio of 1,826 shares of common stock for each share of Series A, or a total of 10,870,178 shares of common stock, upon the completion of the Company’s initial public offering of common stock in November 2008.</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85" w:lineRule="exact"/>
        <w:rPr>
          <w:sz w:val="20"/>
          <w:szCs w:val="20"/>
          <w:color w:val="auto"/>
        </w:rPr>
      </w:pPr>
    </w:p>
    <w:p>
      <w:pPr>
        <w:ind w:left="340" w:right="719" w:firstLine="373"/>
        <w:spacing w:after="0" w:line="276" w:lineRule="auto"/>
        <w:rPr>
          <w:sz w:val="20"/>
          <w:szCs w:val="20"/>
          <w:color w:val="auto"/>
        </w:rPr>
      </w:pPr>
      <w:r>
        <w:rPr>
          <w:rFonts w:ascii="Arial" w:cs="Arial" w:eastAsia="Arial" w:hAnsi="Arial"/>
          <w:sz w:val="17"/>
          <w:szCs w:val="17"/>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was originally convertible into Series A on a one for one basis and was non-voting.</w:t>
      </w:r>
    </w:p>
    <w:p>
      <w:pPr>
        <w:spacing w:after="0" w:line="146" w:lineRule="exact"/>
        <w:rPr>
          <w:sz w:val="20"/>
          <w:szCs w:val="20"/>
          <w:color w:val="auto"/>
        </w:rPr>
      </w:pPr>
    </w:p>
    <w:p>
      <w:pPr>
        <w:ind w:left="340" w:right="559" w:firstLine="373"/>
        <w:spacing w:after="0" w:line="253" w:lineRule="auto"/>
        <w:rPr>
          <w:sz w:val="20"/>
          <w:szCs w:val="20"/>
          <w:color w:val="auto"/>
        </w:rPr>
      </w:pPr>
      <w:r>
        <w:rPr>
          <w:rFonts w:ascii="Arial" w:cs="Arial" w:eastAsia="Arial" w:hAnsi="Arial"/>
          <w:sz w:val="18"/>
          <w:szCs w:val="18"/>
          <w:color w:val="auto"/>
        </w:rPr>
        <w:t>On December 31, 2005 the Company issued 2,163 shares Series B and received net proceeds of $6,980 in the form of a stock subscription receivable. The receivable was subsequently paid in April 2006. On November 6, 2006, the Company redeemed 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The fair value of the shares of Series C issued in exchange for such shares of Series B was equal to the carrying amount of the shares of Series B at the date of the exchange. As of December 31, 2007 and 2008, no shares of Series B were outstanding.</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185" w:lineRule="exact"/>
        <w:rPr>
          <w:sz w:val="20"/>
          <w:szCs w:val="20"/>
          <w:color w:val="auto"/>
        </w:rPr>
      </w:pPr>
    </w:p>
    <w:p>
      <w:pPr>
        <w:ind w:left="340" w:right="639" w:firstLine="373"/>
        <w:spacing w:after="0" w:line="290" w:lineRule="auto"/>
        <w:rPr>
          <w:sz w:val="20"/>
          <w:szCs w:val="20"/>
          <w:color w:val="auto"/>
        </w:rPr>
      </w:pPr>
      <w:r>
        <w:rPr>
          <w:rFonts w:ascii="Arial" w:cs="Arial" w:eastAsia="Arial" w:hAnsi="Arial"/>
          <w:sz w:val="16"/>
          <w:szCs w:val="16"/>
          <w:color w:val="auto"/>
        </w:rPr>
        <w:t>On December 18, 2007, the Company entered into a Series C preferred stock purchase agreement and subscription agreement. The holders of Series C were entitled to receive, in preference to the holders of the all other classes of stock, when and as declared by the board of directors or upon a liquidation event, cumulative dividends at a rate of 8.0% per year, less the amount of any dividends actually paid. Such dividends accrued whether or not declared by the board of directors, whether or not there were funds legally available to pay dividends, and compounded on an annual basis. In the event of liquidation, or a change in control, as defined, the holders of the Series C were entitled to receive, in preference to all other shareholders, any distributions of the assets of the Company equal to two times the original purchase price of the shares, or $7,000 per share, subject to certain adjustments, plus all accumulated but unpaid dividends. The Series C was non-voting.</w:t>
      </w:r>
    </w:p>
    <w:p>
      <w:pPr>
        <w:spacing w:after="0" w:line="139"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148" w:lineRule="exact"/>
        <w:rPr>
          <w:sz w:val="20"/>
          <w:szCs w:val="20"/>
          <w:color w:val="auto"/>
        </w:rPr>
      </w:pPr>
    </w:p>
    <w:p>
      <w:pPr>
        <w:ind w:left="340" w:right="579" w:firstLine="373"/>
        <w:spacing w:after="0" w:line="288" w:lineRule="auto"/>
        <w:rPr>
          <w:sz w:val="20"/>
          <w:szCs w:val="20"/>
          <w:color w:val="auto"/>
        </w:rPr>
      </w:pPr>
      <w:r>
        <w:rPr>
          <w:rFonts w:ascii="Arial" w:cs="Arial" w:eastAsia="Arial" w:hAnsi="Arial"/>
          <w:sz w:val="16"/>
          <w:szCs w:val="16"/>
          <w:color w:val="auto"/>
        </w:rPr>
        <w:t>In May 2008, the board of directors and stockholders of the Company authorized an amendment to be made to the Company’s certificate of incorporation that provided for the Series C preferred stock to convert automatically into common stock upon the closing of a qualified public offering. In November 2008, the board of directors and stockholders of the Company revised such amendment to clarify that, upon conversion to common stock, accrued and unpaid dividends would be disregarded and not paid. The amendment was filed on November 19, 2008, and became effective prior to the effectiveness of the registration statement relating to our initial public offering. The number of shares of common stock issued upon conversion of the Series C in connection with the initial public offering was equal to the aggregate liquidation preference of the Series C preferred stock divided by the public offering price of the common stock, which equaled $26,800 divided by $12.00, or 2,233,333 shares of common stock. The accrued but unpaid dividends related to the Series C were accretive through November 19, 2008 resulting in cumulative undeclared dividends on the Series C of $938 upon conversion.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ind w:left="340" w:right="679" w:firstLine="373"/>
        <w:spacing w:after="0" w:line="291" w:lineRule="auto"/>
        <w:rPr>
          <w:sz w:val="20"/>
          <w:szCs w:val="20"/>
          <w:color w:val="auto"/>
        </w:rPr>
      </w:pPr>
      <w:r>
        <w:rPr>
          <w:rFonts w:ascii="Arial" w:cs="Arial" w:eastAsia="Arial" w:hAnsi="Arial"/>
          <w:sz w:val="16"/>
          <w:szCs w:val="16"/>
          <w:color w:val="auto"/>
        </w:rPr>
        <w:t>On September 26, 2008 the Company’s Board of Directors approved an amendment to the Company’s charter to increase the Company’s authorized common stock to 100,000,000 common shares. This charter amendment was approved by the Company’s stockholders on September 27, 2008 and became effective on September 29, 2008. On September 26, 2008, the Company’s Board of Directors declared a 1,826 for one stock split of its outstanding common stock, which became effective on 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color w:val="auto"/>
        </w:rPr>
        <w:t>In June 2004, the Company entered into a license agreement with Blanchard relating to the Company’s use of the Ken Blanchard name for its College of Business. Under the terms of that agreement the Company agreed to pay Blanchard a royalty generated on net tuition from certain programs in the University’s College of Business and to issue to Blanchard up to 909,348 shares of common stock with the actual number issued to be contingent upon the Company’s achievement of stated enrollment levels in its College of Business during the term of the agreement. As of December 31, 2006, the Company deemed it probable that 182,600 shares would be earned and, as of August 15, 2007, those 182,600 shares were earned and due to Blanchard under this agreement, On May 9, 2008, the Company and Blanchard amended the terms of the agreement pursuant to which Blanchard was issued 365,200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 Included in due to related parties is $382 and $484 at December 31, 2007 and 2008, respectively, related to the royalty arrangement.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The Company’s charter, which became effective upon the completion of the Company’s initial public offering,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85" w:lineRule="exact"/>
        <w:rPr>
          <w:sz w:val="20"/>
          <w:szCs w:val="20"/>
          <w:color w:val="auto"/>
        </w:rPr>
      </w:pPr>
    </w:p>
    <w:p>
      <w:pPr>
        <w:ind w:left="340" w:right="679" w:firstLine="373"/>
        <w:spacing w:after="0" w:line="276" w:lineRule="auto"/>
        <w:rPr>
          <w:sz w:val="20"/>
          <w:szCs w:val="20"/>
          <w:color w:val="auto"/>
        </w:rPr>
      </w:pPr>
      <w:r>
        <w:rPr>
          <w:rFonts w:ascii="Arial" w:cs="Arial" w:eastAsia="Arial" w:hAnsi="Arial"/>
          <w:sz w:val="17"/>
          <w:szCs w:val="17"/>
          <w:color w:val="auto"/>
        </w:rPr>
        <w:t>On June 25, 2004, the Company issued the Institute Warrant to purchase a 10.0% non-dilutive membership interest (later amended to be common stock), at an exercise price of $1. The Institute Warrant was to have been exercisable for a one month period beginning on July 1, 2011. The Company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146"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In 2004, the Company issued the Spirit Warrant, which was exercisable for 909,348 shares for an aggregate exercise price of $526. On November 18, 2008, the Spirit Warrant was exercised. The shares issued upon exercise of the Spirit Warrant are subject to repurchase at a fixed price of $16,000 at any time prior to three years after the date the Spirit Warrant was exercised, or November 18, 2011. This repurchase option may be exercised in whole or in part by the Company. The Company has not yet exercised this right.</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85" w:lineRule="exact"/>
        <w:rPr>
          <w:sz w:val="20"/>
          <w:szCs w:val="20"/>
          <w:color w:val="auto"/>
        </w:rPr>
      </w:pPr>
    </w:p>
    <w:p>
      <w:pPr>
        <w:ind w:left="340" w:right="1800" w:firstLine="373"/>
        <w:spacing w:after="0" w:line="286" w:lineRule="auto"/>
        <w:rPr>
          <w:sz w:val="20"/>
          <w:szCs w:val="20"/>
          <w:color w:val="auto"/>
        </w:rPr>
      </w:pPr>
      <w:r>
        <w:rPr>
          <w:rFonts w:ascii="Arial" w:cs="Arial" w:eastAsia="Arial" w:hAnsi="Arial"/>
          <w:sz w:val="16"/>
          <w:szCs w:val="16"/>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ind w:left="340" w:right="1960" w:firstLine="373"/>
        <w:spacing w:after="0" w:line="257" w:lineRule="auto"/>
        <w:rPr>
          <w:sz w:val="20"/>
          <w:szCs w:val="20"/>
          <w:color w:val="auto"/>
        </w:rPr>
      </w:pPr>
      <w:r>
        <w:rPr>
          <w:rFonts w:ascii="Arial" w:cs="Arial" w:eastAsia="Arial" w:hAnsi="Arial"/>
          <w:sz w:val="18"/>
          <w:szCs w:val="18"/>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2007 and 2008.</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2,194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Federal</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(1,792)</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60" w:type="dxa"/>
            <w:vAlign w:val="bottom"/>
            <w:vMerge w:val="restart"/>
          </w:tcPr>
          <w:p>
            <w:pPr>
              <w:jc w:val="right"/>
              <w:ind w:right="810"/>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income tax computed at the U.S. statutory rate to the effective income tax rate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90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3"/>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4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 (benefit)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benefit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Non deductible expenses</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Effective income tax rate (benefit)</w:t>
            </w: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46.9%</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99" w:firstLine="373"/>
        <w:spacing w:after="0" w:line="277" w:lineRule="auto"/>
        <w:rPr>
          <w:sz w:val="20"/>
          <w:szCs w:val="20"/>
          <w:color w:val="auto"/>
        </w:rPr>
      </w:pPr>
      <w:r>
        <w:rPr>
          <w:rFonts w:ascii="Arial" w:cs="Arial" w:eastAsia="Arial" w:hAnsi="Arial"/>
          <w:sz w:val="18"/>
          <w:szCs w:val="18"/>
          <w:color w:val="auto"/>
        </w:rPr>
        <w:t>Significant components of the Company’s deferred income tax assets and liabilities as of December 31, 2007 and 2008 are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6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 (liability):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Accounts receivable allowance for doubtful accounts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4,981</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2,668</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credits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State taxes</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r>
      <w:tr>
        <w:trPr>
          <w:trHeight w:val="230"/>
        </w:trPr>
        <w:tc>
          <w:tcPr>
            <w:tcW w:w="6860" w:type="dxa"/>
            <w:vAlign w:val="bottom"/>
          </w:tcPr>
          <w:p>
            <w:pPr>
              <w:ind w:left="400"/>
              <w:spacing w:after="0"/>
              <w:rPr>
                <w:sz w:val="20"/>
                <w:szCs w:val="20"/>
                <w:color w:val="auto"/>
              </w:rPr>
            </w:pPr>
            <w:r>
              <w:rPr>
                <w:rFonts w:ascii="Arial" w:cs="Arial" w:eastAsia="Arial" w:hAnsi="Arial"/>
                <w:sz w:val="18"/>
                <w:szCs w:val="18"/>
                <w:color w:val="auto"/>
              </w:rPr>
              <w:t>Current deferred tax asset</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 (liability):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Depreciation and leases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Unrealized gains on available for sale securities</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4,216</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Non-current deferred tax asset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7,404</w:t>
            </w:r>
          </w:p>
        </w:tc>
      </w:tr>
      <w:tr>
        <w:trPr>
          <w:trHeight w:val="223"/>
        </w:trPr>
        <w:tc>
          <w:tcPr>
            <w:tcW w:w="6860" w:type="dxa"/>
            <w:vAlign w:val="bottom"/>
          </w:tcPr>
          <w:p>
            <w:pPr>
              <w:ind w:left="400"/>
              <w:spacing w:after="0"/>
              <w:rPr>
                <w:sz w:val="20"/>
                <w:szCs w:val="20"/>
                <w:color w:val="auto"/>
              </w:rPr>
            </w:pPr>
            <w:r>
              <w:rPr>
                <w:rFonts w:ascii="Arial" w:cs="Arial" w:eastAsia="Arial" w:hAnsi="Arial"/>
                <w:sz w:val="18"/>
                <w:szCs w:val="18"/>
                <w:color w:val="auto"/>
              </w:rPr>
              <w:t>Net deferred tax asset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10,007</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719" w:firstLine="373"/>
        <w:spacing w:after="0" w:line="277" w:lineRule="auto"/>
        <w:rPr>
          <w:sz w:val="20"/>
          <w:szCs w:val="20"/>
          <w:color w:val="auto"/>
        </w:rPr>
      </w:pPr>
      <w:r>
        <w:rPr>
          <w:rFonts w:ascii="Arial" w:cs="Arial" w:eastAsia="Arial" w:hAnsi="Arial"/>
          <w:sz w:val="18"/>
          <w:szCs w:val="18"/>
          <w:color w:val="auto"/>
        </w:rPr>
        <w:t>The Company has Arizona state income tax credit carryforwards of $183 primarily attributable to Enterprise Zone Credits and school tuition credits which expire in 2013.</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59" w:firstLine="373"/>
        <w:spacing w:after="0" w:line="291" w:lineRule="auto"/>
        <w:rPr>
          <w:sz w:val="20"/>
          <w:szCs w:val="20"/>
          <w:color w:val="auto"/>
        </w:rPr>
      </w:pPr>
      <w:r>
        <w:rPr>
          <w:rFonts w:ascii="Arial" w:cs="Arial" w:eastAsia="Arial" w:hAnsi="Arial"/>
          <w:sz w:val="16"/>
          <w:szCs w:val="16"/>
          <w:color w:val="auto"/>
        </w:rPr>
        <w:t xml:space="preserve">As of January 1, 2008, the Company adopted FASB interpretation No. 48 (“FIN 48”), </w:t>
      </w:r>
      <w:r>
        <w:rPr>
          <w:rFonts w:ascii="Arial" w:cs="Arial" w:eastAsia="Arial" w:hAnsi="Arial"/>
          <w:sz w:val="16"/>
          <w:szCs w:val="16"/>
          <w:i w:val="1"/>
          <w:iCs w:val="1"/>
          <w:color w:val="auto"/>
        </w:rPr>
        <w:t>Accounting for Uncertainty in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an interpretation of FASB Statement 109,</w:t>
      </w:r>
      <w:r>
        <w:rPr>
          <w:rFonts w:ascii="Arial" w:cs="Arial" w:eastAsia="Arial" w:hAnsi="Arial"/>
          <w:sz w:val="16"/>
          <w:szCs w:val="16"/>
          <w:i w:val="1"/>
          <w:iCs w:val="1"/>
          <w:color w:val="auto"/>
        </w:rPr>
        <w:t xml:space="preserve"> Accounting for Income Taxes</w:t>
      </w:r>
      <w:r>
        <w:rPr>
          <w:rFonts w:ascii="Arial" w:cs="Arial" w:eastAsia="Arial" w:hAnsi="Arial"/>
          <w:sz w:val="16"/>
          <w:szCs w:val="16"/>
          <w:color w:val="auto"/>
        </w:rPr>
        <w:t>, which clarifies the accounting for uncertainty in</w:t>
      </w:r>
      <w:r>
        <w:rPr>
          <w:rFonts w:ascii="Arial" w:cs="Arial" w:eastAsia="Arial" w:hAnsi="Arial"/>
          <w:sz w:val="16"/>
          <w:szCs w:val="16"/>
          <w:i w:val="1"/>
          <w:iCs w:val="1"/>
          <w:color w:val="auto"/>
        </w:rPr>
        <w:t xml:space="preserve"> </w:t>
      </w:r>
      <w:r>
        <w:rPr>
          <w:rFonts w:ascii="Arial" w:cs="Arial" w:eastAsia="Arial" w:hAnsi="Arial"/>
          <w:sz w:val="16"/>
          <w:szCs w:val="16"/>
          <w:color w:val="auto"/>
        </w:rPr>
        <w:t>tax positions. FIN 48 requires that the Company recognize the impact of a tax position in its financial statements if that position is more-likely-than-not of being sustained on audit, based on the technical merits of the position. FIN 48 requires the disclosure of all unrecognized tax benefits, which includes the reserves recorded for uncertain tax positions on filed tax returns and the unrecognized portion of affirmative claims. The adoption of FIN 48 did not result in an adjustment to opening retained earnings. The Company recognizes interest and penalties related to uncertain tax positions in income tax expense.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provides a reconciliation of unrecognized tax benefits from January 1, 2008 to December 31, 2008:</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8"/>
                <w:szCs w:val="18"/>
                <w:color w:val="auto"/>
              </w:rPr>
              <w:t>Decreases</w:t>
            </w:r>
          </w:p>
        </w:tc>
        <w:tc>
          <w:tcPr>
            <w:tcW w:w="4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8"/>
                <w:szCs w:val="18"/>
                <w:color w:val="auto"/>
              </w:rPr>
              <w:t>Increases</w:t>
            </w:r>
          </w:p>
        </w:tc>
        <w:tc>
          <w:tcPr>
            <w:tcW w:w="4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Decreases</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4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As of December 31, 2008, the unrecognized tax benefit recorded of $235, if reversed, would impact the effective tax rate. During the years ended December 31, 2006, 2007, and 2008, the Company recognized approximately $9, $21 and $116, respectively, in interest and penalties. It is reasonably possible that the amount of the unrecognized tax benefit will change during the next 12 months, however management does not expect the potential change to have a material effect on the results of operations or financial position.</w:t>
      </w:r>
    </w:p>
    <w:p>
      <w:pPr>
        <w:spacing w:after="0" w:line="148" w:lineRule="exact"/>
        <w:rPr>
          <w:sz w:val="20"/>
          <w:szCs w:val="20"/>
          <w:color w:val="auto"/>
        </w:rPr>
      </w:pPr>
    </w:p>
    <w:p>
      <w:pPr>
        <w:ind w:left="340" w:right="699" w:firstLine="373"/>
        <w:spacing w:after="0" w:line="259" w:lineRule="auto"/>
        <w:rPr>
          <w:sz w:val="20"/>
          <w:szCs w:val="20"/>
          <w:color w:val="auto"/>
        </w:rPr>
      </w:pPr>
      <w:r>
        <w:rPr>
          <w:rFonts w:ascii="Arial" w:cs="Arial" w:eastAsia="Arial" w:hAnsi="Arial"/>
          <w:sz w:val="18"/>
          <w:szCs w:val="18"/>
          <w:color w:val="auto"/>
        </w:rPr>
        <w:t>The Company’s uncertain tax positions are related to tax years that remain subject to examination by tax authorities. As of December 31, 2008, the earliest tax year still subject to examination for federal and state purposes is 2005. During the second quarter ended June 30, 2008, the Internal Revenue Service (“IRS”) commenced an examination of the Company’s 2005 income tax return.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Regulatory</w:t>
      </w:r>
    </w:p>
    <w:p>
      <w:pPr>
        <w:spacing w:after="0" w:line="202" w:lineRule="exact"/>
        <w:rPr>
          <w:sz w:val="20"/>
          <w:szCs w:val="20"/>
          <w:color w:val="auto"/>
        </w:rPr>
      </w:pPr>
    </w:p>
    <w:p>
      <w:pPr>
        <w:ind w:left="340" w:right="619" w:firstLine="373"/>
        <w:spacing w:after="0" w:line="279" w:lineRule="auto"/>
        <w:rPr>
          <w:sz w:val="20"/>
          <w:szCs w:val="20"/>
          <w:color w:val="auto"/>
        </w:rPr>
      </w:pPr>
      <w:r>
        <w:rPr>
          <w:rFonts w:ascii="Arial" w:cs="Arial" w:eastAsia="Arial" w:hAnsi="Arial"/>
          <w:sz w:val="17"/>
          <w:szCs w:val="17"/>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Company submitted its application for recertification in March 2008 in anticipation of the expiration of its provisional certification on June 30, 2008. The Department of Education did not make a decision on the Company’s recertification application by June 30, 2008, and therefore the Company’s participation in the Title IV programs has been automatically extended on a month-to-month basis until the Department of Education makes its decision. As of December 31, 2007 and 2008, management believes the Company is in compliance with the applicable regulations in all material respects.</w:t>
      </w:r>
    </w:p>
    <w:p>
      <w:pPr>
        <w:spacing w:after="0" w:line="142"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161"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color w:val="auto"/>
        </w:rPr>
        <w:t>Political and budgetary concerns significantly affect the Title IV programs. Congress must reauthorize the student financial assistance programs of the Higher Education Act on a periodic basis. On July 31, 2008, Congress passed the Higher Education Opportunity Act (the “2008 Act”), which reauthorized and made numerous changes to the Higher Education Act and its programs. President Bush signed the 2008 Act on August 14, 2008. The Higher Education Act, as reauthorized and amended by the 2008 Act, continues the access of the Company and its students to Title IV funds. In addition, changes made by the 2008 Act will affect how the Company complies with the requirement that it receive a certain proportion of its revenue from other than the Title IV programs. Prior to the enactment of the 2008 Act, other recent changes made by Congress expanded the access of the Company and its students to Title IV funds by increasing loan limits for first and second year students and lifting restrictions on on-line education programs and students.</w:t>
      </w:r>
    </w:p>
    <w:p>
      <w:pPr>
        <w:spacing w:after="0" w:line="141" w:lineRule="exact"/>
        <w:rPr>
          <w:sz w:val="20"/>
          <w:szCs w:val="20"/>
          <w:color w:val="auto"/>
        </w:rPr>
      </w:pPr>
    </w:p>
    <w:p>
      <w:pPr>
        <w:ind w:left="340" w:right="599" w:firstLine="373"/>
        <w:spacing w:after="0" w:line="288" w:lineRule="auto"/>
        <w:rPr>
          <w:sz w:val="20"/>
          <w:szCs w:val="20"/>
          <w:color w:val="auto"/>
        </w:rPr>
      </w:pPr>
      <w:r>
        <w:rPr>
          <w:rFonts w:ascii="Arial" w:cs="Arial" w:eastAsia="Arial" w:hAnsi="Arial"/>
          <w:sz w:val="16"/>
          <w:szCs w:val="16"/>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 The 2008 Act included significant revisions to the requirements concerning institutions’ cohort default rates, including revisions to the formula for calculating an institution’s annual cohort default rate, and increases to the threshold for ending an institution’s participation in the relevant Title IV programs from 25% to 30%.</w:t>
      </w:r>
    </w:p>
    <w:p>
      <w:pPr>
        <w:spacing w:after="0" w:line="129" w:lineRule="exact"/>
        <w:rPr>
          <w:sz w:val="20"/>
          <w:szCs w:val="20"/>
          <w:color w:val="auto"/>
        </w:rPr>
      </w:pPr>
    </w:p>
    <w:p>
      <w:pPr>
        <w:ind w:left="340" w:right="739" w:firstLine="373"/>
        <w:spacing w:after="0" w:line="312" w:lineRule="auto"/>
        <w:rPr>
          <w:sz w:val="20"/>
          <w:szCs w:val="20"/>
          <w:color w:val="auto"/>
        </w:rPr>
      </w:pPr>
      <w:r>
        <w:rPr>
          <w:rFonts w:ascii="Arial" w:cs="Arial" w:eastAsia="Arial" w:hAnsi="Arial"/>
          <w:sz w:val="16"/>
          <w:szCs w:val="16"/>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579" w:firstLine="373"/>
        <w:spacing w:after="0" w:line="272" w:lineRule="auto"/>
        <w:rPr>
          <w:sz w:val="20"/>
          <w:szCs w:val="20"/>
          <w:color w:val="auto"/>
        </w:rPr>
      </w:pPr>
      <w:r>
        <w:rPr>
          <w:rFonts w:ascii="Arial" w:cs="Arial" w:eastAsia="Arial" w:hAnsi="Arial"/>
          <w:sz w:val="17"/>
          <w:szCs w:val="17"/>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2008, the Company satisfied each of the Department of Education’s standards of financial responsibility.</w:t>
      </w:r>
    </w:p>
    <w:p>
      <w:pPr>
        <w:spacing w:after="0" w:line="137" w:lineRule="exact"/>
        <w:rPr>
          <w:sz w:val="20"/>
          <w:szCs w:val="20"/>
          <w:color w:val="auto"/>
        </w:rPr>
      </w:pPr>
    </w:p>
    <w:p>
      <w:pPr>
        <w:ind w:left="340" w:right="619" w:firstLine="373"/>
        <w:spacing w:after="0" w:line="273" w:lineRule="auto"/>
        <w:rPr>
          <w:sz w:val="20"/>
          <w:szCs w:val="20"/>
          <w:color w:val="auto"/>
        </w:rPr>
      </w:pPr>
      <w:r>
        <w:rPr>
          <w:rFonts w:ascii="Arial" w:cs="Arial" w:eastAsia="Arial" w:hAnsi="Arial"/>
          <w:sz w:val="17"/>
          <w:szCs w:val="17"/>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Share-Based Compensation Plans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Equity Plans</w:t>
      </w:r>
    </w:p>
    <w:p>
      <w:pPr>
        <w:spacing w:after="0" w:line="185" w:lineRule="exact"/>
        <w:rPr>
          <w:sz w:val="20"/>
          <w:szCs w:val="20"/>
          <w:color w:val="auto"/>
        </w:rPr>
      </w:pPr>
    </w:p>
    <w:p>
      <w:pPr>
        <w:ind w:left="340" w:right="739" w:firstLine="373"/>
        <w:spacing w:after="0" w:line="277" w:lineRule="auto"/>
        <w:rPr>
          <w:sz w:val="20"/>
          <w:szCs w:val="20"/>
          <w:color w:val="auto"/>
        </w:rPr>
      </w:pPr>
      <w:r>
        <w:rPr>
          <w:rFonts w:ascii="Arial" w:cs="Arial" w:eastAsia="Arial" w:hAnsi="Arial"/>
          <w:sz w:val="18"/>
          <w:szCs w:val="18"/>
          <w:color w:val="auto"/>
        </w:rPr>
        <w:t>On September 27, 2008 the Company’s stockholders approved the adoption of the 2008 Equity Incentive Plan (“Incentive Plan”) and the 2008 Employee Stock Purchase (“ESPP”).</w:t>
      </w:r>
    </w:p>
    <w:p>
      <w:pPr>
        <w:spacing w:after="0" w:line="143" w:lineRule="exact"/>
        <w:rPr>
          <w:sz w:val="20"/>
          <w:szCs w:val="20"/>
          <w:color w:val="auto"/>
        </w:rPr>
      </w:pPr>
    </w:p>
    <w:p>
      <w:pPr>
        <w:ind w:left="340" w:right="599" w:firstLine="373"/>
        <w:spacing w:after="0" w:line="285" w:lineRule="auto"/>
        <w:rPr>
          <w:sz w:val="20"/>
          <w:szCs w:val="20"/>
          <w:color w:val="auto"/>
        </w:rPr>
      </w:pPr>
      <w:r>
        <w:rPr>
          <w:rFonts w:ascii="Arial" w:cs="Arial" w:eastAsia="Arial" w:hAnsi="Arial"/>
          <w:sz w:val="16"/>
          <w:szCs w:val="16"/>
          <w:color w:val="auto"/>
        </w:rPr>
        <w:t>A total of 4,199,937 shares of our common stock have been authorized for issuance under the Incentive Plan. This reserve will automatically increase on a cumulative basis on January 1, 2009 and each subsequent anniversary through 2017, by an amount equal to the smaller of (a) 2.5% of the number of shares of common stock issued and outstanding on the immediately preceding December 31, or (b) a lesser amount determined by our board of directors. Shares subject to awards that expire or are cancelled or forfeited will again become available for issuance under the Incentive Plan. The Incentive Plan allows for incentive stock options to be granted to employees and allows for nonstatutory stock options, stock appreciation rights, restricted stock purchase rights or bonuses, restricted stock units, performance shares, performance units, and cash-based awards to be granted to employees, officers, directors or consultants. 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at its discretion including, but not limited to, upon a change in control. Upon a change in control,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639" w:firstLine="373"/>
        <w:spacing w:after="0" w:line="285" w:lineRule="auto"/>
        <w:rPr>
          <w:sz w:val="20"/>
          <w:szCs w:val="20"/>
          <w:color w:val="auto"/>
        </w:rPr>
      </w:pPr>
      <w:r>
        <w:rPr>
          <w:rFonts w:ascii="Arial" w:cs="Arial" w:eastAsia="Arial" w:hAnsi="Arial"/>
          <w:sz w:val="16"/>
          <w:szCs w:val="16"/>
          <w:color w:val="auto"/>
        </w:rPr>
        <w:t>A total of 1,049,984 shares of our common stock has been authorized for sale under the ESPP. In addition, the ESPP will provide for an automatic annual increase in 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or (b) a number of shares as our board of directors may determine. 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 The ESPP will be implemented through a series of sequential offering periods, generally three months in duration beginning on the first trading days of February, May, August, and November each year. 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compensation committee has been authorized to change the purchase price discount for that offering period, but the purchase price may not be less than 85% of the lower of the fair market value of our common stock at the beginning of the offering period or at the end of the offering period. As of December 31, 2008, no shares have been issued under the ESPP.</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Plan</w:t>
      </w:r>
    </w:p>
    <w:p>
      <w:pPr>
        <w:spacing w:after="0" w:line="198" w:lineRule="exact"/>
        <w:rPr>
          <w:sz w:val="20"/>
          <w:szCs w:val="20"/>
          <w:color w:val="auto"/>
        </w:rPr>
      </w:pPr>
    </w:p>
    <w:p>
      <w:pPr>
        <w:ind w:left="340" w:right="679" w:firstLine="373"/>
        <w:spacing w:after="0" w:line="302" w:lineRule="auto"/>
        <w:rPr>
          <w:sz w:val="20"/>
          <w:szCs w:val="20"/>
          <w:color w:val="auto"/>
        </w:rPr>
      </w:pPr>
      <w:r>
        <w:rPr>
          <w:rFonts w:ascii="Arial" w:cs="Arial" w:eastAsia="Arial" w:hAnsi="Arial"/>
          <w:sz w:val="16"/>
          <w:szCs w:val="16"/>
          <w:color w:val="auto"/>
        </w:rPr>
        <w:t>In connection with the initial public offering, on November 19, 2008, the Company granted 710,494 fully vested options and 2,594,583 time vested options to purchase shares of common stock with an exercise price equal to the initial public offering price of $12.00 per share. The time vested options will vest ratably over a period of five years for employees and three years for the director grant. Both the fully vested and time vested options will expire ten years from the date of grant.</w:t>
      </w:r>
    </w:p>
    <w:p>
      <w:pPr>
        <w:spacing w:after="0" w:line="114" w:lineRule="exact"/>
        <w:rPr>
          <w:sz w:val="20"/>
          <w:szCs w:val="20"/>
          <w:color w:val="auto"/>
        </w:rPr>
      </w:pPr>
    </w:p>
    <w:p>
      <w:pPr>
        <w:ind w:left="340" w:right="959" w:firstLine="373"/>
        <w:spacing w:after="0" w:line="277" w:lineRule="auto"/>
        <w:rPr>
          <w:sz w:val="20"/>
          <w:szCs w:val="20"/>
          <w:color w:val="auto"/>
        </w:rPr>
      </w:pPr>
      <w:r>
        <w:rPr>
          <w:rFonts w:ascii="Arial" w:cs="Arial" w:eastAsia="Arial" w:hAnsi="Arial"/>
          <w:sz w:val="18"/>
          <w:szCs w:val="18"/>
          <w:color w:val="auto"/>
        </w:rPr>
        <w:t>For the year ended December 31, 2008, the Company recognized $3.7 million in share-based compensation expense as required under SFAS No. 123R and a total income tax benefit of $0.02 million.</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activity related to stock options granted under the Company’s Incentive Plan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20" w:type="dxa"/>
            <w:vAlign w:val="bottom"/>
            <w:tcBorders>
              <w:bottom w:val="single" w:sz="8" w:color="auto"/>
            </w:tcBorders>
            <w:gridSpan w:val="8"/>
          </w:tcPr>
          <w:p>
            <w:pPr>
              <w:ind w:left="880"/>
              <w:spacing w:after="0"/>
              <w:rPr>
                <w:sz w:val="20"/>
                <w:szCs w:val="20"/>
                <w:color w:val="auto"/>
              </w:rPr>
            </w:pPr>
            <w:r>
              <w:rPr>
                <w:rFonts w:ascii="Arial" w:cs="Arial" w:eastAsia="Arial" w:hAnsi="Arial"/>
                <w:sz w:val="18"/>
                <w:szCs w:val="18"/>
                <w:b w:val="1"/>
                <w:bCs w:val="1"/>
                <w:color w:val="auto"/>
                <w:w w:val="91"/>
              </w:rPr>
              <w:t>Summary of Stock Options Outstanding</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1"/>
              </w:rPr>
              <w:t>Weighted</w:t>
            </w:r>
          </w:p>
        </w:tc>
        <w:tc>
          <w:tcPr>
            <w:tcW w:w="13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00" w:type="dxa"/>
            <w:vAlign w:val="bottom"/>
            <w:gridSpan w:val="3"/>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 per</w:t>
            </w: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i w:val="1"/>
                <w:iCs w:val="1"/>
                <w:color w:val="auto"/>
              </w:rPr>
              <w:t>(Numbers in thousands, except per share data)</w:t>
            </w:r>
          </w:p>
        </w:tc>
        <w:tc>
          <w:tcPr>
            <w:tcW w:w="2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3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Term (Years)</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Forfeited, canceled or expired</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2008</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22,017</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2008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gridSpan w:val="2"/>
            <w:vMerge w:val="continue"/>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661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December 31, 2008</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859" w:hanging="348"/>
        <w:spacing w:after="0" w:line="27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our closing stock price on December 31, 2008 ($18.78) in excess of the exercise price multiplied by the number of options outstanding or exercisable.</w:t>
      </w:r>
    </w:p>
    <w:p>
      <w:pPr>
        <w:spacing w:after="0" w:line="130" w:lineRule="exact"/>
        <w:rPr>
          <w:sz w:val="20"/>
          <w:szCs w:val="20"/>
          <w:color w:val="auto"/>
        </w:rPr>
      </w:pPr>
    </w:p>
    <w:p>
      <w:pPr>
        <w:ind w:left="340" w:right="619" w:firstLine="373"/>
        <w:spacing w:after="0" w:line="264" w:lineRule="auto"/>
        <w:rPr>
          <w:sz w:val="20"/>
          <w:szCs w:val="20"/>
          <w:color w:val="auto"/>
        </w:rPr>
      </w:pPr>
      <w:r>
        <w:rPr>
          <w:rFonts w:ascii="Arial" w:cs="Arial" w:eastAsia="Arial" w:hAnsi="Arial"/>
          <w:sz w:val="18"/>
          <w:szCs w:val="18"/>
          <w:color w:val="auto"/>
        </w:rPr>
        <w:t>As of December 31, 2008, there was approximately $14.3 million of total unrecognized share-based compensation cost, net of forfeitures, related to unvested stock options. These costs are expected to be recognized over a weighted average period of 4.89 years.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information related to outstanding and exercisable options as of December 31, 2008:</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Exercisable</w:t>
            </w:r>
          </w:p>
        </w:tc>
      </w:tr>
      <w:tr>
        <w:trPr>
          <w:trHeight w:val="191"/>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Weighted Avg.</w:t>
            </w:r>
          </w:p>
        </w:tc>
        <w:tc>
          <w:tcPr>
            <w:tcW w:w="11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Weighted Avg.</w:t>
            </w:r>
          </w:p>
        </w:tc>
        <w:tc>
          <w:tcPr>
            <w:tcW w:w="3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Weighted Avg.</w:t>
            </w:r>
          </w:p>
        </w:tc>
        <w:tc>
          <w:tcPr>
            <w:tcW w:w="8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Exercise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w:t>
            </w:r>
          </w:p>
        </w:tc>
      </w:tr>
      <w:tr>
        <w:trPr>
          <w:trHeight w:val="216"/>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Outstanding</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20"/>
                <w:szCs w:val="20"/>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per Share</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Exercisable</w:t>
            </w:r>
          </w:p>
        </w:tc>
        <w:tc>
          <w:tcPr>
            <w:tcW w:w="12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(Options in thousands)</w:t>
            </w: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3,248</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r>
      <w:tr>
        <w:trPr>
          <w:trHeight w:val="20"/>
        </w:trPr>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information related to stock options exercised for year ended December 31, 2008:</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related to options exercised:</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Intrinsic value realized by optionee</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Actual tax benefit realized by Company for tax deductions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received from stock option exercises during fiscal year 2008 totaled approximately $0.6 million.</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85"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 ended December 31, 2008 related to stock options granted:</w:t>
      </w:r>
    </w:p>
    <w:p>
      <w:pPr>
        <w:sectPr>
          <w:pgSz w:w="11900" w:h="16838" w:orient="portrait"/>
          <w:cols w:equalWidth="0" w:num="1">
            <w:col w:w="10219"/>
          </w:cols>
          <w:pgMar w:left="240" w:top="419" w:right="1440" w:bottom="1440" w:gutter="0" w:footer="0" w:header="0"/>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(Numbers in thousands)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Instructional costs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258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and promotional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14" w:lineRule="exact"/>
        <w:rPr>
          <w:sz w:val="20"/>
          <w:szCs w:val="20"/>
          <w:color w:val="auto"/>
        </w:rPr>
      </w:pPr>
    </w:p>
    <w:p>
      <w:pPr>
        <w:ind w:left="340" w:right="2180" w:firstLine="203"/>
        <w:spacing w:after="0" w:line="266" w:lineRule="auto"/>
        <w:rPr>
          <w:sz w:val="20"/>
          <w:szCs w:val="20"/>
          <w:color w:val="auto"/>
        </w:rPr>
      </w:pPr>
      <w:r>
        <w:rPr>
          <w:rFonts w:ascii="Arial" w:cs="Arial" w:eastAsia="Arial" w:hAnsi="Arial"/>
          <w:sz w:val="18"/>
          <w:szCs w:val="18"/>
          <w:b w:val="1"/>
          <w:bCs w:val="1"/>
          <w:color w:val="auto"/>
        </w:rPr>
        <w:t xml:space="preserve">Share-based compensation expense included in operating expenses </w:t>
      </w:r>
      <w:r>
        <w:rPr>
          <w:rFonts w:ascii="Arial" w:cs="Arial" w:eastAsia="Arial" w:hAnsi="Arial"/>
          <w:sz w:val="18"/>
          <w:szCs w:val="18"/>
          <w:color w:val="auto"/>
        </w:rPr>
        <w:t>Tax effect of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-141605</wp:posOffset>
            </wp:positionV>
            <wp:extent cx="59258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Share-based compensation expense, net of tax</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Share-based Compensation Expense Assumptions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2008</w:t>
      </w:r>
    </w:p>
    <w:p>
      <w:pPr>
        <w:spacing w:after="0" w:line="27" w:lineRule="exact"/>
        <w:rPr>
          <w:sz w:val="20"/>
          <w:szCs w:val="20"/>
          <w:color w:val="auto"/>
        </w:rPr>
      </w:pPr>
    </w:p>
    <w:p>
      <w:pPr>
        <w:ind w:left="620" w:hanging="615"/>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1,737</w:t>
      </w:r>
    </w:p>
    <w:p>
      <w:pPr>
        <w:spacing w:after="0" w:line="2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1,322</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619</w:t>
      </w:r>
    </w:p>
    <w:p>
      <w:pPr>
        <w:spacing w:after="0" w:line="23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3,678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-695960</wp:posOffset>
            </wp:positionV>
            <wp:extent cx="6515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515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3"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(1,454)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15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 w:lineRule="exact"/>
        <w:rPr>
          <w:sz w:val="20"/>
          <w:szCs w:val="20"/>
          <w:color w:val="auto"/>
        </w:rPr>
      </w:pPr>
    </w:p>
    <w:p>
      <w:pPr>
        <w:ind w:left="620" w:hanging="615"/>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515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6515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644" w:lineRule="exact"/>
        <w:rPr>
          <w:sz w:val="20"/>
          <w:szCs w:val="20"/>
          <w:color w:val="auto"/>
        </w:rPr>
      </w:pPr>
    </w:p>
    <w:p>
      <w:pPr>
        <w:sectPr>
          <w:pgSz w:w="11900" w:h="16838" w:orient="portrait"/>
          <w:cols w:equalWidth="0" w:num="2">
            <w:col w:w="7820" w:space="720"/>
            <w:col w:w="1679"/>
          </w:cols>
          <w:pgMar w:left="240" w:top="419" w:right="1440" w:bottom="1440" w:gutter="0" w:footer="0" w:header="0"/>
          <w:type w:val="continuous"/>
        </w:sectPr>
      </w:pPr>
    </w:p>
    <w:p>
      <w:pPr>
        <w:ind w:left="340" w:right="719" w:firstLine="373"/>
        <w:spacing w:after="0" w:line="277"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The Company uses the Black-Scholes-Merton option pricing model to estimate the fair value of our options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 dates using the following weighted average assumptions: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46.13%</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ind w:left="340" w:right="759" w:firstLine="373"/>
        <w:spacing w:after="0" w:line="312"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As the Company’s stock had not been publicly traded prior to November 2008,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 for the year ended December 31, 2008 reflects an average of volatilities of the Company’s peer group of public education companies with a period equal to the expected life of the options consistent with SFAS No. 123(R) and SAB 107.</w:t>
      </w:r>
    </w:p>
    <w:p>
      <w:pPr>
        <w:spacing w:after="0" w:line="120" w:lineRule="exact"/>
        <w:rPr>
          <w:sz w:val="20"/>
          <w:szCs w:val="20"/>
          <w:color w:val="auto"/>
        </w:rPr>
      </w:pPr>
    </w:p>
    <w:p>
      <w:pPr>
        <w:ind w:left="340" w:right="599" w:firstLine="373"/>
        <w:spacing w:after="0" w:line="255" w:lineRule="auto"/>
        <w:rPr>
          <w:sz w:val="20"/>
          <w:szCs w:val="20"/>
          <w:color w:val="auto"/>
        </w:rPr>
      </w:pPr>
      <w:r>
        <w:rPr>
          <w:rFonts w:ascii="Arial" w:cs="Arial" w:eastAsia="Arial" w:hAnsi="Arial"/>
          <w:sz w:val="18"/>
          <w:szCs w:val="18"/>
          <w:i w:val="1"/>
          <w:iCs w:val="1"/>
          <w:color w:val="auto"/>
        </w:rPr>
        <w:t xml:space="preserve">Expected Life (years). </w:t>
      </w:r>
      <w:r>
        <w:rPr>
          <w:rFonts w:ascii="Arial" w:cs="Arial" w:eastAsia="Arial" w:hAnsi="Arial"/>
          <w:sz w:val="18"/>
          <w:szCs w:val="18"/>
          <w:color w:val="auto"/>
        </w:rPr>
        <w:t>In December 2007, the Securities and Exchange Commission staff issued SAB 110. SAB 110 allows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continue to use the simplified method, as defined in SAB 107, to estimate the expected term of stock options under certain circumstances. The simplified method for estimating expected term is to use the mid-point between the vesting term and the contractual term of the share option. The Company has analyzed the circumstances in which the use of the simplified method is allowed. The Company has elected to use the simplified method for options granted in fiscal year 2008 because the Company does not have historical exercise data to estimate expected term due to the limited time period its shares have been publicly traded.</w:t>
      </w:r>
    </w:p>
    <w:p>
      <w:pPr>
        <w:spacing w:after="0" w:line="149" w:lineRule="exact"/>
        <w:rPr>
          <w:sz w:val="20"/>
          <w:szCs w:val="20"/>
          <w:color w:val="auto"/>
        </w:rPr>
      </w:pPr>
    </w:p>
    <w:p>
      <w:pPr>
        <w:ind w:left="340" w:right="639" w:firstLine="373"/>
        <w:spacing w:after="0" w:line="308"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assumption is based upon the U.S. constant maturity treasury rates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risk-free rate interpolated between the years commensurate with the expected life of the options.</w:t>
      </w:r>
    </w:p>
    <w:p>
      <w:pPr>
        <w:spacing w:after="0" w:line="106" w:lineRule="exact"/>
        <w:rPr>
          <w:sz w:val="20"/>
          <w:szCs w:val="20"/>
          <w:color w:val="auto"/>
        </w:rPr>
      </w:pPr>
    </w:p>
    <w:p>
      <w:pPr>
        <w:ind w:left="340" w:right="579" w:firstLine="373"/>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assumption is zero since the Company does not expect to declare or pay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340" w:right="1339" w:firstLine="373"/>
        <w:spacing w:after="0" w:line="342" w:lineRule="auto"/>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Forfeitures are estimated at the time of grant based on historical retention of employees. If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estimates are adjusted at the end of each vesting period if actual forfeitures differ from those estimates.</w:t>
      </w:r>
    </w:p>
    <w:p>
      <w:pPr>
        <w:spacing w:after="0" w:line="83" w:lineRule="exact"/>
        <w:rPr>
          <w:sz w:val="20"/>
          <w:szCs w:val="20"/>
          <w:color w:val="auto"/>
        </w:rPr>
      </w:pPr>
    </w:p>
    <w:p>
      <w:pPr>
        <w:ind w:left="340" w:right="1099" w:firstLine="373"/>
        <w:spacing w:after="0" w:line="277" w:lineRule="auto"/>
        <w:rPr>
          <w:sz w:val="20"/>
          <w:szCs w:val="20"/>
          <w:color w:val="auto"/>
        </w:rPr>
      </w:pPr>
      <w:r>
        <w:rPr>
          <w:rFonts w:ascii="Arial" w:cs="Arial" w:eastAsia="Arial" w:hAnsi="Arial"/>
          <w:sz w:val="18"/>
          <w:szCs w:val="18"/>
          <w:i w:val="1"/>
          <w:iCs w:val="1"/>
          <w:color w:val="auto"/>
        </w:rPr>
        <w:t xml:space="preserve">Expected Vesting Period. </w:t>
      </w:r>
      <w:r>
        <w:rPr>
          <w:rFonts w:ascii="Arial" w:cs="Arial" w:eastAsia="Arial" w:hAnsi="Arial"/>
          <w:sz w:val="18"/>
          <w:szCs w:val="18"/>
          <w:color w:val="auto"/>
        </w:rPr>
        <w:t>The Company amortizes the share-based compensation expense, net of forfeitures,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vesting period using the straight-line method in accordance with SFAS 123(R).</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Grant</w:t>
      </w:r>
    </w:p>
    <w:p>
      <w:pPr>
        <w:spacing w:after="0" w:line="185"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On November 19, 2008, the Company granted 109,329 shares of common stock with a fair value of $12.00 per share, to its Chief Executive Officer, which is reflected as share-based compensation expense in 2008 in the amount of $1.3 million in general and administrative expense.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98" w:lineRule="exact"/>
        <w:rPr>
          <w:sz w:val="20"/>
          <w:szCs w:val="20"/>
          <w:color w:val="auto"/>
        </w:rPr>
      </w:pPr>
    </w:p>
    <w:p>
      <w:pPr>
        <w:ind w:left="340" w:right="819" w:firstLine="373"/>
        <w:spacing w:after="0" w:line="255" w:lineRule="auto"/>
        <w:rPr>
          <w:sz w:val="20"/>
          <w:szCs w:val="20"/>
          <w:color w:val="auto"/>
        </w:rPr>
      </w:pPr>
      <w:r>
        <w:rPr>
          <w:rFonts w:ascii="Arial" w:cs="Arial" w:eastAsia="Arial" w:hAnsi="Arial"/>
          <w:sz w:val="18"/>
          <w:szCs w:val="18"/>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 ended December 31, 2006. The Company made discretionary matching contributions to the plan of $250 and $388 for the years ended December 31, 2007 and 2008, respectively.</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and for the years ended December 31, 2006, 2007, and 2008, related party transactions consisted of the following:</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Shareholders</w:t>
      </w:r>
    </w:p>
    <w:p>
      <w:pPr>
        <w:spacing w:after="0" w:line="185" w:lineRule="exact"/>
        <w:rPr>
          <w:sz w:val="20"/>
          <w:szCs w:val="20"/>
          <w:color w:val="auto"/>
        </w:rPr>
      </w:pPr>
    </w:p>
    <w:p>
      <w:pPr>
        <w:ind w:left="340" w:right="619" w:firstLine="373"/>
        <w:spacing w:after="0" w:line="255" w:lineRule="auto"/>
        <w:rPr>
          <w:sz w:val="20"/>
          <w:szCs w:val="20"/>
          <w:color w:val="auto"/>
        </w:rPr>
      </w:pPr>
      <w:r>
        <w:rPr>
          <w:rFonts w:ascii="Arial" w:cs="Arial" w:eastAsia="Arial" w:hAnsi="Arial"/>
          <w:sz w:val="18"/>
          <w:szCs w:val="18"/>
          <w:i w:val="1"/>
          <w:iCs w:val="1"/>
          <w:color w:val="auto"/>
        </w:rPr>
        <w:t xml:space="preserve">Significant Education Holding, LLC (“Sig Ed”) </w:t>
      </w:r>
      <w:r>
        <w:rPr>
          <w:rFonts w:ascii="Arial" w:cs="Arial" w:eastAsia="Arial" w:hAnsi="Arial"/>
          <w:sz w:val="18"/>
          <w:szCs w:val="18"/>
          <w:color w:val="auto"/>
        </w:rPr>
        <w:t>— Prior to completion of the Company’s initial public offering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Sig Ed was a stockholder of the Company. In connection with the initial public offering, Sig Ed was dissolved and shares of the Company’s common stock that were held by Sig Ed were distributed to its members. At December 31, 2007 until the distribution of such shares in connection with the initial public offering, Sig Ed held 18,260,000 shares of the Company’s common stock. The Company has not engaged in any transactions with Sig Ed, but has engaged in certain transactions with former members of Sig Ed, as discussed below.</w:t>
      </w:r>
    </w:p>
    <w:p>
      <w:pPr>
        <w:spacing w:after="0" w:line="166"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220 Partners, LLC (“220 Partners”) </w:t>
      </w:r>
      <w:r>
        <w:rPr>
          <w:rFonts w:ascii="Arial" w:cs="Arial" w:eastAsia="Arial" w:hAnsi="Arial"/>
          <w:sz w:val="18"/>
          <w:szCs w:val="18"/>
          <w:color w:val="auto"/>
        </w:rPr>
        <w:t>— 220 Partners, which is affiliated with several entities that held membership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in Sig Ed and a former director of the Company, received management fees, consulting fees, and reimbursed expenses of $299, $0, and $0 in the years ended December 31, 2006, 2007, and 2008, respectively. There were no amounts due from or payable to 220 Partners at December 31, 2007, and 2008.</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share and per share data)</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Affiliates of 220 Partners purchased 632 shares of Series C for $2,212 in 2007, of which $1,409 was due as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31, 2007 and was included in the due from related parties on the accompanying balance sheet. This amount was paid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January 6, 2008. There were no other amounts due from or payable to an affiliate of 220 Partners at December 31, 2007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2008.</w:t>
      </w:r>
    </w:p>
    <w:p>
      <w:pPr>
        <w:spacing w:after="0" w:line="170" w:lineRule="exact"/>
        <w:rPr>
          <w:sz w:val="20"/>
          <w:szCs w:val="20"/>
          <w:color w:val="auto"/>
        </w:rPr>
      </w:pPr>
    </w:p>
    <w:p>
      <w:pPr>
        <w:ind w:left="340" w:right="639" w:firstLine="373"/>
        <w:spacing w:after="0" w:line="257" w:lineRule="auto"/>
        <w:rPr>
          <w:sz w:val="20"/>
          <w:szCs w:val="20"/>
          <w:color w:val="auto"/>
        </w:rPr>
      </w:pPr>
      <w:r>
        <w:rPr>
          <w:rFonts w:ascii="Arial" w:cs="Arial" w:eastAsia="Arial" w:hAnsi="Arial"/>
          <w:sz w:val="18"/>
          <w:szCs w:val="18"/>
          <w:i w:val="1"/>
          <w:iCs w:val="1"/>
          <w:color w:val="auto"/>
        </w:rPr>
        <w:t xml:space="preserve">Rich Crow Enterprises, LLC (“Rich Crow”) </w:t>
      </w:r>
      <w:r>
        <w:rPr>
          <w:rFonts w:ascii="Arial" w:cs="Arial" w:eastAsia="Arial" w:hAnsi="Arial"/>
          <w:sz w:val="18"/>
          <w:szCs w:val="18"/>
          <w:color w:val="auto"/>
        </w:rPr>
        <w:t>— Members of Rich Crow include the Executive Chairman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of the Company, who are also both members of the Company’s Board of Directors. Rich Crow was also a member of Sig Ed. A member of Rich Crow is also related to the owner of a company that provided marketing services totaling $454 and $401 in the years ended December 31, 2007, and 2008, respectively, of which $72 and $0 were owed at December 31, 2007, and 2008, respectively.</w:t>
      </w:r>
    </w:p>
    <w:p>
      <w:pPr>
        <w:spacing w:after="0" w:line="161" w:lineRule="exact"/>
        <w:rPr>
          <w:sz w:val="20"/>
          <w:szCs w:val="20"/>
          <w:color w:val="auto"/>
        </w:rPr>
      </w:pPr>
    </w:p>
    <w:p>
      <w:pPr>
        <w:jc w:val="both"/>
        <w:ind w:left="340" w:right="699" w:firstLine="373"/>
        <w:spacing w:after="0" w:line="342" w:lineRule="auto"/>
        <w:rPr>
          <w:sz w:val="20"/>
          <w:szCs w:val="20"/>
          <w:color w:val="auto"/>
        </w:rPr>
      </w:pPr>
      <w:r>
        <w:rPr>
          <w:rFonts w:ascii="Arial" w:cs="Arial" w:eastAsia="Arial" w:hAnsi="Arial"/>
          <w:sz w:val="16"/>
          <w:szCs w:val="16"/>
          <w:color w:val="auto"/>
        </w:rPr>
        <w:t>Members of Rich Crow had a $2,000 irrevocable letter of credit in favor of the Company. During 2006, this letter of credit was transferred from Rich Crow and collateralized by cash of the Company and secured by the lease facilities of the Company.</w:t>
      </w:r>
    </w:p>
    <w:p>
      <w:pPr>
        <w:spacing w:after="0" w:line="83"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Significant Ventures, LLC (“Significant Ventures”) </w:t>
      </w:r>
      <w:r>
        <w:rPr>
          <w:rFonts w:ascii="Arial" w:cs="Arial" w:eastAsia="Arial" w:hAnsi="Arial"/>
          <w:sz w:val="18"/>
          <w:szCs w:val="18"/>
          <w:color w:val="auto"/>
        </w:rPr>
        <w:t>— Significant Ventures was a member of Sig Ed. In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2007, and 2008, the Company made payments of $390, $0, and $0, respectively, to Significant Ventures for services and reimbursement of expenses. There were no amounts due from or payable to Significant Ventures as of December 31, 2007, and 2008.</w:t>
      </w:r>
    </w:p>
    <w:p>
      <w:pPr>
        <w:spacing w:after="0" w:line="146"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Endeavour Capital Fund IV, LP, Endeavour Associated Fund IV, LP, and Endeavour Capital Parallel Fund IV, LP (“Endeavour”) </w:t>
      </w:r>
      <w:r>
        <w:rPr>
          <w:rFonts w:ascii="Arial" w:cs="Arial" w:eastAsia="Arial" w:hAnsi="Arial"/>
          <w:sz w:val="18"/>
          <w:szCs w:val="18"/>
          <w:color w:val="auto"/>
        </w:rPr>
        <w:t>— Two members of the Company’s Board of Directors are also employees of Endeavour. In March 2005,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obtained $14,000 from Endeavour in exchange for the issuance of senior secured promissory notes. The Company paid interest of $340 to Endeavour in relation to the notes. On August 24, 2005, the principal balance on the promissory notes was exchanged for Series A. The Company also paid Endeavour management and reimbursed fees of $269, $296, and $356 for the years ended December 31, 2006, 2007 and 2008, respectively. As of December 31, 2007 and 2008, $0 and $34 were payable to Endeavour.</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Affiliates</w:t>
      </w:r>
    </w:p>
    <w:p>
      <w:pPr>
        <w:spacing w:after="0" w:line="185" w:lineRule="exact"/>
        <w:rPr>
          <w:sz w:val="20"/>
          <w:szCs w:val="20"/>
          <w:color w:val="auto"/>
        </w:rPr>
      </w:pPr>
    </w:p>
    <w:p>
      <w:pPr>
        <w:ind w:left="340" w:right="619" w:firstLine="373"/>
        <w:spacing w:after="0" w:line="264" w:lineRule="auto"/>
        <w:rPr>
          <w:sz w:val="20"/>
          <w:szCs w:val="20"/>
          <w:color w:val="auto"/>
        </w:rPr>
      </w:pPr>
      <w:r>
        <w:rPr>
          <w:rFonts w:ascii="Arial" w:cs="Arial" w:eastAsia="Arial" w:hAnsi="Arial"/>
          <w:sz w:val="18"/>
          <w:szCs w:val="18"/>
          <w:i w:val="1"/>
          <w:iCs w:val="1"/>
          <w:color w:val="auto"/>
        </w:rPr>
        <w:t xml:space="preserve">Mind Streams, LLC (“Mind Streams”) and 21st Century, LLC (“21st Century”) </w:t>
      </w:r>
      <w:r>
        <w:rPr>
          <w:rFonts w:ascii="Arial" w:cs="Arial" w:eastAsia="Arial" w:hAnsi="Arial"/>
          <w:sz w:val="18"/>
          <w:szCs w:val="18"/>
          <w:color w:val="auto"/>
        </w:rPr>
        <w:t>— Mind Streams and 21st Century are</w:t>
      </w:r>
      <w:r>
        <w:rPr>
          <w:rFonts w:ascii="Arial" w:cs="Arial" w:eastAsia="Arial" w:hAnsi="Arial"/>
          <w:sz w:val="18"/>
          <w:szCs w:val="18"/>
          <w:i w:val="1"/>
          <w:iCs w:val="1"/>
          <w:color w:val="auto"/>
        </w:rPr>
        <w:t xml:space="preserve"> </w:t>
      </w:r>
      <w:r>
        <w:rPr>
          <w:rFonts w:ascii="Arial" w:cs="Arial" w:eastAsia="Arial" w:hAnsi="Arial"/>
          <w:sz w:val="18"/>
          <w:szCs w:val="18"/>
          <w:color w:val="auto"/>
        </w:rPr>
        <w:t>owned and operated, in part, by the father of the Company’s Executive Chairman and General Counsel. See further discussion in Note 2, Summary of Significant Accounting Policies — Selling and Promotional.</w:t>
      </w:r>
    </w:p>
    <w:p>
      <w:pPr>
        <w:spacing w:after="0" w:line="141" w:lineRule="exact"/>
        <w:rPr>
          <w:sz w:val="20"/>
          <w:szCs w:val="20"/>
          <w:color w:val="auto"/>
        </w:rPr>
      </w:pPr>
    </w:p>
    <w:p>
      <w:pPr>
        <w:ind w:left="340" w:right="1279" w:firstLine="373"/>
        <w:spacing w:after="0" w:line="259" w:lineRule="auto"/>
        <w:rPr>
          <w:sz w:val="20"/>
          <w:szCs w:val="20"/>
          <w:color w:val="auto"/>
        </w:rPr>
      </w:pPr>
      <w:r>
        <w:rPr>
          <w:rFonts w:ascii="Arial" w:cs="Arial" w:eastAsia="Arial" w:hAnsi="Arial"/>
          <w:sz w:val="18"/>
          <w:szCs w:val="18"/>
          <w:i w:val="1"/>
          <w:iCs w:val="1"/>
          <w:color w:val="auto"/>
        </w:rPr>
        <w:t xml:space="preserve">Youth In Motion </w:t>
      </w:r>
      <w:r>
        <w:rPr>
          <w:rFonts w:ascii="Arial" w:cs="Arial" w:eastAsia="Arial" w:hAnsi="Arial"/>
          <w:sz w:val="18"/>
          <w:szCs w:val="18"/>
          <w:color w:val="auto"/>
        </w:rPr>
        <w:t>— Youth In Motion is owned by the former Chief Operating Officer (COO) of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paid consulting fees and expense reimbursements to Youth In Motion of $113, $0, and $0 in the years ended December 31, 2006, 2007, and 2008, respectively. There were no amounts due from or payable to Youth In Motion at December 31, 2007 and 2008.</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170" w:lineRule="exact"/>
        <w:rPr>
          <w:sz w:val="20"/>
          <w:szCs w:val="20"/>
          <w:color w:val="auto"/>
        </w:rPr>
      </w:pPr>
    </w:p>
    <w:p>
      <w:pPr>
        <w:ind w:left="340" w:right="639" w:firstLine="373"/>
        <w:spacing w:after="0" w:line="259" w:lineRule="auto"/>
        <w:rPr>
          <w:sz w:val="20"/>
          <w:szCs w:val="20"/>
          <w:color w:val="auto"/>
        </w:rPr>
      </w:pPr>
      <w:r>
        <w:rPr>
          <w:rFonts w:ascii="Arial" w:cs="Arial" w:eastAsia="Arial" w:hAnsi="Arial"/>
          <w:sz w:val="18"/>
          <w:szCs w:val="18"/>
          <w:i w:val="1"/>
          <w:iCs w:val="1"/>
          <w:color w:val="auto"/>
        </w:rPr>
        <w:t xml:space="preserve">The Center for Educational Excellence, LLC (“CEE”) </w:t>
      </w:r>
      <w:r>
        <w:rPr>
          <w:rFonts w:ascii="Arial" w:cs="Arial" w:eastAsia="Arial" w:hAnsi="Arial"/>
          <w:sz w:val="18"/>
          <w:szCs w:val="18"/>
          <w:color w:val="auto"/>
        </w:rPr>
        <w:t>— Members of CEE include the former COO of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paid $607 and $0 of expenses on CEE’s behalf during the years ended December 31, 2007 and 2008, respectively, and was reimbursed $331, and $0, respectively, and was owed $276 and $0, respectively, included in due from related parties at December 31, 2007 and 2008.</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16. Valuation and Qualifying Accounts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34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Balance at</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43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Beginning of</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Charged to</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Year</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Expense</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4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4,368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4,664</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(1,652)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7,380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7,380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6,257</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12,158</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Year ended December 31, 2008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12,158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8,465</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(14,267)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6,356</w:t>
            </w:r>
          </w:p>
        </w:tc>
      </w:tr>
    </w:tbl>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Deductions represent accounts written off, net of recoveries.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Quarterly Results of Operations (Unaudited)</w:t>
      </w:r>
    </w:p>
    <w:p>
      <w:pPr>
        <w:spacing w:after="0" w:line="189" w:lineRule="exact"/>
        <w:rPr>
          <w:sz w:val="20"/>
          <w:szCs w:val="20"/>
          <w:color w:val="auto"/>
        </w:rPr>
      </w:pPr>
    </w:p>
    <w:p>
      <w:pPr>
        <w:ind w:left="340" w:right="799" w:firstLine="373"/>
        <w:spacing w:after="0" w:line="312" w:lineRule="auto"/>
        <w:rPr>
          <w:sz w:val="20"/>
          <w:szCs w:val="20"/>
          <w:color w:val="auto"/>
        </w:rPr>
      </w:pPr>
      <w:r>
        <w:rPr>
          <w:rFonts w:ascii="Arial" w:cs="Arial" w:eastAsia="Arial" w:hAnsi="Arial"/>
          <w:sz w:val="16"/>
          <w:szCs w:val="16"/>
          <w:color w:val="auto"/>
        </w:rPr>
        <w:t>The following unaudited interim financial information presented should be read in conjunction with other information included in the accompanying financial statements. The Company believes that the unaudited financial information reflects all adjustments, which include only normal and recurring adjustments, necessary to present fairly the information below.</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First Quarter</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Second Quarter</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Third Quarter</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4"/>
              </w:rPr>
              <w:t>Fourth Quarter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35,709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34,566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39,351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51,683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11,620</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12,408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12,967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17,455</w:t>
            </w: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12,586</w:t>
            </w: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14,887</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18,562</w:t>
            </w: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19,516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4,541</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466</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29,769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34,180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36,685</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47,878</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2,076</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dividends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5"/>
        </w:trPr>
        <w:tc>
          <w:tcPr>
            <w:tcW w:w="372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(loss) available to common</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3,051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982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Basic income (loss) per share(1)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(loss) per share(1)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w w:val="98"/>
              </w:rPr>
              <w:t>Basic 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19,219</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Diluted weighted average shares outstanding</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33,849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19,142</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30,970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37,488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860" w:right="659" w:hanging="4528"/>
        <w:spacing w:after="0" w:line="951" w:lineRule="auto"/>
        <w:tabs>
          <w:tab w:leader="none" w:pos="6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First Quarter</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Second Quarter</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Third Quarter</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4"/>
              </w:rPr>
              <w:t>Fourth Quarter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23,213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20,858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24,401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30,854</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8,845</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8,710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9,976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6,008</w:t>
            </w: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8,178</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10,105</w:t>
            </w: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10,857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3,614</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4,763</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16"/>
        </w:trPr>
        <w:tc>
          <w:tcPr>
            <w:tcW w:w="372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607</w:t>
            </w:r>
          </w:p>
        </w:tc>
        <w:tc>
          <w:tcPr>
            <w:tcW w:w="4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956</w:t>
            </w:r>
          </w:p>
        </w:tc>
        <w:tc>
          <w:tcPr>
            <w:tcW w:w="4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19,074</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22,673</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24,508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28,726</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1,475</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dividends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5"/>
        </w:trPr>
        <w:tc>
          <w:tcPr>
            <w:tcW w:w="372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(loss) available to common</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2,133</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(1,399)</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(464)</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Basic income (loss) per share(1)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(0.07)</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(loss) per share(1)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w w:val="98"/>
              </w:rPr>
              <w:t>Basic 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18,853</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18,853</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18,947</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Diluted weighted average shares outstanding</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35,058</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18,853</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18,947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35,215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860" w:right="659" w:hanging="4528"/>
        <w:spacing w:after="0" w:line="935" w:lineRule="auto"/>
        <w:tabs>
          <w:tab w:leader="none" w:pos="6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Item 9A. Controls and Procedures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02" w:lineRule="exact"/>
        <w:rPr>
          <w:sz w:val="20"/>
          <w:szCs w:val="20"/>
          <w:color w:val="auto"/>
        </w:rPr>
      </w:pPr>
    </w:p>
    <w:p>
      <w:pPr>
        <w:ind w:left="340" w:right="659" w:firstLine="373"/>
        <w:spacing w:after="0" w:line="289"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Securities Exchange Act of 1934, as amended,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Under the supervision and with the participation of our management, including our Principal Executive Officer and Principal Financial Officer, an evaluation was performed on the effectiveness of the design and operation of our disclosure controls and procedures as of the end of the period covered by this annual report. Based on that evaluation, our management, including the Principal Executive Officer and Principal Financial Officer, concluded that our disclosure controls and procedures were effective as of December 31, 2008.</w:t>
      </w:r>
    </w:p>
    <w:p>
      <w:pPr>
        <w:spacing w:after="0" w:line="126" w:lineRule="exact"/>
        <w:rPr>
          <w:sz w:val="20"/>
          <w:szCs w:val="20"/>
          <w:color w:val="auto"/>
        </w:rPr>
      </w:pPr>
    </w:p>
    <w:p>
      <w:pPr>
        <w:ind w:left="340" w:right="639" w:firstLine="373"/>
        <w:spacing w:after="0" w:line="302" w:lineRule="auto"/>
        <w:rPr>
          <w:sz w:val="20"/>
          <w:szCs w:val="20"/>
          <w:color w:val="auto"/>
        </w:rPr>
      </w:pPr>
      <w:r>
        <w:rPr>
          <w:rFonts w:ascii="Arial" w:cs="Arial" w:eastAsia="Arial" w:hAnsi="Arial"/>
          <w:sz w:val="16"/>
          <w:szCs w:val="16"/>
          <w:color w:val="auto"/>
        </w:rPr>
        <w:t>As previously disclosed in our Registration Statement on Form S-1 (Registration No. 333-150876), we identified material weaknesses in connection with the preparation of our 2005, 2006 and 2007 financial statements, and our financial statements for the six month period ended June 30, 2008. Such material weaknesses related to our lack of processes and controls that would ensure the proper recording of assets, expenses, leases and equity instruments in accordance with GAAP.</w:t>
      </w:r>
    </w:p>
    <w:p>
      <w:pPr>
        <w:spacing w:after="0" w:line="114" w:lineRule="exact"/>
        <w:rPr>
          <w:sz w:val="20"/>
          <w:szCs w:val="20"/>
          <w:color w:val="auto"/>
        </w:rPr>
      </w:pPr>
    </w:p>
    <w:p>
      <w:pPr>
        <w:ind w:left="340" w:right="1039" w:firstLine="373"/>
        <w:spacing w:after="0" w:line="342" w:lineRule="auto"/>
        <w:rPr>
          <w:sz w:val="20"/>
          <w:szCs w:val="20"/>
          <w:color w:val="auto"/>
        </w:rPr>
      </w:pPr>
      <w:r>
        <w:rPr>
          <w:rFonts w:ascii="Arial" w:cs="Arial" w:eastAsia="Arial" w:hAnsi="Arial"/>
          <w:sz w:val="16"/>
          <w:szCs w:val="16"/>
          <w:color w:val="auto"/>
        </w:rPr>
        <w:t>A material weakness is a control deficiency, or combination of control deficiencies, that results in more than a remote likelihood that a material misstatement of the annual or interim financial statements will not be prevented or detected.</w:t>
      </w:r>
    </w:p>
    <w:p>
      <w:pPr>
        <w:spacing w:after="0" w:line="97"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The material weaknesses related to significant and unusual transactions surrounding the acquisition of the assets of Grand Canyon University from its former owner, the valuation of assets contributed in connection with our formation in 2004, accounting for deferred taxes at the date of our conversion from a limited liability company to a corporation in 2005, other equity transactions with various third parties, the ongoing accounting for operating versus capital leases and our allowance for doubtful accounts.</w:t>
      </w:r>
    </w:p>
    <w:p>
      <w:pPr>
        <w:spacing w:after="0" w:line="148" w:lineRule="exact"/>
        <w:rPr>
          <w:sz w:val="20"/>
          <w:szCs w:val="20"/>
          <w:color w:val="auto"/>
        </w:rPr>
      </w:pPr>
    </w:p>
    <w:p>
      <w:pPr>
        <w:ind w:left="340" w:right="759" w:firstLine="373"/>
        <w:spacing w:after="0" w:line="264" w:lineRule="auto"/>
        <w:rPr>
          <w:sz w:val="20"/>
          <w:szCs w:val="20"/>
          <w:color w:val="auto"/>
        </w:rPr>
      </w:pPr>
      <w:r>
        <w:rPr>
          <w:rFonts w:ascii="Arial" w:cs="Arial" w:eastAsia="Arial" w:hAnsi="Arial"/>
          <w:sz w:val="18"/>
          <w:szCs w:val="18"/>
          <w:color w:val="auto"/>
        </w:rPr>
        <w:t>Beginning in mid-2008, through completion in the fourth quarter of 2008, we implemented changes and improvements in our internal control over financial reporting to remediate the control deficiencies that gave rise to the material weaknesses. Specifically, these changes implemented by us include:</w:t>
      </w:r>
    </w:p>
    <w:p>
      <w:pPr>
        <w:spacing w:after="0" w:line="141" w:lineRule="exact"/>
        <w:rPr>
          <w:sz w:val="20"/>
          <w:szCs w:val="20"/>
          <w:color w:val="auto"/>
        </w:rPr>
      </w:pPr>
    </w:p>
    <w:p>
      <w:pPr>
        <w:ind w:left="1420" w:right="779" w:hanging="345"/>
        <w:spacing w:after="0" w:line="264" w:lineRule="auto"/>
        <w:tabs>
          <w:tab w:leader="none" w:pos="14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engaging a new Chief Financial Officer, and hiring several additional financial and accounting personnel, all of whom have experience managing or working in the corporate accounting department of large publicly traded companies;</w:t>
      </w:r>
    </w:p>
    <w:p>
      <w:pPr>
        <w:spacing w:after="0" w:line="154" w:lineRule="exact"/>
        <w:rPr>
          <w:rFonts w:ascii="Arial" w:cs="Arial" w:eastAsia="Arial" w:hAnsi="Arial"/>
          <w:sz w:val="18"/>
          <w:szCs w:val="18"/>
          <w:b w:val="1"/>
          <w:bCs w:val="1"/>
          <w:color w:val="auto"/>
        </w:rPr>
      </w:pPr>
    </w:p>
    <w:p>
      <w:pPr>
        <w:ind w:left="1420" w:right="619" w:hanging="345"/>
        <w:spacing w:after="0" w:line="259" w:lineRule="auto"/>
        <w:tabs>
          <w:tab w:leader="none" w:pos="14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making numerous policy and procedure changes governing the accounting review and approval of significant and unusual transactions, including process changes in the financial reporting area, including additional oversight and review; and improving in the understanding of roles and responsibilities among our financial and accounting personnel; and</w:t>
      </w:r>
    </w:p>
    <w:p>
      <w:pPr>
        <w:spacing w:after="0" w:line="146" w:lineRule="exact"/>
        <w:rPr>
          <w:rFonts w:ascii="Arial" w:cs="Arial" w:eastAsia="Arial" w:hAnsi="Arial"/>
          <w:sz w:val="18"/>
          <w:szCs w:val="18"/>
          <w:b w:val="1"/>
          <w:bCs w:val="1"/>
          <w:color w:val="auto"/>
        </w:rPr>
      </w:pPr>
    </w:p>
    <w:p>
      <w:pPr>
        <w:ind w:left="1420" w:right="759" w:hanging="345"/>
        <w:spacing w:after="0" w:line="277" w:lineRule="auto"/>
        <w:tabs>
          <w:tab w:leader="none" w:pos="142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conducting training of our accounting staff for purposes of enabling them to recognize and properly account for transactions of the type described above.</w:t>
      </w: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119" w:firstLine="373"/>
        <w:spacing w:after="0" w:line="264" w:lineRule="auto"/>
        <w:rPr>
          <w:sz w:val="20"/>
          <w:szCs w:val="20"/>
          <w:color w:val="auto"/>
        </w:rPr>
      </w:pPr>
      <w:r>
        <w:rPr>
          <w:rFonts w:ascii="Arial" w:cs="Arial" w:eastAsia="Arial" w:hAnsi="Arial"/>
          <w:sz w:val="18"/>
          <w:szCs w:val="18"/>
          <w:color w:val="auto"/>
        </w:rPr>
        <w:t>Based on the evaluation completed in the fourth quarter of 2008, our management has concluded that these control improvements are properly designed and operating effectively as of December 31, 2008, and that the material weaknesses existing as of June 30, 2008 have been remediated.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340" w:right="819" w:firstLine="373"/>
        <w:spacing w:after="0" w:line="264" w:lineRule="auto"/>
        <w:rPr>
          <w:sz w:val="20"/>
          <w:szCs w:val="20"/>
          <w:color w:val="auto"/>
        </w:rPr>
      </w:pPr>
      <w:r>
        <w:rPr>
          <w:rFonts w:ascii="Arial" w:cs="Arial" w:eastAsia="Arial" w:hAnsi="Arial"/>
          <w:sz w:val="18"/>
          <w:szCs w:val="18"/>
          <w:color w:val="auto"/>
        </w:rPr>
        <w:t>Except as noted above, there was no change in our internal control over financial reporting during the quarter ended December 31, 2008, that has materially affected, or is reasonably likely to materially affect, our internal control over financial reporting.</w:t>
      </w:r>
    </w:p>
    <w:p>
      <w:pPr>
        <w:spacing w:after="0" w:line="141"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This annual report does not include a report on management’s assessment regarding internal control over financial reporting or an attestation report of the registered public accounting firm due to a transition period established by rules of the Securities and Exchange Commission for newly public companies.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Item 9B. Other Information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89" w:lineRule="exact"/>
        <w:rPr>
          <w:sz w:val="20"/>
          <w:szCs w:val="20"/>
          <w:color w:val="auto"/>
        </w:rPr>
      </w:pPr>
    </w:p>
    <w:p>
      <w:pPr>
        <w:ind w:left="340" w:right="599" w:firstLine="373"/>
        <w:spacing w:after="0" w:line="264"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our proxy statement, to be filed within 120 days of our fiscal year end (December 31, 2008) and such information is incorporated herein by reference.</w:t>
      </w:r>
    </w:p>
    <w:p>
      <w:pPr>
        <w:spacing w:after="0" w:line="141" w:lineRule="exact"/>
        <w:rPr>
          <w:sz w:val="20"/>
          <w:szCs w:val="20"/>
          <w:color w:val="auto"/>
        </w:rPr>
      </w:pPr>
    </w:p>
    <w:p>
      <w:pPr>
        <w:ind w:left="340" w:right="719" w:firstLine="373"/>
        <w:spacing w:after="0" w:line="302" w:lineRule="auto"/>
        <w:rPr>
          <w:sz w:val="20"/>
          <w:szCs w:val="20"/>
          <w:color w:val="auto"/>
        </w:rPr>
      </w:pPr>
      <w:r>
        <w:rPr>
          <w:rFonts w:ascii="Arial" w:cs="Arial" w:eastAsia="Arial" w:hAnsi="Arial"/>
          <w:sz w:val="16"/>
          <w:szCs w:val="16"/>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Relations/CorporateGovernance.</w:t>
      </w:r>
    </w:p>
    <w:p>
      <w:pPr>
        <w:spacing w:after="0" w:line="127" w:lineRule="exact"/>
        <w:rPr>
          <w:sz w:val="20"/>
          <w:szCs w:val="20"/>
          <w:color w:val="auto"/>
        </w:rPr>
      </w:pPr>
    </w:p>
    <w:p>
      <w:pPr>
        <w:ind w:left="340" w:right="859" w:firstLine="373"/>
        <w:spacing w:after="0" w:line="342" w:lineRule="auto"/>
        <w:rPr>
          <w:sz w:val="20"/>
          <w:szCs w:val="20"/>
          <w:color w:val="auto"/>
        </w:rPr>
      </w:pPr>
      <w:r>
        <w:rPr>
          <w:rFonts w:ascii="Arial" w:cs="Arial" w:eastAsia="Arial" w:hAnsi="Arial"/>
          <w:sz w:val="16"/>
          <w:szCs w:val="16"/>
          <w:color w:val="auto"/>
        </w:rPr>
        <w:t>The charters of our Audit Committee, Compensation Committee, and Nominating and Governance Committee are also available in the Corporate Governance section our website located at www.gcu.edu/ InvestorRelations/CorporateGovernance.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9" w:lineRule="exact"/>
        <w:rPr>
          <w:sz w:val="20"/>
          <w:szCs w:val="20"/>
          <w:color w:val="auto"/>
        </w:rPr>
      </w:pPr>
    </w:p>
    <w:p>
      <w:pPr>
        <w:ind w:left="340" w:right="1359" w:firstLine="373"/>
        <w:spacing w:after="0" w:line="277" w:lineRule="auto"/>
        <w:rPr>
          <w:sz w:val="20"/>
          <w:szCs w:val="20"/>
          <w:color w:val="auto"/>
        </w:rPr>
      </w:pPr>
      <w:r>
        <w:rPr>
          <w:rFonts w:ascii="Arial" w:cs="Arial" w:eastAsia="Arial" w:hAnsi="Arial"/>
          <w:sz w:val="18"/>
          <w:szCs w:val="18"/>
          <w:color w:val="auto"/>
        </w:rPr>
        <w:t>Information relating to this item appears in our proxy statement, to be filed within 120 days of our fiscal year end (December 31, 2008) and such information is incorporated herein by reference.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left="340" w:right="1299" w:firstLine="373"/>
        <w:spacing w:after="0" w:line="277" w:lineRule="auto"/>
        <w:rPr>
          <w:sz w:val="20"/>
          <w:szCs w:val="20"/>
          <w:color w:val="auto"/>
        </w:rPr>
      </w:pPr>
      <w:r>
        <w:rPr>
          <w:rFonts w:ascii="Arial" w:cs="Arial" w:eastAsia="Arial" w:hAnsi="Arial"/>
          <w:sz w:val="18"/>
          <w:szCs w:val="18"/>
          <w:color w:val="auto"/>
        </w:rPr>
        <w:t>Information relating to this item appears in our proxy statement , to be filed within 120 days of our fiscal year end (December 31, 2008) and such information is incorporated herein by reference.</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w w:val="92"/>
              </w:rPr>
              <w:t>Information relating to this item appears in our proxy statement , to be filed within 120 days of our fiscal year end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(December 31, 2008) and such information is incorporated herein by reference.</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340" w:type="dxa"/>
            <w:vAlign w:val="bottom"/>
          </w:tcPr>
          <w:p>
            <w:pPr>
              <w:spacing w:after="0"/>
              <w:rPr>
                <w:sz w:val="24"/>
                <w:szCs w:val="24"/>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w w:val="92"/>
              </w:rPr>
              <w:t>Information relating to this item appears in our proxy statement , to be filed within 120 days of our fiscal year end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(December 31, 2008) and such information is incorporated herein by reference.</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20" w:type="dxa"/>
            <w:vAlign w:val="bottom"/>
          </w:tcPr>
          <w:p>
            <w:pPr>
              <w:ind w:left="3280"/>
              <w:spacing w:after="0"/>
              <w:rPr>
                <w:sz w:val="20"/>
                <w:szCs w:val="20"/>
                <w:color w:val="auto"/>
              </w:rPr>
            </w:pPr>
            <w:r>
              <w:rPr>
                <w:rFonts w:ascii="Arial" w:cs="Arial" w:eastAsia="Arial" w:hAnsi="Arial"/>
                <w:sz w:val="18"/>
                <w:szCs w:val="18"/>
                <w:b w:val="1"/>
                <w:bCs w:val="1"/>
                <w:color w:val="auto"/>
              </w:rPr>
              <w:t>PART IV</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8640" w:type="dxa"/>
            <w:vAlign w:val="bottom"/>
            <w:gridSpan w:val="2"/>
          </w:tcPr>
          <w:p>
            <w:pPr>
              <w:ind w:left="3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 filed as part of this report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8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Page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r>
      <w:tr>
        <w:trPr>
          <w:trHeight w:val="216"/>
        </w:trPr>
        <w:tc>
          <w:tcPr>
            <w:tcW w:w="34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Balance Sheets as of December 31, 2007 and 2008</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92</w:t>
            </w:r>
          </w:p>
        </w:tc>
      </w:tr>
      <w:tr>
        <w:trPr>
          <w:trHeight w:val="216"/>
        </w:trPr>
        <w:tc>
          <w:tcPr>
            <w:tcW w:w="34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Statements of Operations for the years ended December 31, 2006, 2007 and 2008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r>
      <w:tr>
        <w:trPr>
          <w:trHeight w:val="202"/>
        </w:trPr>
        <w:tc>
          <w:tcPr>
            <w:tcW w:w="340" w:type="dxa"/>
            <w:vAlign w:val="bottom"/>
          </w:tcPr>
          <w:p>
            <w:pPr>
              <w:spacing w:after="0"/>
              <w:rPr>
                <w:sz w:val="17"/>
                <w:szCs w:val="17"/>
                <w:color w:val="auto"/>
              </w:rPr>
            </w:pPr>
          </w:p>
        </w:tc>
        <w:tc>
          <w:tcPr>
            <w:tcW w:w="8640" w:type="dxa"/>
            <w:vAlign w:val="bottom"/>
            <w:gridSpan w:val="2"/>
          </w:tcPr>
          <w:p>
            <w:pPr>
              <w:spacing w:after="0" w:line="201" w:lineRule="exact"/>
              <w:rPr>
                <w:sz w:val="20"/>
                <w:szCs w:val="20"/>
                <w:color w:val="auto"/>
              </w:rPr>
            </w:pPr>
            <w:r>
              <w:rPr>
                <w:rFonts w:ascii="Arial" w:cs="Arial" w:eastAsia="Arial" w:hAnsi="Arial"/>
                <w:sz w:val="18"/>
                <w:szCs w:val="18"/>
                <w:color w:val="auto"/>
                <w:w w:val="93"/>
              </w:rPr>
              <w:t>Statements of Preferred Stock and Stockholders’ (Deficit) Equity for the years ended December 31, 2006, 2007 and</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360" w:type="dxa"/>
            <w:vAlign w:val="bottom"/>
            <w:gridSpan w:val="2"/>
          </w:tcPr>
          <w:p>
            <w:pPr>
              <w:jc w:val="right"/>
              <w:ind w:right="370"/>
              <w:spacing w:after="0"/>
              <w:rPr>
                <w:sz w:val="20"/>
                <w:szCs w:val="20"/>
                <w:color w:val="auto"/>
              </w:rPr>
            </w:pPr>
            <w:r>
              <w:rPr>
                <w:rFonts w:ascii="Arial" w:cs="Arial" w:eastAsia="Arial" w:hAnsi="Arial"/>
                <w:sz w:val="18"/>
                <w:szCs w:val="18"/>
                <w:color w:val="auto"/>
              </w:rPr>
              <w:t>2008</w:t>
            </w:r>
          </w:p>
        </w:tc>
        <w:tc>
          <w:tcPr>
            <w:tcW w:w="762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94</w:t>
            </w:r>
          </w:p>
        </w:tc>
      </w:tr>
      <w:tr>
        <w:trPr>
          <w:trHeight w:val="216"/>
        </w:trPr>
        <w:tc>
          <w:tcPr>
            <w:tcW w:w="34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Statements of Cash Flows for the years ended December 31, 2006, 2007 and 2008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r>
      <w:tr>
        <w:trPr>
          <w:trHeight w:val="230"/>
        </w:trPr>
        <w:tc>
          <w:tcPr>
            <w:tcW w:w="34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Notes to Financial Statements</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96</w:t>
            </w: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p>
      <w:pPr>
        <w:spacing w:after="0" w:line="185" w:lineRule="exact"/>
        <w:rPr>
          <w:sz w:val="20"/>
          <w:szCs w:val="20"/>
          <w:color w:val="auto"/>
        </w:rPr>
      </w:pPr>
    </w:p>
    <w:p>
      <w:pPr>
        <w:ind w:left="340" w:right="939" w:firstLine="373"/>
        <w:spacing w:after="0" w:line="264"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Financial Statements and Notes thereto.</w:t>
      </w:r>
    </w:p>
    <w:p>
      <w:pPr>
        <w:spacing w:after="0" w:line="154" w:lineRule="exact"/>
        <w:rPr>
          <w:sz w:val="20"/>
          <w:szCs w:val="20"/>
          <w:color w:val="auto"/>
        </w:rPr>
      </w:pPr>
    </w:p>
    <w:p>
      <w:pPr>
        <w:ind w:left="880" w:hanging="175"/>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20"/>
                <w:szCs w:val="20"/>
                <w:color w:val="auto"/>
              </w:rPr>
            </w:pPr>
          </w:p>
        </w:tc>
        <w:tc>
          <w:tcPr>
            <w:tcW w:w="400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40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Method of Filing</w:t>
            </w:r>
          </w:p>
        </w:tc>
      </w:tr>
      <w:tr>
        <w:trPr>
          <w:trHeight w:val="411"/>
        </w:trPr>
        <w:tc>
          <w:tcPr>
            <w:tcW w:w="9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8"/>
              </w:rPr>
              <w:t>Amended and Restated Certificate of Incorporation</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1"/>
              </w:rPr>
              <w:t>Incorporated by reference to Exhibit 3.1 to Amendment</w:t>
            </w: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9"/>
              </w:rPr>
              <w:t>No. 6 to the Company’s Registration Statement on</w:t>
            </w:r>
          </w:p>
        </w:tc>
      </w:tr>
      <w:tr>
        <w:trPr>
          <w:trHeight w:val="230"/>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1"/>
              </w:rPr>
              <w:t>Incorporated by reference to Exhibit 3.2 to Amendment</w:t>
            </w: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9"/>
              </w:rPr>
              <w:t>No. 6 to the Company’s Registration Statement on</w:t>
            </w:r>
          </w:p>
        </w:tc>
      </w:tr>
      <w:tr>
        <w:trPr>
          <w:trHeight w:val="230"/>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9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1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1"/>
              </w:rPr>
              <w:t>Incorporated by reference to Exhibit 4.1 to Amendment</w:t>
            </w:r>
          </w:p>
        </w:tc>
      </w:tr>
      <w:tr>
        <w:trPr>
          <w:trHeight w:val="216"/>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9"/>
              </w:rPr>
              <w:t>No. 2 to the Company’s Registration Statement on</w:t>
            </w:r>
          </w:p>
        </w:tc>
      </w:tr>
      <w:tr>
        <w:trPr>
          <w:trHeight w:val="230"/>
        </w:trPr>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5"/>
              </w:rPr>
              <w:t>Form S-1 filed with the SEC on September 29, 2008.</w:t>
            </w:r>
          </w:p>
        </w:tc>
      </w:tr>
    </w:tbl>
    <w:p>
      <w:pPr>
        <w:spacing w:after="0" w:line="200" w:lineRule="exact"/>
        <w:rPr>
          <w:sz w:val="20"/>
          <w:szCs w:val="20"/>
          <w:color w:val="auto"/>
        </w:rPr>
      </w:pPr>
    </w:p>
    <w:p>
      <w:pPr>
        <w:sectPr>
          <w:pgSz w:w="11900" w:h="16838" w:orient="portrait"/>
          <w:cols w:equalWidth="0" w:num="1">
            <w:col w:w="10219"/>
          </w:cols>
          <w:pgMar w:left="240" w:top="405" w:right="1440" w:bottom="1082" w:gutter="0" w:footer="0" w:header="0"/>
        </w:sectPr>
      </w:pPr>
    </w:p>
    <w:p>
      <w:pPr>
        <w:spacing w:after="0" w:line="2" w:lineRule="exact"/>
        <w:rPr>
          <w:sz w:val="20"/>
          <w:szCs w:val="20"/>
          <w:color w:val="auto"/>
        </w:rPr>
      </w:pPr>
    </w:p>
    <w:p>
      <w:pPr>
        <w:ind w:left="1460" w:right="260" w:hanging="764"/>
        <w:spacing w:after="0" w:line="259" w:lineRule="auto"/>
        <w:tabs>
          <w:tab w:leader="none" w:pos="1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Investor Rights Agreement, dated September 17, 2008, by and among Grand Canyon Education, Inc. and the other parties named therein</w:t>
      </w:r>
    </w:p>
    <w:p>
      <w:pPr>
        <w:spacing w:after="0" w:line="187" w:lineRule="exact"/>
        <w:rPr>
          <w:sz w:val="20"/>
          <w:szCs w:val="20"/>
          <w:color w:val="auto"/>
        </w:rPr>
      </w:pPr>
    </w:p>
    <w:p>
      <w:pPr>
        <w:ind w:left="1460" w:hanging="854"/>
        <w:spacing w:after="0" w:line="340" w:lineRule="auto"/>
        <w:tabs>
          <w:tab w:leader="none" w:pos="1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Amended and Restated Executive Employment Agreement, dated September 10, 2008, by and between Grand Canyon Education, Inc. and Brent Richardson†</w:t>
      </w:r>
    </w:p>
    <w:p>
      <w:pPr>
        <w:spacing w:after="0" w:line="347" w:lineRule="exact"/>
        <w:rPr>
          <w:sz w:val="20"/>
          <w:szCs w:val="20"/>
          <w:color w:val="auto"/>
        </w:rPr>
      </w:pPr>
    </w:p>
    <w:p>
      <w:pPr>
        <w:ind w:left="1460" w:hanging="854"/>
        <w:spacing w:after="0" w:line="259" w:lineRule="auto"/>
        <w:tabs>
          <w:tab w:leader="none" w:pos="1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Executive Employment Agreement, dated September 10, 2008, by and between Grand Canyon Education, Inc. and Christopher Richardson†</w:t>
      </w:r>
    </w:p>
    <w:p>
      <w:pPr>
        <w:spacing w:after="0" w:line="20" w:lineRule="exact"/>
        <w:rPr>
          <w:sz w:val="20"/>
          <w:szCs w:val="20"/>
          <w:color w:val="auto"/>
        </w:rPr>
      </w:pPr>
      <w:r>
        <w:rPr>
          <w:sz w:val="20"/>
          <w:szCs w:val="20"/>
          <w:color w:val="auto"/>
        </w:rPr>
        <w:br w:type="column"/>
      </w:r>
    </w:p>
    <w:p>
      <w:pPr>
        <w:ind w:right="579"/>
        <w:spacing w:after="0" w:line="312" w:lineRule="auto"/>
        <w:rPr>
          <w:sz w:val="20"/>
          <w:szCs w:val="20"/>
          <w:color w:val="auto"/>
        </w:rPr>
      </w:pPr>
      <w:r>
        <w:rPr>
          <w:rFonts w:ascii="Arial" w:cs="Arial" w:eastAsia="Arial" w:hAnsi="Arial"/>
          <w:sz w:val="16"/>
          <w:szCs w:val="16"/>
          <w:color w:val="auto"/>
        </w:rPr>
        <w:t>Incorporated by reference to Exhibit 4.2 to Amendment No. 2 to the Company’s Registration Statement on Form S-1 filed with the SEC on September 29, 2008.</w:t>
      </w:r>
    </w:p>
    <w:p>
      <w:pPr>
        <w:spacing w:after="0" w:line="363" w:lineRule="exact"/>
        <w:rPr>
          <w:sz w:val="20"/>
          <w:szCs w:val="20"/>
          <w:color w:val="auto"/>
        </w:rPr>
      </w:pPr>
    </w:p>
    <w:p>
      <w:pPr>
        <w:ind w:right="999"/>
        <w:spacing w:after="0" w:line="259" w:lineRule="auto"/>
        <w:rPr>
          <w:sz w:val="20"/>
          <w:szCs w:val="20"/>
          <w:color w:val="auto"/>
        </w:rPr>
      </w:pPr>
      <w:r>
        <w:rPr>
          <w:rFonts w:ascii="Arial" w:cs="Arial" w:eastAsia="Arial" w:hAnsi="Arial"/>
          <w:sz w:val="18"/>
          <w:szCs w:val="18"/>
          <w:color w:val="auto"/>
        </w:rPr>
        <w:t>Incorporated by reference to Exhibit 10.1 to Amendment No. 2 to the Company’s Registration Statement on Form S-1 filed with the SEC on September 29, 2008.</w:t>
      </w:r>
    </w:p>
    <w:p>
      <w:pPr>
        <w:spacing w:after="0" w:line="187" w:lineRule="exact"/>
        <w:rPr>
          <w:sz w:val="20"/>
          <w:szCs w:val="20"/>
          <w:color w:val="auto"/>
        </w:rPr>
      </w:pPr>
    </w:p>
    <w:p>
      <w:pPr>
        <w:ind w:right="999"/>
        <w:spacing w:after="0" w:line="259" w:lineRule="auto"/>
        <w:rPr>
          <w:sz w:val="20"/>
          <w:szCs w:val="20"/>
          <w:color w:val="auto"/>
        </w:rPr>
      </w:pPr>
      <w:r>
        <w:rPr>
          <w:rFonts w:ascii="Arial" w:cs="Arial" w:eastAsia="Arial" w:hAnsi="Arial"/>
          <w:sz w:val="18"/>
          <w:szCs w:val="18"/>
          <w:color w:val="auto"/>
        </w:rPr>
        <w:t>Incorporated by reference to Exhibit 10.2 to Amendment No. 2 to the Company’s Registration Statement on Form S-1 filed with the SEC on September 29, 2008.</w:t>
      </w:r>
    </w:p>
    <w:p>
      <w:pPr>
        <w:spacing w:after="0" w:line="200" w:lineRule="exact"/>
        <w:rPr>
          <w:sz w:val="20"/>
          <w:szCs w:val="20"/>
          <w:color w:val="auto"/>
        </w:rPr>
      </w:pPr>
    </w:p>
    <w:p>
      <w:pPr>
        <w:sectPr>
          <w:pgSz w:w="11900" w:h="16838" w:orient="portrait"/>
          <w:cols w:equalWidth="0" w:num="2">
            <w:col w:w="5440" w:space="200"/>
            <w:col w:w="4579"/>
          </w:cols>
          <w:pgMar w:left="240" w:top="405" w:right="1440" w:bottom="1082" w:gutter="0" w:footer="0" w:header="0"/>
          <w:type w:val="continuous"/>
        </w:sect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82"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20"/>
        <w:spacing w:after="0"/>
        <w:tabs>
          <w:tab w:leader="none" w:pos="30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2848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23" w:lineRule="exact"/>
        <w:rPr>
          <w:sz w:val="20"/>
          <w:szCs w:val="20"/>
          <w:color w:val="auto"/>
        </w:rPr>
      </w:pPr>
    </w:p>
    <w:p>
      <w:pPr>
        <w:ind w:left="1540" w:hanging="854"/>
        <w:spacing w:after="0" w:line="259" w:lineRule="auto"/>
        <w:tabs>
          <w:tab w:leader="none" w:pos="1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Senior Management Agreement, dated September 10, 2008, by and between Grand Canyon Education, Inc. and John Crowley†</w:t>
      </w:r>
    </w:p>
    <w:p>
      <w:pPr>
        <w:spacing w:after="0" w:line="187"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2008 Equity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298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23"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10.3 to Amendment No. 2 to the Company’s Registration Statement on Form S-1 filed with the SEC on September 29,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10.4 to Amendment No. 2 to the Company’s Registration Statement on Form S-1 filed with the SEC on September 29, 2008.</w:t>
      </w:r>
    </w:p>
    <w:p>
      <w:pPr>
        <w:spacing w:after="0" w:line="187" w:lineRule="exact"/>
        <w:rPr>
          <w:sz w:val="20"/>
          <w:szCs w:val="20"/>
          <w:color w:val="auto"/>
        </w:rPr>
      </w:pPr>
    </w:p>
    <w:p>
      <w:pPr>
        <w:sectPr>
          <w:pgSz w:w="11900" w:h="16838" w:orient="portrait"/>
          <w:cols w:equalWidth="0" w:num="2">
            <w:col w:w="5060" w:space="620"/>
            <w:col w:w="4539"/>
          </w:cols>
          <w:pgMar w:left="240" w:top="419" w:right="1440" w:bottom="1163" w:gutter="0" w:footer="0" w:header="0"/>
        </w:sectPr>
      </w:pPr>
    </w:p>
    <w:tbl>
      <w:tblPr>
        <w:tblLayout w:type="fixed"/>
        <w:tblInd w:w="680" w:type="dxa"/>
        <w:tblCellMar>
          <w:top w:w="0" w:type="dxa"/>
          <w:left w:w="0" w:type="dxa"/>
          <w:bottom w:w="0" w:type="dxa"/>
          <w:right w:w="0" w:type="dxa"/>
        </w:tblCellMar>
      </w:tblPr>
      <w:tr>
        <w:trPr>
          <w:trHeight w:val="216"/>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10.5</w:t>
            </w:r>
          </w:p>
        </w:tc>
        <w:tc>
          <w:tcPr>
            <w:tcW w:w="3720" w:type="dxa"/>
            <w:vAlign w:val="bottom"/>
          </w:tcPr>
          <w:p>
            <w:pPr>
              <w:ind w:left="280"/>
              <w:spacing w:after="0"/>
              <w:rPr>
                <w:sz w:val="20"/>
                <w:szCs w:val="20"/>
                <w:color w:val="auto"/>
              </w:rPr>
            </w:pPr>
            <w:r>
              <w:rPr>
                <w:rFonts w:ascii="Arial" w:cs="Arial" w:eastAsia="Arial" w:hAnsi="Arial"/>
                <w:sz w:val="18"/>
                <w:szCs w:val="18"/>
                <w:color w:val="auto"/>
              </w:rPr>
              <w:t>2008 Employee Stock Purchase Plan†</w:t>
            </w:r>
          </w:p>
        </w:tc>
        <w:tc>
          <w:tcPr>
            <w:tcW w:w="4280" w:type="dxa"/>
            <w:vAlign w:val="bottom"/>
          </w:tcPr>
          <w:p>
            <w:pPr>
              <w:ind w:left="700"/>
              <w:spacing w:after="0"/>
              <w:rPr>
                <w:sz w:val="20"/>
                <w:szCs w:val="20"/>
                <w:color w:val="auto"/>
              </w:rPr>
            </w:pPr>
            <w:r>
              <w:rPr>
                <w:rFonts w:ascii="Arial" w:cs="Arial" w:eastAsia="Arial" w:hAnsi="Arial"/>
                <w:sz w:val="18"/>
                <w:szCs w:val="18"/>
                <w:color w:val="auto"/>
              </w:rPr>
              <w:t>Incorporated by reference to Exhibit 10.5 to</w:t>
            </w:r>
          </w:p>
        </w:tc>
      </w:tr>
      <w:tr>
        <w:trPr>
          <w:trHeight w:val="230"/>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w w:val="90"/>
              </w:rPr>
              <w:t>Amendment No. 2 to the Company’s Registration</w:t>
            </w:r>
          </w:p>
        </w:tc>
      </w:tr>
    </w:tbl>
    <w:p>
      <w:pPr>
        <w:ind w:left="5680"/>
        <w:spacing w:after="0"/>
        <w:rPr>
          <w:sz w:val="20"/>
          <w:szCs w:val="20"/>
          <w:color w:val="auto"/>
        </w:rPr>
      </w:pPr>
      <w:r>
        <w:rPr>
          <w:rFonts w:ascii="Arial" w:cs="Arial" w:eastAsia="Arial" w:hAnsi="Arial"/>
          <w:sz w:val="17"/>
          <w:szCs w:val="17"/>
          <w:color w:val="auto"/>
        </w:rPr>
        <w:t>Statement on Form S-1 filed with the SEC on</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September 29, 2008.</w:t>
      </w:r>
    </w:p>
    <w:p>
      <w:pPr>
        <w:sectPr>
          <w:pgSz w:w="11900" w:h="16838" w:orient="portrait"/>
          <w:cols w:equalWidth="0" w:num="1">
            <w:col w:w="10219"/>
          </w:cols>
          <w:pgMar w:left="240" w:top="419" w:right="1440" w:bottom="1163" w:gutter="0" w:footer="0" w:header="0"/>
          <w:type w:val="continuous"/>
        </w:sectPr>
      </w:pPr>
    </w:p>
    <w:p>
      <w:pPr>
        <w:spacing w:after="0" w:line="211" w:lineRule="exact"/>
        <w:rPr>
          <w:sz w:val="20"/>
          <w:szCs w:val="20"/>
          <w:color w:val="auto"/>
        </w:rPr>
      </w:pPr>
    </w:p>
    <w:p>
      <w:pPr>
        <w:ind w:left="1540" w:right="340" w:hanging="854"/>
        <w:spacing w:after="0" w:line="264" w:lineRule="auto"/>
        <w:tabs>
          <w:tab w:leader="none" w:pos="15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Lease Agreement, effective June 28, 2004, by and between Spirit Finance Acquisitions, LLC and Significant Education, LLC</w:t>
      </w:r>
    </w:p>
    <w:p>
      <w:pPr>
        <w:spacing w:after="0" w:line="181" w:lineRule="exact"/>
        <w:rPr>
          <w:sz w:val="20"/>
          <w:szCs w:val="20"/>
          <w:color w:val="auto"/>
        </w:rPr>
      </w:pPr>
    </w:p>
    <w:p>
      <w:pPr>
        <w:ind w:left="1540" w:right="220" w:hanging="854"/>
        <w:spacing w:after="0" w:line="312" w:lineRule="auto"/>
        <w:tabs>
          <w:tab w:leader="none" w:pos="15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First Amendment to Lease Agreement, effective September 24, 2004, by and between Spirit Finance Acquisitions, LLC and Significant Education, LLC</w:t>
      </w:r>
    </w:p>
    <w:p>
      <w:pPr>
        <w:spacing w:after="0" w:line="147" w:lineRule="exact"/>
        <w:rPr>
          <w:sz w:val="20"/>
          <w:szCs w:val="20"/>
          <w:color w:val="auto"/>
        </w:rPr>
      </w:pPr>
    </w:p>
    <w:p>
      <w:pPr>
        <w:ind w:left="1540" w:right="260" w:hanging="854"/>
        <w:spacing w:after="0" w:line="312" w:lineRule="auto"/>
        <w:tabs>
          <w:tab w:leader="none" w:pos="15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Second Amendment to Lease Agreement, effective August 23, 2005, by and between Spirit Master Funding, LLC and Significant Education, LLC</w:t>
      </w:r>
    </w:p>
    <w:p>
      <w:pPr>
        <w:spacing w:after="0" w:line="147" w:lineRule="exact"/>
        <w:rPr>
          <w:sz w:val="20"/>
          <w:szCs w:val="20"/>
          <w:color w:val="auto"/>
        </w:rPr>
      </w:pPr>
    </w:p>
    <w:p>
      <w:pPr>
        <w:jc w:val="both"/>
        <w:ind w:left="1540" w:hanging="854"/>
        <w:spacing w:after="0" w:line="264" w:lineRule="auto"/>
        <w:tabs>
          <w:tab w:leader="none" w:pos="15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Third Amendment to Lease Agreement, effective June 2006, by and between Spirit Master Funding, LLC and Significant Education, Inc.</w:t>
      </w:r>
    </w:p>
    <w:p>
      <w:pPr>
        <w:spacing w:after="0" w:line="181" w:lineRule="exact"/>
        <w:rPr>
          <w:sz w:val="20"/>
          <w:szCs w:val="20"/>
          <w:color w:val="auto"/>
        </w:rPr>
      </w:pPr>
    </w:p>
    <w:p>
      <w:pPr>
        <w:ind w:left="1540" w:right="320" w:hanging="944"/>
        <w:spacing w:after="0" w:line="312" w:lineRule="auto"/>
        <w:tabs>
          <w:tab w:leader="none" w:pos="15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Fourth Amendment to Lease Agreement, effective August 9, 2006, by and between Spirit Master Funding, LLC and Significant Education, Inc.</w:t>
      </w:r>
    </w:p>
    <w:p>
      <w:pPr>
        <w:spacing w:after="0" w:line="147" w:lineRule="exact"/>
        <w:rPr>
          <w:sz w:val="20"/>
          <w:szCs w:val="20"/>
          <w:color w:val="auto"/>
        </w:rPr>
      </w:pPr>
    </w:p>
    <w:p>
      <w:pPr>
        <w:ind w:left="1540" w:right="320" w:hanging="937"/>
        <w:spacing w:after="0" w:line="312" w:lineRule="auto"/>
        <w:tabs>
          <w:tab w:leader="none" w:pos="15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Fifth Amendment to Lease Agreement, effective December 31, 2006, by and between Spirit Master Funding, LLC and Significant Education, Inc.</w:t>
      </w:r>
    </w:p>
    <w:p>
      <w:pPr>
        <w:spacing w:after="0" w:line="147" w:lineRule="exact"/>
        <w:rPr>
          <w:sz w:val="20"/>
          <w:szCs w:val="20"/>
          <w:color w:val="auto"/>
        </w:rPr>
      </w:pPr>
    </w:p>
    <w:p>
      <w:pPr>
        <w:ind w:left="1540" w:right="300" w:hanging="944"/>
        <w:spacing w:after="0" w:line="312" w:lineRule="auto"/>
        <w:tabs>
          <w:tab w:leader="none" w:pos="15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Sixth Amendment to Lease Agreement, effective September 30, 2007, by and between Spirit Master Funding, LLC and Significant Education, Inc.</w:t>
      </w:r>
    </w:p>
    <w:p>
      <w:pPr>
        <w:spacing w:after="0" w:line="147" w:lineRule="exact"/>
        <w:rPr>
          <w:sz w:val="20"/>
          <w:szCs w:val="20"/>
          <w:color w:val="auto"/>
        </w:rPr>
      </w:pPr>
    </w:p>
    <w:p>
      <w:pPr>
        <w:ind w:left="1540" w:right="220" w:hanging="944"/>
        <w:spacing w:after="0" w:line="312" w:lineRule="auto"/>
        <w:tabs>
          <w:tab w:leader="none" w:pos="15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Seventh Amendment to Lease Agreement, effective March 28, 2008, by and between Spirit Master Funding, LLC and Significant Education, Inc.</w:t>
      </w:r>
    </w:p>
    <w:p>
      <w:pPr>
        <w:spacing w:after="0" w:line="147" w:lineRule="exact"/>
        <w:rPr>
          <w:sz w:val="20"/>
          <w:szCs w:val="20"/>
          <w:color w:val="auto"/>
        </w:rPr>
      </w:pPr>
    </w:p>
    <w:p>
      <w:pPr>
        <w:ind w:left="1540" w:right="220" w:hanging="944"/>
        <w:spacing w:after="0" w:line="264" w:lineRule="auto"/>
        <w:tabs>
          <w:tab w:leader="none" w:pos="15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License Agreement, dated June 30, 2004, by and between Blanchard Education, LLC and Significant Education, LLC</w:t>
      </w:r>
    </w:p>
    <w:p>
      <w:pPr>
        <w:spacing w:after="0" w:line="181" w:lineRule="exact"/>
        <w:rPr>
          <w:sz w:val="20"/>
          <w:szCs w:val="20"/>
          <w:color w:val="auto"/>
        </w:rPr>
      </w:pPr>
    </w:p>
    <w:p>
      <w:pPr>
        <w:ind w:left="1540" w:right="240" w:hanging="944"/>
        <w:spacing w:after="0" w:line="264" w:lineRule="auto"/>
        <w:tabs>
          <w:tab w:leader="none" w:pos="15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Letter Agreement, dated February 6, 2006, by and between The Ken Blanchard Companies and Grand Canyon University</w:t>
      </w:r>
    </w:p>
    <w:p>
      <w:pPr>
        <w:spacing w:after="0" w:line="181" w:lineRule="exact"/>
        <w:rPr>
          <w:sz w:val="20"/>
          <w:szCs w:val="20"/>
          <w:color w:val="auto"/>
        </w:rPr>
      </w:pPr>
    </w:p>
    <w:p>
      <w:pPr>
        <w:ind w:left="1540" w:right="80" w:hanging="944"/>
        <w:spacing w:after="0" w:line="264" w:lineRule="auto"/>
        <w:tabs>
          <w:tab w:leader="none" w:pos="15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to License Agreement, dated May 8, 2008, by and between Blanchard Education, LLC and Grand Canyon Education, Inc.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10.7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10.8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10.9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10.10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10.11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10.12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10.13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10.14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10.15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10.16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10.17 to the Company’s Registration Statement on Form S-1 filed with the SEC on May 13, 2008.</w:t>
      </w:r>
    </w:p>
    <w:p>
      <w:pPr>
        <w:spacing w:after="0" w:line="200" w:lineRule="exact"/>
        <w:rPr>
          <w:sz w:val="20"/>
          <w:szCs w:val="20"/>
          <w:color w:val="auto"/>
        </w:rPr>
      </w:pPr>
    </w:p>
    <w:p>
      <w:pPr>
        <w:sectPr>
          <w:pgSz w:w="11900" w:h="16838" w:orient="portrait"/>
          <w:cols w:equalWidth="0" w:num="2">
            <w:col w:w="5480" w:space="200"/>
            <w:col w:w="4539"/>
          </w:cols>
          <w:pgMar w:left="240" w:top="419" w:right="1440" w:bottom="1163"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63"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20"/>
        <w:spacing w:after="0"/>
        <w:tabs>
          <w:tab w:leader="none" w:pos="30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2848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23" w:lineRule="exact"/>
        <w:rPr>
          <w:sz w:val="20"/>
          <w:szCs w:val="20"/>
          <w:color w:val="auto"/>
        </w:rPr>
      </w:pPr>
    </w:p>
    <w:p>
      <w:pPr>
        <w:ind w:left="1540" w:hanging="944"/>
        <w:spacing w:after="0" w:line="259" w:lineRule="auto"/>
        <w:tabs>
          <w:tab w:leader="none" w:pos="15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Collaboration Agreement, dated July 11, 2005, by and between Mind Streams, LLC and Significant Education, LLC (as supplemented by Project One and Project Two)</w:t>
      </w:r>
    </w:p>
    <w:p>
      <w:pPr>
        <w:spacing w:after="0" w:line="187" w:lineRule="exact"/>
        <w:rPr>
          <w:sz w:val="20"/>
          <w:szCs w:val="20"/>
          <w:color w:val="auto"/>
        </w:rPr>
      </w:pPr>
    </w:p>
    <w:p>
      <w:pPr>
        <w:ind w:left="1540" w:right="80" w:hanging="944"/>
        <w:spacing w:after="0" w:line="264" w:lineRule="auto"/>
        <w:tabs>
          <w:tab w:leader="none" w:pos="15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Executive Employment Agreement, dated June 25, 2008, by and between Grand Canyon Education, Inc. and Daniel E. Bachus†</w:t>
      </w:r>
    </w:p>
    <w:p>
      <w:pPr>
        <w:spacing w:after="0" w:line="397" w:lineRule="exact"/>
        <w:rPr>
          <w:sz w:val="20"/>
          <w:szCs w:val="20"/>
          <w:color w:val="auto"/>
        </w:rPr>
      </w:pPr>
    </w:p>
    <w:p>
      <w:pPr>
        <w:ind w:left="1540" w:right="80" w:hanging="944"/>
        <w:spacing w:after="0" w:line="264" w:lineRule="auto"/>
        <w:tabs>
          <w:tab w:leader="none" w:pos="15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Executive Employment Agreement, dated June 25, 2008, by and between Grand Canyon Education, Inc. and Brian E. Mueller†</w:t>
      </w:r>
    </w:p>
    <w:p>
      <w:pPr>
        <w:spacing w:after="0" w:line="397" w:lineRule="exact"/>
        <w:rPr>
          <w:sz w:val="20"/>
          <w:szCs w:val="20"/>
          <w:color w:val="auto"/>
        </w:rPr>
      </w:pPr>
    </w:p>
    <w:p>
      <w:pPr>
        <w:ind w:left="1540" w:right="80" w:hanging="944"/>
        <w:spacing w:after="0" w:line="264" w:lineRule="auto"/>
        <w:tabs>
          <w:tab w:leader="none" w:pos="15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Executive Employment Agreement, dated June 25, 2008, by and between Grand Canyon Education, Inc. and W. Stan Meyer†</w:t>
      </w:r>
    </w:p>
    <w:p>
      <w:pPr>
        <w:spacing w:after="0" w:line="397"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Director and Officer Indemnity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298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23"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10.18 to Amendment No. 1 to the Company’s Registration Statement on Form S-1 filed with the SEC on August 13,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10.19 to Amendment No. 1 to the Company’s Registration Statement on Form S-1 filed with the SEC on August 13,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10.20 to Amendment No. 1 to the Company’s Registration Statement on Form S-1 filed with the SEC on August 13,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10.21 to Amendment No. 1 to the Company’s Registration Statement on Form S-1 filed with the SEC on August 13,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10.21 to Amendment No. 2 to the Company’s Registration Statement on Form S-1 filed with the SEC on September 29, 2008.</w:t>
      </w:r>
    </w:p>
    <w:p>
      <w:pPr>
        <w:spacing w:after="0" w:line="187" w:lineRule="exact"/>
        <w:rPr>
          <w:sz w:val="20"/>
          <w:szCs w:val="20"/>
          <w:color w:val="auto"/>
        </w:rPr>
      </w:pPr>
    </w:p>
    <w:p>
      <w:pPr>
        <w:sectPr>
          <w:pgSz w:w="11900" w:h="16838" w:orient="portrait"/>
          <w:cols w:equalWidth="0" w:num="2">
            <w:col w:w="5440" w:space="240"/>
            <w:col w:w="4539"/>
          </w:cols>
          <w:pgMar w:left="240" w:top="419" w:right="1440" w:bottom="1440" w:gutter="0" w:footer="0" w:header="0"/>
        </w:sectPr>
      </w:pPr>
    </w:p>
    <w:tbl>
      <w:tblPr>
        <w:tblLayout w:type="fixed"/>
        <w:tblInd w:w="680" w:type="dxa"/>
        <w:tblCellMar>
          <w:top w:w="0" w:type="dxa"/>
          <w:left w:w="0" w:type="dxa"/>
          <w:bottom w:w="0" w:type="dxa"/>
          <w:right w:w="0" w:type="dxa"/>
        </w:tblCellMar>
      </w:tblPr>
      <w:tr>
        <w:trPr>
          <w:trHeight w:val="216"/>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23.1</w:t>
            </w:r>
          </w:p>
        </w:tc>
        <w:tc>
          <w:tcPr>
            <w:tcW w:w="4320" w:type="dxa"/>
            <w:vAlign w:val="bottom"/>
          </w:tcPr>
          <w:p>
            <w:pPr>
              <w:ind w:left="280"/>
              <w:spacing w:after="0"/>
              <w:rPr>
                <w:sz w:val="20"/>
                <w:szCs w:val="20"/>
                <w:color w:val="auto"/>
              </w:rPr>
            </w:pPr>
            <w:r>
              <w:rPr>
                <w:rFonts w:ascii="Arial" w:cs="Arial" w:eastAsia="Arial" w:hAnsi="Arial"/>
                <w:sz w:val="18"/>
                <w:szCs w:val="18"/>
                <w:color w:val="auto"/>
                <w:w w:val="92"/>
              </w:rPr>
              <w:t>Consent of Independent Registered Public Accounting</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Firm</w:t>
            </w:r>
          </w:p>
        </w:tc>
        <w:tc>
          <w:tcPr>
            <w:tcW w:w="1500" w:type="dxa"/>
            <w:vAlign w:val="bottom"/>
          </w:tcPr>
          <w:p>
            <w:pPr>
              <w:spacing w:after="0"/>
              <w:rPr>
                <w:sz w:val="20"/>
                <w:szCs w:val="20"/>
                <w:color w:val="auto"/>
              </w:rPr>
            </w:pPr>
          </w:p>
        </w:tc>
      </w:tr>
      <w:tr>
        <w:trPr>
          <w:trHeight w:val="432"/>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24.1</w:t>
            </w:r>
          </w:p>
        </w:tc>
        <w:tc>
          <w:tcPr>
            <w:tcW w:w="4320" w:type="dxa"/>
            <w:vAlign w:val="bottom"/>
          </w:tcPr>
          <w:p>
            <w:pPr>
              <w:ind w:left="280"/>
              <w:spacing w:after="0"/>
              <w:rPr>
                <w:sz w:val="20"/>
                <w:szCs w:val="20"/>
                <w:color w:val="auto"/>
              </w:rPr>
            </w:pPr>
            <w:r>
              <w:rPr>
                <w:rFonts w:ascii="Arial" w:cs="Arial" w:eastAsia="Arial" w:hAnsi="Arial"/>
                <w:sz w:val="18"/>
                <w:szCs w:val="18"/>
                <w:color w:val="auto"/>
              </w:rPr>
              <w:t>Power of Attorney</w:t>
            </w:r>
          </w:p>
        </w:tc>
        <w:tc>
          <w:tcPr>
            <w:tcW w:w="1500" w:type="dxa"/>
            <w:vAlign w:val="bottom"/>
          </w:tcPr>
          <w:p>
            <w:pPr>
              <w:ind w:left="100"/>
              <w:spacing w:after="0"/>
              <w:rPr>
                <w:sz w:val="20"/>
                <w:szCs w:val="20"/>
                <w:color w:val="auto"/>
              </w:rPr>
            </w:pPr>
            <w:r>
              <w:rPr>
                <w:rFonts w:ascii="Arial" w:cs="Arial" w:eastAsia="Arial" w:hAnsi="Arial"/>
                <w:sz w:val="18"/>
                <w:szCs w:val="18"/>
                <w:color w:val="auto"/>
                <w:w w:val="85"/>
              </w:rPr>
              <w:t>See signature page.</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31.1</w:t>
            </w:r>
          </w:p>
        </w:tc>
        <w:tc>
          <w:tcPr>
            <w:tcW w:w="4320" w:type="dxa"/>
            <w:vAlign w:val="bottom"/>
          </w:tcPr>
          <w:p>
            <w:pPr>
              <w:ind w:left="280"/>
              <w:spacing w:after="0"/>
              <w:rPr>
                <w:sz w:val="20"/>
                <w:szCs w:val="20"/>
                <w:color w:val="auto"/>
              </w:rPr>
            </w:pPr>
            <w:r>
              <w:rPr>
                <w:rFonts w:ascii="Arial" w:cs="Arial" w:eastAsia="Arial" w:hAnsi="Arial"/>
                <w:sz w:val="18"/>
                <w:szCs w:val="18"/>
                <w:color w:val="auto"/>
                <w:w w:val="97"/>
              </w:rPr>
              <w:t>Certification of the Chief Executive Officer Pursuant</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to Section 302 of the Sarbanes-Oxley Act of 2002</w:t>
            </w:r>
          </w:p>
        </w:tc>
        <w:tc>
          <w:tcPr>
            <w:tcW w:w="1500" w:type="dxa"/>
            <w:vAlign w:val="bottom"/>
          </w:tcPr>
          <w:p>
            <w:pPr>
              <w:spacing w:after="0"/>
              <w:rPr>
                <w:sz w:val="20"/>
                <w:szCs w:val="20"/>
                <w:color w:val="auto"/>
              </w:rPr>
            </w:pP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31.2</w:t>
            </w:r>
          </w:p>
        </w:tc>
        <w:tc>
          <w:tcPr>
            <w:tcW w:w="4320" w:type="dxa"/>
            <w:vAlign w:val="bottom"/>
          </w:tcPr>
          <w:p>
            <w:pPr>
              <w:ind w:left="280"/>
              <w:spacing w:after="0"/>
              <w:rPr>
                <w:sz w:val="20"/>
                <w:szCs w:val="20"/>
                <w:color w:val="auto"/>
              </w:rPr>
            </w:pPr>
            <w:r>
              <w:rPr>
                <w:rFonts w:ascii="Arial" w:cs="Arial" w:eastAsia="Arial" w:hAnsi="Arial"/>
                <w:sz w:val="18"/>
                <w:szCs w:val="18"/>
                <w:color w:val="auto"/>
                <w:w w:val="94"/>
              </w:rPr>
              <w:t>Certification of the Chief Financial Officer Pursuant to</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1500" w:type="dxa"/>
            <w:vAlign w:val="bottom"/>
          </w:tcPr>
          <w:p>
            <w:pPr>
              <w:spacing w:after="0"/>
              <w:rPr>
                <w:sz w:val="20"/>
                <w:szCs w:val="20"/>
                <w:color w:val="auto"/>
              </w:rPr>
            </w:pP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32.1</w:t>
            </w:r>
          </w:p>
        </w:tc>
        <w:tc>
          <w:tcPr>
            <w:tcW w:w="4320" w:type="dxa"/>
            <w:vAlign w:val="bottom"/>
          </w:tcPr>
          <w:p>
            <w:pPr>
              <w:ind w:left="280"/>
              <w:spacing w:after="0"/>
              <w:rPr>
                <w:sz w:val="20"/>
                <w:szCs w:val="20"/>
                <w:color w:val="auto"/>
              </w:rPr>
            </w:pPr>
            <w:r>
              <w:rPr>
                <w:rFonts w:ascii="Arial" w:cs="Arial" w:eastAsia="Arial" w:hAnsi="Arial"/>
                <w:sz w:val="18"/>
                <w:szCs w:val="18"/>
                <w:color w:val="auto"/>
                <w:w w:val="94"/>
              </w:rPr>
              <w:t>Certification of Chief Executive Officer Pursuant to 18</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58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15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c>
          <w:tcPr>
            <w:tcW w:w="1500" w:type="dxa"/>
            <w:vAlign w:val="bottom"/>
          </w:tcPr>
          <w:p>
            <w:pPr>
              <w:spacing w:after="0"/>
              <w:rPr>
                <w:sz w:val="20"/>
                <w:szCs w:val="20"/>
                <w:color w:val="auto"/>
              </w:rPr>
            </w:pP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32.2</w:t>
            </w:r>
          </w:p>
        </w:tc>
        <w:tc>
          <w:tcPr>
            <w:tcW w:w="4320" w:type="dxa"/>
            <w:vAlign w:val="bottom"/>
          </w:tcPr>
          <w:p>
            <w:pPr>
              <w:ind w:left="280"/>
              <w:spacing w:after="0"/>
              <w:rPr>
                <w:sz w:val="20"/>
                <w:szCs w:val="20"/>
                <w:color w:val="auto"/>
              </w:rPr>
            </w:pPr>
            <w:r>
              <w:rPr>
                <w:rFonts w:ascii="Arial" w:cs="Arial" w:eastAsia="Arial" w:hAnsi="Arial"/>
                <w:sz w:val="18"/>
                <w:szCs w:val="18"/>
                <w:color w:val="auto"/>
                <w:w w:val="95"/>
              </w:rPr>
              <w:t>Certification of Chief Financial Officer Pursuant to 18</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58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15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1179"/>
        <w:spacing w:after="0" w:line="277" w:lineRule="auto"/>
        <w:rPr>
          <w:sz w:val="20"/>
          <w:szCs w:val="20"/>
          <w:color w:val="auto"/>
        </w:rPr>
      </w:pPr>
      <w:r>
        <w:rPr>
          <w:rFonts w:ascii="Arial" w:cs="Arial" w:eastAsia="Arial" w:hAnsi="Arial"/>
          <w:sz w:val="18"/>
          <w:szCs w:val="18"/>
          <w:color w:val="auto"/>
        </w:rPr>
        <w:t>Significant Education, LLC is the predecessor to Significant Education, Inc., which is the former name of Grand Canyon Education, Inc.</w:t>
      </w:r>
    </w:p>
    <w:p>
      <w:pPr>
        <w:spacing w:after="0" w:line="76" w:lineRule="exact"/>
        <w:rPr>
          <w:sz w:val="20"/>
          <w:szCs w:val="20"/>
          <w:color w:val="auto"/>
        </w:rPr>
      </w:pPr>
    </w:p>
    <w:p>
      <w:pPr>
        <w:ind w:left="680" w:hanging="348"/>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77" w:lineRule="exact"/>
        <w:rPr>
          <w:sz w:val="20"/>
          <w:szCs w:val="20"/>
          <w:color w:val="auto"/>
        </w:rPr>
      </w:pPr>
    </w:p>
    <w:p>
      <w:pPr>
        <w:ind w:left="680" w:right="839" w:hanging="348"/>
        <w:spacing w:after="0" w:line="312" w:lineRule="auto"/>
        <w:tabs>
          <w:tab w:leader="none" w:pos="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920" w:firstLine="37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Brian E. Mueller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-130810</wp:posOffset>
            </wp:positionV>
            <wp:extent cx="22980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jc w:val="center"/>
        <w:ind w:left="4760"/>
        <w:spacing w:after="0"/>
        <w:tabs>
          <w:tab w:leader="none" w:pos="180" w:val="left"/>
        </w:tabs>
        <w:rPr>
          <w:sz w:val="20"/>
          <w:szCs w:val="20"/>
          <w:color w:val="auto"/>
        </w:rPr>
      </w:pPr>
      <w:r>
        <w:rPr>
          <w:rFonts w:ascii="Arial" w:cs="Arial" w:eastAsia="Arial" w:hAnsi="Arial"/>
          <w:sz w:val="18"/>
          <w:szCs w:val="18"/>
          <w:color w:val="auto"/>
        </w:rPr>
        <w:t>Title:</w:t>
        <w:tab/>
        <w:t>Chief Executive Officer</w:t>
      </w:r>
    </w:p>
    <w:p>
      <w:pPr>
        <w:spacing w:after="0" w:line="170" w:lineRule="exact"/>
        <w:rPr>
          <w:sz w:val="20"/>
          <w:szCs w:val="20"/>
          <w:color w:val="auto"/>
        </w:rPr>
      </w:pPr>
    </w:p>
    <w:p>
      <w:pPr>
        <w:ind w:left="340" w:right="1860" w:firstLine="373"/>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Brent D. Richardson, and Christopher C. Richardson,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41" w:lineRule="exact"/>
        <w:rPr>
          <w:sz w:val="20"/>
          <w:szCs w:val="20"/>
          <w:color w:val="auto"/>
        </w:rPr>
      </w:pPr>
    </w:p>
    <w:p>
      <w:pPr>
        <w:ind w:left="340" w:right="204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rPr>
                <w:sz w:val="20"/>
                <w:szCs w:val="20"/>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28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7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2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c>
          <w:tcPr>
            <w:tcW w:w="2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19,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Brian E. Mueller</w:t>
            </w:r>
          </w:p>
        </w:tc>
        <w:tc>
          <w:tcPr>
            <w:tcW w:w="28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2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19, 2009</w:t>
            </w:r>
          </w:p>
        </w:tc>
        <w:tc>
          <w:tcPr>
            <w:tcW w:w="1760" w:type="dxa"/>
            <w:vAlign w:val="bottom"/>
          </w:tcPr>
          <w:p>
            <w:pPr>
              <w:spacing w:after="0"/>
              <w:rPr>
                <w:sz w:val="24"/>
                <w:szCs w:val="24"/>
                <w:color w:val="auto"/>
              </w:rPr>
            </w:pPr>
          </w:p>
        </w:tc>
      </w:tr>
      <w:tr>
        <w:trPr>
          <w:trHeight w:val="182"/>
        </w:trPr>
        <w:tc>
          <w:tcPr>
            <w:tcW w:w="340" w:type="dxa"/>
            <w:vAlign w:val="bottom"/>
          </w:tcPr>
          <w:p>
            <w:pPr>
              <w:spacing w:after="0"/>
              <w:rPr>
                <w:sz w:val="15"/>
                <w:szCs w:val="15"/>
                <w:color w:val="auto"/>
              </w:rPr>
            </w:pPr>
          </w:p>
        </w:tc>
        <w:tc>
          <w:tcPr>
            <w:tcW w:w="3740" w:type="dxa"/>
            <w:vAlign w:val="bottom"/>
          </w:tcPr>
          <w:p>
            <w:pPr>
              <w:spacing w:after="0" w:line="182" w:lineRule="exact"/>
              <w:rPr>
                <w:sz w:val="20"/>
                <w:szCs w:val="20"/>
                <w:color w:val="auto"/>
              </w:rPr>
            </w:pPr>
            <w:r>
              <w:rPr>
                <w:rFonts w:ascii="Arial" w:cs="Arial" w:eastAsia="Arial" w:hAnsi="Arial"/>
                <w:sz w:val="18"/>
                <w:szCs w:val="18"/>
                <w:color w:val="auto"/>
              </w:rPr>
              <w:t>Daniel E. Bachus</w:t>
            </w:r>
          </w:p>
        </w:tc>
        <w:tc>
          <w:tcPr>
            <w:tcW w:w="280" w:type="dxa"/>
            <w:vAlign w:val="bottom"/>
          </w:tcPr>
          <w:p>
            <w:pPr>
              <w:spacing w:after="0"/>
              <w:rPr>
                <w:sz w:val="15"/>
                <w:szCs w:val="15"/>
                <w:color w:val="auto"/>
              </w:rPr>
            </w:pPr>
          </w:p>
        </w:tc>
        <w:tc>
          <w:tcPr>
            <w:tcW w:w="3260" w:type="dxa"/>
            <w:vAlign w:val="bottom"/>
          </w:tcPr>
          <w:p>
            <w:pPr>
              <w:jc w:val="center"/>
              <w:spacing w:after="0" w:line="182" w:lineRule="exact"/>
              <w:rPr>
                <w:sz w:val="20"/>
                <w:szCs w:val="20"/>
                <w:color w:val="auto"/>
              </w:rPr>
            </w:pPr>
            <w:r>
              <w:rPr>
                <w:rFonts w:ascii="Arial" w:cs="Arial" w:eastAsia="Arial" w:hAnsi="Arial"/>
                <w:sz w:val="18"/>
                <w:szCs w:val="18"/>
                <w:color w:val="auto"/>
                <w:w w:val="93"/>
              </w:rPr>
              <w:t>(Principal Financial Officer and</w:t>
            </w: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0"/>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c>
          <w:tcPr>
            <w:tcW w:w="2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0"/>
              </w:rPr>
              <w:t>Executive Chairman</w:t>
            </w:r>
          </w:p>
        </w:tc>
        <w:tc>
          <w:tcPr>
            <w:tcW w:w="2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19,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Brent D. Richardson</w:t>
            </w:r>
          </w:p>
        </w:tc>
        <w:tc>
          <w:tcPr>
            <w:tcW w:w="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c>
          <w:tcPr>
            <w:tcW w:w="2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19,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Johnson</w:t>
            </w:r>
          </w:p>
        </w:tc>
        <w:tc>
          <w:tcPr>
            <w:tcW w:w="2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19,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David J. Johnson</w:t>
            </w:r>
          </w:p>
        </w:tc>
        <w:tc>
          <w:tcPr>
            <w:tcW w:w="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Henry</w:t>
            </w:r>
          </w:p>
        </w:tc>
        <w:tc>
          <w:tcPr>
            <w:tcW w:w="2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19,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Jack A. Henry</w:t>
            </w:r>
          </w:p>
        </w:tc>
        <w:tc>
          <w:tcPr>
            <w:tcW w:w="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c>
          <w:tcPr>
            <w:tcW w:w="2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19,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 Mark Dorman</w:t>
            </w:r>
          </w:p>
        </w:tc>
        <w:tc>
          <w:tcPr>
            <w:tcW w:w="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c>
          <w:tcPr>
            <w:tcW w:w="28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19,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Chad N. Heath</w:t>
            </w:r>
          </w:p>
        </w:tc>
        <w:tc>
          <w:tcPr>
            <w:tcW w:w="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796"/>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40" w:type="dxa"/>
            <w:vAlign w:val="bottom"/>
            <w:gridSpan w:val="2"/>
          </w:tcPr>
          <w:p>
            <w:pPr>
              <w:jc w:val="right"/>
              <w:ind w:right="239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gridSpan w:val="3"/>
          </w:tcPr>
          <w:p>
            <w:pPr>
              <w:ind w:left="2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340" w:type="dxa"/>
            <w:vAlign w:val="bottom"/>
          </w:tcPr>
          <w:p>
            <w:pPr>
              <w:spacing w:after="0"/>
              <w:rPr>
                <w:sz w:val="24"/>
                <w:szCs w:val="24"/>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4"/>
                <w:szCs w:val="24"/>
                <w:color w:val="auto"/>
              </w:rPr>
            </w:pPr>
          </w:p>
        </w:tc>
        <w:tc>
          <w:tcPr>
            <w:tcW w:w="396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398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Method of Filing</w:t>
            </w:r>
          </w:p>
        </w:tc>
      </w:tr>
      <w:tr>
        <w:trPr>
          <w:trHeight w:val="411"/>
        </w:trPr>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7"/>
              </w:rPr>
              <w:t>Amended and Restated Certificate of Incorporation</w:t>
            </w:r>
          </w:p>
        </w:tc>
        <w:tc>
          <w:tcPr>
            <w:tcW w:w="1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Incorporated by reference to Exhibit 3.1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Amendment No. 6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1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Amendment No. 6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1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Amendment No. 2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05" w:right="1440" w:bottom="0" w:gutter="0" w:footer="0" w:header="0"/>
        </w:sectPr>
      </w:pPr>
    </w:p>
    <w:p>
      <w:pPr>
        <w:spacing w:after="0" w:line="2" w:lineRule="exact"/>
        <w:rPr>
          <w:sz w:val="20"/>
          <w:szCs w:val="20"/>
          <w:color w:val="auto"/>
        </w:rPr>
      </w:pPr>
    </w:p>
    <w:p>
      <w:pPr>
        <w:ind w:left="1540" w:hanging="764"/>
        <w:spacing w:after="0" w:line="259" w:lineRule="auto"/>
        <w:tabs>
          <w:tab w:leader="none" w:pos="1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Investor Rights Agreement, dated September 17, 2008, by and among Grand Canyon Education, Inc. and the other parties named therein</w:t>
      </w:r>
    </w:p>
    <w:p>
      <w:pPr>
        <w:spacing w:after="0" w:line="187" w:lineRule="exact"/>
        <w:rPr>
          <w:sz w:val="20"/>
          <w:szCs w:val="20"/>
          <w:color w:val="auto"/>
        </w:rPr>
      </w:pPr>
    </w:p>
    <w:p>
      <w:pPr>
        <w:ind w:left="1540" w:right="140" w:hanging="854"/>
        <w:spacing w:after="0" w:line="259" w:lineRule="auto"/>
        <w:tabs>
          <w:tab w:leader="none" w:pos="1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Executive Employment Agreement, dated September 10, 2008, by and between Grand Canyon Education, Inc. and Brent Richardson†</w:t>
      </w:r>
    </w:p>
    <w:p>
      <w:pPr>
        <w:spacing w:after="0" w:line="187" w:lineRule="exact"/>
        <w:rPr>
          <w:sz w:val="20"/>
          <w:szCs w:val="20"/>
          <w:color w:val="auto"/>
        </w:rPr>
      </w:pPr>
    </w:p>
    <w:p>
      <w:pPr>
        <w:ind w:left="1540" w:right="320" w:hanging="854"/>
        <w:spacing w:after="0" w:line="279" w:lineRule="auto"/>
        <w:tabs>
          <w:tab w:leader="none" w:pos="1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Amended and Restated Executive Employment Agreement, dated September 10, 2008, by and between Grand Canyon Education, Inc. and Christopher Richardson†</w:t>
      </w:r>
    </w:p>
    <w:p>
      <w:pPr>
        <w:spacing w:after="0" w:line="171" w:lineRule="exact"/>
        <w:rPr>
          <w:sz w:val="20"/>
          <w:szCs w:val="20"/>
          <w:color w:val="auto"/>
        </w:rPr>
      </w:pPr>
    </w:p>
    <w:p>
      <w:pPr>
        <w:ind w:left="1540" w:right="200" w:hanging="854"/>
        <w:spacing w:after="0" w:line="259" w:lineRule="auto"/>
        <w:tabs>
          <w:tab w:leader="none" w:pos="1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Senior Management Agreement, dated September 10, 2008, by and between Grand Canyon Education, Inc. and John Crowley†</w:t>
      </w:r>
    </w:p>
    <w:p>
      <w:pPr>
        <w:spacing w:after="0" w:line="187"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2008 Equity Incentive Plan†</w:t>
      </w:r>
    </w:p>
    <w:p>
      <w:pPr>
        <w:spacing w:after="0" w:line="20" w:lineRule="exact"/>
        <w:rPr>
          <w:sz w:val="20"/>
          <w:szCs w:val="20"/>
          <w:color w:val="auto"/>
        </w:rPr>
      </w:pPr>
      <w:r>
        <w:rPr>
          <w:sz w:val="20"/>
          <w:szCs w:val="20"/>
          <w:color w:val="auto"/>
        </w:rPr>
        <w:br w:type="column"/>
      </w:r>
    </w:p>
    <w:p>
      <w:pPr>
        <w:ind w:right="95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10.1 to Amendment No. 2 to the Company’s Registration Statement on Form S-1 filed with the SEC on September 29,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10.2 to Amendment No. 2 to the Company’s Registration Statement on Form S-1 filed with the SEC on September 29,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10.3 to Amendment No. 2 to the Company’s Registration Statement on Form S-1 filed with the SEC on September 29,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10.4 to Amendment No. 2 to the Company’s Registration Statement on Form S-1 filed with the SEC on September 29, 2008.</w:t>
      </w:r>
    </w:p>
    <w:p>
      <w:pPr>
        <w:spacing w:after="0" w:line="187" w:lineRule="exact"/>
        <w:rPr>
          <w:sz w:val="20"/>
          <w:szCs w:val="20"/>
          <w:color w:val="auto"/>
        </w:rPr>
      </w:pPr>
    </w:p>
    <w:p>
      <w:pPr>
        <w:sectPr>
          <w:pgSz w:w="11900" w:h="16838" w:orient="portrait"/>
          <w:cols w:equalWidth="0" w:num="2">
            <w:col w:w="5260" w:space="420"/>
            <w:col w:w="4539"/>
          </w:cols>
          <w:pgMar w:left="240" w:top="405" w:right="1440" w:bottom="0" w:gutter="0" w:footer="0" w:header="0"/>
          <w:type w:val="continuous"/>
        </w:sectPr>
      </w:pPr>
    </w:p>
    <w:tbl>
      <w:tblPr>
        <w:tblLayout w:type="fixed"/>
        <w:tblInd w:w="680" w:type="dxa"/>
        <w:tblCellMar>
          <w:top w:w="0" w:type="dxa"/>
          <w:left w:w="0" w:type="dxa"/>
          <w:bottom w:w="0" w:type="dxa"/>
          <w:right w:w="0" w:type="dxa"/>
        </w:tblCellMar>
      </w:tblPr>
      <w:tr>
        <w:trPr>
          <w:trHeight w:val="216"/>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10.5</w:t>
            </w:r>
          </w:p>
        </w:tc>
        <w:tc>
          <w:tcPr>
            <w:tcW w:w="3720" w:type="dxa"/>
            <w:vAlign w:val="bottom"/>
          </w:tcPr>
          <w:p>
            <w:pPr>
              <w:ind w:left="280"/>
              <w:spacing w:after="0"/>
              <w:rPr>
                <w:sz w:val="20"/>
                <w:szCs w:val="20"/>
                <w:color w:val="auto"/>
              </w:rPr>
            </w:pPr>
            <w:r>
              <w:rPr>
                <w:rFonts w:ascii="Arial" w:cs="Arial" w:eastAsia="Arial" w:hAnsi="Arial"/>
                <w:sz w:val="18"/>
                <w:szCs w:val="18"/>
                <w:color w:val="auto"/>
              </w:rPr>
              <w:t>2008 Employee Stock Purchase Plan†</w:t>
            </w:r>
          </w:p>
        </w:tc>
        <w:tc>
          <w:tcPr>
            <w:tcW w:w="4280" w:type="dxa"/>
            <w:vAlign w:val="bottom"/>
          </w:tcPr>
          <w:p>
            <w:pPr>
              <w:ind w:left="700"/>
              <w:spacing w:after="0"/>
              <w:rPr>
                <w:sz w:val="20"/>
                <w:szCs w:val="20"/>
                <w:color w:val="auto"/>
              </w:rPr>
            </w:pPr>
            <w:r>
              <w:rPr>
                <w:rFonts w:ascii="Arial" w:cs="Arial" w:eastAsia="Arial" w:hAnsi="Arial"/>
                <w:sz w:val="18"/>
                <w:szCs w:val="18"/>
                <w:color w:val="auto"/>
              </w:rPr>
              <w:t>Incorporated by reference to Exhibit 10.5 to</w:t>
            </w:r>
          </w:p>
        </w:tc>
      </w:tr>
      <w:tr>
        <w:trPr>
          <w:trHeight w:val="230"/>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w w:val="90"/>
              </w:rPr>
              <w:t>Amendment No. 2 to the Company’s Registration</w:t>
            </w:r>
          </w:p>
        </w:tc>
      </w:tr>
    </w:tbl>
    <w:p>
      <w:pPr>
        <w:ind w:left="5680"/>
        <w:spacing w:after="0"/>
        <w:rPr>
          <w:sz w:val="20"/>
          <w:szCs w:val="20"/>
          <w:color w:val="auto"/>
        </w:rPr>
      </w:pPr>
      <w:r>
        <w:rPr>
          <w:rFonts w:ascii="Arial" w:cs="Arial" w:eastAsia="Arial" w:hAnsi="Arial"/>
          <w:sz w:val="17"/>
          <w:szCs w:val="17"/>
          <w:color w:val="auto"/>
        </w:rPr>
        <w:t>Statement on Form S-1 filed with the SEC on</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September 29, 2008.</w:t>
      </w:r>
    </w:p>
    <w:p>
      <w:pPr>
        <w:sectPr>
          <w:pgSz w:w="11900" w:h="16838" w:orient="portrait"/>
          <w:cols w:equalWidth="0" w:num="1">
            <w:col w:w="10219"/>
          </w:cols>
          <w:pgMar w:left="240" w:top="405" w:right="1440" w:bottom="0" w:gutter="0" w:footer="0" w:header="0"/>
          <w:type w:val="continuous"/>
        </w:sectPr>
      </w:pPr>
    </w:p>
    <w:p>
      <w:pPr>
        <w:spacing w:after="0" w:line="211" w:lineRule="exact"/>
        <w:rPr>
          <w:sz w:val="20"/>
          <w:szCs w:val="20"/>
          <w:color w:val="auto"/>
        </w:rPr>
      </w:pPr>
    </w:p>
    <w:p>
      <w:pPr>
        <w:ind w:left="1540" w:right="340" w:hanging="854"/>
        <w:spacing w:after="0" w:line="264" w:lineRule="auto"/>
        <w:tabs>
          <w:tab w:leader="none" w:pos="15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Lease Agreement, effective June 28, 2004, by and between Spirit Finance Acquisitions, LLC and Significant Education, LLC</w:t>
      </w:r>
    </w:p>
    <w:p>
      <w:pPr>
        <w:spacing w:after="0" w:line="181" w:lineRule="exact"/>
        <w:rPr>
          <w:sz w:val="20"/>
          <w:szCs w:val="20"/>
          <w:color w:val="auto"/>
        </w:rPr>
      </w:pPr>
    </w:p>
    <w:p>
      <w:pPr>
        <w:ind w:left="1540" w:right="220" w:hanging="854"/>
        <w:spacing w:after="0" w:line="312" w:lineRule="auto"/>
        <w:tabs>
          <w:tab w:leader="none" w:pos="15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First Amendment to Lease Agreement, effective September 24, 2004, by and between Spirit Finance Acquisitions, LLC and Significant Education, LLC</w:t>
      </w:r>
    </w:p>
    <w:p>
      <w:pPr>
        <w:spacing w:after="0" w:line="147" w:lineRule="exact"/>
        <w:rPr>
          <w:sz w:val="20"/>
          <w:szCs w:val="20"/>
          <w:color w:val="auto"/>
        </w:rPr>
      </w:pPr>
    </w:p>
    <w:p>
      <w:pPr>
        <w:ind w:left="1540" w:right="260" w:hanging="854"/>
        <w:spacing w:after="0" w:line="312" w:lineRule="auto"/>
        <w:tabs>
          <w:tab w:leader="none" w:pos="15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Second Amendment to Lease Agreement, effective August 23, 2005, by and between Spirit Master Funding, LLC and Significant Education, LLC</w:t>
      </w:r>
    </w:p>
    <w:p>
      <w:pPr>
        <w:spacing w:after="0" w:line="147" w:lineRule="exact"/>
        <w:rPr>
          <w:sz w:val="20"/>
          <w:szCs w:val="20"/>
          <w:color w:val="auto"/>
        </w:rPr>
      </w:pPr>
    </w:p>
    <w:p>
      <w:pPr>
        <w:jc w:val="both"/>
        <w:ind w:left="1540" w:hanging="854"/>
        <w:spacing w:after="0" w:line="264" w:lineRule="auto"/>
        <w:tabs>
          <w:tab w:leader="none" w:pos="15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Third Amendment to Lease Agreement, effective June 2006, by and between Spirit Master Funding, LLC and Significant Education, Inc.</w:t>
      </w:r>
    </w:p>
    <w:p>
      <w:pPr>
        <w:spacing w:after="0" w:line="181" w:lineRule="exact"/>
        <w:rPr>
          <w:sz w:val="20"/>
          <w:szCs w:val="20"/>
          <w:color w:val="auto"/>
        </w:rPr>
      </w:pPr>
    </w:p>
    <w:p>
      <w:pPr>
        <w:ind w:left="1540" w:right="320" w:hanging="944"/>
        <w:spacing w:after="0" w:line="312" w:lineRule="auto"/>
        <w:tabs>
          <w:tab w:leader="none" w:pos="15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Fourth Amendment to Lease Agreement, effective August 9, 2006, by and between Spirit Master Funding, LLC and Significant Education, Inc.</w:t>
      </w:r>
    </w:p>
    <w:p>
      <w:pPr>
        <w:spacing w:after="0" w:line="147" w:lineRule="exact"/>
        <w:rPr>
          <w:sz w:val="20"/>
          <w:szCs w:val="20"/>
          <w:color w:val="auto"/>
        </w:rPr>
      </w:pPr>
    </w:p>
    <w:p>
      <w:pPr>
        <w:ind w:left="1540" w:right="320" w:hanging="937"/>
        <w:spacing w:after="0" w:line="312" w:lineRule="auto"/>
        <w:tabs>
          <w:tab w:leader="none" w:pos="15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Fifth Amendment to Lease Agreement, effective December 31, 2006, by and between Spirit Master Funding, LLC and Significant Education, Inc.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10.7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10.8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10.9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10.10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10.11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10.12 to the Company’s Registration Statement on Form S-1 filed with the SEC on May 13, 2008.</w:t>
      </w:r>
    </w:p>
    <w:p>
      <w:pPr>
        <w:sectPr>
          <w:pgSz w:w="11900" w:h="16838" w:orient="portrait"/>
          <w:cols w:equalWidth="0" w:num="2">
            <w:col w:w="5480" w:space="200"/>
            <w:col w:w="4539"/>
          </w:cols>
          <w:pgMar w:left="240" w:top="405" w:right="1440" w:bottom="0" w:gutter="0" w:footer="0" w:header="0"/>
          <w:type w:val="continuous"/>
        </w:sectPr>
      </w:pPr>
    </w:p>
    <w:bookmarkStart w:id="137" w:name="page138"/>
    <w:bookmarkEnd w:id="137"/>
    <w:p>
      <w:pPr>
        <w:ind w:left="340" w:right="80" w:hanging="944"/>
        <w:spacing w:after="0" w:line="312" w:lineRule="auto"/>
        <w:tabs>
          <w:tab w:leader="none" w:pos="3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Sixth Amendment to Lease Agreement, effective September 30, 2007, by and between Spirit Master Funding, LLC and Significant Education, Inc.</w:t>
      </w:r>
    </w:p>
    <w:p>
      <w:pPr>
        <w:spacing w:after="0" w:line="147" w:lineRule="exact"/>
        <w:rPr>
          <w:sz w:val="20"/>
          <w:szCs w:val="20"/>
          <w:color w:val="auto"/>
        </w:rPr>
      </w:pPr>
    </w:p>
    <w:p>
      <w:pPr>
        <w:ind w:left="340" w:hanging="944"/>
        <w:spacing w:after="0" w:line="312" w:lineRule="auto"/>
        <w:tabs>
          <w:tab w:leader="none" w:pos="3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Seventh Amendment to Lease Agreement, effective March 28, 2008, by and between Spirit Master Funding, LLC and Significant Education, Inc.</w:t>
      </w:r>
    </w:p>
    <w:p>
      <w:pPr>
        <w:spacing w:after="0" w:line="200" w:lineRule="exact"/>
        <w:rPr>
          <w:sz w:val="20"/>
          <w:szCs w:val="20"/>
          <w:color w:val="auto"/>
        </w:rPr>
      </w:pPr>
    </w:p>
    <w:p>
      <w:pPr>
        <w:spacing w:after="0" w:line="3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br w:type="column"/>
      </w:r>
    </w:p>
    <w:p>
      <w:pPr>
        <w:ind w:right="699"/>
        <w:spacing w:after="0" w:line="264" w:lineRule="auto"/>
        <w:rPr>
          <w:sz w:val="20"/>
          <w:szCs w:val="20"/>
          <w:color w:val="auto"/>
        </w:rPr>
      </w:pPr>
      <w:r>
        <w:rPr>
          <w:rFonts w:ascii="Arial" w:cs="Arial" w:eastAsia="Arial" w:hAnsi="Arial"/>
          <w:sz w:val="18"/>
          <w:szCs w:val="18"/>
          <w:color w:val="auto"/>
        </w:rPr>
        <w:t>Incorporated by reference to Exhibit 10.13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10.14 to the Company’s Registration Statement on Form S-1 filed with the SEC on May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628015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60" w:space="420"/>
            <w:col w:w="4539"/>
          </w:cols>
          <w:pgMar w:left="1440" w:top="341" w:right="1440"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20"/>
        <w:spacing w:after="0"/>
        <w:tabs>
          <w:tab w:leader="none" w:pos="30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2848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23" w:lineRule="exact"/>
        <w:rPr>
          <w:sz w:val="20"/>
          <w:szCs w:val="20"/>
          <w:color w:val="auto"/>
        </w:rPr>
      </w:pPr>
    </w:p>
    <w:p>
      <w:pPr>
        <w:ind w:left="1540" w:right="180" w:hanging="944"/>
        <w:spacing w:after="0" w:line="264" w:lineRule="auto"/>
        <w:tabs>
          <w:tab w:leader="none" w:pos="15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License Agreement, dated June 30, 2004, by and between Blanchard Education, LLC and Significant Education, LLC</w:t>
      </w:r>
    </w:p>
    <w:p>
      <w:pPr>
        <w:spacing w:after="0" w:line="181" w:lineRule="exact"/>
        <w:rPr>
          <w:sz w:val="20"/>
          <w:szCs w:val="20"/>
          <w:color w:val="auto"/>
        </w:rPr>
      </w:pPr>
    </w:p>
    <w:p>
      <w:pPr>
        <w:ind w:left="1540" w:right="200" w:hanging="944"/>
        <w:spacing w:after="0" w:line="264" w:lineRule="auto"/>
        <w:tabs>
          <w:tab w:leader="none" w:pos="15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Letter Agreement, dated February 6, 2006, by and between The Ken Blanchard Companies and Grand Canyon University</w:t>
      </w:r>
    </w:p>
    <w:p>
      <w:pPr>
        <w:spacing w:after="0" w:line="181" w:lineRule="exact"/>
        <w:rPr>
          <w:sz w:val="20"/>
          <w:szCs w:val="20"/>
          <w:color w:val="auto"/>
        </w:rPr>
      </w:pPr>
    </w:p>
    <w:p>
      <w:pPr>
        <w:ind w:left="1540" w:right="40" w:hanging="944"/>
        <w:spacing w:after="0" w:line="264" w:lineRule="auto"/>
        <w:tabs>
          <w:tab w:leader="none" w:pos="15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to License Agreement, dated May 8, 2008, by and between Blanchard Education, LLC and Grand Canyon Education, Inc.</w:t>
      </w:r>
    </w:p>
    <w:p>
      <w:pPr>
        <w:spacing w:after="0" w:line="181" w:lineRule="exact"/>
        <w:rPr>
          <w:sz w:val="20"/>
          <w:szCs w:val="20"/>
          <w:color w:val="auto"/>
        </w:rPr>
      </w:pPr>
    </w:p>
    <w:p>
      <w:pPr>
        <w:ind w:left="1540" w:hanging="944"/>
        <w:spacing w:after="0" w:line="259" w:lineRule="auto"/>
        <w:tabs>
          <w:tab w:leader="none" w:pos="15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Collaboration Agreement, dated July 11, 2005, by and between Mind Streams, LLC and Significant Education, LLC (as supplemented by Project One and Project Two)</w:t>
      </w:r>
    </w:p>
    <w:p>
      <w:pPr>
        <w:spacing w:after="0" w:line="187" w:lineRule="exact"/>
        <w:rPr>
          <w:sz w:val="20"/>
          <w:szCs w:val="20"/>
          <w:color w:val="auto"/>
        </w:rPr>
      </w:pPr>
    </w:p>
    <w:p>
      <w:pPr>
        <w:ind w:left="1540" w:right="80" w:hanging="944"/>
        <w:spacing w:after="0" w:line="264" w:lineRule="auto"/>
        <w:tabs>
          <w:tab w:leader="none" w:pos="15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Executive Employment Agreement, dated June 25, 2008, by and between Grand Canyon Education, Inc. and Daniel E. Bachus†</w:t>
      </w:r>
    </w:p>
    <w:p>
      <w:pPr>
        <w:spacing w:after="0" w:line="397" w:lineRule="exact"/>
        <w:rPr>
          <w:sz w:val="20"/>
          <w:szCs w:val="20"/>
          <w:color w:val="auto"/>
        </w:rPr>
      </w:pPr>
    </w:p>
    <w:p>
      <w:pPr>
        <w:ind w:left="1540" w:right="80" w:hanging="944"/>
        <w:spacing w:after="0" w:line="264" w:lineRule="auto"/>
        <w:tabs>
          <w:tab w:leader="none" w:pos="15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Executive Employment Agreement, dated June 25, 2008, by and between Grand Canyon Education, Inc. and Brian E. Mueller†</w:t>
      </w:r>
    </w:p>
    <w:p>
      <w:pPr>
        <w:spacing w:after="0" w:line="397" w:lineRule="exact"/>
        <w:rPr>
          <w:sz w:val="20"/>
          <w:szCs w:val="20"/>
          <w:color w:val="auto"/>
        </w:rPr>
      </w:pPr>
    </w:p>
    <w:p>
      <w:pPr>
        <w:ind w:left="1540" w:right="80" w:hanging="944"/>
        <w:spacing w:after="0" w:line="264" w:lineRule="auto"/>
        <w:tabs>
          <w:tab w:leader="none" w:pos="15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Executive Employment Agreement, dated June 25, 2008, by and between Grand Canyon Education, Inc. and W. Stan Meyer†</w:t>
      </w:r>
    </w:p>
    <w:p>
      <w:pPr>
        <w:spacing w:after="0" w:line="397"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Director and Officer Indemnity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298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23"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10.15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10.16 to the Company’s Registration Statement on Form S-1 filed with the SEC on May 13, 2008.</w:t>
      </w:r>
    </w:p>
    <w:p>
      <w:pPr>
        <w:spacing w:after="0" w:line="181" w:lineRule="exact"/>
        <w:rPr>
          <w:sz w:val="20"/>
          <w:szCs w:val="20"/>
          <w:color w:val="auto"/>
        </w:rPr>
      </w:pPr>
    </w:p>
    <w:p>
      <w:pPr>
        <w:ind w:right="699"/>
        <w:spacing w:after="0" w:line="264" w:lineRule="auto"/>
        <w:rPr>
          <w:sz w:val="20"/>
          <w:szCs w:val="20"/>
          <w:color w:val="auto"/>
        </w:rPr>
      </w:pPr>
      <w:r>
        <w:rPr>
          <w:rFonts w:ascii="Arial" w:cs="Arial" w:eastAsia="Arial" w:hAnsi="Arial"/>
          <w:sz w:val="18"/>
          <w:szCs w:val="18"/>
          <w:color w:val="auto"/>
        </w:rPr>
        <w:t>Incorporated by reference to Exhibit 10.17 to the Company’s Registration Statement on Form S-1 filed with the SEC on May 13, 2008.</w:t>
      </w:r>
    </w:p>
    <w:p>
      <w:pPr>
        <w:spacing w:after="0" w:line="181"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10.18 to Amendment No. 1 to the Company’s Registration Statement on Form S-1 filed with the SEC on August 13,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10.19 to Amendment No. 1 to the Company’s Registration Statement on Form S-1 filed with the SEC on August 13,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10.20 to Amendment No. 1 to the Company’s Registration Statement on Form S-1 filed with the SEC on August 13,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10.21 to Amendment No. 1 to the Company’s Registration Statement on Form S-1 filed with the SEC on August 13, 2008.</w:t>
      </w:r>
    </w:p>
    <w:p>
      <w:pPr>
        <w:spacing w:after="0" w:line="187" w:lineRule="exact"/>
        <w:rPr>
          <w:sz w:val="20"/>
          <w:szCs w:val="20"/>
          <w:color w:val="auto"/>
        </w:rPr>
      </w:pPr>
    </w:p>
    <w:p>
      <w:pPr>
        <w:ind w:right="959"/>
        <w:spacing w:after="0" w:line="259" w:lineRule="auto"/>
        <w:rPr>
          <w:sz w:val="20"/>
          <w:szCs w:val="20"/>
          <w:color w:val="auto"/>
        </w:rPr>
      </w:pPr>
      <w:r>
        <w:rPr>
          <w:rFonts w:ascii="Arial" w:cs="Arial" w:eastAsia="Arial" w:hAnsi="Arial"/>
          <w:sz w:val="18"/>
          <w:szCs w:val="18"/>
          <w:color w:val="auto"/>
        </w:rPr>
        <w:t>Incorporated by reference to Exhibit 10.21 to Amendment No. 2 to the Company’s Registration Statement on Form S-1 filed with the SEC on September 29, 2008.</w:t>
      </w:r>
    </w:p>
    <w:p>
      <w:pPr>
        <w:spacing w:after="0" w:line="187" w:lineRule="exact"/>
        <w:rPr>
          <w:sz w:val="20"/>
          <w:szCs w:val="20"/>
          <w:color w:val="auto"/>
        </w:rPr>
      </w:pPr>
    </w:p>
    <w:p>
      <w:pPr>
        <w:sectPr>
          <w:pgSz w:w="11900" w:h="16838" w:orient="portrait"/>
          <w:cols w:equalWidth="0" w:num="2">
            <w:col w:w="5440" w:space="240"/>
            <w:col w:w="4539"/>
          </w:cols>
          <w:pgMar w:left="240" w:top="419" w:right="1440" w:bottom="136" w:gutter="0" w:footer="0" w:header="0"/>
        </w:sectPr>
      </w:pPr>
    </w:p>
    <w:tbl>
      <w:tblPr>
        <w:tblLayout w:type="fixed"/>
        <w:tblInd w:w="680" w:type="dxa"/>
        <w:tblCellMar>
          <w:top w:w="0" w:type="dxa"/>
          <w:left w:w="0" w:type="dxa"/>
          <w:bottom w:w="0" w:type="dxa"/>
          <w:right w:w="0" w:type="dxa"/>
        </w:tblCellMar>
      </w:tblPr>
      <w:tr>
        <w:trPr>
          <w:trHeight w:val="216"/>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23.1</w:t>
            </w:r>
          </w:p>
        </w:tc>
        <w:tc>
          <w:tcPr>
            <w:tcW w:w="4320" w:type="dxa"/>
            <w:vAlign w:val="bottom"/>
          </w:tcPr>
          <w:p>
            <w:pPr>
              <w:ind w:left="280"/>
              <w:spacing w:after="0"/>
              <w:rPr>
                <w:sz w:val="20"/>
                <w:szCs w:val="20"/>
                <w:color w:val="auto"/>
              </w:rPr>
            </w:pPr>
            <w:r>
              <w:rPr>
                <w:rFonts w:ascii="Arial" w:cs="Arial" w:eastAsia="Arial" w:hAnsi="Arial"/>
                <w:sz w:val="18"/>
                <w:szCs w:val="18"/>
                <w:color w:val="auto"/>
                <w:w w:val="92"/>
              </w:rPr>
              <w:t>Consent of Independent Registered Public Accounting</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Firm</w:t>
            </w:r>
          </w:p>
        </w:tc>
        <w:tc>
          <w:tcPr>
            <w:tcW w:w="1500" w:type="dxa"/>
            <w:vAlign w:val="bottom"/>
          </w:tcPr>
          <w:p>
            <w:pPr>
              <w:spacing w:after="0"/>
              <w:rPr>
                <w:sz w:val="20"/>
                <w:szCs w:val="20"/>
                <w:color w:val="auto"/>
              </w:rPr>
            </w:pPr>
          </w:p>
        </w:tc>
      </w:tr>
      <w:tr>
        <w:trPr>
          <w:trHeight w:val="432"/>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24.1</w:t>
            </w:r>
          </w:p>
        </w:tc>
        <w:tc>
          <w:tcPr>
            <w:tcW w:w="4320" w:type="dxa"/>
            <w:vAlign w:val="bottom"/>
          </w:tcPr>
          <w:p>
            <w:pPr>
              <w:ind w:left="280"/>
              <w:spacing w:after="0"/>
              <w:rPr>
                <w:sz w:val="20"/>
                <w:szCs w:val="20"/>
                <w:color w:val="auto"/>
              </w:rPr>
            </w:pPr>
            <w:r>
              <w:rPr>
                <w:rFonts w:ascii="Arial" w:cs="Arial" w:eastAsia="Arial" w:hAnsi="Arial"/>
                <w:sz w:val="18"/>
                <w:szCs w:val="18"/>
                <w:color w:val="auto"/>
              </w:rPr>
              <w:t>Power of Attorney</w:t>
            </w:r>
          </w:p>
        </w:tc>
        <w:tc>
          <w:tcPr>
            <w:tcW w:w="1500" w:type="dxa"/>
            <w:vAlign w:val="bottom"/>
          </w:tcPr>
          <w:p>
            <w:pPr>
              <w:ind w:left="100"/>
              <w:spacing w:after="0"/>
              <w:rPr>
                <w:sz w:val="20"/>
                <w:szCs w:val="20"/>
                <w:color w:val="auto"/>
              </w:rPr>
            </w:pPr>
            <w:r>
              <w:rPr>
                <w:rFonts w:ascii="Arial" w:cs="Arial" w:eastAsia="Arial" w:hAnsi="Arial"/>
                <w:sz w:val="18"/>
                <w:szCs w:val="18"/>
                <w:color w:val="auto"/>
                <w:w w:val="85"/>
              </w:rPr>
              <w:t>See signature page.</w:t>
            </w: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31.1</w:t>
            </w:r>
          </w:p>
        </w:tc>
        <w:tc>
          <w:tcPr>
            <w:tcW w:w="4320" w:type="dxa"/>
            <w:vAlign w:val="bottom"/>
          </w:tcPr>
          <w:p>
            <w:pPr>
              <w:ind w:left="280"/>
              <w:spacing w:after="0"/>
              <w:rPr>
                <w:sz w:val="20"/>
                <w:szCs w:val="20"/>
                <w:color w:val="auto"/>
              </w:rPr>
            </w:pPr>
            <w:r>
              <w:rPr>
                <w:rFonts w:ascii="Arial" w:cs="Arial" w:eastAsia="Arial" w:hAnsi="Arial"/>
                <w:sz w:val="18"/>
                <w:szCs w:val="18"/>
                <w:color w:val="auto"/>
                <w:w w:val="97"/>
              </w:rPr>
              <w:t>Certification of the Chief Executive Officer Pursuant</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to Section 302 of the Sarbanes-Oxley Act of 2002</w:t>
            </w:r>
          </w:p>
        </w:tc>
        <w:tc>
          <w:tcPr>
            <w:tcW w:w="1500" w:type="dxa"/>
            <w:vAlign w:val="bottom"/>
          </w:tcPr>
          <w:p>
            <w:pPr>
              <w:spacing w:after="0"/>
              <w:rPr>
                <w:sz w:val="20"/>
                <w:szCs w:val="20"/>
                <w:color w:val="auto"/>
              </w:rPr>
            </w:pP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31.2</w:t>
            </w:r>
          </w:p>
        </w:tc>
        <w:tc>
          <w:tcPr>
            <w:tcW w:w="4320" w:type="dxa"/>
            <w:vAlign w:val="bottom"/>
          </w:tcPr>
          <w:p>
            <w:pPr>
              <w:ind w:left="280"/>
              <w:spacing w:after="0"/>
              <w:rPr>
                <w:sz w:val="20"/>
                <w:szCs w:val="20"/>
                <w:color w:val="auto"/>
              </w:rPr>
            </w:pPr>
            <w:r>
              <w:rPr>
                <w:rFonts w:ascii="Arial" w:cs="Arial" w:eastAsia="Arial" w:hAnsi="Arial"/>
                <w:sz w:val="18"/>
                <w:szCs w:val="18"/>
                <w:color w:val="auto"/>
                <w:w w:val="94"/>
              </w:rPr>
              <w:t>Certification of the Chief Financial Officer Pursuant to</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Section 302 of the Sarbanes-Oxley Act of 2002</w:t>
            </w:r>
          </w:p>
        </w:tc>
        <w:tc>
          <w:tcPr>
            <w:tcW w:w="1500" w:type="dxa"/>
            <w:vAlign w:val="bottom"/>
          </w:tcPr>
          <w:p>
            <w:pPr>
              <w:spacing w:after="0"/>
              <w:rPr>
                <w:sz w:val="20"/>
                <w:szCs w:val="20"/>
                <w:color w:val="auto"/>
              </w:rPr>
            </w:pP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32.1</w:t>
            </w:r>
          </w:p>
        </w:tc>
        <w:tc>
          <w:tcPr>
            <w:tcW w:w="4320" w:type="dxa"/>
            <w:vAlign w:val="bottom"/>
          </w:tcPr>
          <w:p>
            <w:pPr>
              <w:ind w:left="280"/>
              <w:spacing w:after="0"/>
              <w:rPr>
                <w:sz w:val="20"/>
                <w:szCs w:val="20"/>
                <w:color w:val="auto"/>
              </w:rPr>
            </w:pPr>
            <w:r>
              <w:rPr>
                <w:rFonts w:ascii="Arial" w:cs="Arial" w:eastAsia="Arial" w:hAnsi="Arial"/>
                <w:sz w:val="18"/>
                <w:szCs w:val="18"/>
                <w:color w:val="auto"/>
                <w:w w:val="94"/>
              </w:rPr>
              <w:t>Certification of Chief Executive Officer Pursuant to 18</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58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15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c>
          <w:tcPr>
            <w:tcW w:w="1500" w:type="dxa"/>
            <w:vAlign w:val="bottom"/>
          </w:tcPr>
          <w:p>
            <w:pPr>
              <w:spacing w:after="0"/>
              <w:rPr>
                <w:sz w:val="20"/>
                <w:szCs w:val="20"/>
                <w:color w:val="auto"/>
              </w:rPr>
            </w:pPr>
          </w:p>
        </w:tc>
      </w:tr>
      <w:tr>
        <w:trPr>
          <w:trHeight w:val="418"/>
        </w:trPr>
        <w:tc>
          <w:tcPr>
            <w:tcW w:w="580" w:type="dxa"/>
            <w:vAlign w:val="bottom"/>
          </w:tcPr>
          <w:p>
            <w:pPr>
              <w:jc w:val="right"/>
              <w:ind w:right="170"/>
              <w:spacing w:after="0"/>
              <w:rPr>
                <w:sz w:val="20"/>
                <w:szCs w:val="20"/>
                <w:color w:val="auto"/>
              </w:rPr>
            </w:pPr>
            <w:r>
              <w:rPr>
                <w:rFonts w:ascii="Arial" w:cs="Arial" w:eastAsia="Arial" w:hAnsi="Arial"/>
                <w:sz w:val="18"/>
                <w:szCs w:val="18"/>
                <w:color w:val="auto"/>
                <w:w w:val="85"/>
              </w:rPr>
              <w:t>32.2</w:t>
            </w:r>
          </w:p>
        </w:tc>
        <w:tc>
          <w:tcPr>
            <w:tcW w:w="4320" w:type="dxa"/>
            <w:vAlign w:val="bottom"/>
          </w:tcPr>
          <w:p>
            <w:pPr>
              <w:ind w:left="280"/>
              <w:spacing w:after="0"/>
              <w:rPr>
                <w:sz w:val="20"/>
                <w:szCs w:val="20"/>
                <w:color w:val="auto"/>
              </w:rPr>
            </w:pPr>
            <w:r>
              <w:rPr>
                <w:rFonts w:ascii="Arial" w:cs="Arial" w:eastAsia="Arial" w:hAnsi="Arial"/>
                <w:sz w:val="18"/>
                <w:szCs w:val="18"/>
                <w:color w:val="auto"/>
                <w:w w:val="95"/>
              </w:rPr>
              <w:t>Certification of Chief Financial Officer Pursuant to 18</w:t>
            </w:r>
          </w:p>
        </w:tc>
        <w:tc>
          <w:tcPr>
            <w:tcW w:w="150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58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15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1179"/>
        <w:spacing w:after="0" w:line="277" w:lineRule="auto"/>
        <w:rPr>
          <w:sz w:val="20"/>
          <w:szCs w:val="20"/>
          <w:color w:val="auto"/>
        </w:rPr>
      </w:pPr>
      <w:r>
        <w:rPr>
          <w:rFonts w:ascii="Arial" w:cs="Arial" w:eastAsia="Arial" w:hAnsi="Arial"/>
          <w:sz w:val="18"/>
          <w:szCs w:val="18"/>
          <w:color w:val="auto"/>
        </w:rPr>
        <w:t>Significant Education, LLC is the predecessor to Significant Education, Inc., which is the former name of Grand Canyon Education, Inc.</w:t>
      </w:r>
    </w:p>
    <w:p>
      <w:pPr>
        <w:spacing w:after="0" w:line="22" w:lineRule="exact"/>
        <w:rPr>
          <w:sz w:val="20"/>
          <w:szCs w:val="20"/>
          <w:color w:val="auto"/>
        </w:rPr>
      </w:pPr>
    </w:p>
    <w:p>
      <w:pPr>
        <w:ind w:left="680" w:hanging="348"/>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77" w:lineRule="exact"/>
        <w:rPr>
          <w:sz w:val="20"/>
          <w:szCs w:val="20"/>
          <w:color w:val="auto"/>
        </w:rPr>
      </w:pPr>
    </w:p>
    <w:p>
      <w:pPr>
        <w:ind w:left="680" w:right="839" w:hanging="348"/>
        <w:spacing w:after="0" w:line="312" w:lineRule="auto"/>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10219"/>
          </w:cols>
          <w:pgMar w:left="240" w:top="419" w:right="1440" w:bottom="136"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219"/>
          </w:cols>
          <w:pgMar w:left="240" w:top="419" w:right="1440" w:bottom="136" w:gutter="0" w:footer="0" w:header="0"/>
          <w:type w:val="continuous"/>
        </w:sectPr>
      </w:pPr>
    </w:p>
    <w:bookmarkStart w:id="139" w:name="page140"/>
    <w:bookmarkEnd w:id="139"/>
    <w:p>
      <w:pPr>
        <w:jc w:val="right"/>
        <w:ind w:right="559"/>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599"/>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333-155973) pertaining to the 2008 Equity Incentive Plan of Grand Canyon Education, Inc. of our report dated February 19, 2009, with respect to the financial statements of Grand Canyon Education, Inc. included in this Annual Report (Form 10-K) for the year ended December 31, 2008.</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2009</w:t>
      </w:r>
    </w:p>
    <w:p>
      <w:pPr>
        <w:sectPr>
          <w:pgSz w:w="11900" w:h="16838" w:orient="portrait"/>
          <w:cols w:equalWidth="0" w:num="1">
            <w:col w:w="9879"/>
          </w:cols>
          <w:pgMar w:left="580" w:top="121" w:right="1440" w:bottom="1440" w:gutter="0" w:footer="0" w:header="0"/>
        </w:sectPr>
      </w:pPr>
    </w:p>
    <w:bookmarkStart w:id="140" w:name="page141"/>
    <w:bookmarkEnd w:id="140"/>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Annual Report on Form 10-K for the year ending December 31, 2008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719" w:firstLine="365"/>
        <w:spacing w:after="0" w:line="277" w:lineRule="auto"/>
        <w:tabs>
          <w:tab w:leader="none" w:pos="5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759" w:firstLine="739"/>
        <w:spacing w:after="0" w:line="264" w:lineRule="auto"/>
        <w:tabs>
          <w:tab w:leader="none" w:pos="941"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659" w:firstLine="739"/>
        <w:spacing w:after="0" w:line="312" w:lineRule="auto"/>
        <w:tabs>
          <w:tab w:leader="none" w:pos="9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February 19,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141" w:name="page142"/>
    <w:bookmarkEnd w:id="141"/>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Annual Report on Form 10-K for the year ending December 31, 2008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719" w:firstLine="365"/>
        <w:spacing w:after="0" w:line="277" w:lineRule="auto"/>
        <w:tabs>
          <w:tab w:leader="none" w:pos="5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759" w:firstLine="739"/>
        <w:spacing w:after="0" w:line="264" w:lineRule="auto"/>
        <w:tabs>
          <w:tab w:leader="none" w:pos="941"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659" w:firstLine="739"/>
        <w:spacing w:after="0" w:line="312" w:lineRule="auto"/>
        <w:tabs>
          <w:tab w:leader="none" w:pos="9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February 19, 2009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6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6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142" w:name="page143"/>
    <w:bookmarkEnd w:id="142"/>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18 U.S.C. SECTION 1350</w:t>
      </w:r>
    </w:p>
    <w:p>
      <w:pPr>
        <w:spacing w:after="0" w:line="184" w:lineRule="exact"/>
        <w:rPr>
          <w:sz w:val="20"/>
          <w:szCs w:val="20"/>
          <w:color w:val="auto"/>
        </w:rPr>
      </w:pPr>
    </w:p>
    <w:p>
      <w:pPr>
        <w:jc w:val="both"/>
        <w:ind w:left="8" w:right="579" w:firstLine="373"/>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“Company”) for the year ending December 31, 2008 as filed with the Securities and Exchange Commission on the date hereof (the “Report”), I, Brian E. Mueller, Chief Executive Officer, of the Company, certify, pursuant to § 906 of the Sarbanes-Oxley Act of 2002,18 U.S.C. § 1350, that to my knowledge:</w:t>
      </w:r>
    </w:p>
    <w:p>
      <w:pPr>
        <w:spacing w:after="0" w:line="146" w:lineRule="exact"/>
        <w:rPr>
          <w:sz w:val="20"/>
          <w:szCs w:val="20"/>
          <w:color w:val="auto"/>
        </w:rPr>
      </w:pPr>
    </w:p>
    <w:p>
      <w:pPr>
        <w:ind w:left="348" w:right="659" w:hanging="348"/>
        <w:spacing w:after="0" w:line="277" w:lineRule="auto"/>
        <w:tabs>
          <w:tab w:leader="none" w:pos="3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102"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February 19, 2009</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558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9887"/>
          </w:cols>
          <w:pgMar w:left="572" w:top="121" w:right="1440" w:bottom="1440" w:gutter="0" w:footer="0" w:header="0"/>
        </w:sectPr>
      </w:pPr>
    </w:p>
    <w:bookmarkStart w:id="143" w:name="page144"/>
    <w:bookmarkEnd w:id="143"/>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18 U.S.C. SECTION 1350</w:t>
      </w:r>
    </w:p>
    <w:p>
      <w:pPr>
        <w:spacing w:after="0" w:line="184" w:lineRule="exact"/>
        <w:rPr>
          <w:sz w:val="20"/>
          <w:szCs w:val="20"/>
          <w:color w:val="auto"/>
        </w:rPr>
      </w:pPr>
    </w:p>
    <w:p>
      <w:pPr>
        <w:ind w:left="8" w:right="559" w:firstLine="373"/>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“Company”) for the year ending December 31, 2008 as filed with the Securities and Exchange Commission on the date hereof (the “Report”), I, Daniel E. Bachus, Chief Financial Officer, of the Company, certify, pursuant to § 906 of the Sarbanes-Oxley Act of 2002,18 U.S.C. § 1350, that to my knowledge:</w:t>
      </w:r>
    </w:p>
    <w:p>
      <w:pPr>
        <w:spacing w:after="0" w:line="146" w:lineRule="exact"/>
        <w:rPr>
          <w:sz w:val="20"/>
          <w:szCs w:val="20"/>
          <w:color w:val="auto"/>
        </w:rPr>
      </w:pPr>
    </w:p>
    <w:p>
      <w:pPr>
        <w:ind w:left="348" w:right="659" w:hanging="348"/>
        <w:spacing w:after="0" w:line="277" w:lineRule="auto"/>
        <w:tabs>
          <w:tab w:leader="none" w:pos="3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102"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February 19, 2009</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5934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2"/>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2"/>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decimal"/>
      <w:start w:val="3"/>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2"/>
    </w:lvl>
    <w:lvl w:ilvl="1">
      <w:lvlJc w:val="left"/>
      <w:lvlText w:val="%2)"/>
      <w:numFmt w:val="lowerLetter"/>
      <w:start w:val="1"/>
    </w:lvl>
  </w:abstractNum>
  <w:abstractNum w:abstractNumId="59">
    <w:nsid w:val="10233C99"/>
    <w:multiLevelType w:val="hybridMultilevel"/>
    <w:lvl w:ilvl="0">
      <w:lvlJc w:val="left"/>
      <w:lvlText w:val="%1."/>
      <w:numFmt w:val="decimal"/>
      <w:start w:val="2"/>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2019-12-11T06:09:38Z</dcterms:created>
  <dcterms:modified xsi:type="dcterms:W3CDTF">2019-12-11T06:09:38Z</dcterms:modified>
</cp:coreProperties>
</file>