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2,392,565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3,004,405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3,004,405</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6.68%</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6" w:orient="portrait"/>
          <w:cols w:equalWidth="0" w:num="1">
            <w:col w:w="10219"/>
          </w:cols>
          <w:pgMar w:left="24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rPr>
          <w:sz w:val="20"/>
          <w:szCs w:val="20"/>
          <w:color w:val="auto"/>
        </w:rPr>
      </w:pPr>
      <w:r>
        <w:rPr>
          <w:rFonts w:ascii="Courier New" w:cs="Courier New" w:eastAsia="Courier New" w:hAnsi="Courier New"/>
          <w:sz w:val="18"/>
          <w:szCs w:val="18"/>
          <w:color w:val="auto"/>
        </w:rPr>
        <w:t>(a) Amount beneficially owned:</w:t>
      </w:r>
    </w:p>
    <w:p>
      <w:pPr>
        <w:ind w:left="840"/>
        <w:spacing w:after="0" w:line="237" w:lineRule="auto"/>
        <w:rPr>
          <w:sz w:val="20"/>
          <w:szCs w:val="20"/>
          <w:color w:val="auto"/>
        </w:rPr>
      </w:pPr>
      <w:r>
        <w:rPr>
          <w:rFonts w:ascii="Courier New" w:cs="Courier New" w:eastAsia="Courier New" w:hAnsi="Courier New"/>
          <w:sz w:val="18"/>
          <w:szCs w:val="18"/>
          <w:color w:val="auto"/>
        </w:rPr>
        <w:t>3,004,405 shares of common stock</w:t>
      </w:r>
    </w:p>
    <w:p>
      <w:pPr>
        <w:spacing w:after="0" w:line="238" w:lineRule="auto"/>
        <w:rPr>
          <w:sz w:val="20"/>
          <w:szCs w:val="20"/>
          <w:color w:val="auto"/>
        </w:rPr>
      </w:pPr>
      <w:r>
        <w:rPr>
          <w:rFonts w:ascii="Courier New" w:cs="Courier New" w:eastAsia="Courier New" w:hAnsi="Courier New"/>
          <w:sz w:val="18"/>
          <w:szCs w:val="18"/>
          <w:color w:val="auto"/>
        </w:rPr>
        <w:t>(b) Percent of class:</w:t>
      </w:r>
    </w:p>
    <w:p>
      <w:pPr>
        <w:ind w:left="840"/>
        <w:spacing w:after="0"/>
        <w:rPr>
          <w:sz w:val="20"/>
          <w:szCs w:val="20"/>
          <w:color w:val="auto"/>
        </w:rPr>
      </w:pPr>
      <w:r>
        <w:rPr>
          <w:rFonts w:ascii="Courier New" w:cs="Courier New" w:eastAsia="Courier New" w:hAnsi="Courier New"/>
          <w:sz w:val="18"/>
          <w:szCs w:val="18"/>
          <w:color w:val="auto"/>
        </w:rPr>
        <w:t>6.68% of total shares of common stock outstanding</w:t>
      </w:r>
    </w:p>
    <w:p>
      <w:pPr>
        <w:spacing w:after="0" w:line="237" w:lineRule="auto"/>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2,392,565</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ind w:left="840"/>
        <w:spacing w:after="0" w:line="238"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rPr>
          <w:sz w:val="20"/>
          <w:szCs w:val="20"/>
          <w:color w:val="auto"/>
        </w:rPr>
      </w:pPr>
      <w:r>
        <w:rPr>
          <w:rFonts w:ascii="Courier New" w:cs="Courier New" w:eastAsia="Courier New" w:hAnsi="Courier New"/>
          <w:sz w:val="18"/>
          <w:szCs w:val="18"/>
          <w:color w:val="auto"/>
        </w:rPr>
        <w:t>3,004,405</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2019-12-07T18:58:05Z</dcterms:created>
  <dcterms:modified xsi:type="dcterms:W3CDTF">2019-12-07T18:58:05Z</dcterms:modified>
</cp:coreProperties>
</file>