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April 30, 2013, was 45,403,694.</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7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100" w:type="dxa"/>
            <w:vAlign w:val="bottom"/>
            <w:tcBorders>
              <w:top w:val="single" w:sz="8" w:color="0000EE"/>
            </w:tcBorders>
            <w:gridSpan w:val="5"/>
          </w:tcPr>
          <w:p>
            <w:pPr>
              <w:spacing w:after="0"/>
              <w:rPr>
                <w:sz w:val="24"/>
                <w:szCs w:val="24"/>
                <w:color w:val="auto"/>
              </w:rPr>
            </w:pPr>
          </w:p>
        </w:tc>
        <w:tc>
          <w:tcPr>
            <w:tcW w:w="79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4 Controls and Procedures</w:t>
              </w:r>
            </w:hyperlink>
          </w:p>
        </w:tc>
        <w:tc>
          <w:tcPr>
            <w:tcW w:w="87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 – OTHER INFORMATION</w:t>
              </w:r>
            </w:hyperlink>
          </w:p>
        </w:tc>
        <w:tc>
          <w:tcPr>
            <w:tcW w:w="82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0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9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3</w:t>
              </w:r>
            </w:hyperlink>
          </w:p>
        </w:tc>
        <w:tc>
          <w:tcPr>
            <w:tcW w:w="23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6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4</w:t>
              </w:r>
            </w:hyperlink>
          </w:p>
        </w:tc>
        <w:tc>
          <w:tcPr>
            <w:tcW w:w="17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Mine Safety Disclosures</w:t>
              </w:r>
            </w:hyperlink>
          </w:p>
        </w:tc>
        <w:tc>
          <w:tcPr>
            <w:tcW w:w="88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5</w:t>
              </w:r>
            </w:hyperlink>
          </w:p>
        </w:tc>
        <w:tc>
          <w:tcPr>
            <w:tcW w:w="10560" w:type="dxa"/>
            <w:vAlign w:val="bottom"/>
            <w:gridSpan w:val="15"/>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92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3"/>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720" w:type="dxa"/>
            <w:vAlign w:val="bottom"/>
            <w:gridSpan w:val="13"/>
          </w:tcPr>
          <w:p>
            <w:pPr>
              <w:jc w:val="right"/>
              <w:ind w:right="1040"/>
              <w:spacing w:after="0"/>
              <w:rPr>
                <w:sz w:val="20"/>
                <w:szCs w:val="20"/>
                <w:color w:val="auto"/>
              </w:rPr>
            </w:pPr>
            <w:r>
              <w:rPr>
                <w:rFonts w:ascii="Arial" w:cs="Arial" w:eastAsia="Arial" w:hAnsi="Arial"/>
                <w:sz w:val="18"/>
                <w:szCs w:val="18"/>
                <w:color w:val="auto"/>
              </w:rPr>
              <w:t>2</w:t>
            </w: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PART I – FINANCIAL INFORMATION</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380" w:type="dxa"/>
            <w:vAlign w:val="bottom"/>
          </w:tcPr>
          <w:p>
            <w:pPr>
              <w:jc w:val="center"/>
              <w:ind w:right="439"/>
              <w:spacing w:after="0"/>
              <w:rPr>
                <w:sz w:val="20"/>
                <w:szCs w:val="20"/>
                <w:color w:val="auto"/>
              </w:rPr>
            </w:pPr>
            <w:r>
              <w:rPr>
                <w:rFonts w:ascii="Arial" w:cs="Arial" w:eastAsia="Arial" w:hAnsi="Arial"/>
                <w:sz w:val="18"/>
                <w:szCs w:val="18"/>
                <w:b w:val="1"/>
                <w:bCs w:val="1"/>
                <w:color w:val="auto"/>
                <w:w w:val="98"/>
              </w:rPr>
              <w:t>GRAND CANYON EDUCATION, INC.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80" w:type="dxa"/>
            <w:vAlign w:val="bottom"/>
          </w:tcPr>
          <w:p>
            <w:pPr>
              <w:jc w:val="center"/>
              <w:ind w:right="439"/>
              <w:spacing w:after="0"/>
              <w:rPr>
                <w:sz w:val="20"/>
                <w:szCs w:val="20"/>
                <w:color w:val="auto"/>
              </w:rPr>
            </w:pPr>
            <w:r>
              <w:rPr>
                <w:rFonts w:ascii="Arial" w:cs="Arial" w:eastAsia="Arial" w:hAnsi="Arial"/>
                <w:sz w:val="18"/>
                <w:szCs w:val="18"/>
                <w:b w:val="1"/>
                <w:bCs w:val="1"/>
                <w:color w:val="auto"/>
                <w:w w:val="86"/>
              </w:rPr>
              <w:t>Consolidated Income Statements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380" w:type="dxa"/>
            <w:vAlign w:val="bottom"/>
          </w:tcPr>
          <w:p>
            <w:pPr>
              <w:jc w:val="center"/>
              <w:ind w:right="439"/>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9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9660" w:type="dxa"/>
            <w:vAlign w:val="bottom"/>
            <w:gridSpan w:val="4"/>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1"/>
              </w:rPr>
              <w:t>Net revenue</w:t>
            </w:r>
          </w:p>
        </w:tc>
        <w:tc>
          <w:tcPr>
            <w:tcW w:w="1300" w:type="dxa"/>
            <w:vAlign w:val="bottom"/>
            <w:tcBorders>
              <w:top w:val="single" w:sz="8" w:color="auto"/>
            </w:tcBorders>
            <w:shd w:val="clear" w:color="auto" w:fill="CCEEFF"/>
          </w:tcPr>
          <w:p>
            <w:pPr>
              <w:spacing w:after="0"/>
              <w:rPr>
                <w:sz w:val="17"/>
                <w:szCs w:val="17"/>
                <w:color w:val="auto"/>
              </w:rPr>
            </w:pPr>
          </w:p>
        </w:tc>
        <w:tc>
          <w:tcPr>
            <w:tcW w:w="7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142,030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117,131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w w:val="97"/>
              </w:rPr>
              <w:t>Admissions advisory and related, including $753 and $432 to related parties for March 31, 2013 and 2012, respectively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22,993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 including $0 and $15 to related parties for March 31, 2013 and 2012,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rPr>
              <w:t>Marketing and promotional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Total costs and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108,405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income and other income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35,152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20,945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b w:val="1"/>
                <w:bCs w:val="1"/>
                <w:color w:val="auto"/>
              </w:rPr>
              <w:t>Basic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income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Basic weighted average shares outstanding</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weighted average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9"/>
        </w:trPr>
        <w:tc>
          <w:tcPr>
            <w:tcW w:w="90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6"/>
              </w:rPr>
              <w:t>Net income</w:t>
            </w:r>
          </w:p>
        </w:tc>
        <w:tc>
          <w:tcPr>
            <w:tcW w:w="8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$20,945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$14,469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on available-for-sale securities, net of taxes of $0 for March 31, 2013</w:t>
            </w: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w w:val="97"/>
              </w:rPr>
              <w:t>Unrealized gains on hedging derivatives, net of taxes of $31 and $20 for March 31, 2013 and 2012, respectively</w:t>
            </w:r>
          </w:p>
        </w:tc>
        <w:tc>
          <w:tcPr>
            <w:tcW w:w="7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5"/>
        </w:trPr>
        <w:tc>
          <w:tcPr>
            <w:tcW w:w="9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74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0" w:type="dxa"/>
            <w:vAlign w:val="bottom"/>
            <w:shd w:val="clear" w:color="auto" w:fill="CCEEFF"/>
          </w:tcPr>
          <w:p>
            <w:pPr>
              <w:jc w:val="center"/>
              <w:ind w:right="2192"/>
              <w:spacing w:after="0"/>
              <w:rPr>
                <w:sz w:val="20"/>
                <w:szCs w:val="20"/>
                <w:color w:val="auto"/>
              </w:rPr>
            </w:pPr>
            <w:r>
              <w:rPr>
                <w:rFonts w:ascii="Arial" w:cs="Arial" w:eastAsia="Arial" w:hAnsi="Arial"/>
                <w:sz w:val="18"/>
                <w:szCs w:val="18"/>
                <w:b w:val="1"/>
                <w:bCs w:val="1"/>
                <w:color w:val="auto"/>
                <w:w w:val="92"/>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127,739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49,680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$8,389 and $8,657 at March 31, 2013 and December 31,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rPr>
              <w:t>2012, respectively</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 receivable secured by real estate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227,998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214,174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283,584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523,894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0" w:type="dxa"/>
            <w:vAlign w:val="bottom"/>
            <w:shd w:val="clear" w:color="auto" w:fill="CCEEFF"/>
          </w:tcPr>
          <w:p>
            <w:pPr>
              <w:jc w:val="center"/>
              <w:ind w:right="221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deposits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157,674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152,727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265,430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260,864</w:t>
            </w: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Preferred stock, $0.01 par value, 10,000 shares authorized; 0 shares issued and outstanding at March 31, 2013 and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Common stock, $0.01 par value, 100,000 shares authorized; 48,167 and 47,136 shares issued and 45,492 and 44,716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2013 and December 31, 2012, respectively</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Treasury stock, at cost, 2,676 and 2,420 shares of common stock at March 31, 2013 and December 31, 2012</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(45,142)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191,759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258,464</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234,059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523,894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440" w:type="dxa"/>
            <w:vAlign w:val="bottom"/>
            <w:gridSpan w:val="4"/>
          </w:tcPr>
          <w:p>
            <w:pPr>
              <w:ind w:left="2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Par Value</w:t>
            </w: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47,136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471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(39,136)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170,814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20,945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hedging derivative, net of taxes of $31</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Unrealized losses on available-for-sale securities, net of taxes of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jc w:val="right"/>
              <w:ind w:right="4232"/>
              <w:spacing w:after="0"/>
              <w:rPr>
                <w:sz w:val="20"/>
                <w:szCs w:val="20"/>
                <w:color w:val="auto"/>
              </w:rPr>
            </w:pPr>
            <w:r>
              <w:rPr>
                <w:rFonts w:ascii="Arial" w:cs="Arial" w:eastAsia="Arial" w:hAnsi="Arial"/>
                <w:sz w:val="18"/>
                <w:szCs w:val="18"/>
                <w:color w:val="auto"/>
              </w:rPr>
              <w:t>$0</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215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(5,069)</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48,167</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482</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2,676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(45,142)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$ 111,556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191,759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788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20,945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Gain on proceeds received from note receivable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cash and cash equivalents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60"/>
              <w:spacing w:after="0"/>
              <w:rPr>
                <w:sz w:val="20"/>
                <w:szCs w:val="20"/>
                <w:color w:val="auto"/>
              </w:rPr>
            </w:pPr>
            <w:r>
              <w:rPr>
                <w:rFonts w:ascii="Arial" w:cs="Arial" w:eastAsia="Arial" w:hAnsi="Arial"/>
                <w:sz w:val="18"/>
                <w:szCs w:val="18"/>
                <w:color w:val="auto"/>
              </w:rPr>
              <w:t>Due to/from related parties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60"/>
              <w:spacing w:after="0"/>
              <w:rPr>
                <w:sz w:val="20"/>
                <w:szCs w:val="20"/>
                <w:color w:val="auto"/>
              </w:rPr>
            </w:pPr>
            <w:r>
              <w:rPr>
                <w:rFonts w:ascii="Arial" w:cs="Arial" w:eastAsia="Arial" w:hAnsi="Arial"/>
                <w:sz w:val="18"/>
                <w:szCs w:val="18"/>
                <w:color w:val="auto"/>
              </w:rPr>
              <w:t>Accrued liabilities and employee related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receivable/payable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60"/>
              <w:spacing w:after="0"/>
              <w:rPr>
                <w:sz w:val="20"/>
                <w:szCs w:val="20"/>
                <w:color w:val="auto"/>
              </w:rPr>
            </w:pPr>
            <w:r>
              <w:rPr>
                <w:rFonts w:ascii="Arial" w:cs="Arial" w:eastAsia="Arial" w:hAnsi="Arial"/>
                <w:sz w:val="18"/>
                <w:szCs w:val="18"/>
                <w:color w:val="auto"/>
              </w:rPr>
              <w:t>Deferred rent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860"/>
              <w:spacing w:after="0"/>
              <w:rPr>
                <w:sz w:val="20"/>
                <w:szCs w:val="20"/>
                <w:color w:val="auto"/>
              </w:rPr>
            </w:pPr>
            <w:r>
              <w:rPr>
                <w:rFonts w:ascii="Arial" w:cs="Arial" w:eastAsia="Arial" w:hAnsi="Arial"/>
                <w:sz w:val="18"/>
                <w:szCs w:val="18"/>
                <w:color w:val="auto"/>
              </w:rPr>
              <w:t>Student deposits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(14,704)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Purchase of land and building related to future development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investments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(23,810)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Proceeds received from note receivable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(16,876)</w:t>
            </w:r>
          </w:p>
        </w:tc>
        <w:tc>
          <w:tcPr>
            <w:tcW w:w="0" w:type="dxa"/>
            <w:vAlign w:val="bottom"/>
          </w:tcPr>
          <w:p>
            <w:pPr>
              <w:spacing w:after="0"/>
              <w:rPr>
                <w:sz w:val="1"/>
                <w:szCs w:val="1"/>
                <w:color w:val="auto"/>
              </w:rPr>
            </w:pPr>
          </w:p>
        </w:tc>
      </w:tr>
      <w:tr>
        <w:trPr>
          <w:trHeight w:val="222"/>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22,628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127,739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Cash paid for interest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Cash received for income tax refunds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 of Spirit warrant intangible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Shortfall tax expense from share-based compensation</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115 acre traditional ground campus in Phoenix, Arizona and onsite at facilities it leases and at facilities owned by third party employers. The University is accredited by The Higher Learning Commission of the North Central Association of Colleges and Schools. The University’s wholly-owned subsidiaries are primarily used to facilitate expansion of the University campus.</w:t>
      </w:r>
    </w:p>
    <w:p>
      <w:pPr>
        <w:spacing w:after="0" w:line="191" w:lineRule="exact"/>
        <w:rPr>
          <w:sz w:val="20"/>
          <w:szCs w:val="20"/>
          <w:color w:val="auto"/>
        </w:rPr>
      </w:pPr>
    </w:p>
    <w:p>
      <w:pPr>
        <w:ind w:right="7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2012.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2012 from which the December 31, 2012, balance sheet information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second quarter of 2012, the University changed its presentation of changes in restricted cash and cash equivalents related to financial aid program funds to cash flows provided by operating activities on the consolidated statement of cash flows. These restricted funds are a core activity of the University operations and, accordingly, the University believes presentation of changes in such funds as an operating activity more appropriately reflects the nature of the restricted cash. Additionally, the University believes that including both the restricted cash and student deposit changes within operating activities provides better transparency.</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In addition, the counterparty to the University’s interest rate swap made a collateral call in 2010 and the pledged collateral is classified as noncurrent restricted cash. The pledged collateral was $225 as of March 31, 2013 and December 31, 2012. The University reports changes in restricted cash related to derivative collateral as investing cash flows in its consolidated statement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stockholders’ equity.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interest and other income.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received in March 2013 resulting in the full return on investment of the note receivable and an additional gain in interest income and other income of $2,187 on the loan. However, the borrower has disputed certain amounts due under the note agreement, including some of the default interest and a late payment penalty. The disputed amount of $2,068 is being held in escrow. This amount is in dispute, and as a result, has been treated as a gain contingency and thus will not be recorded as a receivable or income until resolution is reached.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13"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30, 2009 and February 27, 2013, respectively, the University entered into an interest rate swap and an interest rate corridor to manage its 30 Day LIBOR interest exposure related to its variable rate debt. The fair value of the interest rate corridor instrument as of March 31, 2013 was $1,241, which is included in other assets. The fair value of the interest rate swap is a liability of $319 and $390 as of March 31, 2013 and December 31, 2012, respectively, which is included in other noncurrent liabilities. The fair values of each derivative instrument were determined using a hypothetical derivative transaction and Level 2 of the hierarchy of valuation inputs. These derivative instruments were originally designated as cash flow hedges of variable rate debt obligations.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$88,777 as of March 31, 2013.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 Changes in this instrument’s fair value are recorded in other comprehensive income.</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$9,557 as of March 31, 2013.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March 31, 2013 and December 31, 2012 in the amount of $225.</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March 31, 2013 no derivative ineffectiveness was identified for the interest rate swap. Any ineffectiveness in the University’s derivative instrument designated as a hedge is reported in interest expense in the income statement. For the three months ended March 31, 2013, $30 of credit risk was recorded in interest expense for the interest rate corridor and interest rate swap. At March 31, 2013, the University does not expect to reclassify gains or losses on derivative instruments from accumulated other comprehensive (loss) into earnings during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2013,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fair value of investments, primarily municipal securities, was determined using Level 2 of the hierarchy of valuation inputs, with the use of inputs other than quoted prices that are observable for the assets. The municipal securities are comprised of city and county bonds related to schools, water and sewer, utilities, transportation and housing.</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programs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coeffieient, equity risk premium, small size risk premium, and company-specific risk premium.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2013 and 2012, the University’s revenue was reduced by approximately $28,255 and $23,865,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the University has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ectPr>
          <w:pgSz w:w="11900" w:h="16838" w:orient="portrait"/>
          <w:cols w:equalWidth="0" w:num="1">
            <w:col w:w="11400"/>
          </w:cols>
          <w:pgMar w:left="240" w:top="459" w:right="25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University previously reported costs related to our admissions advisory personnel in selling and promotional on our Consolidated Income Statement. Effective during the first quarter of 2013, the University began separating admissions advisory and related expenses from advertising, and marketing and promotional expenses on our Consolidated Income Statement as “admissions advisory and related.” Based on the operational changes discussed above, the University believes the disaggregation of admissions personnel and related costs from advertising, and marketing and promotional expenses provides more meaningful information and is consistent with changes recently made by a number of other regionally accredited for-profit universities. This expense category includes salaries and benefits for admissions advisory personnel and, revenue share expense as well as an allocation of depreciation, amortization, rent and occupancy costs attributable to the admissions advisory personnel.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As discussed above the University previously reported advertising costs in selling and promotional on our Consolidated Income Statement. Effective during the first quarter of 2013, the University began separating advertising expenses from admissions advisory and related expenses, and marketing and promotional expenses on our Consolidated Income Statement as “advertising.” Advertising costs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University previously reported costs related to our marketing and promotional expenses in selling and promotional on our Consolidated Income Statement. Effective during the first quarter of 2013, the University began separating marketing and promotional expenses from admissions advisory and related expenses and advertising expenses on our Consolidated Income Statement as “marketing and promotional.” This expense category includes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reclassified our operating expenses for prior periods to conform to the above disaggregation and revisions to our presentation. There were no changes to total operating expenses or operating income as a result of these reclassifications. The following table presents our operating expenses as previously reported and as reclassified on our Consolidated Income Statement for each of the quarters in 2012.</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First Quarter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First Quarter</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As</w:t>
            </w:r>
          </w:p>
        </w:tc>
        <w:tc>
          <w:tcPr>
            <w:tcW w:w="6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Second Quarter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Second Quarter</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As Reported</w:t>
            </w:r>
          </w:p>
        </w:tc>
        <w:tc>
          <w:tcPr>
            <w:tcW w:w="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Reclassified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As Reported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As Reclassified</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Instructional costs and services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50,824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50,824</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53,406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Admissions advisory and related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promotional</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Selling and promotional</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34,559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32,755</w:t>
            </w:r>
          </w:p>
        </w:tc>
        <w:tc>
          <w:tcPr>
            <w:tcW w:w="2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7,701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92,927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92,927</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93,862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0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89"/>
              </w:rPr>
              <w:t>11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Third Quarter</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Third Quarter</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As</w:t>
            </w:r>
          </w:p>
        </w:tc>
        <w:tc>
          <w:tcPr>
            <w:tcW w:w="6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Fourth Quarter</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Fourth Quarter</w:t>
            </w:r>
          </w:p>
        </w:tc>
      </w:tr>
      <w:tr>
        <w:trPr>
          <w:trHeight w:val="161"/>
        </w:trPr>
        <w:tc>
          <w:tcPr>
            <w:tcW w:w="50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As Reported</w:t>
            </w:r>
          </w:p>
        </w:tc>
        <w:tc>
          <w:tcPr>
            <w:tcW w:w="6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Reclassified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As Reported</w:t>
            </w:r>
          </w:p>
        </w:tc>
        <w:tc>
          <w:tcPr>
            <w:tcW w:w="5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As Reclassified</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Instructional costs and services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57,354</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57,354</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58,819</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58,819</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Admissions advisory and related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promotional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Selling and promotional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36,450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37,536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102,365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102,365</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108,051</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108,051</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University has determined no recent accounting pronouncements apply to its operations or would otherwise have a material impact on its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University had no investments as of December 31, 2012. The following is a summary of amounts included in investments as of March 31, 2013. The University considered all investments as available for sale.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 March 31, 2013</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Pr>
          <w:p>
            <w:pPr>
              <w:jc w:val="center"/>
              <w:ind w:left="7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00" w:type="dxa"/>
            <w:vAlign w:val="bottom"/>
          </w:tcPr>
          <w:p>
            <w:pPr>
              <w:spacing w:after="0"/>
              <w:rPr>
                <w:sz w:val="11"/>
                <w:szCs w:val="11"/>
                <w:color w:val="auto"/>
              </w:rPr>
            </w:pPr>
          </w:p>
        </w:tc>
      </w:tr>
      <w:tr>
        <w:trPr>
          <w:trHeight w:val="149"/>
        </w:trPr>
        <w:tc>
          <w:tcPr>
            <w:tcW w:w="60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62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60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7"/>
              </w:rPr>
              <w:t>Gains</w:t>
            </w:r>
          </w:p>
        </w:tc>
        <w:tc>
          <w:tcPr>
            <w:tcW w:w="6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4"/>
                <w:szCs w:val="14"/>
                <w:color w:val="auto"/>
              </w:rPr>
            </w:pPr>
          </w:p>
        </w:tc>
      </w:tr>
      <w:tr>
        <w:trPr>
          <w:trHeight w:val="210"/>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$ 23,810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1"/>
              </w:rPr>
              <w:t>(9)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$ 23,802</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March 31, 2013. For the three months ended March 31, 2013, the net unrealized loss on available-for-sale securities were $8.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ectPr>
          <w:pgSz w:w="11900" w:h="16838" w:orient="portrait"/>
          <w:cols w:equalWidth="0" w:num="1">
            <w:col w:w="11300"/>
          </w:cols>
          <w:pgMar w:left="240" w:top="459" w:right="359" w:bottom="1440"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00"/>
          </w:cols>
          <w:pgMar w:left="240" w:top="459" w:right="3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2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134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Basic weighted average shares outstanding</w:t>
            </w:r>
          </w:p>
        </w:tc>
        <w:tc>
          <w:tcPr>
            <w:tcW w:w="820" w:type="dxa"/>
            <w:vAlign w:val="bottom"/>
          </w:tcPr>
          <w:p>
            <w:pPr>
              <w:jc w:val="right"/>
              <w:spacing w:after="0"/>
              <w:rPr>
                <w:sz w:val="20"/>
                <w:szCs w:val="20"/>
                <w:color w:val="auto"/>
              </w:rPr>
            </w:pPr>
            <w:r>
              <w:rPr>
                <w:rFonts w:ascii="Arial" w:cs="Arial" w:eastAsia="Arial" w:hAnsi="Arial"/>
                <w:sz w:val="18"/>
                <w:szCs w:val="18"/>
                <w:color w:val="auto"/>
              </w:rPr>
              <w:t>44,242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44,371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Diluted weighted average shares outstanding</w:t>
            </w:r>
          </w:p>
        </w:tc>
        <w:tc>
          <w:tcPr>
            <w:tcW w:w="820" w:type="dxa"/>
            <w:vAlign w:val="bottom"/>
          </w:tcPr>
          <w:p>
            <w:pPr>
              <w:jc w:val="right"/>
              <w:spacing w:after="0"/>
              <w:rPr>
                <w:sz w:val="20"/>
                <w:szCs w:val="20"/>
                <w:color w:val="auto"/>
              </w:rPr>
            </w:pPr>
            <w:r>
              <w:rPr>
                <w:rFonts w:ascii="Arial" w:cs="Arial" w:eastAsia="Arial" w:hAnsi="Arial"/>
                <w:sz w:val="18"/>
                <w:szCs w:val="18"/>
                <w:color w:val="auto"/>
              </w:rPr>
              <w:t>45,449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45,151</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three months ended March 31, 2013 and 2012, approximately 350 and 2,288, respectively, of the University’s stock options outstanding were excluded from the calculation of diluted earnings per share as their inclusion would have been anti-dilutive. These options could be dilutive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80"/>
              </w:rPr>
              <w:t>Deductions</w:t>
            </w:r>
            <w:r>
              <w:rPr>
                <w:rFonts w:ascii="Arial" w:cs="Arial" w:eastAsia="Arial" w:hAnsi="Arial"/>
                <w:sz w:val="22"/>
                <w:szCs w:val="22"/>
                <w:b w:val="1"/>
                <w:bCs w:val="1"/>
                <w:color w:val="auto"/>
                <w:w w:val="80"/>
                <w:vertAlign w:val="superscript"/>
              </w:rPr>
              <w:t>(1)</w:t>
            </w: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Expense</w:t>
            </w:r>
          </w:p>
        </w:tc>
        <w:tc>
          <w:tcPr>
            <w:tcW w:w="13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2013</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4,941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(5,209)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Three months ended March 31, 2012</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11,706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4,122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(6,984)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6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Land improvements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4,269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182,756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180,945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Computer equipment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57,649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12,334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23,795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350,611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330,401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(67,027)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(61,239)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283,584</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269,162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March 31, 2013:</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2013 (remaining nine months)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2014</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2016</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36,513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Total rent expense, including related taxes and operating expenses, under operating leases for the three months ended March 31, 2013 and 2012 were $1,784 and $1,963, respectively.</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March 31, 2013 and December 31, 2012, the University reserved approximately $722 and $703, respectively, for tax matters where its ultimate exposure is considered probable and the potential loss can be reasonably estimated.</w:t>
      </w:r>
    </w:p>
    <w:p>
      <w:pPr>
        <w:spacing w:after="0" w:line="215" w:lineRule="exact"/>
        <w:rPr>
          <w:sz w:val="20"/>
          <w:szCs w:val="20"/>
          <w:color w:val="auto"/>
        </w:rPr>
      </w:pPr>
    </w:p>
    <w:p>
      <w:pPr>
        <w:ind w:right="9140" w:firstLine="8"/>
        <w:spacing w:after="0" w:line="417"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b w:val="1"/>
          <w:bCs w:val="1"/>
          <w:i w:val="1"/>
          <w:iCs w:val="1"/>
          <w:color w:val="auto"/>
        </w:rPr>
        <w:t>Adoption of Equity Plans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previous December 31, raising the total number of shares of common stock currently authorized for issuance under the Incentive Plan to 9,847 shares effective January 1, 2013. Although the ESPP has not yet been implemented, a total of 1,050 shares of the University’s common stock has been authorized for sale under the ESPP.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months ended March 31, 2013, the University granted 572 shares of common stock with a service vesting condition to certain of its executives, officers, faculty and employees. The restricted shares have voting rights and vest in five annual installments of 20% starting on March 1, 2014 and each of the four anniversaries of the vesting date following the date of grant. Upon vesting, shares will be held in lieu of taxes equivalent to the minimum statutory tax withholding required to be paid when the restricted stock vests. During the three months ended March 31, 2013, the University withheld 39 shares of common stock in lieu of taxes at a cost of $937 on the restricted stock vesting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2012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Weighted 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2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vMerge w:val="restart"/>
          </w:tcPr>
          <w:p>
            <w:pPr>
              <w:ind w:left="48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5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1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2013</w:t>
            </w:r>
          </w:p>
        </w:tc>
        <w:tc>
          <w:tcPr>
            <w:tcW w:w="21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1,019</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20" w:type="dxa"/>
            <w:vAlign w:val="bottom"/>
            <w:vMerge w:val="restart"/>
          </w:tcPr>
          <w:p>
            <w:pPr>
              <w:jc w:val="right"/>
              <w:ind w:right="1132"/>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three months ended March 31,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No options were granted in 2012. A summary of the activity related to stock options granted under the University’s Incentive Plan since December 31, 2012 is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Weighted</w:t>
            </w: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per</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4,229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$ 14.57</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3"/>
              </w:rPr>
              <w:t>$ 24.97</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40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4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$ 12.75</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$ 16.21</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3,776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3"/>
              </w:rPr>
              <w:t>$ 14.85</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2,247</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$ 14.23</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2,233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28, 2012 ($25.39) in excess of the exercise price multiplied by the number of options outstanding or exercisable.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three months ended March 31, 2013 and 2012 related to restricted stock and stock options granted: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3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4"/>
                <w:szCs w:val="14"/>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1,694</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8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8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1,016</w:t>
            </w:r>
          </w:p>
        </w:tc>
        <w:tc>
          <w:tcPr>
            <w:tcW w:w="12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96"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March 31, 2013, management believes the University is in compliance with the applicable regulations in all material respects.</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360"/>
          </w:cols>
          <w:pgMar w:left="240" w:top="459" w:right="299" w:bottom="1440" w:gutter="0" w:footer="0" w:header="0"/>
        </w:sectPr>
      </w:pP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45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are as follows:</w:t>
      </w:r>
    </w:p>
    <w:p>
      <w:pPr>
        <w:spacing w:after="0" w:line="62" w:lineRule="exact"/>
        <w:rPr>
          <w:sz w:val="20"/>
          <w:szCs w:val="20"/>
          <w:color w:val="auto"/>
        </w:rPr>
      </w:pPr>
    </w:p>
    <w:p>
      <w:pPr>
        <w:ind w:left="1820" w:right="120" w:hanging="678"/>
        <w:spacing w:after="0" w:line="286" w:lineRule="auto"/>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enrollment 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 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We are continuing our efforts to communicate with the Department of Education to resolve this matter.</w:t>
      </w:r>
    </w:p>
    <w:p>
      <w:pPr>
        <w:spacing w:after="0" w:line="46" w:lineRule="exact"/>
        <w:rPr>
          <w:rFonts w:ascii="Arial" w:cs="Arial" w:eastAsia="Arial" w:hAnsi="Arial"/>
          <w:sz w:val="16"/>
          <w:szCs w:val="16"/>
          <w:color w:val="auto"/>
        </w:rPr>
      </w:pPr>
    </w:p>
    <w:p>
      <w:pPr>
        <w:ind w:left="1820" w:right="40" w:hanging="678"/>
        <w:spacing w:after="0" w:line="287" w:lineRule="auto"/>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University’s 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 We are continuing our efforts to communicate with the Department of Education to resolve the matter.</w:t>
      </w:r>
    </w:p>
    <w:p>
      <w:pPr>
        <w:spacing w:after="0" w:line="41" w:lineRule="exact"/>
        <w:rPr>
          <w:rFonts w:ascii="Arial" w:cs="Arial" w:eastAsia="Arial" w:hAnsi="Arial"/>
          <w:sz w:val="16"/>
          <w:szCs w:val="16"/>
          <w:color w:val="auto"/>
        </w:rPr>
      </w:pPr>
    </w:p>
    <w:p>
      <w:pPr>
        <w:ind w:left="1820" w:right="20" w:hanging="678"/>
        <w:spacing w:after="0" w:line="288" w:lineRule="auto"/>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continuing to make efforts to discuss this finding with the Department of Education.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is continuing its efforts to communicate with the Department of Education to resolve the issues raised in the preliminary program review report. With respect to the issue regarding inadequate procedures related to non-passing grades in particular, the University recently completed its review of student files for the period from July 1, 2008 to June 30, 2010 in accordance with the Department of Education’s request and submitted the requested information to the Department of Education. Based on this review, we have determined that certain Pell grants received by the University for students that later unofficially withdrew should have been returned under applicable return to Title IV rules as those rules are currently being interpreted by the Department of Education. Although when we make a return of Pell funds the applicable students are obligated to repay us for the amounts returned, we have decided that we will not seek reimbursement from the applicable students once these Pell returns are made. Accordingly, during the year ended December 31, 2012, the University reserved $3,450 related to these returns.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University is unable, at this time, to conclude whether any additional returns to Title IV will be necessary as a result of the Department of Education’s review of our student files. Although we are confident in the legal sufficiency of our policies that were in place during the period under review, we are continuing to make efforts to discuss this finding with the Department of Education. However, if the Department of Education pursues its current interpretation of the applicable return to Title IV rules, then, after exhausting any administrative appeals available to the University, the University could be required to return Title IV funds previously received. In this regard, when the University makes a return to Title IV, the student for whom the funds were received is obligated to repay the University for the amounts returned. Should the University be required by the Department of Education to return these Title IV funds, it would reserve its rights to seek reimbursement from the applicable students.</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that it may seek or assess.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could have a material adverse effect on its business,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April 25, 2013, the Board of Directors authorized the University to repurchase up to an additional $25,000 ($75,000 total) of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depending on market conditions and other considerations. The Board of Directors also extended the expiration date on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authorization to September 30, 2014. Repurchases occur at the University’s discretion. Repurchases may be made in the open market or in privately negotiated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pursuant to the applicable Securities and Exchange Commission rules. The amount and timing of future share repurchases, if any, will be made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and business conditions warrant. Since its approval of the share repurchase plan, the University has purchased 2,625 shares of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aggregate cost of $44,205, which includes 215 shares of common stock at an aggregate cost of $5,069 during the three months ended March 31, 2013, which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recorded at cost in the accompanying March 31, 2013 consolidated balance sheet and statement of stockholders’ equity. At March 31, 2013, there remained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$5,795 available under its previous share repurchase authorization, which totaled $50,000 at March 31, 2013. Shares repurchased in lieu of taxes are not included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the repurchase plan totals as they were approved in conjunction with the restricted share awards.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ind w:left="1480" w:hanging="446"/>
        <w:spacing w:after="0" w:line="33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 w:lineRule="exact"/>
        <w:rPr>
          <w:rFonts w:ascii="Arial" w:cs="Arial" w:eastAsia="Arial" w:hAnsi="Arial"/>
          <w:sz w:val="16"/>
          <w:szCs w:val="16"/>
          <w:color w:val="auto"/>
        </w:rPr>
      </w:pPr>
    </w:p>
    <w:p>
      <w:pPr>
        <w:ind w:left="1480" w:right="54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4" w:lineRule="exact"/>
        <w:rPr>
          <w:rFonts w:ascii="Arial" w:cs="Arial" w:eastAsia="Arial" w:hAnsi="Arial"/>
          <w:sz w:val="16"/>
          <w:szCs w:val="16"/>
          <w:color w:val="auto"/>
        </w:rPr>
      </w:pPr>
    </w:p>
    <w:p>
      <w:pPr>
        <w:ind w:left="1480" w:right="1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color w:val="auto"/>
        </w:rPr>
      </w:pPr>
    </w:p>
    <w:p>
      <w:pPr>
        <w:ind w:left="1480" w:right="180" w:hanging="446"/>
        <w:spacing w:after="0" w:line="33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job prospects in our core disciplines.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2012,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 acre traditional campus in Phoenix, Arizona and onsite at facilities we lease and at facilities owned by third party employers.</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March 31, 2013, we had approximately 53,600 students, an increase of 15.7% over the approximately 46,300 students we had at March 31, 2012. At March 31, 2013, 86.4% of our students were enrolled in our online programs, and of our online and professional studies students, 42.2% were pursuing master’s or doctoral degrees. In addition, revenue per student increased between periods as a result of improved retention as well as selective tuition price increases for students in our online and professional studies programs of up to 5.9%, depending on the program, with an estimated blended rate increase of 2.5% for our 2012-13 academic year, as compared to selective tuition price increases for students in our online and professional studies programs of up to 6.5%, depending on the program, with a blended rate increase of 3.2% for the prior academic year. Tuition for our traditional ground programs had no increase for our 2012-13 or 2011-12 academic years. Tuition increases have not historically been, and may not in the future be, consistent across our programs due to market conditions and differences in operating costs of individual programs. In fact it is our current intention to not increase tuition for our online, professional studies and traditional programs for our 2013-14 academic year. This reflects a concerted effort to control tuition pricing for students so that debt levels assumed by our students are reasonable.</w:t>
      </w:r>
    </w:p>
    <w:p>
      <w:pPr>
        <w:spacing w:after="0" w:line="12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is a summary of our student enrollment at March 31, 2013 and 2012 (which included less than 810 students pursuing non-degree certificates in each period) by degree type and by instructional delivery method:</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5"/>
              </w:rPr>
              <w:t>2012</w:t>
            </w:r>
            <w:r>
              <w:rPr>
                <w:rFonts w:ascii="Arial" w:cs="Arial" w:eastAsia="Arial" w:hAnsi="Arial"/>
                <w:sz w:val="22"/>
                <w:szCs w:val="22"/>
                <w:color w:val="auto"/>
                <w:w w:val="85"/>
                <w:vertAlign w:val="superscript"/>
              </w:rPr>
              <w:t>(1)</w:t>
            </w: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1"/>
                <w:szCs w:val="11"/>
                <w:color w:val="auto"/>
              </w:rPr>
              <w:t>(2)</w:t>
            </w: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Undergraduate degree</w:t>
            </w:r>
          </w:p>
        </w:tc>
        <w:tc>
          <w:tcPr>
            <w:tcW w:w="740" w:type="dxa"/>
            <w:vAlign w:val="bottom"/>
          </w:tcPr>
          <w:p>
            <w:pPr>
              <w:jc w:val="right"/>
              <w:spacing w:after="0"/>
              <w:rPr>
                <w:sz w:val="20"/>
                <w:szCs w:val="20"/>
                <w:color w:val="auto"/>
              </w:rPr>
            </w:pPr>
            <w:r>
              <w:rPr>
                <w:rFonts w:ascii="Arial" w:cs="Arial" w:eastAsia="Arial" w:hAnsi="Arial"/>
                <w:sz w:val="18"/>
                <w:szCs w:val="18"/>
                <w:color w:val="auto"/>
              </w:rPr>
              <w:t>33,342</w:t>
            </w:r>
          </w:p>
        </w:tc>
        <w:tc>
          <w:tcPr>
            <w:tcW w:w="6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62.3%</w:t>
            </w:r>
          </w:p>
        </w:tc>
        <w:tc>
          <w:tcPr>
            <w:tcW w:w="760" w:type="dxa"/>
            <w:vAlign w:val="bottom"/>
          </w:tcPr>
          <w:p>
            <w:pPr>
              <w:jc w:val="right"/>
              <w:spacing w:after="0"/>
              <w:rPr>
                <w:sz w:val="20"/>
                <w:szCs w:val="20"/>
                <w:color w:val="auto"/>
              </w:rPr>
            </w:pPr>
            <w:r>
              <w:rPr>
                <w:rFonts w:ascii="Arial" w:cs="Arial" w:eastAsia="Arial" w:hAnsi="Arial"/>
                <w:sz w:val="18"/>
                <w:szCs w:val="18"/>
                <w:color w:val="auto"/>
              </w:rPr>
              <w:t>28,224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5"/>
              </w:rPr>
              <w:t>2012</w:t>
            </w:r>
            <w:r>
              <w:rPr>
                <w:rFonts w:ascii="Arial" w:cs="Arial" w:eastAsia="Arial" w:hAnsi="Arial"/>
                <w:sz w:val="22"/>
                <w:szCs w:val="22"/>
                <w:color w:val="auto"/>
                <w:w w:val="85"/>
                <w:vertAlign w:val="superscript"/>
              </w:rPr>
              <w:t>(1)</w:t>
            </w: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46,258</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41,229</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7,301</w:t>
            </w:r>
          </w:p>
        </w:tc>
        <w:tc>
          <w:tcPr>
            <w:tcW w:w="6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13.6%</w:t>
            </w:r>
          </w:p>
        </w:tc>
        <w:tc>
          <w:tcPr>
            <w:tcW w:w="760" w:type="dxa"/>
            <w:vAlign w:val="bottom"/>
          </w:tcPr>
          <w:p>
            <w:pPr>
              <w:jc w:val="right"/>
              <w:spacing w:after="0"/>
              <w:rPr>
                <w:sz w:val="20"/>
                <w:szCs w:val="20"/>
                <w:color w:val="auto"/>
              </w:rPr>
            </w:pPr>
            <w:r>
              <w:rPr>
                <w:rFonts w:ascii="Arial" w:cs="Arial" w:eastAsia="Arial" w:hAnsi="Arial"/>
                <w:sz w:val="18"/>
                <w:szCs w:val="18"/>
                <w:color w:val="auto"/>
              </w:rPr>
              <w:t>5,049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Enrollment at March 31, 2013 and 2012 represents individual students who attended a course during the last two months of the calendar quarter.</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3,329 and 2,221 students pursuing doctoral degrees at March 31, 2013 and 2012, respectively.</w:t>
      </w:r>
    </w:p>
    <w:p>
      <w:pPr>
        <w:spacing w:after="0" w:line="8" w:lineRule="exact"/>
        <w:rPr>
          <w:rFonts w:ascii="Arial" w:cs="Arial" w:eastAsia="Arial" w:hAnsi="Arial"/>
          <w:sz w:val="22"/>
          <w:szCs w:val="22"/>
          <w:color w:val="auto"/>
          <w:vertAlign w:val="superscript"/>
        </w:rPr>
      </w:pPr>
    </w:p>
    <w:p>
      <w:pPr>
        <w:ind w:left="460" w:hanging="452"/>
        <w:spacing w:after="0" w:line="217" w:lineRule="auto"/>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As of March 31, 2013 and 2012, 42.2% and 42.5%, respectively, of our online and professional studies students were pursuing graduate degrees.</w:t>
      </w:r>
    </w:p>
    <w:p>
      <w:pPr>
        <w:spacing w:after="0" w:line="8"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both our traditional on-campus ground students, as well as our professional studies students.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2012. During the three months ended March 31, 2013, there have been no significant changes in our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the University has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University previously reported costs related to our admissions advisory personnel in selling and promotional on our Consolidated Income Statement. Effective during the first quarter of 2013, the University began separating admissions advisory and related expenses from advertising, and marketing and promotional expenses on our Consolidated Income Statement as “admissions advisory and related.” Based on the operational changes discussed above, the University believes the disaggregation of admissions personnel and related costs from advertising, and marketing and promotional expenses provides more meaningful information and is consistent with changes recently made by a number of other regionally accredited for-profit universities. This expense category includes salaries and benefits for admissions advisory personnel and, revenue share expense as well as an allocation of depreciation, amortization, rent and occupancy costs attributable to the admissions advisory personnel.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As discussed above the University previously reported advertising costs in selling and promotional on our Consolidated Income Statement. Effective during the first quarter of 2013, the University began separating advertising expenses from admissions advisory and related expenses, and marketing and promotional expenses on our Consolidated Income Statement as “advertising.” Advertising costs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University previously reported costs related to our marketing and promotional expenses in selling and promotional on our Consolidated Income Statement. Effective during the first quarter of 2013, the University began separating marketing and promotional expenses from admissions advisory and related expenses and advertising expenses on our Consolidated Income Statement as “marketing and promotional.” This expense category includes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reclassified our operating expenses for prior periods to conform to the above disaggregation and revisions to our presentation. There were no changes to total operating expenses or operating income as a result of these reclassifications.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key trends, developments and challenges facing the University are disclosed in our Annual Report on Form 10-K for the fiscal year ended December 31, 2012. Except as noted below, during the three months ended March 31, 2013, there have been no significant changes in these trends. See Item 7, “Management’s Discussion and Analysis of Financial Condition and Results of Operations – Key Trends, Developments and Challenges” in our Annual Report on Form 10-K for our fiscal year ended December 31, 2012, which is incorporated herein by reference. Recent developments and challenges include: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Congressional Action and Financial Aid Funding</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January 1, 2013, Congress passed the American Taxpayer Relief Act of 2012 (ATRA), delaying sequestration of many federal programs until March 1, 2013, including a potential 7.6% cut to campus-based aid programs such as Federal Supplemental Opportunity Grant (FSEOG). Additionally, ATRA extended the American Opportunity Tax Credit for five years, temporarily extended deductions for qualified tuition and related educational expenses for two years and permanently extended the deduction for student loan interest.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Congress did not take the additional measures necessary to avoid sequestration, which took effect on March 1, 2013. While sequestration has no impact on 2012-2013 FSEOG funds, a reduction of the FSEOG allocation is anticipated for all participating institutions for the 2013-2014 award year, which begins on July 1, 2013. The Pell Grant program is specifically exempted for one year from the effects of sequestration. For the 2012-2013 and 2013-2014 award years, Pell Grant amounts remain in effect without any changes. It is unknown whether Congress will make changes to the Pell Grant for later award years.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Sequestration also imposed an immediate increase to the loan fee rate charged to borrowers utilizing the Federal Direct Loan program. In particular, Direct Subsidized or Direct Unsubsidized Loan fees will increase from 1.0 percent of the principal amount of the loan to 1.051 percent, while Direct PLUS Loan fees for parent borrowers will increase from 4.0 percent to 4.204 percent</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5, 2013, the Department of Education (ED) determined that the increased loan fee percentages must be applied to any loan disbursement for a loan where the first disbursement of the loan will be made on or after July 1, 2013. Loans issued prior to July 1, 2013 have been advised to continue to award and disburse Direct Loans using the pre-sequester loan fee amounts. When implemented in July 1, 2013, we anticipate that our students will cover this nominal loss of loan proceeds with other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Various legislative proposals have been recently introduced in Congress:</w:t>
      </w:r>
    </w:p>
    <w:p>
      <w:pPr>
        <w:spacing w:after="0" w:line="90" w:lineRule="exact"/>
        <w:rPr>
          <w:sz w:val="20"/>
          <w:szCs w:val="20"/>
          <w:color w:val="auto"/>
        </w:rPr>
      </w:pPr>
    </w:p>
    <w:p>
      <w:pPr>
        <w:ind w:left="9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January 23, 2013, the Protecting Our Students and Taxpayers Act was introduced in the U.S. Senate, seeking to amend the 90/10 Rule. If adopted, this legislation would reduce the 90% threshold to the pre-1998 level of 85%, cause tuition revenues derived from military benefit programs to be included in the 85% portion under the rule instead of the non-federal 10% portion and impose Title IV ineligibility after one year of noncompliance rather than two.</w:t>
      </w:r>
    </w:p>
    <w:p>
      <w:pPr>
        <w:spacing w:after="0" w:line="62"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on January 23, 2013, the Know Before You Owe Private Student Loan Act of 2013 was reintroduced and referred to committee. The bill seeks to further regulate student loan advisement.</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January 24, 2013, the “Protecting Financial Aid for Students and Taxpayers Act” was introduced in the U.S. House of Representatives. This bill would prohibit institutions of higher education from using federal education funds in marketing and recruiting. This bill was introduced in the Senate on March 12, 2013.</w:t>
      </w:r>
    </w:p>
    <w:p>
      <w:pPr>
        <w:spacing w:after="0" w:line="59"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5, 2013, the America Works Act was referred to a Congressional committee. This bill would encourage certain Federal job training and career education funding programs, such as the Workforce Investment Act and the Carl D. Perkins Career and Technical Education Act, to give priority to programs that lead to an industry-recognized and nationally portable postsecondary credential.</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28, 2013, the Students First Act of 2013 was referred to a Congressional committee. This bill seeks to amend the Higher Education Act of 1965, by modifying and formalizing program review requirements, establishing additional criteria for ED to perform a mandatory school review. In addition, this bill also establishes higher penalties for instances of regulatory noncompliance, including the automatic termination of Title IV eligibility.</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Congressional activity could result in the enactment of more stringent legislation by Congress, further rulemakings affecting participation in Title IV Programs and other governmental actions, increasing regulation of the for-profit sector. Action by Congress may also increase our administrative costs and require us to modify our practices in order for our institution to comply with Title IV Program requirements. We will continue to monitor Congressional activity for any impact to our business.</w:t>
      </w:r>
    </w:p>
    <w:p>
      <w:pPr>
        <w:spacing w:after="0" w:line="14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i w:val="1"/>
          <w:iCs w:val="1"/>
          <w:color w:val="auto"/>
        </w:rPr>
        <w:t xml:space="preserve">Announcement of New Rulemaking by the U.S. Department of Education. </w:t>
      </w:r>
      <w:r>
        <w:rPr>
          <w:rFonts w:ascii="Arial" w:cs="Arial" w:eastAsia="Arial" w:hAnsi="Arial"/>
          <w:sz w:val="16"/>
          <w:szCs w:val="16"/>
          <w:color w:val="auto"/>
        </w:rPr>
        <w:t>On April 15, 2013 the Department announced its intent to establish a negotiated</w:t>
      </w:r>
      <w:r>
        <w:rPr>
          <w:rFonts w:ascii="Arial" w:cs="Arial" w:eastAsia="Arial" w:hAnsi="Arial"/>
          <w:sz w:val="16"/>
          <w:szCs w:val="16"/>
          <w:i w:val="1"/>
          <w:iCs w:val="1"/>
          <w:color w:val="auto"/>
        </w:rPr>
        <w:t xml:space="preserve"> </w:t>
      </w:r>
      <w:r>
        <w:rPr>
          <w:rFonts w:ascii="Arial" w:cs="Arial" w:eastAsia="Arial" w:hAnsi="Arial"/>
          <w:sz w:val="16"/>
          <w:szCs w:val="16"/>
          <w:color w:val="auto"/>
        </w:rPr>
        <w:t>rulemaking committee covering the following areas: Title IV Federal Student Aid; changes to the definition of “adverse credit” for borrowers in the Federal Direct PLUS Loan program; state authorization pertaining to distance and correspondence education; state authorization for foreign locations of institutions; clock-to-credit hour conversions; gainful employment; and changes made to the Violence Against Women Act. The Department announced it will hold three public hearings in May 2013 for interested parties to provide comments on these topics with negotiations beginning in September 2013. The Department indicated that this proposed rulemaking would be part of a series of rulemakings to achieve a long-term agenda in higher education focused on: access, affordability, academic quality and completion. Any rulemaking committees that are established and begin negotiations in September 2013 will not likely meet the November 1, 2013 publication deadline for a July 1, 2014 effective date. Therefore, the earliest effective date for regulations coming out of this round of rulemaking would be July 1, 2015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Industry-related Judicial Outcomes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19, 2013, the U.S. District Court for the District of Columbia denied the Department of Education’s motion for the court to amend its earlier judgment to vacate certain rules related to gainful employment. The Department of Education had sought a reinstatement of the “debt measures” to determine whether programs are in fact preparing their students for gainful employment, which had been invalidated in the summer of 2012. Those measures required detailed data reporting by schools for use by the Department of Education to examine the income earned and debt repaid by students, and required institutions to meet at least one of three benchmarks in order to remain eligible to receive federal student aid. The court upheld the decision to vacate those requirements. The Department of Education officials are currently evaluating the court’s decision and determining next steps, if any, to be taken. Because of the significance of this regulation, and the basis on which the District Court made its decision, it is possible the Department of Education will appeal the full decision to the U.S. Court of Appeals for the District of Columbia Circuit.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84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9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9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Compared to Three Months Ended March 31, 2012</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quarter ended March 31, 2013 was $142.0 million, an increase of $24.9 million, or 21.3%, as compared to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$117.1 million for the quarter ended March 31, 2012. This increase was primarily due to an increase in ground and online enrollment and, to a lesser extent, increases in the average tuition per student as a result of improved retention, selective tuition price increases and an increase in room and board and other student fees, partially offset by an increase in institutional scholarships. End-of-period enrollment increased 15.7% between March 31, 2013 and March 31, 2012, as ground enrollment increased 44.6%, and online enrollment increased 12.2%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for students from traditional colleges and universities as such institutions, including those with well-established reputations for excellence, increasingly seek to provide alternative learning modalities.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March 31, 2013 were $60.0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$9.2 million, or 18.0%, as compared to instructional costs and services expenses of $50.8 million for the quarter ended March 31, 2012. This increase was primarily due to increases in employee compensation and related expenses, faculty compensation, instructional supplies, depreciation and amortization, bad debt expense and other instructional compensation and related expenses, of $3.0 million, $1.9 million, $1.3 million, $1.0 million, $0.8 million and $1.2 million, respectively. The increase in employee compensation and related expenses and faculty compensation are primarily due to the increase in the number of staff to support the increasing number of students attending the University. In addition, we have incurred an increase in medical and other benefit costs between years. The increase in depreciation and amortization is the result of us placing into service two additional dormitories, an Arts and Sciences classroom building, and a parking garage for our ground traditional campus in the Fall of 2012. The increase in instructional supplies is primarily due to increased licensing fees related to educational resources, increased food costs due to increased food revenues and miscellaneous costs associated with curriculum and the continued development of new and enhanced innovative educational tools and new educational programs. Our instructional costs and services expenses as a percentage of net revenues decreased by 1.2% to 42.2% for the quarter ended March 31, 2013, as compared to 43.4% for the quarter ended March 31, 2012 primarily due to our ability to leverage our employees and the fixed costs structure of our campus-based facilities and ground faculty across an increasing revenue base. Bad debt expense was at 3.5% of net revenues in both the first quarter of 2013 and 2012.</w:t>
      </w:r>
    </w:p>
    <w:p>
      <w:pPr>
        <w:sectPr>
          <w:pgSz w:w="11900" w:h="16838" w:orient="portrait"/>
          <w:cols w:equalWidth="0" w:num="1">
            <w:col w:w="11380"/>
          </w:cols>
          <w:pgMar w:left="240" w:top="459" w:right="279" w:bottom="1440" w:gutter="0" w:footer="0" w:header="0"/>
        </w:sectPr>
      </w:pP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quarter ended March 31, 2013 were $23.0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$3.0 million, or 15.0%, as compared to admissions advisory and related expenses of $20.0 million for the quarter ended March 31, 2012. This increase is primarily the result of increases in employee compensation and revenue share expense of $2.2 million and $0.4 million, respectively. The increase in employee compensation and related expenses is primarily due to increased headcount and an increase in medical and other benefit costs between years. Our admissions advisory and related expenses decreased 0.9% to 16.2% for the quarter ended March 31, 2013, from 17.1% for the quarter ended March 31, 2012 primarily due to our ability to leverage our employees across an increasing revenue base.</w:t>
      </w:r>
    </w:p>
    <w:p>
      <w:pPr>
        <w:spacing w:after="0" w:line="12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quarter ended March 31, 2013 were $15.9 million, an increase of $2.3 million, or 16.8%,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$13.6 million for the quarter ended March 31, 2012. This increase is primarily the result of increased brand advertising focused on the southwest region. Our advertising expenses as a percentage of net revenue decreased by 0.4% to 11.2% for the quarter ended March 31, 2013, from 11.6% for the quarter ended March 31,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quarter ended March 31, 2013 were $1.4 million,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$0.5 million, or 54.5%, as compared to marketing and promotional expenses of $0.9 million for the quarter ended March 31, 2012. This increase is primarily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increases in employee compensation and other promotional activities of $0.2 million and $0.2 million, respectively. Our marketing and promotional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percentage of net revenue increased by 0.2% to 1.0% for the quarter ended March 31, 2013, from 0.8% for the quarter ended March 31, 2012.</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March 31, 2013 were $8.1 million, an increase of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6.7%, as compared to general and administrative expenses of $7.5 million for the quarter ended March 31, 2012. This increase was primarily due to increases in employee compensation and related expenses of $0.5 million due primarily to increased headcount to support our increasing number of students and increased medical and other benefit costs. Our general and administrative expenses as a percentage of net revenue decreased by 0.7% to 5.7% for the quarter ended March 31, 2013, from 6.4% for the quarter ended March 31, 2012. Our costs as a percentage of revenue declined due to our ability to leverage the fixed costs structure of our general and administrative expenses across an increasing revenue base.</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quarter ended March 31, 2013 were $0.7 million, an increase of $0.5 million, as compared to interest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$0.2 million for the quarter ended March 31, 2013. This increase was primarily due to the expansion of our credit facility in December 2012.</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income and other income</w:t>
      </w:r>
      <w:r>
        <w:rPr>
          <w:rFonts w:ascii="Arial" w:cs="Arial" w:eastAsia="Arial" w:hAnsi="Arial"/>
          <w:sz w:val="18"/>
          <w:szCs w:val="18"/>
          <w:color w:val="auto"/>
        </w:rPr>
        <w:t>. Interest income and other income for the quarter ended March 31, 2013 were $2.2 million, an increase of $2.2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nil in the quarter ended March 31, 2012. The increase was primarily due to the proceeds received from settlement of the note receivable in the first quarter of 2013, which resulted in a $2.2 million gain for the quarter ended March 31, 2013.</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March 31, 2013 was $14.2 million, an increase of $4.7 million, or 49.0%,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expense of $9.5 million for the quarter ended March 31, 2012. Our effective tax rate was 40.4% during the first quarter of 2013 compared to 39.7% during the first quarter of 2012. The increase in the effective tax rate was primarily due to non-recurring tax items.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March 31, 2013 was $20.9 million, an increase of $6.4 million, as compared to $14.5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2012, due to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continue to increase the number of ground traditional students during the next few years.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three months ended March 31, 2013 and 2012 primarily through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Our unrestricted cash and cash equivalents were $127.7 million and $105.1 million at March 31, 2013 and December 31, 2012, respectively. Our restricted cash and cash equivalents at March 31, 2013 and December 31, 2012 were $49.9 million and $56.2 million, respectively.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$50.0 million revolving line of credit as of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$25.0 million ($75.0 million total) of common stock, from time to time, depending on market conditions and other considerations. The Board of Directors also extended the expiration date on the repurchase authorization to September 30, 2014. Repurchases occur at the University’s discretion.</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Between the approval of the initial share repurchase plan and March 31, 2013, the University has purchased 2,624,977 shares of common shock shares at an aggregate cost of $44.2 million which includes 215,187 shares of common stock during the three months ended March 31, 2013 at an aggregate cost of $5.1 million. At March 31, 2013, there remains $5.8 million available under our previous share repurchase authorization, which totaled $50.0 million at March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three months ended March 31, 2013 was $31.7 million as compared to $50.8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2012. The decrease in cash generated from operating activities between the three months ended March 31, 2012 and the three months ended March 31, 2013 is primarily due to the timing of income tax and employee related payments.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$10.8 million and $16.9 million for the three months ended March 31,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property and equipment and short-term investments, partially offset by proceeds received from the settlement of a note receivable. Capital expenditures were $14.7 million and $16.9 million for the three months ended March 31, 2013 and 2012, respectively. In 2013, capital expenditures primarily consisted of ground campus building projects such as the construction costs of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2012, capital expenditures primarily consisted of construction costs associated with two additional dormitories, an Arts and Science classroom building, a remodel of our student union and a parking garage as well as purchases of computer equipment, other internal use software projects and furniture and equipment.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$1.7 million and $1.5 million for the three months ended March 31,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first three months of 2013 proceeds from the exercise of stock options of $5.9 million and excess tax benefits from share-based compensation of $3.5 million were partially offset by $6.0 million used to purchase treasury stock in accordance with the University’s share repurchase program and principal payments on notes payable and capital leases totaled $1.7 million. During the first three months of 2012 proceeds from the exercise of stock options of $2.3 million were partially offset by principal payments on notes payable and capital lease obligations of $0.8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as of March 31, 2013,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9"/>
              </w:rPr>
              <w:t>1 Year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More than</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96"/>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April 1, 2013 through December 31, 2013.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three months ended March 31, 2013 or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16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 On June 30, 2009 and February 27, 2013, respectively, we entered into an interest rate swap and an interest rate corridor to manage our 30 Day</w:t>
      </w:r>
      <w:r>
        <w:rPr>
          <w:rFonts w:ascii="Arial" w:cs="Arial" w:eastAsia="Arial" w:hAnsi="Arial"/>
          <w:sz w:val="15"/>
          <w:szCs w:val="15"/>
          <w:i w:val="1"/>
          <w:iCs w:val="1"/>
          <w:color w:val="auto"/>
        </w:rPr>
        <w:t xml:space="preserve"> </w:t>
      </w:r>
      <w:r>
        <w:rPr>
          <w:rFonts w:ascii="Arial" w:cs="Arial" w:eastAsia="Arial" w:hAnsi="Arial"/>
          <w:sz w:val="15"/>
          <w:szCs w:val="15"/>
          <w:color w:val="auto"/>
        </w:rPr>
        <w:t>LIBOR interest exposure from the variable rate debt we incurred in connection with the repurchase of shares of our common stock and the land and buildings that comprise our ground campus, which debt matures in December 2019. The corridor instrument, which hedges variable interest rate risk starting March 1, 2013 through December 20, 2019 with a notional amount of $88.8 million as of March 31, 2013,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 The interest rate swap commenced on May 1, 2010, continues each month thereafter until April 30, 2014, and has a notional amount of $9.6 million as of March 31, 2013. Under this arrangement, we will receive 30 Day LIBOR and pay 3.245% fixed rate on the amortizing notional amount plus the credit spread.</w:t>
      </w:r>
    </w:p>
    <w:p>
      <w:pPr>
        <w:spacing w:after="0" w:line="10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 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2013, a 10% increase or decrease in interest rates would not have a material impact on our future earnings, fair values, or cash flows. For information regarding our variable rate debt, see “Market risk”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$25.0 million ($75.0 million)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March 31, 2013, we repurchased 215,187 shares of our common stock at an aggregate cost of $5.1 million. At March 31, 2013, there remains $5.8 million available under our previous share repurchase authorization, which totaled $50.0 million at March 31, 2013.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first quarter of fiscal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180" w:type="dxa"/>
            <w:vAlign w:val="bottom"/>
            <w:vMerge w:val="restart"/>
          </w:tcPr>
          <w:p>
            <w:pPr>
              <w:spacing w:after="0"/>
              <w:rPr>
                <w:sz w:val="12"/>
                <w:szCs w:val="12"/>
                <w:color w:val="auto"/>
              </w:rPr>
            </w:pP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170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12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85"/>
              </w:rPr>
              <w:t>Per Share</w:t>
            </w:r>
          </w:p>
        </w:tc>
        <w:tc>
          <w:tcPr>
            <w:tcW w:w="18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90"/>
              </w:rPr>
              <w:t>Program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2013 – January 31, 2013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64,136</w:t>
            </w:r>
          </w:p>
        </w:tc>
        <w:tc>
          <w:tcPr>
            <w:tcW w:w="6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22.74</w:t>
            </w:r>
          </w:p>
        </w:tc>
        <w:tc>
          <w:tcPr>
            <w:tcW w:w="6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64,136</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9,406,000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February 1, 2013 – February 28, 2013</w:t>
            </w:r>
          </w:p>
        </w:tc>
        <w:tc>
          <w:tcPr>
            <w:tcW w:w="1040" w:type="dxa"/>
            <w:vAlign w:val="bottom"/>
          </w:tcPr>
          <w:p>
            <w:pPr>
              <w:jc w:val="right"/>
              <w:spacing w:after="0"/>
              <w:rPr>
                <w:sz w:val="20"/>
                <w:szCs w:val="20"/>
                <w:color w:val="auto"/>
              </w:rPr>
            </w:pPr>
            <w:r>
              <w:rPr>
                <w:rFonts w:ascii="Arial" w:cs="Arial" w:eastAsia="Arial" w:hAnsi="Arial"/>
                <w:sz w:val="18"/>
                <w:szCs w:val="18"/>
                <w:color w:val="auto"/>
              </w:rPr>
              <w:t>55,000</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24.38</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2013 – March 31,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96,051</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23.63</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215,187</w:t>
            </w:r>
          </w:p>
        </w:tc>
        <w:tc>
          <w:tcPr>
            <w:tcW w:w="66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23.56</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215,187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9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5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4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08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508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5080" w:type="dxa"/>
            <w:vAlign w:val="bottom"/>
          </w:tcPr>
          <w:p>
            <w:pPr>
              <w:spacing w:after="0"/>
              <w:rPr>
                <w:sz w:val="20"/>
                <w:szCs w:val="20"/>
                <w:color w:val="auto"/>
              </w:rPr>
            </w:pPr>
            <w:r>
              <w:rPr>
                <w:rFonts w:ascii="Arial" w:cs="Arial" w:eastAsia="Arial" w:hAnsi="Arial"/>
                <w:sz w:val="18"/>
                <w:szCs w:val="18"/>
                <w:color w:val="auto"/>
                <w:w w:val="91"/>
              </w:rPr>
              <w:t>Amended and Restated Investor Rights Agreement, dated September</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parties named therein.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tcPr>
          <w:p>
            <w:pPr>
              <w:spacing w:after="0"/>
              <w:rPr>
                <w:sz w:val="20"/>
                <w:szCs w:val="20"/>
                <w:color w:val="auto"/>
              </w:rPr>
            </w:pPr>
            <w:r>
              <w:rPr>
                <w:rFonts w:ascii="Arial" w:cs="Arial" w:eastAsia="Arial" w:hAnsi="Arial"/>
                <w:sz w:val="18"/>
                <w:szCs w:val="18"/>
                <w:color w:val="auto"/>
                <w:w w:val="91"/>
              </w:rPr>
              <w:t>Executive Employment Agreement, dated September 7, 2012, by and</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0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08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Rules 13a-14(a) and</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15d-14(a), as adopted pursuant to Section 302 of the Sarbanes-Oxley</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0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0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22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43" w:lineRule="exact"/>
        <w:rPr>
          <w:sz w:val="20"/>
          <w:szCs w:val="20"/>
          <w:color w:val="auto"/>
        </w:rPr>
      </w:pPr>
    </w:p>
    <w:p>
      <w:pPr>
        <w:sectPr>
          <w:pgSz w:w="11900" w:h="16838" w:orient="portrait"/>
          <w:cols w:equalWidth="0" w:num="2">
            <w:col w:w="6000" w:space="340"/>
            <w:col w:w="5060"/>
          </w:cols>
          <w:pgMar w:left="240" w:top="459" w:right="259" w:bottom="1440" w:gutter="0" w:footer="0" w:header="0"/>
        </w:sect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 w:lineRule="exact"/>
        <w:rPr>
          <w:sz w:val="20"/>
          <w:szCs w:val="20"/>
          <w:color w:val="auto"/>
        </w:rPr>
      </w:pPr>
    </w:p>
    <w:p>
      <w:pPr>
        <w:ind w:left="4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7740" w:type="dxa"/>
            <w:vAlign w:val="bottom"/>
            <w:gridSpan w:val="2"/>
          </w:tcPr>
          <w:p>
            <w:pPr>
              <w:ind w:left="2380"/>
              <w:spacing w:after="0"/>
              <w:rPr>
                <w:sz w:val="20"/>
                <w:szCs w:val="20"/>
                <w:color w:val="auto"/>
              </w:rPr>
            </w:pPr>
            <w:r>
              <w:rPr>
                <w:rFonts w:ascii="Arial" w:cs="Arial" w:eastAsia="Arial" w:hAnsi="Arial"/>
                <w:sz w:val="18"/>
                <w:szCs w:val="18"/>
                <w:b w:val="1"/>
                <w:bCs w:val="1"/>
                <w:color w:val="auto"/>
              </w:rPr>
              <w:t>GRAND CANYON EDUCATION, INC.</w:t>
            </w:r>
          </w:p>
        </w:tc>
      </w:tr>
      <w:tr>
        <w:trPr>
          <w:trHeight w:val="394"/>
        </w:trPr>
        <w:tc>
          <w:tcPr>
            <w:tcW w:w="3480" w:type="dxa"/>
            <w:vAlign w:val="bottom"/>
          </w:tcPr>
          <w:p>
            <w:pPr>
              <w:spacing w:after="0"/>
              <w:rPr>
                <w:sz w:val="20"/>
                <w:szCs w:val="20"/>
                <w:color w:val="auto"/>
              </w:rPr>
            </w:pPr>
            <w:r>
              <w:rPr>
                <w:rFonts w:ascii="Arial" w:cs="Arial" w:eastAsia="Arial" w:hAnsi="Arial"/>
                <w:sz w:val="18"/>
                <w:szCs w:val="18"/>
                <w:color w:val="auto"/>
              </w:rPr>
              <w:t>Date: May 7, 2013</w:t>
            </w:r>
          </w:p>
        </w:tc>
        <w:tc>
          <w:tcPr>
            <w:tcW w:w="7740" w:type="dxa"/>
            <w:vAlign w:val="bottom"/>
            <w:gridSpan w:val="2"/>
          </w:tcPr>
          <w:p>
            <w:pPr>
              <w:ind w:left="2920"/>
              <w:spacing w:after="0"/>
              <w:rPr>
                <w:sz w:val="20"/>
                <w:szCs w:val="20"/>
                <w:color w:val="auto"/>
              </w:rPr>
            </w:pPr>
            <w:r>
              <w:rPr>
                <w:rFonts w:ascii="Arial" w:cs="Arial" w:eastAsia="Arial" w:hAnsi="Arial"/>
                <w:sz w:val="18"/>
                <w:szCs w:val="18"/>
                <w:color w:val="auto"/>
              </w:rPr>
              <w:t>By: /s/ Daniel E. Bachus</w:t>
            </w:r>
          </w:p>
        </w:tc>
      </w:tr>
      <w:tr>
        <w:trPr>
          <w:trHeight w:val="20"/>
        </w:trPr>
        <w:tc>
          <w:tcPr>
            <w:tcW w:w="3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r>
        <w:trPr>
          <w:trHeight w:val="228"/>
        </w:trPr>
        <w:tc>
          <w:tcPr>
            <w:tcW w:w="3480" w:type="dxa"/>
            <w:vAlign w:val="bottom"/>
          </w:tcPr>
          <w:p>
            <w:pPr>
              <w:spacing w:after="0"/>
              <w:rPr>
                <w:sz w:val="19"/>
                <w:szCs w:val="19"/>
                <w:color w:val="auto"/>
              </w:rPr>
            </w:pPr>
          </w:p>
        </w:tc>
        <w:tc>
          <w:tcPr>
            <w:tcW w:w="7740" w:type="dxa"/>
            <w:vAlign w:val="bottom"/>
            <w:gridSpan w:val="2"/>
          </w:tcPr>
          <w:p>
            <w:pPr>
              <w:ind w:left="2920"/>
              <w:spacing w:after="0"/>
              <w:rPr>
                <w:sz w:val="20"/>
                <w:szCs w:val="20"/>
                <w:color w:val="auto"/>
              </w:rPr>
            </w:pPr>
            <w:r>
              <w:rPr>
                <w:rFonts w:ascii="Arial" w:cs="Arial" w:eastAsia="Arial" w:hAnsi="Arial"/>
                <w:sz w:val="18"/>
                <w:szCs w:val="18"/>
                <w:color w:val="auto"/>
              </w:rPr>
              <w:t>Daniel E. Bachus</w:t>
            </w:r>
          </w:p>
        </w:tc>
      </w:tr>
      <w:tr>
        <w:trPr>
          <w:trHeight w:val="216"/>
        </w:trPr>
        <w:tc>
          <w:tcPr>
            <w:tcW w:w="3480" w:type="dxa"/>
            <w:vAlign w:val="bottom"/>
          </w:tcPr>
          <w:p>
            <w:pPr>
              <w:spacing w:after="0"/>
              <w:rPr>
                <w:sz w:val="18"/>
                <w:szCs w:val="18"/>
                <w:color w:val="auto"/>
              </w:rPr>
            </w:pPr>
          </w:p>
        </w:tc>
        <w:tc>
          <w:tcPr>
            <w:tcW w:w="7740" w:type="dxa"/>
            <w:vAlign w:val="bottom"/>
            <w:gridSpan w:val="2"/>
          </w:tcPr>
          <w:p>
            <w:pPr>
              <w:ind w:left="2920"/>
              <w:spacing w:after="0"/>
              <w:rPr>
                <w:sz w:val="20"/>
                <w:szCs w:val="20"/>
                <w:color w:val="auto"/>
              </w:rPr>
            </w:pPr>
            <w:r>
              <w:rPr>
                <w:rFonts w:ascii="Arial" w:cs="Arial" w:eastAsia="Arial" w:hAnsi="Arial"/>
                <w:sz w:val="18"/>
                <w:szCs w:val="18"/>
                <w:color w:val="auto"/>
              </w:rPr>
              <w:t>Chief Financial Officer</w:t>
            </w:r>
          </w:p>
        </w:tc>
      </w:tr>
      <w:tr>
        <w:trPr>
          <w:trHeight w:val="222"/>
        </w:trPr>
        <w:tc>
          <w:tcPr>
            <w:tcW w:w="3480" w:type="dxa"/>
            <w:vAlign w:val="bottom"/>
          </w:tcPr>
          <w:p>
            <w:pPr>
              <w:spacing w:after="0"/>
              <w:rPr>
                <w:sz w:val="19"/>
                <w:szCs w:val="19"/>
                <w:color w:val="auto"/>
              </w:rPr>
            </w:pPr>
          </w:p>
        </w:tc>
        <w:tc>
          <w:tcPr>
            <w:tcW w:w="7740" w:type="dxa"/>
            <w:vAlign w:val="bottom"/>
            <w:gridSpan w:val="2"/>
          </w:tcPr>
          <w:p>
            <w:pPr>
              <w:ind w:left="29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78"/>
        </w:trPr>
        <w:tc>
          <w:tcPr>
            <w:tcW w:w="3480" w:type="dxa"/>
            <w:vAlign w:val="bottom"/>
          </w:tcPr>
          <w:p>
            <w:pPr>
              <w:spacing w:after="0"/>
              <w:rPr>
                <w:sz w:val="24"/>
                <w:szCs w:val="24"/>
                <w:color w:val="auto"/>
              </w:rPr>
            </w:pPr>
          </w:p>
        </w:tc>
        <w:tc>
          <w:tcPr>
            <w:tcW w:w="3220" w:type="dxa"/>
            <w:vAlign w:val="bottom"/>
          </w:tcPr>
          <w:p>
            <w:pPr>
              <w:ind w:left="2140"/>
              <w:spacing w:after="0"/>
              <w:rPr>
                <w:sz w:val="20"/>
                <w:szCs w:val="20"/>
                <w:color w:val="auto"/>
              </w:rPr>
            </w:pPr>
            <w:r>
              <w:rPr>
                <w:rFonts w:ascii="Arial" w:cs="Arial" w:eastAsia="Arial" w:hAnsi="Arial"/>
                <w:sz w:val="18"/>
                <w:szCs w:val="18"/>
                <w:color w:val="auto"/>
              </w:rPr>
              <w:t>29</w:t>
            </w:r>
          </w:p>
        </w:tc>
        <w:tc>
          <w:tcPr>
            <w:tcW w:w="45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INDEX</w:t>
      </w:r>
    </w:p>
    <w:p>
      <w:pPr>
        <w:sectPr>
          <w:pgSz w:w="11900" w:h="16838" w:orient="portrait"/>
          <w:cols w:equalWidth="0" w:num="1">
            <w:col w:w="11400"/>
          </w:cols>
          <w:pgMar w:left="240" w:top="459" w:right="25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9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5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4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08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508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5080" w:type="dxa"/>
            <w:vAlign w:val="bottom"/>
          </w:tcPr>
          <w:p>
            <w:pPr>
              <w:spacing w:after="0"/>
              <w:rPr>
                <w:sz w:val="20"/>
                <w:szCs w:val="20"/>
                <w:color w:val="auto"/>
              </w:rPr>
            </w:pPr>
            <w:r>
              <w:rPr>
                <w:rFonts w:ascii="Arial" w:cs="Arial" w:eastAsia="Arial" w:hAnsi="Arial"/>
                <w:sz w:val="18"/>
                <w:szCs w:val="18"/>
                <w:color w:val="auto"/>
                <w:w w:val="91"/>
              </w:rPr>
              <w:t>Amended and Restated Investor Rights Agreement, dated September</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parties named therein.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tcPr>
          <w:p>
            <w:pPr>
              <w:spacing w:after="0"/>
              <w:rPr>
                <w:sz w:val="20"/>
                <w:szCs w:val="20"/>
                <w:color w:val="auto"/>
              </w:rPr>
            </w:pPr>
            <w:r>
              <w:rPr>
                <w:rFonts w:ascii="Arial" w:cs="Arial" w:eastAsia="Arial" w:hAnsi="Arial"/>
                <w:sz w:val="18"/>
                <w:szCs w:val="18"/>
                <w:color w:val="auto"/>
                <w:w w:val="91"/>
              </w:rPr>
              <w:t>Executive Employment Agreement, dated September 7, 2012, by and</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0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08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Rules 13a-14(a) and</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15d-14(a), as adopted pursuant to Section 302 of the Sarbanes-Oxley</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0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0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224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43" w:lineRule="exact"/>
        <w:rPr>
          <w:sz w:val="20"/>
          <w:szCs w:val="20"/>
          <w:color w:val="auto"/>
        </w:rPr>
      </w:pPr>
    </w:p>
    <w:p>
      <w:pPr>
        <w:sectPr>
          <w:pgSz w:w="11900" w:h="16838" w:orient="portrait"/>
          <w:cols w:equalWidth="0" w:num="2">
            <w:col w:w="6000" w:space="340"/>
            <w:col w:w="5060"/>
          </w:cols>
          <w:pgMar w:left="240" w:top="459" w:right="259" w:bottom="1440" w:gutter="0" w:footer="0" w:header="0"/>
          <w:type w:val="continuous"/>
        </w:sect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 w:lineRule="exact"/>
        <w:rPr>
          <w:sz w:val="20"/>
          <w:szCs w:val="20"/>
          <w:color w:val="auto"/>
        </w:rPr>
      </w:pPr>
    </w:p>
    <w:p>
      <w:pPr>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(Brian Roberts)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August 16, 2012 and is effective as of July 30,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Brian Roberts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 follows:</w:t>
      </w:r>
    </w:p>
    <w:p>
      <w:pPr>
        <w:spacing w:after="0" w:line="194" w:lineRule="exact"/>
        <w:rPr>
          <w:sz w:val="20"/>
          <w:szCs w:val="20"/>
          <w:color w:val="auto"/>
        </w:rPr>
      </w:pPr>
    </w:p>
    <w:p>
      <w:pPr>
        <w:ind w:right="760" w:firstLine="464"/>
        <w:spacing w:after="0" w:line="268"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Senior Vice President, General Counsel and Secretary and shall have the duties and responsibilities reasonably assigned to him from time to time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43" w:lineRule="exact"/>
        <w:rPr>
          <w:sz w:val="20"/>
          <w:szCs w:val="20"/>
          <w:color w:val="auto"/>
        </w:rPr>
      </w:pPr>
    </w:p>
    <w:p>
      <w:pPr>
        <w:ind w:right="160" w:firstLine="913"/>
        <w:spacing w:after="0" w:line="31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Best Efforts/Full-time</w:t>
      </w:r>
      <w:r>
        <w:rPr>
          <w:rFonts w:ascii="Arial" w:cs="Arial" w:eastAsia="Arial" w:hAnsi="Arial"/>
          <w:sz w:val="15"/>
          <w:szCs w:val="15"/>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CEO in advance of Executive’s intent to engage in other paid work and receives the CEO’s express written consent to do so. Notwithstanding the foregoing, Executive will be permitted to serve as an outside director on the board of directors for corporate, civic, nonprofit or charitable entities, so long as Executive obtains the consent of the CEO and provided such entities are not competitive with the Company and subject to the provisions of Section 9.</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Work Location</w:t>
      </w:r>
      <w:r>
        <w:rPr>
          <w:rFonts w:ascii="Arial" w:cs="Arial" w:eastAsia="Arial" w:hAnsi="Arial"/>
          <w:sz w:val="16"/>
          <w:szCs w:val="16"/>
          <w:color w:val="auto"/>
        </w:rPr>
        <w:t>. Executive’s principal place of work shall be located in Phoenix, Arizona, or such other location as the Company may direct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65"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1"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Term</w:t>
      </w:r>
      <w:r>
        <w:rPr>
          <w:rFonts w:ascii="Arial" w:cs="Arial" w:eastAsia="Arial" w:hAnsi="Arial"/>
          <w:sz w:val="16"/>
          <w:szCs w:val="16"/>
          <w:color w:val="auto"/>
        </w:rPr>
        <w:t>. The employment relationship pursuant to this Agreement shall be for an initial term commencing on the Effective Date and continuing for a period of four (4) years following such date (the “</w:t>
      </w:r>
      <w:r>
        <w:rPr>
          <w:rFonts w:ascii="Arial" w:cs="Arial" w:eastAsia="Arial" w:hAnsi="Arial"/>
          <w:sz w:val="16"/>
          <w:szCs w:val="16"/>
          <w:u w:val="single" w:color="auto"/>
          <w:color w:val="auto"/>
        </w:rPr>
        <w:t>Initial Term</w:t>
      </w:r>
      <w:r>
        <w:rPr>
          <w:rFonts w:ascii="Arial" w:cs="Arial" w:eastAsia="Arial" w:hAnsi="Arial"/>
          <w:sz w:val="16"/>
          <w:szCs w:val="16"/>
          <w:color w:val="auto"/>
        </w:rPr>
        <w:t>”), unless sooner terminated in accordance with Section 7.</w:t>
      </w:r>
    </w:p>
    <w:p>
      <w:pPr>
        <w:spacing w:after="0" w:line="8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thirty (30)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1" w:name="page32"/>
    <w:bookmarkEnd w:id="31"/>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effective beginning on the Effective Date the Company shall pay to Executive an initial Base Salary at the rate of Two Hundred and Twenty-Five Thousand Dollars ($225,000) per year, payable in accordance with the normal payroll practices of the Company, less required deductions for state and federal withholding tax, social security and all other employment taxes and payroll deductions. Executive’s Base Salary will be reviewed annually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44"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Executive will be eligible to earn incentive compensation in the form of a semi-annual bonus for each fiscal year of the Company, to be awarded under the Company’s cash incentive plan as then in effect, with a target amount equal to Thirty-Five Thousand Dollars ($35,000) per semi-annual period (the “</w:t>
      </w:r>
      <w:r>
        <w:rPr>
          <w:rFonts w:ascii="Arial" w:cs="Arial" w:eastAsia="Arial" w:hAnsi="Arial"/>
          <w:sz w:val="18"/>
          <w:szCs w:val="18"/>
          <w:u w:val="single" w:color="auto"/>
          <w:color w:val="auto"/>
        </w:rPr>
        <w:t>Target Bonus</w:t>
      </w:r>
      <w:r>
        <w:rPr>
          <w:rFonts w:ascii="Arial" w:cs="Arial" w:eastAsia="Arial" w:hAnsi="Arial"/>
          <w:sz w:val="18"/>
          <w:szCs w:val="18"/>
          <w:color w:val="auto"/>
        </w:rPr>
        <w:t>”). Executive’s Target Bonus will be reviewed annually and adjustments, if any, will be made at that time. The CEO will determine the actual amount of the bonus earned by Executive for any semi-annual period, which may be more or less than the Target Bonus, and will base such determination upon both the Company’s achievement of overall performance metrics for the year and Executive’s achievement of individual performance metrics as agreed upon by the CEO and Executive. Earned bonus amounts, if any, shall be paid within two and one-half months following the end of each semi-annual period.</w:t>
      </w:r>
    </w:p>
    <w:p>
      <w:pPr>
        <w:spacing w:after="0" w:line="147"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43" w:lineRule="exact"/>
        <w:rPr>
          <w:sz w:val="20"/>
          <w:szCs w:val="20"/>
          <w:color w:val="auto"/>
        </w:rPr>
      </w:pPr>
    </w:p>
    <w:p>
      <w:pPr>
        <w:ind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rFonts w:ascii="Arial" w:cs="Arial" w:eastAsia="Arial" w:hAnsi="Arial"/>
          <w:sz w:val="18"/>
          <w:szCs w:val="18"/>
          <w:color w:val="auto"/>
        </w:rPr>
      </w:pPr>
    </w:p>
    <w:p>
      <w:pPr>
        <w:ind w:right="80" w:firstLine="464"/>
        <w:spacing w:after="0" w:line="294"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2" w:name="page33"/>
    <w:bookmarkEnd w:id="32"/>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Executive’s Employment</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w:t>
      </w:r>
    </w:p>
    <w:p>
      <w:pPr>
        <w:spacing w:after="0" w:line="32" w:lineRule="exact"/>
        <w:rPr>
          <w:sz w:val="20"/>
          <w:szCs w:val="20"/>
          <w:color w:val="auto"/>
        </w:rPr>
      </w:pPr>
    </w:p>
    <w:p>
      <w:pPr>
        <w:ind w:right="340" w:firstLine="8"/>
        <w:spacing w:after="0" w:line="281" w:lineRule="auto"/>
        <w:tabs>
          <w:tab w:leader="none" w:pos="2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Executive’s inability to perform the essential functions of Executive’s position, with or without reasonable accommodation, due to a mental or physical</w:t>
      </w:r>
    </w:p>
    <w:p>
      <w:pPr>
        <w:spacing w:after="0" w:line="32" w:lineRule="exact"/>
        <w:rPr>
          <w:rFonts w:ascii="Arial" w:cs="Arial" w:eastAsia="Arial" w:hAnsi="Arial"/>
          <w:sz w:val="16"/>
          <w:szCs w:val="16"/>
          <w:color w:val="auto"/>
        </w:rPr>
      </w:pPr>
    </w:p>
    <w:p>
      <w:pPr>
        <w:jc w:val="both"/>
        <w:ind w:right="240"/>
        <w:spacing w:after="0" w:line="281" w:lineRule="auto"/>
        <w:rPr>
          <w:rFonts w:ascii="Arial" w:cs="Arial" w:eastAsia="Arial" w:hAnsi="Arial"/>
          <w:sz w:val="16"/>
          <w:szCs w:val="16"/>
          <w:color w:val="auto"/>
        </w:rPr>
      </w:pPr>
      <w:r>
        <w:rPr>
          <w:rFonts w:ascii="Arial" w:cs="Arial" w:eastAsia="Arial" w:hAnsi="Arial"/>
          <w:sz w:val="16"/>
          <w:szCs w:val="16"/>
          <w:color w:val="auto"/>
        </w:rPr>
        <w:t>disability; (f) Executive’s willful neglect of duties as determined in the sole and exclusive discretion of the CEO, provided that Executive has received written notice of the action or omission giving rise to such determination and has failed to remedy such situation to the satisfaction of the CEO within thirty (30) days following receipt of such written notice, unless Executive’s action or omission is not subject to cure, in which case no such notice shall be required, or</w:t>
      </w:r>
    </w:p>
    <w:p>
      <w:pPr>
        <w:spacing w:after="0" w:line="2" w:lineRule="exact"/>
        <w:rPr>
          <w:rFonts w:ascii="Arial" w:cs="Arial" w:eastAsia="Arial" w:hAnsi="Arial"/>
          <w:sz w:val="16"/>
          <w:szCs w:val="16"/>
          <w:color w:val="auto"/>
        </w:rPr>
      </w:pPr>
    </w:p>
    <w:p>
      <w:pPr>
        <w:ind w:right="60" w:firstLine="8"/>
        <w:spacing w:after="0" w:line="29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13.8. Executive will not be entitled to receive the Severance Package described in Section 7.2.</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Without Cause by Company</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8"/>
          <w:szCs w:val="18"/>
          <w:u w:val="single" w:color="auto"/>
          <w:color w:val="auto"/>
        </w:rPr>
        <w:t>Severance Package</w:t>
      </w:r>
      <w:r>
        <w:rPr>
          <w:rFonts w:ascii="Arial" w:cs="Arial" w:eastAsia="Arial" w:hAnsi="Arial"/>
          <w:sz w:val="18"/>
          <w:szCs w:val="18"/>
          <w:color w:val="auto"/>
        </w:rPr>
        <w:t>” that shall consist of:</w:t>
      </w:r>
    </w:p>
    <w:p>
      <w:pPr>
        <w:spacing w:after="0" w:line="143" w:lineRule="exact"/>
        <w:rPr>
          <w:sz w:val="20"/>
          <w:szCs w:val="20"/>
          <w:color w:val="auto"/>
        </w:rPr>
      </w:pPr>
    </w:p>
    <w:p>
      <w:pPr>
        <w:ind w:right="120" w:firstLine="1492"/>
        <w:spacing w:after="0" w:line="259" w:lineRule="auto"/>
        <w:tabs>
          <w:tab w:leader="none" w:pos="17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severance in an amount equal to the sum of six (6) months of Executive’s Base Salary then in effect on the Termination Date, with the total of such amount to be payable over six (6) months in equal installments in accordance with the Company’s regular payroll cycle, commencing with the first payroll date occurring on or after the 60th day following the Termination Date; and</w:t>
      </w:r>
    </w:p>
    <w:p>
      <w:pPr>
        <w:spacing w:after="0" w:line="140" w:lineRule="exact"/>
        <w:rPr>
          <w:rFonts w:ascii="Arial" w:cs="Arial" w:eastAsia="Arial" w:hAnsi="Arial"/>
          <w:sz w:val="18"/>
          <w:szCs w:val="18"/>
          <w:color w:val="auto"/>
        </w:rPr>
      </w:pPr>
    </w:p>
    <w:p>
      <w:pPr>
        <w:ind w:right="120" w:firstLine="1492"/>
        <w:spacing w:after="0" w:line="305" w:lineRule="auto"/>
        <w:tabs>
          <w:tab w:leader="none" w:pos="1732" w:val="left"/>
        </w:tabs>
        <w:numPr>
          <w:ilvl w:val="1"/>
          <w:numId w:val="24"/>
        </w:numPr>
        <w:rPr>
          <w:rFonts w:ascii="Arial" w:cs="Arial" w:eastAsia="Arial" w:hAnsi="Arial"/>
          <w:sz w:val="15"/>
          <w:szCs w:val="15"/>
          <w:color w:val="auto"/>
        </w:rPr>
      </w:pPr>
      <w:r>
        <w:rPr>
          <w:rFonts w:ascii="Arial" w:cs="Arial" w:eastAsia="Arial" w:hAnsi="Arial"/>
          <w:sz w:val="15"/>
          <w:szCs w:val="15"/>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5"/>
          <w:szCs w:val="15"/>
          <w:u w:val="single" w:color="auto"/>
          <w:color w:val="auto"/>
        </w:rPr>
        <w:t>COBRA</w:t>
      </w:r>
      <w:r>
        <w:rPr>
          <w:rFonts w:ascii="Arial" w:cs="Arial" w:eastAsia="Arial" w:hAnsi="Arial"/>
          <w:sz w:val="15"/>
          <w:szCs w:val="15"/>
          <w:color w:val="auto"/>
        </w:rPr>
        <w:t>”) for a period (the “</w:t>
      </w:r>
      <w:r>
        <w:rPr>
          <w:rFonts w:ascii="Arial" w:cs="Arial" w:eastAsia="Arial" w:hAnsi="Arial"/>
          <w:sz w:val="15"/>
          <w:szCs w:val="15"/>
          <w:u w:val="single" w:color="auto"/>
          <w:color w:val="auto"/>
        </w:rPr>
        <w:t>COBRA Payment Period</w:t>
      </w:r>
      <w:r>
        <w:rPr>
          <w:rFonts w:ascii="Arial" w:cs="Arial" w:eastAsia="Arial" w:hAnsi="Arial"/>
          <w:sz w:val="15"/>
          <w:szCs w:val="15"/>
          <w:color w:val="auto"/>
        </w:rPr>
        <w:t>”) ending on the earlier of (i) six</w:t>
      </w:r>
    </w:p>
    <w:p>
      <w:pPr>
        <w:ind w:right="16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months following the Termination Date or (ii) the date on which Executive becomes eligible for health coverage through another employer, provided in any event that Executive timely elects to continue and remains eligible for these benefits under COBRA.</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3" w:name="page34"/>
    <w:bookmarkEnd w:id="33"/>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Severance Payment</w:t>
      </w:r>
      <w:r>
        <w:rPr>
          <w:rFonts w:ascii="Arial" w:cs="Arial" w:eastAsia="Arial" w:hAnsi="Arial"/>
          <w:sz w:val="16"/>
          <w:szCs w:val="16"/>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13.8.</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13.8.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his intent to exercise his rights pursuant to this Section within thirty (30) days following the first occurrence of such condition(s).</w:t>
      </w:r>
    </w:p>
    <w:p>
      <w:pPr>
        <w:spacing w:after="0" w:line="128"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Voluntary Resignation by Executive Without Good Reason</w:t>
      </w:r>
      <w:r>
        <w:rPr>
          <w:rFonts w:ascii="Arial" w:cs="Arial" w:eastAsia="Arial" w:hAnsi="Arial"/>
          <w:sz w:val="18"/>
          <w:szCs w:val="18"/>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13.8.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4" w:name="page35"/>
    <w:bookmarkEnd w:id="34"/>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71" w:lineRule="exact"/>
        <w:rPr>
          <w:sz w:val="20"/>
          <w:szCs w:val="20"/>
          <w:color w:val="auto"/>
        </w:rPr>
      </w:pPr>
    </w:p>
    <w:p>
      <w:pPr>
        <w:jc w:val="both"/>
        <w:ind w:left="-8" w:right="40" w:firstLine="1492"/>
        <w:spacing w:after="0" w:line="302" w:lineRule="auto"/>
        <w:tabs>
          <w:tab w:leader="none" w:pos="1714"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Severance Payment; Equity Award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w:t>
      </w:r>
    </w:p>
    <w:p>
      <w:pPr>
        <w:spacing w:after="0" w:line="2" w:lineRule="exact"/>
        <w:rPr>
          <w:rFonts w:ascii="Arial" w:cs="Arial" w:eastAsia="Arial" w:hAnsi="Arial"/>
          <w:sz w:val="15"/>
          <w:szCs w:val="15"/>
          <w:color w:val="auto"/>
        </w:rPr>
      </w:pPr>
    </w:p>
    <w:p>
      <w:pPr>
        <w:jc w:val="both"/>
        <w:ind w:left="-8" w:right="420" w:firstLine="8"/>
        <w:spacing w:after="0" w:line="254"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13.8.</w:t>
      </w:r>
    </w:p>
    <w:p>
      <w:pPr>
        <w:spacing w:after="0" w:line="143" w:lineRule="exact"/>
        <w:rPr>
          <w:rFonts w:ascii="Arial" w:cs="Arial" w:eastAsia="Arial" w:hAnsi="Arial"/>
          <w:sz w:val="18"/>
          <w:szCs w:val="18"/>
          <w:color w:val="auto"/>
        </w:rPr>
      </w:pPr>
    </w:p>
    <w:p>
      <w:pPr>
        <w:ind w:left="1732" w:hanging="248"/>
        <w:spacing w:after="0"/>
        <w:tabs>
          <w:tab w:leader="none" w:pos="173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1948"/>
        <w:spacing w:after="0" w:line="286" w:lineRule="auto"/>
        <w:tabs>
          <w:tab w:leader="none" w:pos="2142" w:val="left"/>
        </w:tabs>
        <w:numPr>
          <w:ilvl w:val="2"/>
          <w:numId w:val="2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27" w:lineRule="exact"/>
        <w:rPr>
          <w:rFonts w:ascii="Arial" w:cs="Arial" w:eastAsia="Arial" w:hAnsi="Arial"/>
          <w:sz w:val="16"/>
          <w:szCs w:val="16"/>
          <w:color w:val="auto"/>
        </w:rPr>
      </w:pPr>
    </w:p>
    <w:p>
      <w:pPr>
        <w:ind w:left="-8" w:right="60" w:firstLine="1948"/>
        <w:spacing w:after="0" w:line="253" w:lineRule="auto"/>
        <w:tabs>
          <w:tab w:leader="none" w:pos="219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35" w:name="page36"/>
    <w:bookmarkEnd w:id="35"/>
    <w:p>
      <w:pPr>
        <w:ind w:left="1740" w:hanging="24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w:t>
      </w:r>
      <w:r>
        <w:rPr>
          <w:rFonts w:ascii="Arial" w:cs="Arial" w:eastAsia="Arial" w:hAnsi="Arial"/>
          <w:sz w:val="18"/>
          <w:szCs w:val="18"/>
          <w:color w:val="auto"/>
        </w:rPr>
        <w:t>. A Change in Control is defined as any one of the following occurrences:</w:t>
      </w:r>
    </w:p>
    <w:p>
      <w:pPr>
        <w:spacing w:after="0" w:line="171" w:lineRule="exact"/>
        <w:rPr>
          <w:rFonts w:ascii="Arial" w:cs="Arial" w:eastAsia="Arial" w:hAnsi="Arial"/>
          <w:sz w:val="18"/>
          <w:szCs w:val="18"/>
          <w:color w:val="auto"/>
        </w:rPr>
      </w:pPr>
    </w:p>
    <w:p>
      <w:pPr>
        <w:ind w:firstLine="1948"/>
        <w:spacing w:after="0" w:line="288" w:lineRule="auto"/>
        <w:tabs>
          <w:tab w:leader="none" w:pos="21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19" w:lineRule="exact"/>
        <w:rPr>
          <w:rFonts w:ascii="Arial" w:cs="Arial" w:eastAsia="Arial" w:hAnsi="Arial"/>
          <w:sz w:val="16"/>
          <w:szCs w:val="16"/>
          <w:color w:val="auto"/>
        </w:rPr>
      </w:pPr>
    </w:p>
    <w:p>
      <w:pPr>
        <w:ind w:right="780" w:firstLine="1948"/>
        <w:spacing w:after="0" w:line="268" w:lineRule="auto"/>
        <w:tabs>
          <w:tab w:leader="none" w:pos="21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1" w:lineRule="exact"/>
        <w:rPr>
          <w:rFonts w:ascii="Arial" w:cs="Arial" w:eastAsia="Arial" w:hAnsi="Arial"/>
          <w:sz w:val="18"/>
          <w:szCs w:val="18"/>
          <w:color w:val="auto"/>
        </w:rPr>
      </w:pPr>
    </w:p>
    <w:p>
      <w:pPr>
        <w:ind w:right="240" w:firstLine="1948"/>
        <w:spacing w:after="0" w:line="256" w:lineRule="auto"/>
        <w:tabs>
          <w:tab w:leader="none" w:pos="22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13.8.</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and (b) seek reimbursement from Executive for any and all portions of the Severance Package previously paid or provided to Executive.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36" w:name="page37"/>
    <w:bookmarkEnd w:id="36"/>
    <w:p>
      <w:pPr>
        <w:ind w:right="6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7.8 </w:t>
      </w:r>
      <w:r>
        <w:rPr>
          <w:rFonts w:ascii="Arial" w:cs="Arial" w:eastAsia="Arial" w:hAnsi="Arial"/>
          <w:sz w:val="16"/>
          <w:szCs w:val="16"/>
          <w:u w:val="single" w:color="auto"/>
          <w:color w:val="auto"/>
        </w:rPr>
        <w:t>Resignation of Board or Other Positions</w:t>
      </w:r>
      <w:r>
        <w:rPr>
          <w:rFonts w:ascii="Arial" w:cs="Arial" w:eastAsia="Arial" w:hAnsi="Arial"/>
          <w:sz w:val="16"/>
          <w:szCs w:val="16"/>
          <w:color w:val="auto"/>
        </w:rPr>
        <w:t>. Executive agrees that should Executive’s employment terminate for any reason, Executive will immediately resign all other positions (including board membership) Executive may hold on behalf of the Company.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right="60" w:firstLine="1492"/>
        <w:spacing w:after="0" w:line="289" w:lineRule="auto"/>
        <w:tabs>
          <w:tab w:leader="none" w:pos="1722"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18" w:lineRule="exact"/>
        <w:rPr>
          <w:rFonts w:ascii="Arial" w:cs="Arial" w:eastAsia="Arial" w:hAnsi="Arial"/>
          <w:sz w:val="16"/>
          <w:szCs w:val="16"/>
          <w:color w:val="auto"/>
        </w:rPr>
      </w:pPr>
    </w:p>
    <w:p>
      <w:pPr>
        <w:ind w:firstLine="1492"/>
        <w:spacing w:after="0" w:line="268" w:lineRule="auto"/>
        <w:tabs>
          <w:tab w:leader="none" w:pos="173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31" w:lineRule="exact"/>
        <w:rPr>
          <w:rFonts w:ascii="Arial" w:cs="Arial" w:eastAsia="Arial" w:hAnsi="Arial"/>
          <w:sz w:val="18"/>
          <w:szCs w:val="18"/>
          <w:color w:val="auto"/>
        </w:rPr>
      </w:pPr>
    </w:p>
    <w:p>
      <w:pPr>
        <w:ind w:right="100" w:firstLine="1492"/>
        <w:spacing w:after="0" w:line="318" w:lineRule="auto"/>
        <w:tabs>
          <w:tab w:leader="none" w:pos="1722" w:val="left"/>
        </w:tabs>
        <w:numPr>
          <w:ilvl w:val="1"/>
          <w:numId w:val="29"/>
        </w:numPr>
        <w:rPr>
          <w:rFonts w:ascii="Arial" w:cs="Arial" w:eastAsia="Arial" w:hAnsi="Arial"/>
          <w:sz w:val="15"/>
          <w:szCs w:val="15"/>
          <w:color w:val="auto"/>
        </w:rPr>
      </w:pPr>
      <w:r>
        <w:rPr>
          <w:rFonts w:ascii="Arial" w:cs="Arial" w:eastAsia="Arial" w:hAnsi="Arial"/>
          <w:sz w:val="15"/>
          <w:szCs w:val="15"/>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5"/>
          <w:szCs w:val="15"/>
          <w:b w:val="1"/>
          <w:bCs w:val="1"/>
          <w:color w:val="auto"/>
        </w:rPr>
        <w:t xml:space="preserve">However, the Company does not guarantee any particular tax effect for income provided to Executive pursuant to this Agreement. </w:t>
      </w:r>
      <w:r>
        <w:rPr>
          <w:rFonts w:ascii="Arial" w:cs="Arial" w:eastAsia="Arial" w:hAnsi="Arial"/>
          <w:sz w:val="15"/>
          <w:szCs w:val="15"/>
          <w:color w:val="auto"/>
        </w:rPr>
        <w:t>In any event,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99" w:lineRule="exact"/>
        <w:rPr>
          <w:rFonts w:ascii="Arial" w:cs="Arial" w:eastAsia="Arial" w:hAnsi="Arial"/>
          <w:sz w:val="15"/>
          <w:szCs w:val="15"/>
          <w:color w:val="auto"/>
        </w:rPr>
      </w:pPr>
    </w:p>
    <w:p>
      <w:pPr>
        <w:ind w:right="20" w:firstLine="464"/>
        <w:spacing w:after="0" w:line="294"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7" w:name="page38"/>
    <w:bookmarkEnd w:id="37"/>
    <w:p>
      <w:pPr>
        <w:ind w:right="60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32"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13"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4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3" w:lineRule="exact"/>
        <w:rPr>
          <w:sz w:val="20"/>
          <w:szCs w:val="20"/>
          <w:color w:val="auto"/>
        </w:rPr>
      </w:pPr>
    </w:p>
    <w:p>
      <w:pPr>
        <w:ind w:left="720" w:hanging="256"/>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Confidentiality and Proprietary Rights</w:t>
      </w:r>
      <w:r>
        <w:rPr>
          <w:rFonts w:ascii="Arial" w:cs="Arial" w:eastAsia="Arial" w:hAnsi="Arial"/>
          <w:sz w:val="16"/>
          <w:szCs w:val="16"/>
          <w:color w:val="auto"/>
        </w:rPr>
        <w:t>. Executive agrees to continue to abide by the Nondisclosure Agreement, which is incorporated herein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164" w:lineRule="exact"/>
        <w:rPr>
          <w:rFonts w:ascii="Arial" w:cs="Arial" w:eastAsia="Arial" w:hAnsi="Arial"/>
          <w:sz w:val="16"/>
          <w:szCs w:val="16"/>
          <w:color w:val="auto"/>
        </w:rPr>
      </w:pPr>
    </w:p>
    <w:p>
      <w:pPr>
        <w:ind w:firstLine="464"/>
        <w:spacing w:after="0" w:line="285" w:lineRule="auto"/>
        <w:tabs>
          <w:tab w:leader="none" w:pos="71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six-month (6)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8" w:name="page39"/>
    <w:bookmarkEnd w:id="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w:t>
      </w: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 10 and 11 hereof (collectively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preliminary and permanent injunctive relief without the necessity of proving actual damages or posting any bond or other security in addition to any other relief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the Company may be entitled and other remedies Company may exercise under this Agreement or otherwise.</w:t>
      </w:r>
    </w:p>
    <w:p>
      <w:pPr>
        <w:spacing w:after="0" w:line="165"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9" w:name="page40"/>
    <w:bookmarkEnd w:id="39"/>
    <w:p>
      <w:pPr>
        <w:ind w:right="1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13.6 </w:t>
      </w:r>
      <w:r>
        <w:rPr>
          <w:rFonts w:ascii="Arial" w:cs="Arial" w:eastAsia="Arial" w:hAnsi="Arial"/>
          <w:sz w:val="16"/>
          <w:szCs w:val="16"/>
          <w:u w:val="single" w:color="auto"/>
          <w:color w:val="auto"/>
        </w:rPr>
        <w:t>Governing Law; Forum</w:t>
      </w:r>
      <w:r>
        <w:rPr>
          <w:rFonts w:ascii="Arial" w:cs="Arial" w:eastAsia="Arial" w:hAnsi="Arial"/>
          <w:sz w:val="16"/>
          <w:szCs w:val="16"/>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w:t>
      </w:r>
    </w:p>
    <w:p>
      <w:pPr>
        <w:spacing w:after="0" w:line="38"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0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40" w:lineRule="exact"/>
        <w:rPr>
          <w:sz w:val="20"/>
          <w:szCs w:val="20"/>
          <w:color w:val="auto"/>
        </w:rPr>
      </w:pPr>
    </w:p>
    <w:p>
      <w:pPr>
        <w:ind w:right="160" w:firstLine="921"/>
        <w:spacing w:after="0" w:line="256"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43"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auto"/>
        </w:rPr>
        <w:t>THE PARTIES TO THIS AGREEMENT HAVE READ THE FOREGOING AGREEMENT AND FULLY UNDERSTAND EACH AND EVERY PROVISION CONTAINED HEREIN. WHEREFORE, THE PARTIES HAVE EXECUTED THIS AGREEMENT ON THE DATES SHOWN BELOW.</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BRIAN ROBERTS</w:t>
      </w:r>
    </w:p>
    <w:p>
      <w:pPr>
        <w:sectPr>
          <w:pgSz w:w="11900" w:h="16838" w:orient="portrait"/>
          <w:cols w:equalWidth="0" w:num="1">
            <w:col w:w="11340"/>
          </w:cols>
          <w:pgMar w:left="240" w:top="280" w:right="3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Dated: August 16, 2012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Brian M. Roberts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3300 West Camelback Road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200" w:lineRule="exact"/>
        <w:rPr>
          <w:sz w:val="20"/>
          <w:szCs w:val="20"/>
          <w:color w:val="auto"/>
        </w:rPr>
      </w:pPr>
    </w:p>
    <w:p>
      <w:pPr>
        <w:sectPr>
          <w:pgSz w:w="11900" w:h="16838" w:orient="portrait"/>
          <w:cols w:equalWidth="0" w:num="3">
            <w:col w:w="5020" w:space="720"/>
            <w:col w:w="620" w:space="160"/>
            <w:col w:w="4820"/>
          </w:cols>
          <w:pgMar w:left="240" w:top="280" w:right="319" w:bottom="1440" w:gutter="0" w:footer="0" w:header="0"/>
          <w:type w:val="continuous"/>
        </w:sectPr>
      </w:pP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GRAND CANYON EDUCATION, INC.</w:t>
      </w:r>
    </w:p>
    <w:p>
      <w:pPr>
        <w:sectPr>
          <w:pgSz w:w="11900" w:h="16838" w:orient="portrait"/>
          <w:cols w:equalWidth="0" w:num="1">
            <w:col w:w="11340"/>
          </w:cols>
          <w:pgMar w:left="240" w:top="280" w:right="31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7, 2012</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Brian E. Mueller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CEO and Director</w:t>
      </w:r>
    </w:p>
    <w:p>
      <w:pPr>
        <w:spacing w:after="0" w:line="222" w:lineRule="exact"/>
        <w:rPr>
          <w:sz w:val="20"/>
          <w:szCs w:val="20"/>
          <w:color w:val="auto"/>
        </w:rPr>
      </w:pPr>
    </w:p>
    <w:p>
      <w:pPr>
        <w:sectPr>
          <w:pgSz w:w="11900" w:h="16838" w:orient="portrait"/>
          <w:cols w:equalWidth="0" w:num="3">
            <w:col w:w="5020" w:space="720"/>
            <w:col w:w="460" w:space="320"/>
            <w:col w:w="4820"/>
          </w:cols>
          <w:pgMar w:left="240" w:top="280" w:right="319" w:bottom="1440" w:gutter="0" w:footer="0" w:header="0"/>
          <w:type w:val="continuous"/>
        </w:sectPr>
      </w:pPr>
    </w:p>
    <w:p>
      <w:pPr>
        <w:spacing w:after="0" w:line="1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3300 West Camelback Road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200" w:lineRule="exact"/>
        <w:rPr>
          <w:sz w:val="20"/>
          <w:szCs w:val="20"/>
          <w:color w:val="auto"/>
        </w:rPr>
      </w:pPr>
    </w:p>
    <w:p>
      <w:pPr>
        <w:sectPr>
          <w:pgSz w:w="11900" w:h="16838" w:orient="portrait"/>
          <w:cols w:equalWidth="0" w:num="2">
            <w:col w:w="6360" w:space="160"/>
            <w:col w:w="4820"/>
          </w:cols>
          <w:pgMar w:left="240" w:top="280" w:right="319" w:bottom="1440" w:gutter="0" w:footer="0" w:header="0"/>
          <w:type w:val="continuous"/>
        </w:sect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40" w:top="280" w:right="31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90"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2013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9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2013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5"/>
          <w:szCs w:val="15"/>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March 31, 2013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March 31, 2013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7"/>
    </w:lvl>
  </w:abstractNum>
  <w:abstractNum w:abstractNumId="4">
    <w:nsid w:val="333AB105"/>
    <w:multiLevelType w:val="hybridMultilevel"/>
    <w:lvl w:ilvl="0">
      <w:lvlJc w:val="left"/>
      <w:lvlText w:val="%1."/>
      <w:numFmt w:val="decimal"/>
      <w:start w:val="8"/>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4"/>
    </w:lvl>
  </w:abstractNum>
  <w:abstractNum w:abstractNumId="18">
    <w:nsid w:val="836C40E"/>
    <w:multiLevelType w:val="hybridMultilevel"/>
    <w:lvl w:ilvl="0">
      <w:lvlJc w:val="left"/>
      <w:lvlText w:val="%1."/>
      <w:numFmt w:val="decimal"/>
      <w:start w:val="5"/>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4"/>
    </w:lvl>
  </w:abstractNum>
  <w:abstractNum w:abstractNumId="22">
    <w:nsid w:val="1E7FF521"/>
    <w:multiLevelType w:val="hybridMultilevel"/>
    <w:lvl w:ilvl="0">
      <w:lvlJc w:val="left"/>
      <w:lvlText w:val="(%1)"/>
      <w:numFmt w:val="lowerLetter"/>
      <w:start w:val="7"/>
    </w:lvl>
  </w:abstractNum>
  <w:abstractNum w:abstractNumId="23">
    <w:nsid w:val="7C3DBD3D"/>
    <w:multiLevelType w:val="hybridMultilevel"/>
    <w:lvl w:ilvl="0">
      <w:lvlJc w:val="left"/>
      <w:lvlText w:val="%1"/>
      <w:numFmt w:val="decimal"/>
      <w:start w:val="1"/>
    </w:lvl>
    <w:lvl w:ilvl="1">
      <w:lvlJc w:val="left"/>
      <w:lvlText w:val="(%2)"/>
      <w:numFmt w:val="lowerLetter"/>
      <w:start w:val="1"/>
    </w:lvl>
  </w:abstractNum>
  <w:abstractNum w:abstractNumId="24">
    <w:nsid w:val="737B8DDC"/>
    <w:multiLevelType w:val="hybridMultilevel"/>
    <w:lvl w:ilvl="0">
      <w:lvlJc w:val="left"/>
      <w:lvlText w:val="(%1)"/>
      <w:numFmt w:val="decimal"/>
      <w:start w:val="6"/>
    </w:lvl>
    <w:lvl w:ilvl="1">
      <w:lvlJc w:val="left"/>
      <w:lvlText w:val="%2"/>
      <w:numFmt w:val="lowerLetter"/>
      <w:start w:val="1"/>
    </w:lvl>
  </w:abstractNum>
  <w:abstractNum w:abstractNumId="25">
    <w:nsid w:val="6CEAF0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
    <w:nsid w:val="22221A70"/>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7">
    <w:nsid w:val="4516DDE9"/>
    <w:multiLevelType w:val="hybridMultilevel"/>
    <w:lvl w:ilvl="0">
      <w:lvlJc w:val="left"/>
      <w:lvlText w:val="(%1)"/>
      <w:numFmt w:val="lowerLetter"/>
      <w:start w:val="3"/>
    </w:lvl>
    <w:lvl w:ilvl="1">
      <w:lvlJc w:val="left"/>
      <w:lvlText w:val="(%2)"/>
      <w:numFmt w:val="lowerRoman"/>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8"/>
    </w:lvl>
    <w:lvl w:ilvl="1">
      <w:lvlJc w:val="left"/>
      <w:lvlText w:val="%2"/>
      <w:numFmt w:val="lowerLetter"/>
      <w:start w:val="1"/>
    </w:lvl>
  </w:abstractNum>
  <w:abstractNum w:abstractNumId="30">
    <w:nsid w:val="419AC241"/>
    <w:multiLevelType w:val="hybridMultilevel"/>
    <w:lvl w:ilvl="0">
      <w:lvlJc w:val="left"/>
      <w:lvlText w:val="%1."/>
      <w:numFmt w:val="decimal"/>
      <w:start w:val="9"/>
    </w:lvl>
  </w:abstractNum>
  <w:abstractNum w:abstractNumId="31">
    <w:nsid w:val="5577F8E1"/>
    <w:multiLevelType w:val="hybridMultilevel"/>
    <w:lvl w:ilvl="0">
      <w:lvlJc w:val="left"/>
      <w:lvlText w:val="%1."/>
      <w:numFmt w:val="decimal"/>
      <w:start w:val="10"/>
    </w:lvl>
  </w:abstractNum>
  <w:abstractNum w:abstractNumId="32">
    <w:nsid w:val="440BADFC"/>
    <w:multiLevelType w:val="hybridMultilevel"/>
    <w:lvl w:ilvl="0">
      <w:lvlJc w:val="left"/>
      <w:lvlText w:val="%1."/>
      <w:numFmt w:val="decimal"/>
      <w:start w:val="13"/>
    </w:lvl>
  </w:abstractNum>
  <w:abstractNum w:abstractNumId="33">
    <w:nsid w:val="5072367"/>
    <w:multiLevelType w:val="hybridMultilevel"/>
    <w:lvl w:ilvl="0">
      <w:lvlJc w:val="left"/>
      <w:lvlText w:val="%1."/>
      <w:numFmt w:val="decimal"/>
      <w:start w:val="1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2019-12-07T18:17:59Z</dcterms:created>
  <dcterms:modified xsi:type="dcterms:W3CDTF">2019-12-07T18:17:59Z</dcterms:modified>
</cp:coreProperties>
</file>