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1142024_041101.xml.htm"/>
      <w:bookmarkStart w:id="1" w:name="ksform411142024_0411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BACHUS DANIEL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2600 W. CAMELBACK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PHOENIX</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AZ</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Grand Canyon Education, Inc.</w:t>
              </w:r>
            </w:hyperlink>
            <w:r>
              <w:rPr/>
              <w:t xml:space="preserve"> [ </w:t>
            </w:r>
            <w:r>
              <w:rPr>
                <w:rFonts w:ascii="Times;serif" w:hAnsi="Times;serif"/>
                <w:color w:val="0000FF"/>
                <w:sz w:val="24"/>
                <w:shd w:fill="FFFFFF" w:val="clear"/>
              </w:rPr>
              <w:t>LOPE</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FINANCIAL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11/12/2024</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841"/>
        <w:gridCol w:w="451"/>
        <w:gridCol w:w="881"/>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11/12/2024</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170.84</w:t>
            </w:r>
            <w:r>
              <w:rPr>
                <w:rFonts w:ascii="Times;serif" w:hAnsi="Times;serif"/>
                <w:color w:val="008000"/>
                <w:position w:val="7"/>
                <w:sz w:val="16"/>
                <w:sz w:val="20"/>
                <w:shd w:fill="FFFFFF" w:val="clear"/>
              </w:rPr>
              <w:t>(2)</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114,710</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11/12/2024</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G</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662</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114,048</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reflected in this report were sold in furtherance of the reporting person's general estate and tax planning activities.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$170.64 to $171.25, inclusive. The reporting person undertakes to provide to Grand Canyon Education, Inc. any security holder of Grand Canyon Education, Inc., or the staff of the Securities and Exchange Commission, upon request, full information regarding the number of shares sold at each separate price within the range set forth in this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Daniel E. Bachus, by Lyn Bickle,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11/14/2024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13136" TargetMode="External"/><Relationship Id="rId5" Type="http://schemas.openxmlformats.org/officeDocument/2006/relationships/hyperlink" Target="http://www.sec.gov/cgi-bin/browse-edgar?action=getcompany&amp;CIK=000143458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674</Words>
  <Characters>3633</Characters>
  <CharactersWithSpaces>4241</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