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lope-20231215x8k.htm"/>
      <w:bookmarkStart w:id="1" w:name="kslope20231215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d85aa0ee_0b10_43db_acb5_5535f5d6277e"/>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20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December 15, 2023</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Grand Canyon Education,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M8EDp2dyIUqbdE7ZsE1kmg_3_0"/>
      <w:bookmarkStart w:id="4" w:name="Tc_za9KX7gAz0qSihgSePOIFw_2_4"/>
      <w:bookmarkStart w:id="5" w:name="Tc_KFivW_TN8E2xZiuhzYd9JQ_2_2"/>
      <w:bookmarkStart w:id="6" w:name="Tc_UD46sTItlkiBiVNM6V6Hkg_2_0"/>
      <w:bookmarkStart w:id="7" w:name="_7fa0ebfc_0c79_4dbe_87e0_6617c5cbb49e"/>
      <w:bookmarkStart w:id="8" w:name="Tc_M8EDp2dyIUqbdE7ZsE1kmg_3_0"/>
      <w:bookmarkStart w:id="9" w:name="Tc_za9KX7gAz0qSihgSePOIFw_2_4"/>
      <w:bookmarkStart w:id="10" w:name="Tc_KFivW_TN8E2xZiuhzYd9JQ_2_2"/>
      <w:bookmarkStart w:id="11" w:name="Tc_UD46sTItlkiBiVNM6V6Hkg_2_0"/>
      <w:bookmarkStart w:id="12" w:name="_7fa0ebfc_0c79_4dbe_87e0_6617c5cbb49e"/>
      <w:bookmarkEnd w:id="8"/>
      <w:bookmarkEnd w:id="9"/>
      <w:bookmarkEnd w:id="10"/>
      <w:bookmarkEnd w:id="11"/>
      <w:bookmarkEnd w:id="12"/>
    </w:p>
    <w:tbl>
      <w:tblPr>
        <w:tblW w:w="8320" w:type="dxa"/>
        <w:jc w:val="left"/>
        <w:tblInd w:w="0" w:type="dxa"/>
        <w:tblLayout w:type="fixed"/>
        <w:tblCellMar>
          <w:top w:w="0" w:type="dxa"/>
          <w:left w:w="0" w:type="dxa"/>
          <w:bottom w:w="0" w:type="dxa"/>
          <w:right w:w="0" w:type="dxa"/>
        </w:tblCellMar>
      </w:tblPr>
      <w:tblGrid>
        <w:gridCol w:w="2476"/>
        <w:gridCol w:w="326"/>
        <w:gridCol w:w="2296"/>
        <w:gridCol w:w="326"/>
        <w:gridCol w:w="289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center"/>
              <w:rPr/>
            </w:pPr>
            <w:r>
              <w:rPr/>
              <w:t>    </w:t>
            </w:r>
          </w:p>
        </w:tc>
        <w:tc>
          <w:tcPr>
            <w:tcW w:w="22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001-34211</w:t>
            </w:r>
          </w:p>
        </w:tc>
        <w:tc>
          <w:tcPr>
            <w:tcW w:w="326" w:type="dxa"/>
            <w:tcBorders/>
            <w:vAlign w:val="center"/>
          </w:tcPr>
          <w:p>
            <w:pPr>
              <w:pStyle w:val="TableContents"/>
              <w:bidi w:val="0"/>
              <w:spacing w:before="0" w:after="0"/>
              <w:ind w:left="0" w:right="0" w:hanging="0"/>
              <w:jc w:val="center"/>
              <w:rPr/>
            </w:pPr>
            <w:r>
              <w:rPr/>
              <w:t>    </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2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2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w:t>
            </w:r>
          </w:p>
        </w:tc>
        <w:tc>
          <w:tcPr>
            <w:tcW w:w="32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240"/>
              <w:ind w:left="0" w:right="0" w:hanging="0"/>
              <w:jc w:val="center"/>
              <w:rPr/>
            </w:pPr>
            <w:r>
              <w:rPr/>
              <w:t>​</w:t>
            </w:r>
          </w:p>
        </w:tc>
        <w:tc>
          <w:tcPr>
            <w:tcW w:w="32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240"/>
              <w:ind w:left="0" w:right="0" w:hanging="0"/>
              <w:jc w:val="center"/>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 w:name="Tc_QPM08wGG4EKS4AztUvLf1Q_3_1"/>
      <w:bookmarkStart w:id="14" w:name="Tc_mpbgIkdUzkGgzJ3LFZATvA_3_0"/>
      <w:bookmarkStart w:id="15" w:name="Tc_Z_YrKR0KCkm1Kyna5UZ6jQ_2_0"/>
      <w:bookmarkStart w:id="16" w:name="_9a323b27_c53c_42df_98ef_985e5341818d"/>
      <w:bookmarkStart w:id="17" w:name="Tc_QPM08wGG4EKS4AztUvLf1Q_3_1"/>
      <w:bookmarkStart w:id="18" w:name="Tc_mpbgIkdUzkGgzJ3LFZATvA_3_0"/>
      <w:bookmarkStart w:id="19" w:name="Tc_Z_YrKR0KCkm1Kyna5UZ6jQ_2_0"/>
      <w:bookmarkStart w:id="20" w:name="_9a323b27_c53c_42df_98ef_985e5341818d"/>
      <w:bookmarkEnd w:id="17"/>
      <w:bookmarkEnd w:id="18"/>
      <w:bookmarkEnd w:id="19"/>
      <w:bookmarkEnd w:id="20"/>
    </w:p>
    <w:tbl>
      <w:tblPr>
        <w:tblW w:w="4397" w:type="dxa"/>
        <w:jc w:val="left"/>
        <w:tblInd w:w="0" w:type="dxa"/>
        <w:tblLayout w:type="fixed"/>
        <w:tblCellMar>
          <w:top w:w="0" w:type="dxa"/>
          <w:left w:w="0" w:type="dxa"/>
          <w:bottom w:w="0" w:type="dxa"/>
          <w:right w:w="0" w:type="dxa"/>
        </w:tblCellMar>
      </w:tblPr>
      <w:tblGrid>
        <w:gridCol w:w="3361"/>
        <w:gridCol w:w="103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tc>
        <w:tc>
          <w:tcPr>
            <w:tcW w:w="1036" w:type="dxa"/>
            <w:tcBorders/>
            <w:vAlign w:val="center"/>
          </w:tcPr>
          <w:p>
            <w:pPr>
              <w:pStyle w:val="TableContents"/>
              <w:bidi w:val="0"/>
              <w:spacing w:before="0" w:after="240"/>
              <w:ind w:left="0" w:right="0" w:hanging="0"/>
              <w:jc w:val="center"/>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Phoenix, Arizona</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85017</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40"/>
        <w:ind w:left="0" w:right="0" w:hanging="0"/>
        <w:jc w:val="both"/>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(602) 247-4400</w:t>
      </w:r>
    </w:p>
    <w:tbl>
      <w:tblPr>
        <w:tblW w:w="5026" w:type="dxa"/>
        <w:jc w:val="left"/>
        <w:tblInd w:w="0" w:type="dxa"/>
        <w:tblLayout w:type="fixed"/>
        <w:tblCellMar>
          <w:top w:w="0" w:type="dxa"/>
          <w:left w:w="0" w:type="dxa"/>
          <w:bottom w:w="0" w:type="dxa"/>
          <w:right w:w="0" w:type="dxa"/>
        </w:tblCellMar>
      </w:tblPr>
      <w:tblGrid>
        <w:gridCol w:w="5026"/>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191510" cy="175260"/>
                      <wp:effectExtent l="0" t="0" r="0" b="0"/>
                      <wp:wrapNone/>
                      <wp:docPr id="1" name="Frame1"/>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50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240"/>
        <w:ind w:left="0" w:right="0" w:hanging="0"/>
        <w:jc w:val="both"/>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240"/>
        <w:ind w:left="0" w:right="0" w:hanging="0"/>
        <w:jc w:val="both"/>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im87bkFH0apUjvBBdeD3w_0_2"/>
      <w:bookmarkStart w:id="22" w:name="Tc_kAxXxcaTHEuahuW915IZvw_0_1"/>
      <w:bookmarkStart w:id="23" w:name="Tc_y4miLZQ7RkG9s7tumRhH2Q_0_0"/>
      <w:bookmarkStart w:id="24" w:name="_2f4b5bca_6f5b_4b11_908f_f1dd216d9493"/>
      <w:bookmarkStart w:id="25" w:name="Tc_-im87bkFH0apUjvBBdeD3w_0_2"/>
      <w:bookmarkStart w:id="26" w:name="Tc_kAxXxcaTHEuahuW915IZvw_0_1"/>
      <w:bookmarkStart w:id="27" w:name="Tc_y4miLZQ7RkG9s7tumRhH2Q_0_0"/>
      <w:bookmarkStart w:id="28" w:name="_2f4b5bca_6f5b_4b11_908f_f1dd216d9493"/>
      <w:bookmarkEnd w:id="25"/>
      <w:bookmarkEnd w:id="26"/>
      <w:bookmarkEnd w:id="27"/>
      <w:bookmarkEnd w:id="28"/>
    </w:p>
    <w:tbl>
      <w:tblPr>
        <w:tblW w:w="7143" w:type="dxa"/>
        <w:jc w:val="left"/>
        <w:tblInd w:w="-10" w:type="dxa"/>
        <w:tblLayout w:type="fixed"/>
        <w:tblCellMar>
          <w:top w:w="28" w:type="dxa"/>
          <w:left w:w="98" w:type="dxa"/>
          <w:bottom w:w="28" w:type="dxa"/>
          <w:right w:w="98" w:type="dxa"/>
        </w:tblCellMar>
      </w:tblPr>
      <w:tblGrid>
        <w:gridCol w:w="1621"/>
        <w:gridCol w:w="1696"/>
        <w:gridCol w:w="3826"/>
      </w:tblGrid>
      <w:tr>
        <w:trPr/>
        <w:tc>
          <w:tcPr>
            <w:tcW w:w="16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6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9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82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w:t>
      </w:r>
      <w:r>
        <w:rPr>
          <w:rFonts w:ascii="Arial Unicode MS" w:hAnsi="Arial Unicode MS"/>
          <w:sz w:val="20"/>
        </w:rPr>
        <w:t>§</w:t>
      </w:r>
      <w:r>
        <w:rPr>
          <w:rFonts w:ascii="Times New Roman;Times;serif" w:hAnsi="Times New Roman;Times;serif"/>
          <w:sz w:val="20"/>
        </w:rPr>
        <w:t>230.405 of this chapter) or Rule 12b-2 of the Securities Exchange Act of 1934 (</w:t>
      </w:r>
      <w:r>
        <w:rPr>
          <w:rFonts w:ascii="Arial Unicode MS" w:hAnsi="Arial Unicode MS"/>
          <w:sz w:val="20"/>
        </w:rPr>
        <w:t>§</w:t>
      </w:r>
      <w:r>
        <w:rPr>
          <w:rFonts w:ascii="Times New Roman;Times;serif" w:hAnsi="Times New Roman;Times;serif"/>
          <w:sz w:val="20"/>
        </w:rPr>
        <w:t>240.12b-2 of this chapter).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lineRule="atLeast" w:line="142" w:before="0" w:after="240"/>
        <w:ind w:left="0" w:right="0" w:firstLine="72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1080"/>
        <w:jc w:val="left"/>
        <w:rPr>
          <w:rFonts w:ascii="Times New Roman;Times;serif" w:hAnsi="Times New Roman;Times;serif"/>
          <w:b/>
          <w:sz w:val="20"/>
        </w:rPr>
      </w:pPr>
      <w:r>
        <w:rPr>
          <w:rFonts w:ascii="Times New Roman;Times;serif" w:hAnsi="Times New Roman;Times;serif"/>
          <w:b/>
          <w:sz w:val="20"/>
        </w:rPr>
        <w:t>Item 5.02. Departure of Directors or Principal Officers; Election of Directors; Appointment of Principal Officers.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Resignation of Director in accordance with Corporate Governance Principles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Corporate Governance Principles and Practices of Grand Canyon Education, Inc. (the “Company”) require that a director tender his or her resignation for consideration by the Nominating and Corporate Governance Committee of the Board of Directors upon ceasing to be actively employed in his or her principal business or profession. In accordance with this policy, Mr. David M. Adame, a director since 2021, tendered his resignation for consideration in light of his resignation as President and Chief Executive Officer of Chicanos por la Causa. Effective December 15, 2023, the Board of Directors, acting on the recommendation of the Nominating and Corporate Governance Committee, accepted Mr. Adame’s resignation. Mr. Adame’s decision to resign is not due to any disagreement with the Company on any matter relating to the Company’s operations, policies or practices.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Nominating and Corporate Governance Committee intends promptly to launch a search for candidates to fill the vacancy on the Board of Directors created by the foregoing resignation.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477" w:type="dxa"/>
        <w:jc w:val="left"/>
        <w:tblInd w:w="0" w:type="dxa"/>
        <w:tblLayout w:type="fixed"/>
        <w:tblCellMar>
          <w:top w:w="0" w:type="dxa"/>
          <w:left w:w="0" w:type="dxa"/>
          <w:bottom w:w="0" w:type="dxa"/>
          <w:right w:w="0" w:type="dxa"/>
        </w:tblCellMar>
      </w:tblPr>
      <w:tblGrid>
        <w:gridCol w:w="2176"/>
        <w:gridCol w:w="422"/>
        <w:gridCol w:w="2879"/>
      </w:tblGrid>
      <w:tr>
        <w:trPr/>
        <w:tc>
          <w:tcPr>
            <w:tcW w:w="2176"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pPr>
            <w:r>
              <w:rPr/>
              <w:t>​</w:t>
            </w:r>
          </w:p>
        </w:tc>
      </w:tr>
      <w:tr>
        <w:trPr/>
        <w:tc>
          <w:tcPr>
            <w:tcW w:w="2176" w:type="dxa"/>
            <w:tcBorders/>
            <w:vAlign w:val="center"/>
          </w:tcPr>
          <w:p>
            <w:pPr>
              <w:pStyle w:val="TableContents"/>
              <w:bidi w:val="0"/>
              <w:spacing w:lineRule="auto" w:line="304" w:before="0" w:after="0"/>
              <w:ind w:left="0" w:right="0" w:hanging="0"/>
              <w:jc w:val="left"/>
              <w:rPr/>
            </w:pPr>
            <w:r>
              <w:rPr/>
              <w:t>​</w:t>
            </w:r>
          </w:p>
        </w:tc>
        <w:tc>
          <w:tcPr>
            <w:tcW w:w="3301"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GRAND CANYON EDUCATION, INC.</w:t>
            </w:r>
          </w:p>
        </w:tc>
      </w:tr>
      <w:tr>
        <w:trPr/>
        <w:tc>
          <w:tcPr>
            <w:tcW w:w="2176"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pPr>
            <w:r>
              <w:rPr/>
              <w:t>​</w:t>
            </w:r>
          </w:p>
        </w:tc>
      </w:tr>
      <w:tr>
        <w:trPr/>
        <w:tc>
          <w:tcPr>
            <w:tcW w:w="217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Date: December 19, 2023</w:t>
            </w:r>
          </w:p>
        </w:tc>
        <w:tc>
          <w:tcPr>
            <w:tcW w:w="422"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79"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2176"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2176"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176" w:type="dxa"/>
            <w:tcBorders/>
            <w:vAlign w:val="center"/>
          </w:tcPr>
          <w:p>
            <w:pPr>
              <w:pStyle w:val="TableContents"/>
              <w:bidi w:val="0"/>
              <w:spacing w:lineRule="auto" w:line="304" w:before="0" w:after="0"/>
              <w:ind w:left="0" w:right="0" w:hanging="0"/>
              <w:jc w:val="left"/>
              <w:rPr/>
            </w:pPr>
            <w:r>
              <w:rPr/>
              <w:t>​</w:t>
            </w:r>
          </w:p>
        </w:tc>
        <w:tc>
          <w:tcPr>
            <w:tcW w:w="422" w:type="dxa"/>
            <w:tcBorders/>
            <w:vAlign w:val="center"/>
          </w:tcPr>
          <w:p>
            <w:pPr>
              <w:pStyle w:val="TableContents"/>
              <w:bidi w:val="0"/>
              <w:spacing w:lineRule="auto" w:line="304" w:before="0" w:after="0"/>
              <w:ind w:left="0" w:right="0" w:hanging="0"/>
              <w:jc w:val="left"/>
              <w:rPr/>
            </w:pPr>
            <w:r>
              <w:rPr/>
              <w:t>​</w:t>
            </w:r>
          </w:p>
        </w:tc>
        <w:tc>
          <w:tcPr>
            <w:tcW w:w="287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Unicode M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533</Words>
  <Characters>3004</Characters>
  <CharactersWithSpaces>3539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